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7"/>
        <w:ind w:firstLine="0"/>
        <w:rPr>
          <w:rFonts w:hint="eastAsia" w:eastAsia="黑体"/>
          <w:b/>
          <w:bCs/>
          <w:color w:val="000000"/>
          <w:sz w:val="84"/>
          <w:highlight w:val="none"/>
          <w:shd w:val="clear" w:color="ffffff" w:fill="d9d9d9"/>
        </w:rPr>
      </w:pPr>
      <w:r>
        <w:rPr>
          <w:rFonts w:hint="eastAsia" w:eastAsia="黑体"/>
          <w:b/>
          <w:bCs/>
          <w:color w:val="000000"/>
          <w:sz w:val="84"/>
          <w:highlight w:val="none"/>
          <w:shd w:val="clear" w:color="ffffff" w:fill="d9d9d9"/>
        </w:rPr>
      </w:r>
      <w:r/>
    </w:p>
    <w:p>
      <w:pPr>
        <w:pStyle w:val="757"/>
        <w:ind w:firstLine="0"/>
        <w:jc w:val="both"/>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公开招标文件</w:t>
      </w:r>
      <w:r>
        <w:rPr>
          <w:rFonts w:hint="eastAsia" w:ascii="黑体" w:hAnsi="华文中宋" w:eastAsia="黑体"/>
          <w:bCs/>
          <w:color w:val="000000"/>
          <w:spacing w:val="20"/>
          <w:sz w:val="84"/>
          <w:szCs w:val="84"/>
          <w:highlight w:val="none"/>
        </w:rPr>
      </w:r>
      <w:r/>
    </w:p>
    <w:p>
      <w:pPr>
        <w:pStyle w:val="757"/>
        <w:ind w:firstLine="0"/>
        <w:jc w:val="center"/>
        <w:rPr>
          <w:rFonts w:ascii="黑体" w:hAnsi="华文中宋" w:eastAsia="黑体"/>
          <w:bCs/>
          <w:color w:val="000000"/>
          <w:spacing w:val="20"/>
          <w:sz w:val="52"/>
          <w:szCs w:val="52"/>
          <w:highlight w:val="none"/>
        </w:rPr>
      </w:pPr>
      <w:r>
        <w:rPr>
          <w:rFonts w:ascii="黑体" w:hAnsi="华文中宋" w:eastAsia="黑体"/>
          <w:bCs/>
          <w:color w:val="000000"/>
          <w:spacing w:val="20"/>
          <w:sz w:val="52"/>
          <w:szCs w:val="52"/>
          <w:highlight w:val="none"/>
        </w:rPr>
      </w:r>
      <w:r/>
    </w:p>
    <w:p>
      <w:pPr>
        <w:pStyle w:val="757"/>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757"/>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757"/>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668"/>
        <w:ind w:firstLine="1920"/>
        <w:jc w:val="left"/>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项目编号：JSZC-320200-JZCG-G2026-0042</w:t>
      </w:r>
      <w:r>
        <w:rPr>
          <w:rFonts w:hint="eastAsia" w:ascii="黑体" w:hAnsi="华文中宋" w:eastAsia="黑体"/>
          <w:bCs/>
          <w:color w:val="000000"/>
          <w:sz w:val="32"/>
          <w:szCs w:val="32"/>
          <w:highlight w:val="none"/>
        </w:rPr>
      </w:r>
      <w:r/>
    </w:p>
    <w:p>
      <w:pPr>
        <w:pStyle w:val="668"/>
        <w:ind w:firstLine="1920"/>
        <w:jc w:val="left"/>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项目名称：智慧住建（二期）信息化建设项目</w:t>
      </w:r>
      <w:r>
        <w:rPr>
          <w:rFonts w:hint="eastAsia" w:ascii="黑体" w:hAnsi="华文中宋" w:eastAsia="黑体"/>
          <w:bCs/>
          <w:color w:val="000000"/>
          <w:sz w:val="32"/>
          <w:szCs w:val="32"/>
          <w:highlight w:val="none"/>
        </w:rPr>
      </w:r>
      <w:r/>
    </w:p>
    <w:p>
      <w:pPr>
        <w:pStyle w:val="668"/>
        <w:ind w:firstLine="1920"/>
        <w:jc w:val="left"/>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采 购 人：无锡市住房和城乡建设局</w:t>
      </w:r>
      <w:r>
        <w:rPr>
          <w:rFonts w:hint="eastAsia" w:ascii="黑体" w:hAnsi="华文中宋" w:eastAsia="黑体"/>
          <w:bCs/>
          <w:color w:val="000000"/>
          <w:sz w:val="32"/>
          <w:szCs w:val="32"/>
          <w:highlight w:val="none"/>
        </w:rPr>
      </w:r>
      <w:r/>
    </w:p>
    <w:p>
      <w:pPr>
        <w:pStyle w:val="668"/>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757"/>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57"/>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57"/>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57"/>
        <w:ind w:firstLine="0"/>
        <w:jc w:val="center"/>
        <w:spacing w:before="0" w:after="0"/>
        <w:rPr>
          <w:rFonts w:hint="eastAsia" w:ascii="宋体" w:hAnsi="宋体"/>
          <w:color w:val="000000"/>
          <w:sz w:val="32"/>
          <w:szCs w:val="32"/>
          <w:highlight w:val="none"/>
          <w:shd w:val="clear" w:color="ffffff" w:fill="d9d9d9"/>
        </w:rPr>
      </w:pPr>
      <w:r>
        <w:rPr>
          <w:rFonts w:hint="eastAsia" w:ascii="黑体" w:hAnsi="华文中宋" w:eastAsia="黑体"/>
          <w:bCs/>
          <w:color w:val="000000"/>
          <w:sz w:val="32"/>
          <w:szCs w:val="32"/>
          <w:highlight w:val="none"/>
        </w:rPr>
        <w:t xml:space="preserve">采购代理机构：无锡市公共资源交易中心</w:t>
      </w:r>
      <w:r>
        <w:rPr>
          <w:rFonts w:hint="eastAsia" w:ascii="宋体" w:hAnsi="宋体"/>
          <w:color w:val="000000"/>
          <w:sz w:val="32"/>
          <w:szCs w:val="32"/>
          <w:highlight w:val="none"/>
          <w:shd w:val="clear" w:color="ffffff" w:fill="d9d9d9"/>
        </w:rPr>
      </w:r>
      <w:r/>
    </w:p>
    <w:p>
      <w:pPr>
        <w:pStyle w:val="757"/>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二〇二六年</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757"/>
        <w:ind w:firstLine="0"/>
        <w:jc w:val="center"/>
        <w:rPr>
          <w:rFonts w:hint="eastAsia" w:ascii="黑体" w:hAnsi="黑体" w:eastAsia="黑体"/>
          <w:color w:val="000000"/>
          <w:sz w:val="36"/>
          <w:szCs w:val="36"/>
          <w:highlight w:val="none"/>
        </w:rPr>
      </w:pPr>
      <w:r>
        <w:rPr>
          <w:rFonts w:ascii="黑体" w:hAnsi="华文中宋" w:eastAsia="黑体"/>
          <w:bCs/>
          <w:color w:val="000000"/>
          <w:sz w:val="44"/>
          <w:szCs w:val="44"/>
          <w:highlight w:val="none"/>
        </w:rPr>
        <w:br w:type="page" w:clear="all"/>
      </w:r>
      <w:bookmarkStart w:id="0" w:name="_Toc120614210"/>
      <w:r/>
      <w:bookmarkStart w:id="1" w:name="_Toc513029200"/>
      <w:r/>
      <w:bookmarkStart w:id="2" w:name="_Toc523127445"/>
      <w:r/>
      <w:bookmarkStart w:id="3" w:name="_Toc16938516"/>
      <w:r/>
      <w:bookmarkStart w:id="4" w:name="_Toc479757206"/>
      <w:r/>
      <w:bookmarkStart w:id="5" w:name="_Toc20823272"/>
      <w:r>
        <w:rPr>
          <w:rFonts w:hint="eastAsia" w:ascii="黑体" w:hAnsi="黑体" w:eastAsia="黑体"/>
          <w:color w:val="000000"/>
          <w:sz w:val="36"/>
          <w:szCs w:val="36"/>
          <w:highlight w:val="none"/>
        </w:rPr>
        <w:t xml:space="preserve">总  目  录</w:t>
      </w:r>
      <w:r>
        <w:rPr>
          <w:rFonts w:hint="eastAsia" w:ascii="黑体" w:hAnsi="黑体" w:eastAsia="黑体"/>
          <w:color w:val="000000"/>
          <w:sz w:val="36"/>
          <w:szCs w:val="36"/>
          <w:highlight w:val="none"/>
        </w:rPr>
      </w:r>
      <w:r/>
    </w:p>
    <w:p>
      <w:pPr>
        <w:pStyle w:val="668"/>
        <w:jc w:val="center"/>
        <w:spacing w:line="480" w:lineRule="auto"/>
        <w:rPr>
          <w:rFonts w:hint="eastAsia" w:ascii="黑体" w:hAnsi="Arial" w:eastAsia="黑体"/>
          <w:color w:val="000000"/>
          <w:sz w:val="44"/>
          <w:highlight w:val="none"/>
        </w:rPr>
        <w:outlineLvl w:val="0"/>
      </w:pPr>
      <w:r>
        <w:rPr>
          <w:rFonts w:hint="eastAsia" w:ascii="黑体" w:hAnsi="Arial" w:eastAsia="黑体"/>
          <w:color w:val="000000"/>
          <w:sz w:val="44"/>
          <w:highlight w:val="none"/>
        </w:rPr>
      </w:r>
      <w:r/>
    </w:p>
    <w:p>
      <w:pPr>
        <w:pStyle w:val="668"/>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投标邀请------------------------------------</w:t>
      </w:r>
      <w:r>
        <w:rPr>
          <w:rFonts w:hint="eastAsia" w:ascii="宋体" w:hAnsi="宋体"/>
          <w:color w:val="000000"/>
          <w:sz w:val="30"/>
          <w:szCs w:val="30"/>
          <w:highlight w:val="none"/>
        </w:rPr>
      </w:r>
      <w:r/>
    </w:p>
    <w:p>
      <w:pPr>
        <w:pStyle w:val="668"/>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rPr>
          <w:rFonts w:hint="eastAsia" w:ascii="宋体" w:hAnsi="宋体"/>
          <w:color w:val="000000"/>
          <w:sz w:val="30"/>
          <w:szCs w:val="30"/>
          <w:highlight w:val="none"/>
        </w:rPr>
      </w:r>
      <w:r/>
    </w:p>
    <w:p>
      <w:pPr>
        <w:pStyle w:val="668"/>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rPr>
          <w:rFonts w:hint="eastAsia" w:ascii="宋体" w:hAnsi="宋体"/>
          <w:color w:val="000000"/>
          <w:sz w:val="30"/>
          <w:szCs w:val="30"/>
          <w:highlight w:val="none"/>
        </w:rPr>
      </w:r>
      <w:r/>
    </w:p>
    <w:p>
      <w:pPr>
        <w:pStyle w:val="668"/>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rPr>
          <w:rFonts w:hint="eastAsia" w:ascii="宋体" w:hAnsi="宋体"/>
          <w:color w:val="000000"/>
          <w:sz w:val="30"/>
          <w:szCs w:val="30"/>
          <w:highlight w:val="none"/>
        </w:rPr>
      </w:r>
      <w:r/>
    </w:p>
    <w:p>
      <w:pPr>
        <w:pStyle w:val="668"/>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rPr>
          <w:rFonts w:hint="eastAsia" w:ascii="宋体" w:hAnsi="宋体"/>
          <w:color w:val="000000"/>
          <w:sz w:val="30"/>
          <w:szCs w:val="30"/>
          <w:highlight w:val="none"/>
        </w:rPr>
      </w:r>
      <w:r/>
    </w:p>
    <w:p>
      <w:pPr>
        <w:pStyle w:val="668"/>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rPr>
          <w:rFonts w:hint="eastAsia" w:ascii="宋体" w:hAnsi="宋体"/>
          <w:color w:val="000000"/>
          <w:sz w:val="30"/>
          <w:szCs w:val="30"/>
          <w:highlight w:val="none"/>
        </w:rPr>
      </w:r>
      <w:r/>
    </w:p>
    <w:p>
      <w:pPr>
        <w:pStyle w:val="668"/>
        <w:jc w:val="center"/>
        <w:spacing w:line="500" w:lineRule="exact"/>
        <w:tabs>
          <w:tab w:val="left" w:pos="1440" w:leader="none"/>
        </w:tabs>
        <w:rPr>
          <w:rFonts w:hint="eastAsia" w:ascii="黑体" w:hAnsi="黑体" w:eastAsia="黑体"/>
          <w:color w:val="000000"/>
          <w:sz w:val="36"/>
          <w:szCs w:val="36"/>
          <w:highlight w:val="none"/>
        </w:rPr>
        <w:outlineLvl w:val="0"/>
      </w:pPr>
      <w:r>
        <w:rPr>
          <w:rFonts w:ascii="黑体" w:hAnsi="Showcard Gothic" w:eastAsia="黑体"/>
          <w:color w:val="000000"/>
          <w:sz w:val="30"/>
          <w:szCs w:val="30"/>
          <w:highlight w:val="none"/>
        </w:rPr>
        <w:br w:type="page" w:clear="all"/>
      </w:r>
      <w:r>
        <w:rPr>
          <w:rFonts w:hint="eastAsia" w:ascii="黑体" w:hAnsi="黑体" w:eastAsia="黑体"/>
          <w:color w:val="000000"/>
          <w:sz w:val="36"/>
          <w:szCs w:val="36"/>
          <w:highlight w:val="none"/>
        </w:rPr>
        <w:t xml:space="preserve">第一章  投标邀请</w:t>
      </w:r>
      <w:r>
        <w:rPr>
          <w:rFonts w:hint="eastAsia" w:ascii="黑体" w:hAnsi="黑体" w:eastAsia="黑体"/>
          <w:color w:val="000000"/>
          <w:sz w:val="36"/>
          <w:szCs w:val="36"/>
          <w:highlight w:val="none"/>
        </w:rPr>
      </w:r>
      <w:r/>
    </w:p>
    <w:p>
      <w:pPr>
        <w:pStyle w:val="668"/>
        <w:ind w:firstLine="480"/>
        <w:spacing w:line="500" w:lineRule="exact"/>
        <w:rPr>
          <w:rFonts w:ascii="宋体" w:hAnsi="宋体"/>
          <w:color w:val="000000"/>
          <w:sz w:val="24"/>
          <w:szCs w:val="24"/>
          <w:highlight w:val="none"/>
          <w:shd w:val="clear" w:color="ffffff" w:fill="d9d9d9"/>
        </w:rPr>
      </w:pPr>
      <w:r/>
      <w:bookmarkEnd w:id="0"/>
      <w:r>
        <w:rPr>
          <w:rFonts w:hint="eastAsia" w:ascii="宋体" w:hAnsi="宋体"/>
          <w:color w:val="000000"/>
          <w:sz w:val="24"/>
          <w:szCs w:val="24"/>
          <w:highlight w:val="none"/>
        </w:rPr>
        <w:t xml:space="preserve">受无锡市住房和城乡建设局的委托，无锡市公共资源交易中心就智慧住建（二期）信息化建设项目（JSZC-320200-JZCG-G2026-0042）进行公开招标采购，欢迎符合条件的供应商投标。</w:t>
      </w:r>
      <w:r>
        <w:rPr>
          <w:rFonts w:ascii="宋体" w:hAnsi="宋体"/>
          <w:color w:val="000000"/>
          <w:sz w:val="24"/>
          <w:szCs w:val="24"/>
          <w:highlight w:val="none"/>
          <w:shd w:val="clear" w:color="ffffff" w:fill="d9d9d9"/>
        </w:rPr>
      </w:r>
      <w:r/>
    </w:p>
    <w:p>
      <w:pPr>
        <w:pStyle w:val="668"/>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shd w:val="clear" w:color="ffffff" w:fill="d9d9d9"/>
        </w:rPr>
      </w:r>
      <w:r/>
    </w:p>
    <w:p>
      <w:pPr>
        <w:pStyle w:val="668"/>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智慧住建（二期）信息化建设项目的潜在投标人应在“江苏政府采购网”自行浏览招标文件，如有投标意向须在本招标文件有效获取期内通过登录</w:t>
      </w:r>
      <w:r>
        <w:rPr>
          <w:rFonts w:ascii="宋体" w:hAnsi="宋体"/>
          <w:color w:val="000000"/>
          <w:sz w:val="24"/>
          <w:szCs w:val="24"/>
          <w:highlight w:val="none"/>
        </w:rPr>
        <w:t xml:space="preserve">“江苏</w:t>
      </w:r>
      <w:r>
        <w:rPr>
          <w:rFonts w:ascii="宋体" w:hAnsi="宋体"/>
          <w:color w:val="000000"/>
          <w:sz w:val="24"/>
          <w:szCs w:val="24"/>
          <w:highlight w:val="none"/>
        </w:rPr>
        <w:t xml:space="preserve">省政府采购（苏采云）平台”</w:t>
      </w:r>
      <w:r>
        <w:rPr>
          <w:rFonts w:hint="eastAsia" w:ascii="宋体" w:hAnsi="宋体"/>
          <w:color w:val="000000"/>
          <w:sz w:val="24"/>
          <w:szCs w:val="24"/>
          <w:highlight w:val="none"/>
        </w:rPr>
        <w:t xml:space="preserve">下载的方式依法获取招标文件，并于提交投标文件截止时间</w:t>
      </w:r>
      <w:r>
        <w:rPr>
          <w:rFonts w:hint="eastAsia" w:ascii="宋体" w:hAnsi="宋体"/>
          <w:bCs/>
          <w:color w:val="000000"/>
          <w:sz w:val="24"/>
          <w:szCs w:val="24"/>
          <w:highlight w:val="none"/>
        </w:rPr>
        <w:t xml:space="preserve">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shd w:val="clear" w:color="ffffff" w:fill="d9d9d9"/>
        </w:rPr>
      </w:r>
      <w:r/>
    </w:p>
    <w:p>
      <w:pPr>
        <w:pStyle w:val="671"/>
        <w:ind w:firstLine="452"/>
        <w:keepLines w:val="0"/>
        <w:keepNext w:val="0"/>
        <w:spacing w:before="0" w:after="0" w:line="500" w:lineRule="exact"/>
        <w:rPr>
          <w:color w:val="000000"/>
          <w:sz w:val="30"/>
          <w:szCs w:val="30"/>
          <w:highlight w:val="none"/>
        </w:rPr>
      </w:pPr>
      <w:r/>
      <w:bookmarkStart w:id="6" w:name="_Toc28359002"/>
      <w:r/>
      <w:bookmarkStart w:id="7" w:name="_Toc38985263"/>
      <w:r/>
      <w:bookmarkStart w:id="8" w:name="_Toc35393790"/>
      <w:r/>
      <w:bookmarkStart w:id="9" w:name="_Toc28359079"/>
      <w:r/>
      <w:bookmarkStart w:id="10" w:name="_Toc35393621"/>
      <w:r/>
      <w:bookmarkStart w:id="11" w:name="_Hlk24379207"/>
      <w:r>
        <w:rPr>
          <w:rFonts w:hint="eastAsia"/>
          <w:color w:val="000000"/>
          <w:sz w:val="30"/>
          <w:szCs w:val="30"/>
          <w:highlight w:val="none"/>
        </w:rPr>
        <w:t xml:space="preserve">一、项目基本情况</w:t>
      </w:r>
      <w:bookmarkEnd w:id="6"/>
      <w:r/>
      <w:bookmarkEnd w:id="7"/>
      <w:r/>
      <w:bookmarkEnd w:id="8"/>
      <w:r/>
      <w:bookmarkEnd w:id="9"/>
      <w:r/>
      <w:bookmarkEnd w:id="10"/>
      <w:r>
        <w:rPr>
          <w:color w:val="000000"/>
          <w:sz w:val="30"/>
          <w:szCs w:val="30"/>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1.项目编号：JSZC-320200-JZCG-G2026-0042</w:t>
      </w:r>
      <w:r>
        <w:rPr>
          <w:rFonts w:hint="eastAsia" w:ascii="宋体" w:hAnsi="宋体"/>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2.项目名称：智慧住建（二期）信息化建设项目</w:t>
      </w:r>
      <w:r>
        <w:rPr>
          <w:rFonts w:hint="eastAsia" w:ascii="宋体" w:hAnsi="宋体"/>
          <w:color w:val="000000"/>
          <w:sz w:val="24"/>
          <w:szCs w:val="24"/>
          <w:highlight w:val="none"/>
        </w:rPr>
      </w:r>
      <w:r/>
    </w:p>
    <w:p>
      <w:pPr>
        <w:pStyle w:val="668"/>
        <w:ind w:firstLine="480"/>
        <w:spacing w:line="500" w:lineRule="exact"/>
        <w:rPr>
          <w:rFonts w:ascii="宋体" w:hAnsi="宋体"/>
          <w:color w:val="000000"/>
          <w:sz w:val="24"/>
          <w:szCs w:val="24"/>
          <w:highlight w:val="none"/>
        </w:rPr>
      </w:pPr>
      <w:r/>
      <w:bookmarkEnd w:id="11"/>
      <w:r>
        <w:rPr>
          <w:rFonts w:hint="eastAsia" w:ascii="宋体" w:hAnsi="宋体"/>
          <w:color w:val="000000"/>
          <w:sz w:val="24"/>
          <w:szCs w:val="24"/>
          <w:highlight w:val="none"/>
        </w:rPr>
        <w:t xml:space="preserve">3.项目预算金额：262.58万元</w:t>
      </w:r>
      <w:r>
        <w:rPr>
          <w:rFonts w:ascii="宋体" w:hAnsi="宋体"/>
          <w:color w:val="000000"/>
          <w:sz w:val="24"/>
          <w:szCs w:val="24"/>
          <w:highlight w:val="none"/>
        </w:rPr>
      </w:r>
      <w:r/>
    </w:p>
    <w:p>
      <w:pPr>
        <w:pStyle w:val="668"/>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4.项目最高限价：262.58万元</w:t>
      </w:r>
      <w:r>
        <w:rPr>
          <w:rFonts w:ascii="宋体" w:hAnsi="宋体"/>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5.采购方式：公开招标</w:t>
      </w:r>
      <w:r>
        <w:rPr>
          <w:rFonts w:hint="eastAsia" w:ascii="宋体" w:hAnsi="宋体"/>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6.采购需求：</w:t>
      </w:r>
      <w:r>
        <w:rPr>
          <w:rFonts w:hint="eastAsia" w:ascii="宋体" w:hAnsi="宋体" w:cs="宋体"/>
          <w:color w:val="000000"/>
          <w:sz w:val="24"/>
          <w:szCs w:val="24"/>
          <w:highlight w:val="none"/>
        </w:rPr>
        <w:t xml:space="preserve">详见招标文件第四章《采购需求》</w:t>
      </w:r>
      <w:r>
        <w:rPr>
          <w:rFonts w:hint="eastAsia" w:ascii="宋体" w:hAnsi="宋体"/>
          <w:color w:val="000000"/>
          <w:sz w:val="24"/>
          <w:szCs w:val="24"/>
          <w:highlight w:val="none"/>
        </w:rPr>
      </w:r>
      <w:r/>
    </w:p>
    <w:p>
      <w:pPr>
        <w:pStyle w:val="668"/>
        <w:ind w:firstLine="480"/>
        <w:spacing w:line="500" w:lineRule="exact"/>
        <w:rPr>
          <w:rFonts w:hint="eastAsia" w:ascii="宋体" w:hAnsi="宋体" w:cs="宋体"/>
          <w:color w:val="000000"/>
          <w:sz w:val="24"/>
          <w:szCs w:val="24"/>
          <w:highlight w:val="none"/>
        </w:rPr>
      </w:pPr>
      <w:r>
        <w:rPr>
          <w:rFonts w:hint="eastAsia" w:ascii="宋体" w:hAnsi="宋体"/>
          <w:color w:val="000000"/>
          <w:sz w:val="24"/>
          <w:szCs w:val="24"/>
          <w:highlight w:val="none"/>
        </w:rPr>
        <w:t xml:space="preserve">7.合同履行期限：</w:t>
      </w:r>
      <w:r>
        <w:rPr>
          <w:rFonts w:hint="eastAsia" w:ascii="宋体" w:hAnsi="宋体" w:cs="宋体"/>
          <w:color w:val="000000"/>
          <w:sz w:val="24"/>
          <w:szCs w:val="24"/>
          <w:highlight w:val="none"/>
        </w:rPr>
        <w:t xml:space="preserve">详见招标文件第四章《采购需求》</w:t>
      </w:r>
      <w:r>
        <w:rPr>
          <w:rFonts w:hint="eastAsia" w:ascii="宋体" w:hAnsi="宋体" w:cs="宋体"/>
          <w:color w:val="000000"/>
          <w:sz w:val="24"/>
          <w:szCs w:val="24"/>
          <w:highlight w:val="none"/>
        </w:rPr>
      </w:r>
      <w:r/>
    </w:p>
    <w:p>
      <w:pPr>
        <w:pStyle w:val="668"/>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8.本项目不接受联合体投标。</w:t>
      </w:r>
      <w:r>
        <w:rPr>
          <w:rFonts w:ascii="宋体" w:hAnsi="宋体" w:cs="宋体"/>
          <w:color w:val="000000"/>
          <w:sz w:val="24"/>
          <w:szCs w:val="24"/>
          <w:highlight w:val="none"/>
        </w:rPr>
      </w:r>
      <w:r/>
    </w:p>
    <w:p>
      <w:pPr>
        <w:pStyle w:val="671"/>
        <w:ind w:firstLine="452"/>
        <w:keepLines w:val="0"/>
        <w:keepNext w:val="0"/>
        <w:spacing w:before="0" w:after="0" w:line="500" w:lineRule="exact"/>
        <w:rPr>
          <w:color w:val="000000"/>
          <w:sz w:val="30"/>
          <w:szCs w:val="30"/>
          <w:highlight w:val="none"/>
        </w:rPr>
      </w:pPr>
      <w:r/>
      <w:bookmarkStart w:id="12" w:name="_Toc28359003"/>
      <w:r/>
      <w:bookmarkStart w:id="13" w:name="_Toc38985264"/>
      <w:r/>
      <w:bookmarkStart w:id="14" w:name="_Toc35393622"/>
      <w:r/>
      <w:bookmarkStart w:id="15" w:name="_Toc28359080"/>
      <w:r/>
      <w:bookmarkStart w:id="16" w:name="_Toc35393791"/>
      <w:r>
        <w:rPr>
          <w:rFonts w:hint="eastAsia"/>
          <w:color w:val="000000"/>
          <w:sz w:val="30"/>
          <w:szCs w:val="30"/>
          <w:highlight w:val="none"/>
        </w:rPr>
        <w:t xml:space="preserve">二、申请人的资格要求</w:t>
      </w:r>
      <w:bookmarkEnd w:id="12"/>
      <w:r/>
      <w:bookmarkEnd w:id="13"/>
      <w:r/>
      <w:bookmarkEnd w:id="14"/>
      <w:r/>
      <w:bookmarkEnd w:id="15"/>
      <w:r/>
      <w:bookmarkEnd w:id="16"/>
      <w:r>
        <w:rPr>
          <w:color w:val="000000"/>
          <w:sz w:val="30"/>
          <w:szCs w:val="30"/>
          <w:highlight w:val="none"/>
        </w:rPr>
      </w:r>
      <w:r/>
    </w:p>
    <w:p>
      <w:pPr>
        <w:pStyle w:val="668"/>
        <w:ind w:firstLine="480"/>
        <w:spacing w:line="500" w:lineRule="exact"/>
        <w:rPr>
          <w:rFonts w:ascii="宋体" w:hAnsi="宋体"/>
          <w:color w:val="000000"/>
          <w:sz w:val="24"/>
          <w:szCs w:val="24"/>
          <w:highlight w:val="none"/>
        </w:rPr>
      </w:pPr>
      <w:r/>
      <w:bookmarkStart w:id="17" w:name="_Toc28359004"/>
      <w:r/>
      <w:bookmarkStart w:id="18" w:name="_Toc38985265"/>
      <w:r/>
      <w:bookmarkStart w:id="19" w:name="_Toc35393623"/>
      <w:r/>
      <w:bookmarkStart w:id="20" w:name="_Toc35393792"/>
      <w:r/>
      <w:bookmarkStart w:id="21" w:name="_Toc28359081"/>
      <w:r>
        <w:rPr>
          <w:rFonts w:hint="eastAsia" w:ascii="宋体" w:hAnsi="宋体"/>
          <w:color w:val="000000"/>
          <w:sz w:val="24"/>
          <w:szCs w:val="24"/>
          <w:highlight w:val="none"/>
        </w:rPr>
        <w:t xml:space="preserve">1.满足《中华人民共和国政府采购法》第二十二条规定；</w:t>
      </w:r>
      <w:r>
        <w:rPr>
          <w:rFonts w:ascii="宋体" w:hAnsi="宋体"/>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rPr>
          <w:rFonts w:hint="eastAsia" w:ascii="宋体" w:hAnsi="宋体"/>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2.1中小企业政策：本项目专门面向中小企业；</w:t>
      </w:r>
      <w:r>
        <w:rPr>
          <w:rFonts w:hint="eastAsia" w:ascii="宋体" w:hAnsi="宋体"/>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highlight w:val="none"/>
        </w:rPr>
      </w:r>
      <w:r/>
    </w:p>
    <w:p>
      <w:pPr>
        <w:pStyle w:val="668"/>
        <w:ind w:firstLine="480"/>
        <w:spacing w:line="5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3.本项目的特定资格要求：无。</w:t>
      </w:r>
      <w:r>
        <w:rPr>
          <w:rFonts w:ascii="宋体" w:hAnsi="宋体" w:cs="宋体"/>
          <w:color w:val="000000"/>
          <w:sz w:val="24"/>
          <w:szCs w:val="24"/>
          <w:highlight w:val="none"/>
        </w:rPr>
      </w:r>
      <w:r/>
    </w:p>
    <w:p>
      <w:pPr>
        <w:pStyle w:val="671"/>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三、获取招标文件</w:t>
      </w:r>
      <w:bookmarkEnd w:id="17"/>
      <w:r/>
      <w:bookmarkEnd w:id="18"/>
      <w:r/>
      <w:bookmarkEnd w:id="19"/>
      <w:r/>
      <w:bookmarkEnd w:id="20"/>
      <w:r/>
      <w:bookmarkEnd w:id="21"/>
      <w:r>
        <w:rPr>
          <w:color w:val="000000"/>
          <w:sz w:val="30"/>
          <w:szCs w:val="30"/>
          <w:highlight w:val="none"/>
        </w:rPr>
      </w:r>
      <w:r/>
    </w:p>
    <w:p>
      <w:pPr>
        <w:pStyle w:val="668"/>
        <w:ind w:firstLine="540"/>
        <w:spacing w:line="500" w:lineRule="exact"/>
        <w:rPr>
          <w:rFonts w:hint="eastAsia" w:ascii="宋体" w:hAnsi="宋体"/>
          <w:color w:val="000000"/>
          <w:sz w:val="24"/>
          <w:szCs w:val="24"/>
          <w:highlight w:val="none"/>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color w:val="000000"/>
          <w:sz w:val="24"/>
          <w:szCs w:val="24"/>
          <w:highlight w:val="none"/>
        </w:rPr>
        <w:t xml:space="preserve">1.时间：</w:t>
      </w:r>
      <w:r>
        <w:rPr>
          <w:rFonts w:hint="eastAsia" w:ascii="宋体" w:hAnsi="宋体"/>
          <w:color w:val="000000"/>
          <w:sz w:val="24"/>
          <w:szCs w:val="24"/>
          <w:highlight w:val="none"/>
        </w:rPr>
        <w:t xml:space="preserve">本招标文件有效获取期限以本项目招标公告中规定的获取招标文件时间为准。</w:t>
      </w:r>
      <w:r>
        <w:rPr>
          <w:rFonts w:hint="eastAsia" w:ascii="宋体" w:hAnsi="宋体"/>
          <w:color w:val="000000"/>
          <w:sz w:val="24"/>
          <w:szCs w:val="24"/>
          <w:highlight w:val="none"/>
        </w:rPr>
      </w:r>
      <w:r/>
    </w:p>
    <w:p>
      <w:pPr>
        <w:pStyle w:val="668"/>
        <w:ind w:firstLine="54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bCs/>
          <w:color w:val="000000"/>
          <w:sz w:val="24"/>
          <w:szCs w:val="24"/>
          <w:highlight w:val="none"/>
        </w:rPr>
      </w:r>
      <w:r/>
    </w:p>
    <w:p>
      <w:pPr>
        <w:pStyle w:val="668"/>
        <w:ind w:firstLine="540"/>
        <w:spacing w:line="500" w:lineRule="exact"/>
        <w:rPr>
          <w:rStyle w:val="746"/>
          <w:color w:val="000000"/>
          <w:highlight w:val="none"/>
        </w:rPr>
      </w:pPr>
      <w:r>
        <w:rPr>
          <w:rFonts w:hint="eastAsia" w:ascii="宋体" w:hAnsi="宋体"/>
          <w:bCs/>
          <w:color w:val="000000"/>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“江苏省政府采购（苏采云）平台”（http://jszfcg.jsczt.cn/）</w:t>
      </w:r>
      <w:r>
        <w:rPr>
          <w:rFonts w:ascii="宋体" w:hAnsi="宋体"/>
          <w:color w:val="000000"/>
          <w:sz w:val="24"/>
          <w:szCs w:val="24"/>
          <w:highlight w:val="none"/>
        </w:rPr>
        <w:t xml:space="preserve">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“江苏省政府采购（苏采云）平台”</w:t>
      </w:r>
      <w:r>
        <w:rPr>
          <w:rFonts w:ascii="宋体" w:hAnsi="宋体"/>
          <w:color w:val="000000"/>
          <w:sz w:val="24"/>
          <w:szCs w:val="24"/>
          <w:highlight w:val="none"/>
        </w:rPr>
        <w:t xml:space="preserve">获取的</w:t>
      </w:r>
      <w:r>
        <w:rPr>
          <w:rFonts w:hint="eastAsia" w:ascii="宋体" w:hAnsi="宋体"/>
          <w:bCs/>
          <w:color w:val="000000"/>
          <w:sz w:val="24"/>
          <w:szCs w:val="24"/>
          <w:highlight w:val="none"/>
        </w:rPr>
        <w:t xml:space="preserve">招标文件，视为依法获取的招标文件。</w:t>
      </w:r>
      <w:r>
        <w:rPr>
          <w:rStyle w:val="746"/>
          <w:color w:val="000000"/>
          <w:highlight w:val="none"/>
        </w:rPr>
      </w:r>
      <w:r/>
    </w:p>
    <w:p>
      <w:pPr>
        <w:pStyle w:val="668"/>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rPr>
          <w:rFonts w:ascii="宋体" w:hAnsi="宋体"/>
          <w:bCs/>
          <w:color w:val="000000"/>
          <w:sz w:val="24"/>
          <w:szCs w:val="24"/>
          <w:highlight w:val="none"/>
        </w:rPr>
      </w:r>
      <w:r/>
    </w:p>
    <w:p>
      <w:pPr>
        <w:pStyle w:val="671"/>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四、提交投标文件</w:t>
      </w:r>
      <w:bookmarkEnd w:id="22"/>
      <w:r/>
      <w:bookmarkEnd w:id="23"/>
      <w:r>
        <w:rPr>
          <w:rFonts w:hint="eastAsia"/>
          <w:color w:val="000000"/>
          <w:sz w:val="30"/>
          <w:szCs w:val="30"/>
          <w:highlight w:val="none"/>
        </w:rPr>
        <w:t xml:space="preserve">截止时间、开标时间和地点</w:t>
      </w:r>
      <w:bookmarkEnd w:id="24"/>
      <w:r/>
      <w:bookmarkEnd w:id="25"/>
      <w:r/>
      <w:bookmarkEnd w:id="26"/>
      <w:r>
        <w:rPr>
          <w:color w:val="000000"/>
          <w:sz w:val="30"/>
          <w:szCs w:val="30"/>
          <w:highlight w:val="none"/>
        </w:rPr>
      </w:r>
      <w:r/>
    </w:p>
    <w:p>
      <w:pPr>
        <w:pStyle w:val="668"/>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1.时间：</w:t>
      </w:r>
      <w:r>
        <w:rPr>
          <w:rFonts w:hint="eastAsia" w:ascii="宋体" w:hAnsi="宋体"/>
          <w:bCs/>
          <w:color w:val="000000"/>
          <w:sz w:val="24"/>
          <w:szCs w:val="24"/>
          <w:highlight w:val="none"/>
        </w:rPr>
        <w:t xml:space="preserve">202</w:t>
      </w:r>
      <w:r>
        <w:rPr>
          <w:rFonts w:hint="eastAsia" w:ascii="宋体" w:hAnsi="宋体"/>
          <w:bCs/>
          <w:color w:val="000000"/>
          <w:sz w:val="24"/>
          <w:szCs w:val="24"/>
          <w:highlight w:val="none"/>
        </w:rPr>
        <w:t xml:space="preserve">6年7月14日09点30</w:t>
      </w:r>
      <w:r>
        <w:rPr>
          <w:rFonts w:hint="eastAsia" w:ascii="宋体" w:hAnsi="宋体"/>
          <w:bCs/>
          <w:color w:val="000000"/>
          <w:sz w:val="24"/>
          <w:szCs w:val="24"/>
          <w:highlight w:val="none"/>
        </w:rPr>
        <w:t xml:space="preserve">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rPr>
      </w:r>
      <w:r/>
    </w:p>
    <w:p>
      <w:pPr>
        <w:pStyle w:val="668"/>
        <w:ind w:firstLine="480"/>
        <w:spacing w:line="500" w:lineRule="exact"/>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671"/>
        <w:ind w:firstLine="452"/>
        <w:keepLines w:val="0"/>
        <w:keepNext w:val="0"/>
        <w:spacing w:before="0" w:after="0" w:line="500" w:lineRule="exact"/>
        <w:rPr>
          <w:color w:val="000000"/>
          <w:sz w:val="30"/>
          <w:szCs w:val="30"/>
          <w:highlight w:val="none"/>
        </w:rPr>
      </w:pPr>
      <w:r/>
      <w:bookmarkStart w:id="27" w:name="_Toc28359007"/>
      <w:r/>
      <w:bookmarkStart w:id="28" w:name="_Toc28359084"/>
      <w:r/>
      <w:bookmarkStart w:id="29" w:name="_Toc35393625"/>
      <w:r/>
      <w:bookmarkStart w:id="30" w:name="_Toc38985267"/>
      <w:r/>
      <w:bookmarkStart w:id="31" w:name="_Toc35393794"/>
      <w:r>
        <w:rPr>
          <w:rFonts w:hint="eastAsia"/>
          <w:color w:val="000000"/>
          <w:sz w:val="30"/>
          <w:szCs w:val="30"/>
          <w:highlight w:val="none"/>
        </w:rPr>
        <w:t xml:space="preserve">五、公告期限</w:t>
      </w:r>
      <w:bookmarkEnd w:id="27"/>
      <w:r/>
      <w:bookmarkEnd w:id="28"/>
      <w:r/>
      <w:bookmarkEnd w:id="29"/>
      <w:r/>
      <w:bookmarkEnd w:id="30"/>
      <w:r/>
      <w:bookmarkEnd w:id="31"/>
      <w:r>
        <w:rPr>
          <w:color w:val="000000"/>
          <w:sz w:val="30"/>
          <w:szCs w:val="30"/>
          <w:highlight w:val="none"/>
        </w:rPr>
      </w:r>
      <w:r/>
    </w:p>
    <w:p>
      <w:pPr>
        <w:pStyle w:val="668"/>
        <w:ind w:firstLine="480"/>
        <w:spacing w:line="500" w:lineRule="exact"/>
        <w:rPr>
          <w:rFonts w:ascii="宋体" w:hAnsi="宋体" w:cs="宋体"/>
          <w:color w:val="000000"/>
          <w:sz w:val="24"/>
          <w:szCs w:val="24"/>
          <w:highlight w:val="none"/>
        </w:rPr>
      </w:pPr>
      <w:r/>
      <w:bookmarkStart w:id="32" w:name="_Toc35393626"/>
      <w:r/>
      <w:bookmarkStart w:id="33" w:name="_Toc35393795"/>
      <w:r/>
      <w:bookmarkStart w:id="34" w:name="_Toc38985268"/>
      <w:r>
        <w:rPr>
          <w:rFonts w:hint="eastAsia" w:ascii="宋体" w:hAnsi="宋体" w:cs="宋体"/>
          <w:color w:val="000000"/>
          <w:sz w:val="24"/>
          <w:szCs w:val="24"/>
          <w:highlight w:val="none"/>
        </w:rPr>
        <w:t xml:space="preserve">（招标公告及招标文件公告期限）自本公告发布之日起5个工作日。</w:t>
      </w:r>
      <w:r>
        <w:rPr>
          <w:rFonts w:ascii="宋体" w:hAnsi="宋体" w:cs="宋体"/>
          <w:color w:val="000000"/>
          <w:sz w:val="24"/>
          <w:szCs w:val="24"/>
          <w:highlight w:val="none"/>
        </w:rPr>
      </w:r>
      <w:r/>
    </w:p>
    <w:p>
      <w:pPr>
        <w:pStyle w:val="671"/>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六、其他补充事宜</w:t>
      </w:r>
      <w:bookmarkEnd w:id="32"/>
      <w:r/>
      <w:bookmarkEnd w:id="33"/>
      <w:r/>
      <w:bookmarkEnd w:id="34"/>
      <w:r>
        <w:rPr>
          <w:color w:val="000000"/>
          <w:sz w:val="30"/>
          <w:szCs w:val="30"/>
          <w:highlight w:val="none"/>
        </w:rPr>
      </w:r>
      <w:r/>
    </w:p>
    <w:p>
      <w:pPr>
        <w:pStyle w:val="668"/>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rPr>
          <w:rFonts w:ascii="宋体" w:hAnsi="宋体" w:cs="宋体"/>
          <w:color w:val="000000"/>
          <w:sz w:val="24"/>
          <w:szCs w:val="24"/>
          <w:highlight w:val="none"/>
        </w:rPr>
      </w:r>
      <w:r/>
    </w:p>
    <w:p>
      <w:pPr>
        <w:pStyle w:val="671"/>
        <w:ind w:firstLine="452"/>
        <w:keepLines w:val="0"/>
        <w:keepNext w:val="0"/>
        <w:spacing w:before="0" w:after="0" w:line="500" w:lineRule="exact"/>
        <w:rPr>
          <w:color w:val="000000"/>
          <w:sz w:val="30"/>
          <w:szCs w:val="30"/>
          <w:highlight w:val="none"/>
        </w:rPr>
      </w:pPr>
      <w:r/>
      <w:bookmarkStart w:id="35" w:name="_Toc35393796"/>
      <w:r/>
      <w:bookmarkStart w:id="36" w:name="_Toc35393627"/>
      <w:r/>
      <w:bookmarkStart w:id="37" w:name="_Toc38985269"/>
      <w:r/>
      <w:bookmarkStart w:id="38" w:name="_Toc28359085"/>
      <w:r/>
      <w:bookmarkStart w:id="39" w:name="_Toc28359008"/>
      <w:r>
        <w:rPr>
          <w:rFonts w:hint="eastAsia"/>
          <w:color w:val="000000"/>
          <w:sz w:val="30"/>
          <w:szCs w:val="30"/>
          <w:highlight w:val="none"/>
        </w:rPr>
        <w:t xml:space="preserve">七、本项目联系方式</w:t>
      </w:r>
      <w:bookmarkEnd w:id="35"/>
      <w:r/>
      <w:bookmarkEnd w:id="36"/>
      <w:r/>
      <w:bookmarkEnd w:id="37"/>
      <w:r/>
      <w:bookmarkEnd w:id="38"/>
      <w:r/>
      <w:bookmarkEnd w:id="39"/>
      <w:r>
        <w:rPr>
          <w:color w:val="000000"/>
          <w:sz w:val="30"/>
          <w:szCs w:val="30"/>
          <w:highlight w:val="none"/>
        </w:rPr>
      </w:r>
      <w:r/>
    </w:p>
    <w:p>
      <w:pPr>
        <w:pStyle w:val="668"/>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ascii="宋体" w:hAnsi="宋体" w:cs="宋体"/>
          <w:color w:val="000000"/>
          <w:sz w:val="24"/>
          <w:szCs w:val="24"/>
          <w:highlight w:val="none"/>
        </w:rPr>
      </w:r>
      <w:r/>
    </w:p>
    <w:p>
      <w:pPr>
        <w:pStyle w:val="668"/>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    称：无锡市住房和城乡建设局（本级）</w:t>
      </w:r>
      <w:r>
        <w:rPr>
          <w:rFonts w:hint="eastAsia" w:ascii="宋体" w:hAnsi="宋体" w:cs="宋体"/>
          <w:color w:val="000000"/>
          <w:sz w:val="24"/>
          <w:szCs w:val="24"/>
          <w:highlight w:val="none"/>
        </w:rPr>
      </w:r>
      <w:r/>
    </w:p>
    <w:p>
      <w:pPr>
        <w:pStyle w:val="668"/>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址：观山路市民中心8号楼</w:t>
      </w:r>
      <w:r>
        <w:rPr>
          <w:rFonts w:ascii="宋体" w:hAnsi="宋体" w:cs="宋体"/>
          <w:color w:val="000000"/>
          <w:sz w:val="24"/>
          <w:szCs w:val="24"/>
          <w:highlight w:val="none"/>
        </w:rPr>
      </w:r>
      <w:r/>
    </w:p>
    <w:p>
      <w:pPr>
        <w:pStyle w:val="668"/>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w:t>
      </w:r>
      <w:bookmarkStart w:id="40" w:name="_Toc28359086"/>
      <w:r/>
      <w:bookmarkStart w:id="41" w:name="_Toc28359009"/>
      <w:r>
        <w:rPr>
          <w:rFonts w:hint="eastAsia" w:ascii="宋体" w:hAnsi="宋体" w:cs="宋体"/>
          <w:color w:val="000000"/>
          <w:sz w:val="24"/>
          <w:szCs w:val="24"/>
          <w:highlight w:val="none"/>
        </w:rPr>
        <w:t xml:space="preserve">见“项目联系方式”</w:t>
      </w:r>
      <w:r>
        <w:rPr>
          <w:rFonts w:ascii="宋体" w:hAnsi="宋体" w:cs="宋体"/>
          <w:color w:val="000000"/>
          <w:sz w:val="24"/>
          <w:szCs w:val="24"/>
          <w:highlight w:val="none"/>
        </w:rPr>
      </w:r>
      <w:r/>
    </w:p>
    <w:p>
      <w:pPr>
        <w:pStyle w:val="668"/>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bookmarkEnd w:id="40"/>
      <w:r/>
      <w:bookmarkEnd w:id="41"/>
      <w:r>
        <w:rPr>
          <w:rFonts w:hint="eastAsia" w:ascii="宋体" w:hAnsi="宋体" w:cs="宋体"/>
          <w:color w:val="000000"/>
          <w:sz w:val="24"/>
          <w:szCs w:val="24"/>
          <w:highlight w:val="none"/>
        </w:rPr>
        <w:t xml:space="preserve">采购代理机构信息</w:t>
      </w:r>
      <w:r>
        <w:rPr>
          <w:rFonts w:ascii="宋体" w:hAnsi="宋体" w:cs="宋体"/>
          <w:color w:val="000000"/>
          <w:sz w:val="24"/>
          <w:szCs w:val="24"/>
          <w:highlight w:val="none"/>
        </w:rPr>
      </w:r>
      <w:r/>
    </w:p>
    <w:p>
      <w:pPr>
        <w:pStyle w:val="668"/>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    称：无锡市公共资源交易中心</w:t>
      </w:r>
      <w:r>
        <w:rPr>
          <w:rFonts w:hint="eastAsia" w:ascii="宋体" w:hAnsi="宋体" w:cs="宋体"/>
          <w:color w:val="000000"/>
          <w:sz w:val="24"/>
          <w:szCs w:val="24"/>
          <w:highlight w:val="none"/>
        </w:rPr>
      </w:r>
      <w:r/>
    </w:p>
    <w:p>
      <w:pPr>
        <w:pStyle w:val="668"/>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址：无锡市滨湖区观山路199号10号3楼</w:t>
      </w:r>
      <w:r>
        <w:rPr>
          <w:rFonts w:ascii="宋体" w:hAnsi="宋体" w:cs="宋体"/>
          <w:color w:val="000000"/>
          <w:sz w:val="24"/>
          <w:szCs w:val="24"/>
          <w:highlight w:val="none"/>
        </w:rPr>
      </w:r>
      <w:r/>
    </w:p>
    <w:p>
      <w:pPr>
        <w:pStyle w:val="668"/>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联系方式：见“项目联系方式”</w:t>
      </w:r>
      <w:r>
        <w:rPr>
          <w:rFonts w:hint="eastAsia" w:ascii="宋体" w:hAnsi="宋体" w:cs="宋体"/>
          <w:color w:val="000000"/>
          <w:sz w:val="24"/>
          <w:szCs w:val="24"/>
          <w:highlight w:val="none"/>
        </w:rPr>
      </w:r>
      <w:r/>
    </w:p>
    <w:p>
      <w:pPr>
        <w:pStyle w:val="668"/>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hint="eastAsia" w:ascii="宋体" w:hAnsi="宋体" w:cs="宋体"/>
          <w:color w:val="000000"/>
          <w:sz w:val="24"/>
          <w:szCs w:val="24"/>
          <w:highlight w:val="none"/>
        </w:rPr>
      </w:r>
      <w:r/>
    </w:p>
    <w:p>
      <w:pPr>
        <w:pStyle w:val="668"/>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采购人项目咨询联系人：王旭平；电话：0510-81823558</w:t>
      </w:r>
      <w:r>
        <w:rPr>
          <w:rFonts w:hint="eastAsia" w:ascii="宋体" w:hAnsi="宋体" w:cs="宋体"/>
          <w:color w:val="000000"/>
          <w:sz w:val="24"/>
          <w:szCs w:val="24"/>
          <w:highlight w:val="none"/>
        </w:rPr>
      </w:r>
      <w:r/>
    </w:p>
    <w:p>
      <w:pPr>
        <w:pStyle w:val="668"/>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采购人质疑受理联系人：王旭平；电话：0510-81823558</w:t>
      </w:r>
      <w:r>
        <w:rPr>
          <w:rFonts w:hint="eastAsia" w:ascii="宋体" w:hAnsi="宋体" w:cs="宋体"/>
          <w:color w:val="000000"/>
          <w:sz w:val="24"/>
          <w:szCs w:val="24"/>
          <w:highlight w:val="none"/>
        </w:rPr>
      </w:r>
      <w:r/>
    </w:p>
    <w:p>
      <w:pPr>
        <w:pStyle w:val="668"/>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交易中心项目联系人：黄若人；电话：0510-81827757</w:t>
      </w:r>
      <w:r>
        <w:rPr>
          <w:rFonts w:ascii="宋体" w:hAnsi="宋体" w:cs="宋体"/>
          <w:color w:val="000000"/>
          <w:sz w:val="24"/>
          <w:szCs w:val="24"/>
          <w:highlight w:val="none"/>
        </w:rPr>
      </w:r>
      <w:r/>
    </w:p>
    <w:p>
      <w:pPr>
        <w:pStyle w:val="671"/>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八、其他</w:t>
      </w:r>
      <w:r>
        <w:rPr>
          <w:color w:val="000000"/>
          <w:sz w:val="30"/>
          <w:szCs w:val="30"/>
          <w:highlight w:val="none"/>
        </w:rPr>
      </w:r>
      <w:r/>
    </w:p>
    <w:p>
      <w:pPr>
        <w:pStyle w:val="668"/>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rPr>
          <w:rFonts w:ascii="宋体" w:hAnsi="宋体" w:cs="宋体"/>
          <w:color w:val="000000"/>
          <w:sz w:val="24"/>
          <w:szCs w:val="24"/>
          <w:highlight w:val="none"/>
        </w:rPr>
      </w:r>
      <w:r/>
    </w:p>
    <w:p>
      <w:pPr>
        <w:pStyle w:val="668"/>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rPr>
          <w:rFonts w:ascii="宋体" w:hAnsi="宋体"/>
          <w:color w:val="000000"/>
          <w:sz w:val="24"/>
          <w:szCs w:val="24"/>
          <w:highlight w:val="none"/>
        </w:rPr>
      </w:r>
      <w:r/>
    </w:p>
    <w:p>
      <w:pPr>
        <w:pStyle w:val="668"/>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w:t>
      </w:r>
      <w:r>
        <w:rPr>
          <w:rFonts w:ascii="宋体" w:hAnsi="宋体"/>
          <w:color w:val="000000"/>
          <w:sz w:val="24"/>
          <w:szCs w:val="24"/>
          <w:highlight w:val="none"/>
        </w:rPr>
        <w:t xml:space="preserve">http://jszfcg.jsczt.cn/</w:t>
      </w:r>
      <w:r>
        <w:rPr>
          <w:rFonts w:hint="eastAsia" w:ascii="宋体" w:hAnsi="宋体"/>
          <w:color w:val="000000"/>
          <w:sz w:val="24"/>
          <w:szCs w:val="24"/>
          <w:highlight w:val="none"/>
        </w:rPr>
        <w:t xml:space="preserve">进入界面。</w:t>
      </w:r>
      <w:r>
        <w:rPr>
          <w:rFonts w:ascii="宋体" w:hAnsi="宋体"/>
          <w:color w:val="000000"/>
          <w:sz w:val="24"/>
          <w:szCs w:val="24"/>
          <w:highlight w:val="none"/>
        </w:rPr>
      </w:r>
      <w:r/>
    </w:p>
    <w:p>
      <w:pPr>
        <w:pStyle w:val="668"/>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rPr>
          <w:rFonts w:ascii="宋体" w:hAnsi="宋体"/>
          <w:color w:val="000000"/>
          <w:sz w:val="24"/>
          <w:szCs w:val="24"/>
          <w:highlight w:val="none"/>
        </w:rPr>
      </w:r>
      <w:r/>
    </w:p>
    <w:p>
      <w:pPr>
        <w:pStyle w:val="668"/>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rPr>
          <w:rFonts w:ascii="宋体" w:hAnsi="宋体"/>
          <w:color w:val="000000"/>
          <w:sz w:val="24"/>
          <w:szCs w:val="24"/>
          <w:highlight w:val="none"/>
        </w:rPr>
      </w:r>
      <w:r/>
    </w:p>
    <w:p>
      <w:pPr>
        <w:pStyle w:val="668"/>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highlight w:val="none"/>
        </w:rPr>
      </w:r>
      <w:r/>
    </w:p>
    <w:p>
      <w:pPr>
        <w:pStyle w:val="668"/>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rPr>
          <w:rFonts w:ascii="宋体" w:hAnsi="宋体"/>
          <w:color w:val="000000"/>
          <w:sz w:val="24"/>
          <w:szCs w:val="24"/>
          <w:highlight w:val="none"/>
        </w:rPr>
      </w:r>
      <w:r/>
    </w:p>
    <w:p>
      <w:pPr>
        <w:pStyle w:val="668"/>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rPr>
          <w:rFonts w:ascii="宋体" w:hAnsi="宋体"/>
          <w:color w:val="000000"/>
          <w:sz w:val="24"/>
          <w:szCs w:val="24"/>
          <w:highlight w:val="none"/>
        </w:rPr>
      </w:r>
      <w:r/>
    </w:p>
    <w:p>
      <w:pPr>
        <w:pStyle w:val="668"/>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rPr>
          <w:rFonts w:ascii="宋体" w:hAnsi="宋体"/>
          <w:color w:val="000000"/>
          <w:sz w:val="24"/>
          <w:szCs w:val="24"/>
          <w:highlight w:val="none"/>
        </w:rPr>
      </w:r>
      <w:r/>
    </w:p>
    <w:p>
      <w:pPr>
        <w:pStyle w:val="668"/>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w:t>
      </w:r>
      <w:r>
        <w:rPr>
          <w:rFonts w:ascii="宋体" w:hAnsi="宋体"/>
          <w:color w:val="000000"/>
          <w:sz w:val="24"/>
          <w:szCs w:val="24"/>
          <w:highlight w:val="none"/>
        </w:rPr>
        <w:t xml:space="preserve">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w:t>
      </w:r>
      <w:r>
        <w:rPr>
          <w:rFonts w:ascii="宋体" w:hAnsi="宋体"/>
          <w:color w:val="000000"/>
          <w:sz w:val="24"/>
          <w:szCs w:val="24"/>
          <w:highlight w:val="none"/>
        </w:rPr>
        <w:t xml:space="preserve">址：无锡市政府采购网——资料下载——</w:t>
      </w:r>
      <w:r>
        <w:rPr>
          <w:rFonts w:hint="eastAsia" w:ascii="宋体" w:hAnsi="宋体"/>
          <w:color w:val="000000"/>
          <w:sz w:val="24"/>
          <w:szCs w:val="24"/>
          <w:highlight w:val="none"/>
        </w:rPr>
        <w:t xml:space="preserve">苏采云——</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HYPERLINK "http://cz.wuxi.gov.cn/doc/2023/10/11/4080287.shtml" \t "_blank" \o "\“苏采云\”系统供应商操作手册"</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68"/>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rPr>
          <w:rFonts w:ascii="宋体" w:hAnsi="宋体" w:cs="宋体"/>
          <w:color w:val="000000"/>
          <w:sz w:val="24"/>
          <w:szCs w:val="24"/>
          <w:highlight w:val="none"/>
        </w:rPr>
      </w:r>
      <w:r/>
    </w:p>
    <w:p>
      <w:pPr>
        <w:pStyle w:val="668"/>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文件，</w:t>
      </w:r>
      <w:r>
        <w:rPr>
          <w:rFonts w:ascii="宋体" w:hAnsi="宋体"/>
          <w:color w:val="000000"/>
          <w:sz w:val="24"/>
          <w:szCs w:val="24"/>
          <w:highlight w:val="none"/>
        </w:rPr>
        <w:t xml:space="preserve">如确</w:t>
      </w:r>
      <w:r>
        <w:rPr>
          <w:rFonts w:ascii="宋体" w:hAnsi="宋体"/>
          <w:color w:val="000000"/>
          <w:sz w:val="24"/>
          <w:szCs w:val="24"/>
          <w:highlight w:val="none"/>
        </w:rPr>
        <w:t xml:space="preserve">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w:t>
      </w:r>
      <w:r>
        <w:rPr>
          <w:rFonts w:hint="eastAsia" w:ascii="宋体" w:hAnsi="宋体"/>
          <w:color w:val="000000"/>
          <w:sz w:val="24"/>
          <w:szCs w:val="24"/>
          <w:highlight w:val="none"/>
        </w:rPr>
        <w:t xml:space="preserve">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rPr>
          <w:rFonts w:ascii="宋体" w:hAnsi="宋体"/>
          <w:color w:val="000000"/>
          <w:sz w:val="24"/>
          <w:szCs w:val="24"/>
          <w:highlight w:val="none"/>
        </w:rPr>
      </w:r>
      <w:r/>
    </w:p>
    <w:p>
      <w:pPr>
        <w:pStyle w:val="668"/>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（三）有关本次采购的事项若存在变动或修改，敬请及时关注无锡市公共资源交易中心在“江苏政府采购网”发布的更正公告。</w:t>
      </w:r>
      <w:r>
        <w:rPr>
          <w:rFonts w:hint="eastAsia" w:ascii="宋体" w:hAnsi="宋体"/>
          <w:bCs/>
          <w:color w:val="000000"/>
          <w:sz w:val="24"/>
          <w:szCs w:val="24"/>
          <w:highlight w:val="none"/>
        </w:rPr>
      </w:r>
      <w:r/>
    </w:p>
    <w:p>
      <w:pPr>
        <w:pStyle w:val="668"/>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（四）本次采购不收取投标保证金。</w:t>
      </w:r>
      <w:r>
        <w:rPr>
          <w:rFonts w:hint="eastAsia" w:ascii="宋体" w:hAnsi="宋体"/>
          <w:bCs/>
          <w:color w:val="000000"/>
          <w:sz w:val="24"/>
          <w:szCs w:val="24"/>
          <w:highlight w:val="none"/>
        </w:rPr>
      </w:r>
      <w:r/>
    </w:p>
    <w:p>
      <w:pPr>
        <w:pStyle w:val="668"/>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rPr>
          <w:rFonts w:hint="eastAsia" w:ascii="宋体" w:hAnsi="宋体"/>
          <w:bCs/>
          <w:color w:val="000000"/>
          <w:sz w:val="24"/>
          <w:szCs w:val="24"/>
          <w:highlight w:val="none"/>
          <w:shd w:val="clear" w:color="ffffff" w:fill="d9d9d9"/>
        </w:rPr>
      </w:r>
      <w:r/>
    </w:p>
    <w:p>
      <w:pPr>
        <w:pStyle w:val="668"/>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hAnsi="宋体"/>
          <w:bCs/>
          <w:color w:val="000000"/>
          <w:sz w:val="24"/>
          <w:szCs w:val="24"/>
          <w:highlight w:val="none"/>
          <w:shd w:val="clear" w:color="ffffff" w:fill="d9d9d9"/>
        </w:rPr>
        <w:br w:type="page" w:clear="all"/>
      </w:r>
      <w:bookmarkStart w:id="42" w:name="_Toc120614211"/>
      <w:r>
        <w:rPr>
          <w:rFonts w:hint="eastAsia" w:ascii="黑体" w:hAnsi="黑体" w:eastAsia="黑体"/>
          <w:color w:val="000000"/>
          <w:sz w:val="36"/>
          <w:szCs w:val="36"/>
          <w:highlight w:val="none"/>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20823274"/>
      <w:r/>
      <w:bookmarkStart w:id="46" w:name="_Toc16938518"/>
      <w:r>
        <w:rPr>
          <w:rFonts w:hint="eastAsia" w:ascii="黑体" w:hAnsi="黑体" w:eastAsia="黑体"/>
          <w:color w:val="000000"/>
          <w:sz w:val="36"/>
          <w:szCs w:val="36"/>
          <w:highlight w:val="none"/>
        </w:rPr>
        <w:t xml:space="preserve">投标人须知</w:t>
      </w:r>
      <w:bookmarkEnd w:id="43"/>
      <w:r/>
      <w:bookmarkEnd w:id="44"/>
      <w:r/>
      <w:bookmarkEnd w:id="45"/>
      <w:r/>
      <w:bookmarkEnd w:id="46"/>
      <w:r>
        <w:rPr>
          <w:rFonts w:hint="eastAsia" w:ascii="黑体" w:hAnsi="黑体" w:eastAsia="黑体"/>
          <w:color w:val="000000"/>
          <w:sz w:val="36"/>
          <w:szCs w:val="36"/>
          <w:highlight w:val="none"/>
        </w:rPr>
      </w:r>
      <w:r/>
    </w:p>
    <w:p>
      <w:pPr>
        <w:pStyle w:val="671"/>
        <w:ind w:firstLine="452"/>
        <w:keepLines w:val="0"/>
        <w:keepNext w:val="0"/>
        <w:spacing w:before="0" w:after="0" w:line="500" w:lineRule="exact"/>
        <w:rPr>
          <w:rFonts w:hint="eastAsia"/>
          <w:color w:val="000000"/>
          <w:sz w:val="30"/>
          <w:szCs w:val="30"/>
          <w:highlight w:val="none"/>
        </w:rPr>
      </w:pPr>
      <w:r/>
      <w:bookmarkStart w:id="47" w:name="_Toc20823275"/>
      <w:r/>
      <w:bookmarkStart w:id="48" w:name="_Toc16938519"/>
      <w:r/>
      <w:bookmarkStart w:id="49" w:name="_Toc513029203"/>
      <w:r/>
      <w:bookmarkStart w:id="50" w:name="_Toc120614214"/>
      <w:r>
        <w:rPr>
          <w:rFonts w:hint="eastAsia"/>
          <w:color w:val="000000"/>
          <w:sz w:val="30"/>
          <w:szCs w:val="30"/>
          <w:highlight w:val="none"/>
        </w:rPr>
        <w:t xml:space="preserve">一、总则</w:t>
      </w:r>
      <w:bookmarkEnd w:id="47"/>
      <w:r/>
      <w:bookmarkEnd w:id="48"/>
      <w:r/>
      <w:bookmarkEnd w:id="49"/>
      <w:r/>
      <w:bookmarkEnd w:id="50"/>
      <w:r>
        <w:rPr>
          <w:rFonts w:hint="eastAsia"/>
          <w:color w:val="000000"/>
          <w:sz w:val="30"/>
          <w:szCs w:val="30"/>
          <w:highlight w:val="none"/>
        </w:rPr>
      </w:r>
      <w:r/>
    </w:p>
    <w:p>
      <w:pPr>
        <w:pStyle w:val="672"/>
        <w:ind w:firstLine="422"/>
        <w:keepLines w:val="0"/>
        <w:keepNext w:val="0"/>
        <w:spacing w:before="0" w:after="0" w:line="500" w:lineRule="exact"/>
        <w:rPr>
          <w:rFonts w:hint="eastAsia" w:ascii="宋体" w:hAnsi="宋体" w:eastAsia="宋体"/>
          <w:bCs w:val="0"/>
          <w:color w:val="000000"/>
          <w:highlight w:val="none"/>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color w:val="000000"/>
          <w:highlight w:val="none"/>
        </w:rPr>
        <w:t xml:space="preserve">1.招标方式</w:t>
      </w:r>
      <w:bookmarkEnd w:id="52"/>
      <w:r/>
      <w:bookmarkEnd w:id="53"/>
      <w:r/>
      <w:bookmarkEnd w:id="54"/>
      <w:r>
        <w:rPr>
          <w:rFonts w:hint="eastAsia" w:ascii="宋体" w:hAnsi="宋体" w:eastAsia="宋体"/>
          <w:bCs w:val="0"/>
          <w:color w:val="000000"/>
          <w:highlight w:val="none"/>
        </w:rPr>
      </w:r>
      <w:r/>
    </w:p>
    <w:p>
      <w:pPr>
        <w:pStyle w:val="668"/>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1.1本次招标采取公开招标方式，本招标文件仅适用于招标公告中所述项目。</w:t>
      </w:r>
      <w:r>
        <w:rPr>
          <w:rFonts w:hint="eastAsia" w:ascii="宋体" w:hAnsi="宋体"/>
          <w:color w:val="000000"/>
          <w:sz w:val="24"/>
          <w:highlight w:val="none"/>
        </w:rPr>
      </w:r>
      <w:r/>
    </w:p>
    <w:p>
      <w:pPr>
        <w:pStyle w:val="672"/>
        <w:ind w:firstLine="422"/>
        <w:keepLines w:val="0"/>
        <w:keepNext w:val="0"/>
        <w:spacing w:before="0" w:after="0" w:line="500" w:lineRule="exact"/>
        <w:rPr>
          <w:rFonts w:hint="eastAsia" w:ascii="宋体" w:hAnsi="宋体" w:eastAsia="宋体"/>
          <w:bCs w:val="0"/>
          <w:color w:val="000000"/>
          <w:highlight w:val="none"/>
        </w:rPr>
      </w:pPr>
      <w:r/>
      <w:bookmarkStart w:id="55" w:name="_Toc20823277"/>
      <w:r/>
      <w:bookmarkStart w:id="56" w:name="_Toc16938521"/>
      <w:r/>
      <w:bookmarkStart w:id="57" w:name="_Toc513029205"/>
      <w:r>
        <w:rPr>
          <w:rFonts w:hint="eastAsia" w:ascii="宋体" w:hAnsi="宋体" w:eastAsia="宋体"/>
          <w:bCs w:val="0"/>
          <w:color w:val="000000"/>
          <w:highlight w:val="none"/>
        </w:rPr>
        <w:t xml:space="preserve">2.</w:t>
      </w:r>
      <w:bookmarkEnd w:id="55"/>
      <w:r/>
      <w:bookmarkEnd w:id="56"/>
      <w:r/>
      <w:bookmarkEnd w:id="57"/>
      <w:r>
        <w:rPr>
          <w:rFonts w:hint="eastAsia" w:ascii="宋体" w:hAnsi="宋体" w:eastAsia="宋体"/>
          <w:bCs w:val="0"/>
          <w:color w:val="000000"/>
          <w:highlight w:val="none"/>
        </w:rPr>
        <w:t xml:space="preserve">采购人、采购代理机构、投标人、联合体</w:t>
      </w:r>
      <w:r>
        <w:rPr>
          <w:rFonts w:hint="eastAsia" w:ascii="宋体" w:hAnsi="宋体" w:eastAsia="宋体"/>
          <w:bCs w:val="0"/>
          <w:color w:val="000000"/>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hint="eastAsia" w:ascii="宋体" w:hAnsi="宋体"/>
          <w:color w:val="000000"/>
          <w:sz w:val="24"/>
          <w:szCs w:val="24"/>
          <w:highlight w:val="none"/>
        </w:rPr>
      </w:r>
      <w:r/>
    </w:p>
    <w:p>
      <w:pPr>
        <w:pStyle w:val="668"/>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color w:val="000000"/>
          <w:sz w:val="24"/>
          <w:szCs w:val="24"/>
          <w:highlight w:val="none"/>
        </w:rPr>
      </w:r>
      <w:r/>
    </w:p>
    <w:p>
      <w:pPr>
        <w:pStyle w:val="672"/>
        <w:ind w:firstLine="422"/>
        <w:keepLines w:val="0"/>
        <w:keepNext w:val="0"/>
        <w:spacing w:before="0" w:after="0" w:line="500" w:lineRule="exact"/>
        <w:rPr>
          <w:rFonts w:hint="eastAsia" w:ascii="宋体" w:hAnsi="宋体" w:eastAsia="宋体"/>
          <w:bCs w:val="0"/>
          <w:color w:val="000000"/>
          <w:highlight w:val="none"/>
        </w:rPr>
      </w:pPr>
      <w:r/>
      <w:bookmarkStart w:id="58" w:name="_Toc20823278"/>
      <w:r/>
      <w:bookmarkStart w:id="59" w:name="_Toc16938522"/>
      <w:r/>
      <w:bookmarkStart w:id="60" w:name="_Toc513029206"/>
      <w:r>
        <w:rPr>
          <w:rFonts w:hint="eastAsia" w:ascii="宋体" w:hAnsi="宋体" w:eastAsia="宋体"/>
          <w:bCs w:val="0"/>
          <w:color w:val="000000"/>
          <w:highlight w:val="none"/>
        </w:rPr>
        <w:t xml:space="preserve">3.适用法律</w:t>
      </w:r>
      <w:bookmarkEnd w:id="58"/>
      <w:r/>
      <w:bookmarkEnd w:id="59"/>
      <w:r/>
      <w:bookmarkEnd w:id="60"/>
      <w:r>
        <w:rPr>
          <w:rFonts w:hint="eastAsia" w:ascii="宋体" w:hAnsi="宋体" w:eastAsia="宋体"/>
          <w:bCs w:val="0"/>
          <w:color w:val="000000"/>
          <w:highlight w:val="none"/>
        </w:rPr>
      </w:r>
      <w:r/>
    </w:p>
    <w:p>
      <w:pPr>
        <w:pStyle w:val="668"/>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3.1本次招标及由此产生的合同受中华人民共和国法律的制约和保护。</w:t>
      </w:r>
      <w:r>
        <w:rPr>
          <w:rFonts w:hint="eastAsia" w:ascii="宋体" w:hAnsi="宋体"/>
          <w:color w:val="000000"/>
          <w:sz w:val="24"/>
          <w:highlight w:val="none"/>
        </w:rPr>
      </w:r>
      <w:r/>
    </w:p>
    <w:p>
      <w:pPr>
        <w:pStyle w:val="672"/>
        <w:ind w:firstLine="422"/>
        <w:keepLines w:val="0"/>
        <w:keepNext w:val="0"/>
        <w:spacing w:before="0" w:after="0" w:line="500" w:lineRule="exact"/>
        <w:rPr>
          <w:rFonts w:hint="eastAsia" w:ascii="宋体" w:hAnsi="宋体" w:eastAsia="宋体"/>
          <w:bCs w:val="0"/>
          <w:color w:val="000000"/>
          <w:highlight w:val="none"/>
        </w:rPr>
      </w:pPr>
      <w:r/>
      <w:bookmarkStart w:id="61" w:name="_Toc513029207"/>
      <w:r/>
      <w:bookmarkStart w:id="62" w:name="_Toc16938523"/>
      <w:r/>
      <w:bookmarkStart w:id="63" w:name="_Toc20823279"/>
      <w:r/>
      <w:bookmarkStart w:id="64" w:name="_Toc462564067"/>
      <w:r>
        <w:rPr>
          <w:rFonts w:hint="eastAsia" w:ascii="宋体" w:hAnsi="宋体" w:eastAsia="宋体"/>
          <w:bCs w:val="0"/>
          <w:color w:val="000000"/>
          <w:highlight w:val="none"/>
        </w:rPr>
        <w:t xml:space="preserve">4.投标费用</w:t>
      </w:r>
      <w:bookmarkEnd w:id="61"/>
      <w:r/>
      <w:bookmarkEnd w:id="62"/>
      <w:r/>
      <w:bookmarkEnd w:id="63"/>
      <w:r/>
      <w:bookmarkEnd w:id="64"/>
      <w:r>
        <w:rPr>
          <w:rFonts w:hint="eastAsia" w:ascii="宋体" w:hAnsi="宋体" w:eastAsia="宋体"/>
          <w:bCs w:val="0"/>
          <w:color w:val="000000"/>
          <w:highlight w:val="none"/>
        </w:rPr>
      </w:r>
      <w:r/>
    </w:p>
    <w:p>
      <w:pPr>
        <w:pStyle w:val="668"/>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投标人应自行承担所有与参加投标有关的费用，无论投标过程中的做法和结果如何，无锡市公共资源交易中心（以下简称交易中心）在任何情况下均无义务和责任承担这些费用。</w:t>
      </w:r>
      <w:r>
        <w:rPr>
          <w:rFonts w:hint="eastAsia" w:ascii="宋体" w:hAnsi="宋体"/>
          <w:color w:val="000000"/>
          <w:sz w:val="24"/>
          <w:highlight w:val="none"/>
        </w:rPr>
      </w:r>
      <w:r/>
    </w:p>
    <w:p>
      <w:pPr>
        <w:pStyle w:val="668"/>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4.2本次招标标书工本费、中标服务费、招标文件均免费。</w:t>
      </w:r>
      <w:r>
        <w:rPr>
          <w:rFonts w:hint="eastAsia" w:ascii="宋体" w:hAnsi="宋体"/>
          <w:color w:val="000000"/>
          <w:sz w:val="24"/>
          <w:highlight w:val="none"/>
        </w:rPr>
      </w:r>
      <w:r/>
    </w:p>
    <w:p>
      <w:pPr>
        <w:pStyle w:val="672"/>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5.招标文件的约束力</w:t>
      </w:r>
      <w:r>
        <w:rPr>
          <w:rFonts w:hint="eastAsia" w:ascii="宋体" w:hAnsi="宋体" w:eastAsia="宋体"/>
          <w:bCs w:val="0"/>
          <w:color w:val="000000"/>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rPr>
          <w:rFonts w:hint="eastAsia" w:ascii="宋体" w:hAnsi="宋体"/>
          <w:color w:val="000000"/>
          <w:sz w:val="24"/>
          <w:szCs w:val="24"/>
          <w:highlight w:val="none"/>
        </w:rPr>
      </w:r>
      <w:r/>
    </w:p>
    <w:p>
      <w:pPr>
        <w:pStyle w:val="671"/>
        <w:ind w:firstLine="452"/>
        <w:keepLines w:val="0"/>
        <w:keepNext w:val="0"/>
        <w:spacing w:before="0" w:after="0" w:line="500" w:lineRule="exact"/>
        <w:rPr>
          <w:rFonts w:hint="eastAsia"/>
          <w:color w:val="000000"/>
          <w:sz w:val="30"/>
          <w:szCs w:val="30"/>
          <w:highlight w:val="none"/>
        </w:rPr>
      </w:pPr>
      <w:r/>
      <w:bookmarkStart w:id="65" w:name="_Toc16938525"/>
      <w:r/>
      <w:bookmarkStart w:id="66" w:name="_Toc20823281"/>
      <w:r/>
      <w:bookmarkStart w:id="67" w:name="_Toc120614215"/>
      <w:r/>
      <w:bookmarkStart w:id="68" w:name="_Toc513029209"/>
      <w:r>
        <w:rPr>
          <w:rFonts w:hint="eastAsia"/>
          <w:color w:val="000000"/>
          <w:sz w:val="30"/>
          <w:szCs w:val="30"/>
          <w:highlight w:val="none"/>
        </w:rPr>
        <w:t xml:space="preserve">二、招标文件</w:t>
      </w:r>
      <w:bookmarkEnd w:id="65"/>
      <w:r/>
      <w:bookmarkEnd w:id="66"/>
      <w:r/>
      <w:bookmarkEnd w:id="67"/>
      <w:r/>
      <w:bookmarkEnd w:id="68"/>
      <w:r>
        <w:rPr>
          <w:rFonts w:hint="eastAsia"/>
          <w:color w:val="000000"/>
          <w:sz w:val="30"/>
          <w:szCs w:val="30"/>
          <w:highlight w:val="none"/>
        </w:rPr>
      </w:r>
      <w:r/>
    </w:p>
    <w:p>
      <w:pPr>
        <w:pStyle w:val="672"/>
        <w:ind w:firstLine="422"/>
        <w:keepLines w:val="0"/>
        <w:keepNext w:val="0"/>
        <w:spacing w:before="0" w:after="0" w:line="500" w:lineRule="exact"/>
        <w:rPr>
          <w:rFonts w:hint="eastAsia" w:ascii="宋体" w:hAnsi="宋体" w:eastAsia="宋体"/>
          <w:bCs w:val="0"/>
          <w:color w:val="000000"/>
          <w:highlight w:val="none"/>
        </w:rPr>
      </w:pPr>
      <w:r/>
      <w:bookmarkStart w:id="69" w:name="_Toc16938526"/>
      <w:r/>
      <w:bookmarkStart w:id="70" w:name="_Toc513029210"/>
      <w:r/>
      <w:bookmarkStart w:id="71" w:name="_Toc20823282"/>
      <w:r>
        <w:rPr>
          <w:rFonts w:hint="eastAsia" w:ascii="宋体" w:hAnsi="宋体" w:eastAsia="宋体"/>
          <w:bCs w:val="0"/>
          <w:color w:val="000000"/>
          <w:highlight w:val="none"/>
        </w:rPr>
        <w:t xml:space="preserve">6.招标文件构成</w:t>
      </w:r>
      <w:bookmarkEnd w:id="69"/>
      <w:r/>
      <w:bookmarkEnd w:id="70"/>
      <w:r/>
      <w:bookmarkEnd w:id="71"/>
      <w:r>
        <w:rPr>
          <w:rFonts w:hint="eastAsia" w:ascii="宋体" w:hAnsi="宋体" w:eastAsia="宋体"/>
          <w:bCs w:val="0"/>
          <w:color w:val="000000"/>
          <w:highlight w:val="none"/>
        </w:rPr>
      </w:r>
      <w:r/>
    </w:p>
    <w:p>
      <w:pPr>
        <w:pStyle w:val="668"/>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招标文件由以下部分组成：</w:t>
      </w:r>
      <w:r>
        <w:rPr>
          <w:rFonts w:hint="eastAsia" w:ascii="宋体" w:hAnsi="宋体"/>
          <w:color w:val="000000"/>
          <w:sz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hint="eastAsia" w:ascii="宋体" w:hAnsi="宋体"/>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668"/>
        <w:ind w:firstLine="480"/>
        <w:spacing w:line="500" w:lineRule="exact"/>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rPr>
          <w:rFonts w:hint="eastAsia"/>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（6）投标文件内容与格式</w:t>
      </w:r>
      <w:r>
        <w:rPr>
          <w:rFonts w:hint="eastAsia" w:ascii="宋体" w:hAnsi="宋体"/>
          <w:color w:val="000000"/>
          <w:sz w:val="24"/>
          <w:szCs w:val="24"/>
          <w:highlight w:val="none"/>
        </w:rPr>
      </w:r>
      <w:r/>
    </w:p>
    <w:p>
      <w:pPr>
        <w:pStyle w:val="668"/>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请仔细检查招标文件是否齐全，如有缺漏请立即与交易中心联系解决。</w:t>
      </w:r>
      <w:r>
        <w:rPr>
          <w:rFonts w:hint="eastAsia" w:ascii="宋体" w:hAnsi="宋体"/>
          <w:color w:val="000000"/>
          <w:sz w:val="24"/>
          <w:highlight w:val="none"/>
        </w:rPr>
      </w:r>
      <w:r/>
    </w:p>
    <w:p>
      <w:pPr>
        <w:pStyle w:val="668"/>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highlight w:val="none"/>
        </w:rPr>
      </w:r>
      <w:r/>
    </w:p>
    <w:p>
      <w:pPr>
        <w:pStyle w:val="672"/>
        <w:ind w:firstLine="422"/>
        <w:keepLines w:val="0"/>
        <w:keepNext w:val="0"/>
        <w:spacing w:before="0" w:after="0" w:line="500" w:lineRule="exact"/>
        <w:rPr>
          <w:rFonts w:hint="eastAsia" w:ascii="宋体" w:hAnsi="宋体" w:eastAsia="宋体"/>
          <w:bCs w:val="0"/>
          <w:color w:val="000000"/>
          <w:highlight w:val="none"/>
        </w:rPr>
      </w:pPr>
      <w:r/>
      <w:bookmarkStart w:id="72" w:name="_Toc513029211"/>
      <w:r/>
      <w:bookmarkStart w:id="73" w:name="_Toc462564070"/>
      <w:r/>
      <w:bookmarkStart w:id="74" w:name="_Toc16938527"/>
      <w:r/>
      <w:bookmarkStart w:id="75" w:name="_Toc20823283"/>
      <w:r>
        <w:rPr>
          <w:rFonts w:hint="eastAsia" w:ascii="宋体" w:hAnsi="宋体" w:eastAsia="宋体"/>
          <w:bCs w:val="0"/>
          <w:color w:val="000000"/>
          <w:highlight w:val="none"/>
        </w:rPr>
        <w:t xml:space="preserve">7.招标文件的澄清</w:t>
      </w:r>
      <w:bookmarkEnd w:id="72"/>
      <w:r/>
      <w:bookmarkEnd w:id="73"/>
      <w:r/>
      <w:bookmarkEnd w:id="74"/>
      <w:r/>
      <w:bookmarkEnd w:id="75"/>
      <w:r>
        <w:rPr>
          <w:rFonts w:hint="eastAsia" w:ascii="宋体" w:hAnsi="宋体" w:eastAsia="宋体"/>
          <w:bCs w:val="0"/>
          <w:color w:val="000000"/>
          <w:highlight w:val="none"/>
        </w:rPr>
      </w:r>
      <w:r/>
    </w:p>
    <w:p>
      <w:pPr>
        <w:pStyle w:val="668"/>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highlight w:val="none"/>
        </w:rPr>
      </w:r>
      <w:r/>
    </w:p>
    <w:p>
      <w:pPr>
        <w:pStyle w:val="672"/>
        <w:ind w:firstLine="422"/>
        <w:keepLines w:val="0"/>
        <w:keepNext w:val="0"/>
        <w:spacing w:before="0" w:after="0" w:line="500" w:lineRule="exact"/>
        <w:rPr>
          <w:rFonts w:hint="eastAsia" w:ascii="宋体" w:hAnsi="宋体" w:eastAsia="宋体"/>
          <w:bCs w:val="0"/>
          <w:color w:val="000000"/>
          <w:highlight w:val="none"/>
        </w:rPr>
      </w:pPr>
      <w:r/>
      <w:bookmarkStart w:id="76" w:name="_Toc513029212"/>
      <w:r/>
      <w:bookmarkStart w:id="77" w:name="_Toc20823284"/>
      <w:r/>
      <w:bookmarkStart w:id="78" w:name="_Toc462564071"/>
      <w:r/>
      <w:bookmarkStart w:id="79" w:name="_Toc16938528"/>
      <w:r>
        <w:rPr>
          <w:rFonts w:hint="eastAsia" w:ascii="宋体" w:hAnsi="宋体" w:eastAsia="宋体"/>
          <w:bCs w:val="0"/>
          <w:color w:val="000000"/>
          <w:highlight w:val="none"/>
        </w:rPr>
        <w:t xml:space="preserve">8.招标文件的修改</w:t>
      </w:r>
      <w:bookmarkEnd w:id="76"/>
      <w:r/>
      <w:bookmarkEnd w:id="77"/>
      <w:r/>
      <w:bookmarkEnd w:id="78"/>
      <w:r/>
      <w:bookmarkEnd w:id="79"/>
      <w:r>
        <w:rPr>
          <w:rFonts w:hint="eastAsia" w:ascii="宋体" w:hAnsi="宋体" w:eastAsia="宋体"/>
          <w:bCs w:val="0"/>
          <w:color w:val="000000"/>
          <w:highlight w:val="none"/>
        </w:rPr>
      </w:r>
      <w:r/>
    </w:p>
    <w:p>
      <w:pPr>
        <w:pStyle w:val="668"/>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8.1交易中心可在投标截止时间十五日前对招标文件进行必要的澄清或者修改，不足十五日的，将顺延提交投标文件的截止时间和开标日期。</w:t>
      </w:r>
      <w:r>
        <w:rPr>
          <w:rFonts w:hint="eastAsia" w:ascii="宋体" w:hAnsi="宋体"/>
          <w:bCs/>
          <w:color w:val="000000"/>
          <w:sz w:val="24"/>
          <w:szCs w:val="24"/>
          <w:highlight w:val="none"/>
        </w:rPr>
      </w:r>
      <w:r/>
    </w:p>
    <w:p>
      <w:pPr>
        <w:pStyle w:val="668"/>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或未</w:t>
      </w:r>
      <w:r>
        <w:rPr>
          <w:rFonts w:hint="eastAsia" w:ascii="宋体" w:hAnsi="宋体"/>
          <w:bCs/>
          <w:color w:val="000000"/>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color w:val="000000"/>
          <w:sz w:val="24"/>
          <w:highlight w:val="none"/>
        </w:rPr>
      </w:r>
      <w:r/>
    </w:p>
    <w:p>
      <w:pPr>
        <w:pStyle w:val="671"/>
        <w:ind w:firstLine="452"/>
        <w:keepLines w:val="0"/>
        <w:keepNext w:val="0"/>
        <w:spacing w:before="0" w:after="0" w:line="500" w:lineRule="exact"/>
        <w:rPr>
          <w:rFonts w:hint="eastAsia"/>
          <w:color w:val="000000"/>
          <w:sz w:val="30"/>
          <w:szCs w:val="30"/>
          <w:highlight w:val="none"/>
        </w:rPr>
      </w:pPr>
      <w:r/>
      <w:bookmarkStart w:id="80" w:name="_Toc513029213"/>
      <w:r/>
      <w:bookmarkStart w:id="81" w:name="_Toc462564072"/>
      <w:r/>
      <w:bookmarkStart w:id="82" w:name="_Toc120614216"/>
      <w:r/>
      <w:bookmarkStart w:id="83" w:name="_Toc20823285"/>
      <w:r/>
      <w:bookmarkStart w:id="84" w:name="_Toc16938529"/>
      <w:r>
        <w:rPr>
          <w:rFonts w:hint="eastAsia"/>
          <w:color w:val="000000"/>
          <w:sz w:val="30"/>
          <w:szCs w:val="30"/>
          <w:highlight w:val="none"/>
        </w:rPr>
        <w:t xml:space="preserve">三、投标文件的编制</w:t>
      </w:r>
      <w:bookmarkEnd w:id="80"/>
      <w:r/>
      <w:bookmarkEnd w:id="81"/>
      <w:r/>
      <w:bookmarkEnd w:id="82"/>
      <w:r/>
      <w:bookmarkEnd w:id="83"/>
      <w:r/>
      <w:bookmarkEnd w:id="84"/>
      <w:r>
        <w:rPr>
          <w:rFonts w:hint="eastAsia"/>
          <w:color w:val="000000"/>
          <w:sz w:val="30"/>
          <w:szCs w:val="30"/>
          <w:highlight w:val="none"/>
        </w:rPr>
      </w:r>
      <w:r/>
    </w:p>
    <w:p>
      <w:pPr>
        <w:pStyle w:val="672"/>
        <w:ind w:firstLine="422"/>
        <w:keepLines w:val="0"/>
        <w:keepNext w:val="0"/>
        <w:spacing w:before="0" w:after="0" w:line="500" w:lineRule="exact"/>
        <w:rPr>
          <w:rFonts w:hint="eastAsia" w:ascii="宋体" w:hAnsi="宋体" w:eastAsia="宋体"/>
          <w:bCs w:val="0"/>
          <w:color w:val="000000"/>
          <w:highlight w:val="none"/>
        </w:rPr>
      </w:pPr>
      <w:r/>
      <w:bookmarkStart w:id="85" w:name="_Toc462564073"/>
      <w:r/>
      <w:bookmarkStart w:id="86" w:name="_Toc20823286"/>
      <w:r/>
      <w:bookmarkStart w:id="87" w:name="_Toc513029214"/>
      <w:r/>
      <w:bookmarkStart w:id="88" w:name="_Toc16938530"/>
      <w:r>
        <w:rPr>
          <w:rFonts w:hint="eastAsia" w:ascii="宋体" w:hAnsi="宋体" w:eastAsia="宋体"/>
          <w:bCs w:val="0"/>
          <w:color w:val="000000"/>
          <w:highlight w:val="none"/>
        </w:rPr>
        <w:t xml:space="preserve">9.投标文件的语言及度量衡单位</w:t>
      </w:r>
      <w:bookmarkEnd w:id="85"/>
      <w:r/>
      <w:bookmarkEnd w:id="86"/>
      <w:r/>
      <w:bookmarkEnd w:id="87"/>
      <w:r/>
      <w:bookmarkEnd w:id="88"/>
      <w:r>
        <w:rPr>
          <w:rFonts w:hint="eastAsia" w:ascii="宋体" w:hAnsi="宋体" w:eastAsia="宋体"/>
          <w:bCs w:val="0"/>
          <w:color w:val="000000"/>
          <w:highlight w:val="none"/>
        </w:rPr>
      </w:r>
      <w:r/>
    </w:p>
    <w:p>
      <w:pPr>
        <w:pStyle w:val="668"/>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投标人提交的投标文件以及投标人与交易中心就有关投标的所有来往通知、函件和文件均应使用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68"/>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除技术性能另有规定外，投标文件所使用的度量衡单位，均须采用国家法定计量单位。</w:t>
      </w:r>
      <w:r>
        <w:rPr>
          <w:rFonts w:hint="eastAsia" w:ascii="宋体" w:hAnsi="宋体"/>
          <w:color w:val="000000"/>
          <w:sz w:val="24"/>
          <w:highlight w:val="none"/>
        </w:rPr>
      </w:r>
      <w:r/>
    </w:p>
    <w:p>
      <w:pPr>
        <w:pStyle w:val="672"/>
        <w:ind w:firstLine="422"/>
        <w:keepLines w:val="0"/>
        <w:keepNext w:val="0"/>
        <w:spacing w:before="0" w:after="0" w:line="500" w:lineRule="exact"/>
        <w:rPr>
          <w:rFonts w:hint="eastAsia" w:ascii="宋体" w:hAnsi="宋体" w:eastAsia="宋体"/>
          <w:bCs w:val="0"/>
          <w:color w:val="000000"/>
          <w:highlight w:val="none"/>
        </w:rPr>
      </w:pPr>
      <w:r/>
      <w:bookmarkStart w:id="89" w:name="_Toc20823287"/>
      <w:r/>
      <w:bookmarkStart w:id="90" w:name="_Toc16938531"/>
      <w:r/>
      <w:bookmarkStart w:id="91" w:name="_Toc513029215"/>
      <w:r/>
      <w:bookmarkStart w:id="92" w:name="_Toc462564074"/>
      <w:r>
        <w:rPr>
          <w:rFonts w:hint="eastAsia" w:ascii="宋体" w:hAnsi="宋体" w:eastAsia="宋体"/>
          <w:bCs w:val="0"/>
          <w:color w:val="000000"/>
          <w:highlight w:val="none"/>
        </w:rPr>
        <w:t xml:space="preserve">10.投标文件构成</w:t>
      </w:r>
      <w:bookmarkEnd w:id="89"/>
      <w:r/>
      <w:bookmarkEnd w:id="90"/>
      <w:r/>
      <w:bookmarkEnd w:id="91"/>
      <w:r/>
      <w:bookmarkEnd w:id="92"/>
      <w:r>
        <w:rPr>
          <w:rFonts w:hint="eastAsia" w:ascii="宋体" w:hAnsi="宋体" w:eastAsia="宋体"/>
          <w:bCs w:val="0"/>
          <w:color w:val="000000"/>
          <w:highlight w:val="none"/>
        </w:rPr>
      </w:r>
      <w:r/>
    </w:p>
    <w:p>
      <w:pPr>
        <w:pStyle w:val="668"/>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sz w:val="24"/>
          <w:highlight w:val="none"/>
        </w:rPr>
      </w:r>
      <w:r/>
    </w:p>
    <w:p>
      <w:pPr>
        <w:pStyle w:val="668"/>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10.2投标人所须提供的相关证明文件和要求以及投标文件的部分格式要求，详见第六章《投标文件内容与格式》。</w:t>
      </w:r>
      <w:r>
        <w:rPr>
          <w:rFonts w:hint="eastAsia" w:ascii="宋体" w:hAnsi="宋体"/>
          <w:color w:val="000000"/>
          <w:sz w:val="24"/>
          <w:highlight w:val="none"/>
        </w:rPr>
      </w:r>
      <w:r/>
    </w:p>
    <w:p>
      <w:pPr>
        <w:pStyle w:val="668"/>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10.3如标书制作工具中格式和内容与招标文件不一致的，请以招标文件为准。</w:t>
      </w:r>
      <w:r>
        <w:rPr>
          <w:rFonts w:hint="eastAsia" w:ascii="宋体" w:hAnsi="宋体"/>
          <w:color w:val="000000"/>
          <w:sz w:val="24"/>
          <w:highlight w:val="none"/>
        </w:rPr>
      </w:r>
      <w:r/>
    </w:p>
    <w:p>
      <w:pPr>
        <w:pStyle w:val="672"/>
        <w:ind w:firstLine="422"/>
        <w:keepLines w:val="0"/>
        <w:keepNext w:val="0"/>
        <w:spacing w:before="0" w:after="0" w:line="500" w:lineRule="exact"/>
        <w:rPr>
          <w:rFonts w:hint="eastAsia" w:ascii="宋体" w:hAnsi="宋体" w:eastAsia="宋体"/>
          <w:bCs w:val="0"/>
          <w:color w:val="000000"/>
          <w:highlight w:val="none"/>
        </w:rPr>
      </w:pPr>
      <w:r/>
      <w:bookmarkStart w:id="93" w:name="_Hlt26670360"/>
      <w:r/>
      <w:bookmarkEnd w:id="93"/>
      <w:r/>
      <w:bookmarkStart w:id="94" w:name="_Hlt26668975"/>
      <w:r/>
      <w:bookmarkEnd w:id="94"/>
      <w:r/>
      <w:bookmarkStart w:id="95" w:name="_Hlt26954838"/>
      <w:r/>
      <w:bookmarkEnd w:id="95"/>
      <w:r/>
      <w:bookmarkStart w:id="96" w:name="_Toc513029219"/>
      <w:r/>
      <w:bookmarkStart w:id="97" w:name="_Toc14577357"/>
      <w:r/>
      <w:bookmarkStart w:id="98" w:name="_Toc49090509"/>
      <w:r/>
      <w:bookmarkStart w:id="99" w:name="_Toc513029216"/>
      <w:r/>
      <w:bookmarkStart w:id="100" w:name="_Toc14577354"/>
      <w:r/>
      <w:bookmarkStart w:id="101" w:name="_Toc49090507"/>
      <w:r>
        <w:rPr>
          <w:rFonts w:hint="eastAsia" w:ascii="宋体" w:hAnsi="宋体" w:eastAsia="宋体"/>
          <w:bCs w:val="0"/>
          <w:color w:val="000000"/>
          <w:highlight w:val="none"/>
        </w:rPr>
        <w:t xml:space="preserve">11.证明投标人及投标标的符合招标文件规定的文件</w:t>
      </w:r>
      <w:bookmarkEnd w:id="96"/>
      <w:r/>
      <w:bookmarkEnd w:id="97"/>
      <w:r/>
      <w:bookmarkEnd w:id="98"/>
      <w:r>
        <w:rPr>
          <w:rFonts w:hint="eastAsia" w:ascii="宋体" w:hAnsi="宋体" w:eastAsia="宋体"/>
          <w:bCs w:val="0"/>
          <w:color w:val="000000"/>
          <w:highlight w:val="none"/>
        </w:rPr>
      </w:r>
      <w:r/>
    </w:p>
    <w:p>
      <w:pPr>
        <w:pStyle w:val="668"/>
        <w:ind w:firstLine="480"/>
        <w:spacing w:line="500" w:lineRule="exact"/>
        <w:rPr>
          <w:rFonts w:hint="eastAsia" w:ascii="宋体" w:hAnsi="宋体"/>
          <w:bCs/>
          <w:color w:val="000000"/>
          <w:sz w:val="24"/>
          <w:highlight w:val="none"/>
        </w:rPr>
      </w:pPr>
      <w:r/>
      <w:bookmarkEnd w:id="99"/>
      <w:r/>
      <w:bookmarkEnd w:id="100"/>
      <w:r/>
      <w:bookmarkEnd w:id="101"/>
      <w:r/>
      <w:bookmarkStart w:id="102" w:name="_Toc14577355"/>
      <w:r/>
      <w:bookmarkStart w:id="103" w:name="_Toc49090508"/>
      <w:r>
        <w:rPr>
          <w:rFonts w:hint="eastAsia" w:ascii="宋体" w:hAnsi="宋体"/>
          <w:bCs/>
          <w:color w:val="000000"/>
          <w:sz w:val="24"/>
          <w:highlight w:val="none"/>
        </w:rPr>
        <w:t xml:space="preserve">11.1投标人应按照法律法规、规章和规范性文件以及招标文件要求提交证明文件，证明其投标标的符合招标文件规定。</w:t>
      </w:r>
      <w:r>
        <w:rPr>
          <w:rFonts w:hint="eastAsia" w:ascii="宋体" w:hAnsi="宋体"/>
          <w:bCs/>
          <w:color w:val="000000"/>
          <w:sz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rPr>
          <w:rFonts w:hint="eastAsia" w:ascii="宋体" w:hAnsi="宋体"/>
          <w:color w:val="000000"/>
          <w:sz w:val="24"/>
          <w:szCs w:val="24"/>
          <w:highlight w:val="none"/>
        </w:rPr>
      </w:r>
      <w:r/>
    </w:p>
    <w:p>
      <w:pPr>
        <w:pStyle w:val="672"/>
        <w:ind w:firstLine="422"/>
        <w:keepLines w:val="0"/>
        <w:keepNext w:val="0"/>
        <w:spacing w:before="0" w:after="0" w:line="500" w:lineRule="exact"/>
        <w:rPr>
          <w:rFonts w:hint="eastAsia" w:ascii="宋体" w:hAnsi="宋体" w:eastAsia="宋体"/>
          <w:bCs w:val="0"/>
          <w:color w:val="000000"/>
          <w:highlight w:val="none"/>
        </w:rPr>
      </w:pPr>
      <w:r/>
      <w:bookmarkStart w:id="104" w:name="_Toc14577359"/>
      <w:r/>
      <w:bookmarkStart w:id="105" w:name="_Toc49090510"/>
      <w:r>
        <w:rPr>
          <w:rFonts w:hint="eastAsia" w:ascii="宋体" w:hAnsi="宋体" w:eastAsia="宋体"/>
          <w:bCs w:val="0"/>
          <w:color w:val="000000"/>
          <w:highlight w:val="none"/>
        </w:rPr>
        <w:t xml:space="preserve">12.投标函、承诺书和开标一览表</w:t>
      </w:r>
      <w:r>
        <w:rPr>
          <w:rFonts w:hint="eastAsia" w:ascii="宋体" w:hAnsi="宋体" w:eastAsia="宋体"/>
          <w:bCs w:val="0"/>
          <w:color w:val="000000"/>
          <w:highlight w:val="none"/>
        </w:rPr>
      </w:r>
      <w:r/>
    </w:p>
    <w:p>
      <w:pPr>
        <w:pStyle w:val="668"/>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投标人应按照招标文件中提供的格式，完整、正确填写投标函、承诺书；投标人应按照“苏采云”系统中的给定格式模块为准，完整、正确填写开标一览表。</w:t>
      </w:r>
      <w:r>
        <w:rPr>
          <w:rFonts w:hint="eastAsia" w:ascii="宋体" w:hAnsi="宋体"/>
          <w:color w:val="000000"/>
          <w:sz w:val="24"/>
          <w:highlight w:val="none"/>
        </w:rPr>
      </w:r>
      <w:r/>
    </w:p>
    <w:p>
      <w:pPr>
        <w:pStyle w:val="668"/>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000000"/>
          <w:sz w:val="24"/>
          <w:highlight w:val="none"/>
        </w:rPr>
      </w:r>
      <w:r/>
    </w:p>
    <w:p>
      <w:pPr>
        <w:pStyle w:val="672"/>
        <w:ind w:firstLine="422"/>
        <w:keepLines w:val="0"/>
        <w:keepNext w:val="0"/>
        <w:spacing w:before="0" w:after="0" w:line="500" w:lineRule="exact"/>
        <w:rPr>
          <w:rFonts w:hint="eastAsia" w:ascii="宋体" w:hAnsi="宋体" w:eastAsia="宋体"/>
          <w:bCs w:val="0"/>
          <w:color w:val="000000"/>
          <w:highlight w:val="none"/>
        </w:rPr>
      </w:pPr>
      <w:r/>
      <w:bookmarkEnd w:id="104"/>
      <w:r/>
      <w:bookmarkEnd w:id="105"/>
      <w:r>
        <w:rPr>
          <w:rFonts w:hint="eastAsia" w:ascii="宋体" w:hAnsi="宋体" w:eastAsia="宋体"/>
          <w:bCs w:val="0"/>
          <w:color w:val="000000"/>
          <w:highlight w:val="none"/>
        </w:rPr>
        <w:t xml:space="preserve">13.</w:t>
      </w:r>
      <w:bookmarkEnd w:id="102"/>
      <w:r/>
      <w:bookmarkEnd w:id="103"/>
      <w:r>
        <w:rPr>
          <w:rFonts w:hint="eastAsia" w:ascii="宋体" w:hAnsi="宋体" w:eastAsia="宋体"/>
          <w:bCs w:val="0"/>
          <w:color w:val="000000"/>
          <w:highlight w:val="none"/>
        </w:rPr>
        <w:t xml:space="preserve">分项报价表</w:t>
      </w:r>
      <w:r>
        <w:rPr>
          <w:rFonts w:hint="eastAsia" w:ascii="宋体" w:hAnsi="宋体" w:eastAsia="宋体"/>
          <w:bCs w:val="0"/>
          <w:color w:val="000000"/>
          <w:highlight w:val="none"/>
        </w:rPr>
      </w:r>
      <w:r/>
    </w:p>
    <w:p>
      <w:pPr>
        <w:pStyle w:val="668"/>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投</w:t>
      </w:r>
      <w:bookmarkStart w:id="106" w:name="_Hlt26954840"/>
      <w:r/>
      <w:bookmarkEnd w:id="106"/>
      <w:r>
        <w:rPr>
          <w:rFonts w:hint="eastAsia" w:ascii="宋体" w:hAnsi="宋体"/>
          <w:color w:val="000000"/>
          <w:sz w:val="24"/>
          <w:highlight w:val="none"/>
        </w:rPr>
        <w:t xml:space="preserve">标人应按照招标文件规定格式填报</w:t>
      </w:r>
      <w:bookmarkStart w:id="107" w:name="_Hlt26670399"/>
      <w:r/>
      <w:bookmarkEnd w:id="107"/>
      <w:r>
        <w:rPr>
          <w:rFonts w:hint="eastAsia" w:ascii="宋体" w:hAnsi="宋体"/>
          <w:color w:val="000000"/>
          <w:sz w:val="24"/>
          <w:highlight w:val="none"/>
        </w:rPr>
        <w:t xml:space="preserve">分项报价表。</w:t>
      </w:r>
      <w:r>
        <w:rPr>
          <w:rFonts w:hint="eastAsia" w:ascii="宋体" w:hAnsi="宋体"/>
          <w:bCs/>
          <w:color w:val="000000"/>
          <w:sz w:val="24"/>
          <w:highlight w:val="none"/>
        </w:rPr>
      </w:r>
      <w:r/>
    </w:p>
    <w:p>
      <w:pPr>
        <w:pStyle w:val="668"/>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rPr>
          <w:rFonts w:hint="eastAsia" w:ascii="宋体" w:hAnsi="宋体"/>
          <w:bCs/>
          <w:color w:val="000000"/>
          <w:sz w:val="24"/>
          <w:highlight w:val="none"/>
        </w:rPr>
      </w:r>
      <w:r/>
    </w:p>
    <w:p>
      <w:pPr>
        <w:pStyle w:val="672"/>
        <w:ind w:firstLine="422"/>
        <w:keepLines w:val="0"/>
        <w:keepNext w:val="0"/>
        <w:spacing w:before="0" w:after="0" w:line="500" w:lineRule="exact"/>
        <w:rPr>
          <w:rFonts w:hint="eastAsia" w:ascii="宋体" w:hAnsi="宋体" w:eastAsia="宋体"/>
          <w:bCs w:val="0"/>
          <w:color w:val="000000"/>
          <w:highlight w:val="none"/>
        </w:rPr>
      </w:pPr>
      <w:r/>
      <w:bookmarkStart w:id="108" w:name="_Hlt26668983"/>
      <w:r/>
      <w:bookmarkEnd w:id="108"/>
      <w:r/>
      <w:bookmarkStart w:id="109" w:name="_Hlt26670482"/>
      <w:r/>
      <w:bookmarkEnd w:id="109"/>
      <w:r/>
      <w:bookmarkStart w:id="110" w:name="_Hlt26954848"/>
      <w:r/>
      <w:bookmarkEnd w:id="110"/>
      <w:r/>
      <w:bookmarkStart w:id="111" w:name="_Hlt26670486"/>
      <w:r/>
      <w:bookmarkEnd w:id="111"/>
      <w:r/>
      <w:bookmarkStart w:id="112" w:name="_Hlt26954846"/>
      <w:r/>
      <w:bookmarkEnd w:id="112"/>
      <w:r/>
      <w:bookmarkStart w:id="113" w:name="_Hlt26954844"/>
      <w:r/>
      <w:bookmarkEnd w:id="113"/>
      <w:r/>
      <w:bookmarkStart w:id="114" w:name="_Hlt26670403"/>
      <w:r/>
      <w:bookmarkEnd w:id="114"/>
      <w:r/>
      <w:bookmarkStart w:id="115" w:name="_Hlt26954731"/>
      <w:r/>
      <w:bookmarkEnd w:id="115"/>
      <w:r/>
      <w:bookmarkStart w:id="116" w:name="_Hlt26954842"/>
      <w:r/>
      <w:bookmarkEnd w:id="116"/>
      <w:r/>
      <w:bookmarkStart w:id="117" w:name="_Hlt26670425"/>
      <w:r/>
      <w:bookmarkEnd w:id="117"/>
      <w:r>
        <w:rPr>
          <w:rFonts w:hint="eastAsia" w:ascii="宋体" w:hAnsi="宋体" w:eastAsia="宋体"/>
          <w:bCs w:val="0"/>
          <w:color w:val="000000"/>
          <w:highlight w:val="none"/>
        </w:rPr>
        <w:t xml:space="preserve">14.投标偏离表</w:t>
      </w:r>
      <w:r>
        <w:rPr>
          <w:rFonts w:hint="eastAsia" w:ascii="宋体" w:hAnsi="宋体" w:eastAsia="宋体"/>
          <w:bCs w:val="0"/>
          <w:color w:val="000000"/>
          <w:highlight w:val="none"/>
        </w:rPr>
      </w:r>
      <w:r/>
    </w:p>
    <w:p>
      <w:pPr>
        <w:pStyle w:val="668"/>
        <w:ind w:firstLine="480"/>
        <w:spacing w:line="500" w:lineRule="exact"/>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投标人可在投标文件中提供认为需要的其他技术文件或说明。</w:t>
      </w:r>
      <w:r>
        <w:rPr>
          <w:rFonts w:ascii="宋体" w:hAnsi="Arial" w:cs="宋体"/>
          <w:color w:val="000000"/>
          <w:sz w:val="24"/>
          <w:highlight w:val="none"/>
          <w:lang w:val="zh-CN"/>
        </w:rPr>
      </w:r>
      <w:r/>
    </w:p>
    <w:p>
      <w:pPr>
        <w:pStyle w:val="672"/>
        <w:ind w:firstLine="422"/>
        <w:keepLines w:val="0"/>
        <w:keepNext w:val="0"/>
        <w:spacing w:before="0" w:after="0" w:line="500" w:lineRule="exact"/>
        <w:rPr>
          <w:rFonts w:hint="eastAsia" w:ascii="宋体" w:hAnsi="宋体" w:eastAsia="宋体"/>
          <w:bCs w:val="0"/>
          <w:color w:val="000000"/>
          <w:highlight w:val="none"/>
        </w:rPr>
      </w:pPr>
      <w:r/>
      <w:bookmarkStart w:id="118" w:name="_Hlt26954734"/>
      <w:r/>
      <w:bookmarkEnd w:id="118"/>
      <w:r/>
      <w:bookmarkStart w:id="119" w:name="_Hlt26954850"/>
      <w:r/>
      <w:bookmarkEnd w:id="119"/>
      <w:r/>
      <w:bookmarkStart w:id="120" w:name="_Hlt26670489"/>
      <w:r/>
      <w:bookmarkEnd w:id="120"/>
      <w:r/>
      <w:bookmarkStart w:id="121" w:name="_Toc14577360"/>
      <w:r/>
      <w:bookmarkStart w:id="122" w:name="_Toc49090511"/>
      <w:r>
        <w:rPr>
          <w:rFonts w:hint="eastAsia" w:ascii="宋体" w:hAnsi="宋体" w:eastAsia="宋体"/>
          <w:bCs w:val="0"/>
          <w:color w:val="000000"/>
          <w:highlight w:val="none"/>
        </w:rPr>
        <w:t xml:space="preserve">15.投标有效期</w:t>
      </w:r>
      <w:bookmarkEnd w:id="121"/>
      <w:r/>
      <w:bookmarkEnd w:id="122"/>
      <w:r>
        <w:rPr>
          <w:rFonts w:hint="eastAsia" w:ascii="宋体" w:hAnsi="宋体" w:eastAsia="宋体"/>
          <w:bCs w:val="0"/>
          <w:color w:val="000000"/>
          <w:highlight w:val="none"/>
        </w:rPr>
      </w:r>
      <w:r/>
    </w:p>
    <w:p>
      <w:pPr>
        <w:pStyle w:val="668"/>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投标有效期为招标文件规定的开标之日后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rPr>
          <w:rFonts w:hint="eastAsia" w:ascii="宋体" w:hAnsi="宋体"/>
          <w:bCs/>
          <w:color w:val="000000"/>
          <w:sz w:val="24"/>
          <w:highlight w:val="none"/>
        </w:rPr>
      </w:r>
      <w:r/>
    </w:p>
    <w:p>
      <w:pPr>
        <w:pStyle w:val="672"/>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16.投标有效期的延长</w:t>
      </w:r>
      <w:r>
        <w:rPr>
          <w:rFonts w:hint="eastAsia" w:ascii="宋体" w:hAnsi="宋体" w:eastAsia="宋体"/>
          <w:bCs w:val="0"/>
          <w:color w:val="000000"/>
          <w:highlight w:val="none"/>
        </w:rPr>
      </w:r>
      <w:r/>
    </w:p>
    <w:p>
      <w:pPr>
        <w:pStyle w:val="668"/>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671"/>
        <w:ind w:firstLine="452"/>
        <w:keepLines w:val="0"/>
        <w:keepNext w:val="0"/>
        <w:spacing w:before="0" w:after="0" w:line="500" w:lineRule="exact"/>
        <w:rPr>
          <w:rFonts w:hint="eastAsia"/>
          <w:color w:val="000000"/>
          <w:sz w:val="30"/>
          <w:szCs w:val="30"/>
          <w:highlight w:val="none"/>
        </w:rPr>
      </w:pPr>
      <w:r/>
      <w:bookmarkStart w:id="123" w:name="_Hlt26954852"/>
      <w:r/>
      <w:bookmarkEnd w:id="123"/>
      <w:r/>
      <w:bookmarkStart w:id="124" w:name="_Hlt26954739"/>
      <w:r/>
      <w:bookmarkEnd w:id="124"/>
      <w:r/>
      <w:bookmarkStart w:id="125" w:name="_Toc16938540"/>
      <w:r/>
      <w:bookmarkStart w:id="126" w:name="_Toc513029224"/>
      <w:r/>
      <w:bookmarkStart w:id="127" w:name="_Toc120614217"/>
      <w:r/>
      <w:bookmarkStart w:id="128" w:name="_Toc20823296"/>
      <w:r>
        <w:rPr>
          <w:rFonts w:hint="eastAsia"/>
          <w:color w:val="000000"/>
          <w:sz w:val="30"/>
          <w:szCs w:val="30"/>
          <w:highlight w:val="none"/>
        </w:rPr>
        <w:t xml:space="preserve">四、投标文件的递交</w:t>
      </w:r>
      <w:bookmarkEnd w:id="125"/>
      <w:r/>
      <w:bookmarkEnd w:id="126"/>
      <w:r/>
      <w:bookmarkEnd w:id="127"/>
      <w:r/>
      <w:bookmarkEnd w:id="128"/>
      <w:r>
        <w:rPr>
          <w:rFonts w:hint="eastAsia"/>
          <w:color w:val="000000"/>
          <w:sz w:val="30"/>
          <w:szCs w:val="30"/>
          <w:highlight w:val="none"/>
        </w:rPr>
      </w:r>
      <w:r/>
    </w:p>
    <w:p>
      <w:pPr>
        <w:pStyle w:val="672"/>
        <w:ind w:firstLine="422"/>
        <w:keepLines w:val="0"/>
        <w:keepNext w:val="0"/>
        <w:spacing w:before="0" w:after="0" w:line="500" w:lineRule="exact"/>
        <w:rPr>
          <w:rFonts w:hint="eastAsia" w:ascii="宋体" w:hAnsi="宋体" w:eastAsia="宋体"/>
          <w:bCs w:val="0"/>
          <w:color w:val="000000"/>
          <w:highlight w:val="none"/>
        </w:rPr>
      </w:pPr>
      <w:r/>
      <w:bookmarkStart w:id="129" w:name="_Toc16938541"/>
      <w:r/>
      <w:bookmarkStart w:id="130" w:name="_Toc513029225"/>
      <w:r/>
      <w:bookmarkStart w:id="131" w:name="_Toc462564084"/>
      <w:r/>
      <w:bookmarkStart w:id="132" w:name="_Toc20823297"/>
      <w:r>
        <w:rPr>
          <w:rFonts w:hint="eastAsia" w:ascii="宋体" w:hAnsi="宋体" w:eastAsia="宋体"/>
          <w:bCs w:val="0"/>
          <w:color w:val="000000"/>
          <w:highlight w:val="none"/>
        </w:rPr>
        <w:t xml:space="preserve">17.投标文件</w:t>
      </w:r>
      <w:bookmarkEnd w:id="129"/>
      <w:r/>
      <w:bookmarkEnd w:id="130"/>
      <w:r/>
      <w:bookmarkEnd w:id="131"/>
      <w:r/>
      <w:bookmarkEnd w:id="132"/>
      <w:r>
        <w:rPr>
          <w:rFonts w:hint="eastAsia" w:ascii="宋体" w:hAnsi="宋体" w:eastAsia="宋体"/>
          <w:bCs w:val="0"/>
          <w:color w:val="000000"/>
          <w:highlight w:val="none"/>
        </w:rPr>
        <w:t xml:space="preserve">的递交</w:t>
      </w:r>
      <w:r>
        <w:rPr>
          <w:rFonts w:hint="eastAsia" w:ascii="宋体" w:hAnsi="宋体" w:eastAsia="宋体"/>
          <w:bCs w:val="0"/>
          <w:color w:val="000000"/>
          <w:highlight w:val="none"/>
        </w:rPr>
      </w:r>
      <w:r/>
    </w:p>
    <w:p>
      <w:pPr>
        <w:pStyle w:val="668"/>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电子投标文件的递交</w:t>
      </w:r>
      <w:r>
        <w:rPr>
          <w:rFonts w:hint="eastAsia" w:ascii="宋体" w:hAnsi="宋体"/>
          <w:bCs/>
          <w:color w:val="000000"/>
          <w:sz w:val="24"/>
          <w:highlight w:val="none"/>
        </w:rPr>
      </w:r>
      <w:r/>
    </w:p>
    <w:p>
      <w:pPr>
        <w:pStyle w:val="78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33" w:name="_Toc16938542"/>
      <w:r/>
      <w:bookmarkStart w:id="134" w:name="_Toc513029226"/>
      <w:r/>
      <w:bookmarkStart w:id="135" w:name="_Toc20823298"/>
      <w:r>
        <w:rPr>
          <w:rFonts w:hint="eastAsia" w:ascii="宋体" w:hAnsi="宋体"/>
          <w:bCs/>
          <w:color w:val="000000"/>
          <w:sz w:val="24"/>
          <w:highlight w:val="none"/>
        </w:rPr>
      </w:r>
      <w:r/>
    </w:p>
    <w:p>
      <w:pPr>
        <w:pStyle w:val="672"/>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18.投标截止</w:t>
      </w:r>
      <w:bookmarkEnd w:id="133"/>
      <w:r/>
      <w:bookmarkEnd w:id="134"/>
      <w:r/>
      <w:bookmarkEnd w:id="135"/>
      <w:r>
        <w:rPr>
          <w:rFonts w:hint="eastAsia" w:ascii="宋体" w:hAnsi="宋体" w:eastAsia="宋体"/>
          <w:bCs w:val="0"/>
          <w:color w:val="000000"/>
          <w:highlight w:val="none"/>
        </w:rPr>
        <w:t xml:space="preserve">时间</w:t>
      </w:r>
      <w:r>
        <w:rPr>
          <w:rFonts w:hint="eastAsia" w:ascii="宋体" w:hAnsi="宋体" w:eastAsia="宋体"/>
          <w:bCs w:val="0"/>
          <w:color w:val="000000"/>
          <w:highlight w:val="none"/>
        </w:rPr>
      </w:r>
      <w:r/>
    </w:p>
    <w:p>
      <w:pPr>
        <w:pStyle w:val="668"/>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投标人上传电子投标文件的时间不得迟于招标公告中规定的投标截止时间。</w:t>
      </w:r>
      <w:r>
        <w:rPr>
          <w:rFonts w:hint="eastAsia" w:ascii="宋体" w:hAnsi="宋体"/>
          <w:bCs/>
          <w:color w:val="000000"/>
          <w:sz w:val="24"/>
          <w:highlight w:val="none"/>
        </w:rPr>
      </w:r>
      <w:r/>
    </w:p>
    <w:p>
      <w:pPr>
        <w:pStyle w:val="668"/>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投标人应充分考虑网络环境、网络带宽等风险因素，如因投标人自身原因造成的电子投标文件上传不成功的视作投标人未按照招标文件要求上传电子投标文件，作无效投标处理。</w:t>
      </w:r>
      <w:r>
        <w:rPr>
          <w:rFonts w:hint="eastAsia" w:ascii="宋体" w:hAnsi="宋体"/>
          <w:bCs/>
          <w:color w:val="000000"/>
          <w:sz w:val="24"/>
          <w:highlight w:val="none"/>
        </w:rPr>
      </w:r>
      <w:r/>
    </w:p>
    <w:p>
      <w:pPr>
        <w:pStyle w:val="668"/>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bCs/>
          <w:color w:val="000000"/>
          <w:sz w:val="24"/>
          <w:highlight w:val="none"/>
        </w:rPr>
        <w:t xml:space="preserve">交易中心可以按照规定，通过更正公告修改投标截止时间，投标人的所有权利和义务以及投标人受制的截止时间均应以延长后新的截止时间为准。</w:t>
      </w:r>
      <w:r>
        <w:rPr>
          <w:rFonts w:hint="eastAsia" w:ascii="宋体" w:hAnsi="宋体"/>
          <w:bCs/>
          <w:color w:val="000000"/>
          <w:sz w:val="24"/>
          <w:highlight w:val="none"/>
        </w:rPr>
      </w:r>
      <w:r/>
    </w:p>
    <w:p>
      <w:pPr>
        <w:pStyle w:val="672"/>
        <w:ind w:firstLine="422"/>
        <w:keepLines w:val="0"/>
        <w:keepNext w:val="0"/>
        <w:spacing w:before="0" w:after="0" w:line="500" w:lineRule="exact"/>
        <w:rPr>
          <w:rFonts w:hint="eastAsia" w:ascii="宋体" w:hAnsi="宋体" w:eastAsia="宋体"/>
          <w:bCs w:val="0"/>
          <w:color w:val="000000"/>
          <w:highlight w:val="none"/>
        </w:rPr>
      </w:pPr>
      <w:r/>
      <w:bookmarkStart w:id="136" w:name="_Toc513029227"/>
      <w:r/>
      <w:bookmarkStart w:id="137" w:name="_Toc16938543"/>
      <w:r/>
      <w:bookmarkStart w:id="138" w:name="_Toc20823299"/>
      <w:r>
        <w:rPr>
          <w:rFonts w:hint="eastAsia" w:ascii="宋体" w:hAnsi="宋体" w:eastAsia="宋体"/>
          <w:bCs w:val="0"/>
          <w:color w:val="000000"/>
          <w:highlight w:val="none"/>
        </w:rPr>
        <w:t xml:space="preserve">19.投标文件</w:t>
      </w:r>
      <w:bookmarkEnd w:id="136"/>
      <w:r/>
      <w:bookmarkEnd w:id="137"/>
      <w:r/>
      <w:bookmarkEnd w:id="138"/>
      <w:r>
        <w:rPr>
          <w:rFonts w:hint="eastAsia" w:ascii="宋体" w:hAnsi="宋体" w:eastAsia="宋体"/>
          <w:bCs w:val="0"/>
          <w:color w:val="000000"/>
          <w:highlight w:val="none"/>
        </w:rPr>
        <w:t xml:space="preserve">的拒收</w:t>
      </w:r>
      <w:r>
        <w:rPr>
          <w:rFonts w:hint="eastAsia" w:ascii="宋体" w:hAnsi="宋体" w:eastAsia="宋体"/>
          <w:bCs w:val="0"/>
          <w:color w:val="000000"/>
          <w:highlight w:val="none"/>
        </w:rPr>
      </w:r>
      <w:r/>
    </w:p>
    <w:p>
      <w:pPr>
        <w:pStyle w:val="668"/>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bCs/>
          <w:color w:val="000000"/>
          <w:sz w:val="24"/>
          <w:highlight w:val="none"/>
        </w:rPr>
        <w:t xml:space="preserve">交易中心拒绝接收在其规定的投标截止时间后上传的任何投标文件。</w:t>
      </w:r>
      <w:r>
        <w:rPr>
          <w:rFonts w:hint="eastAsia" w:ascii="宋体" w:hAnsi="宋体"/>
          <w:bCs/>
          <w:color w:val="000000"/>
          <w:sz w:val="24"/>
          <w:highlight w:val="none"/>
        </w:rPr>
      </w:r>
      <w:r/>
    </w:p>
    <w:p>
      <w:pPr>
        <w:pStyle w:val="672"/>
        <w:ind w:firstLine="422"/>
        <w:keepLines w:val="0"/>
        <w:keepNext w:val="0"/>
        <w:spacing w:before="0" w:after="0" w:line="500" w:lineRule="exact"/>
        <w:rPr>
          <w:rFonts w:hint="eastAsia" w:ascii="宋体" w:hAnsi="宋体" w:eastAsia="宋体"/>
          <w:bCs w:val="0"/>
          <w:color w:val="000000"/>
          <w:highlight w:val="none"/>
        </w:rPr>
      </w:pPr>
      <w:r/>
      <w:bookmarkStart w:id="139" w:name="_Toc16938544"/>
      <w:r/>
      <w:bookmarkStart w:id="140" w:name="_Toc513029228"/>
      <w:r/>
      <w:bookmarkStart w:id="141" w:name="_Toc20823300"/>
      <w:r>
        <w:rPr>
          <w:rFonts w:hint="eastAsia" w:ascii="宋体" w:hAnsi="宋体" w:eastAsia="宋体"/>
          <w:bCs w:val="0"/>
          <w:color w:val="000000"/>
          <w:highlight w:val="none"/>
        </w:rPr>
        <w:t xml:space="preserve">20.投标文件的撤回和修改</w:t>
      </w:r>
      <w:bookmarkEnd w:id="139"/>
      <w:r/>
      <w:bookmarkEnd w:id="140"/>
      <w:r/>
      <w:bookmarkEnd w:id="141"/>
      <w:r>
        <w:rPr>
          <w:rFonts w:hint="eastAsia" w:ascii="宋体" w:hAnsi="宋体" w:eastAsia="宋体"/>
          <w:bCs w:val="0"/>
          <w:color w:val="000000"/>
          <w:highlight w:val="none"/>
        </w:rPr>
      </w:r>
      <w:r/>
    </w:p>
    <w:p>
      <w:pPr>
        <w:pStyle w:val="668"/>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20.1投标文件的撤回</w:t>
      </w:r>
      <w:r>
        <w:rPr>
          <w:rFonts w:hint="eastAsia" w:ascii="宋体" w:hAnsi="宋体"/>
          <w:color w:val="000000"/>
          <w:sz w:val="24"/>
          <w:highlight w:val="none"/>
        </w:rPr>
      </w:r>
      <w:r/>
    </w:p>
    <w:p>
      <w:pPr>
        <w:pStyle w:val="668"/>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21.1.1电子投标文件的撤回</w:t>
      </w:r>
      <w:r>
        <w:rPr>
          <w:rFonts w:hint="eastAsia" w:ascii="宋体" w:hAnsi="宋体"/>
          <w:color w:val="000000"/>
          <w:sz w:val="24"/>
          <w:highlight w:val="none"/>
        </w:rPr>
      </w:r>
      <w:r/>
    </w:p>
    <w:p>
      <w:pPr>
        <w:pStyle w:val="668"/>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投标人可在投标截止时间前，撤回其电子投标文件，具体操作方法见《操作手册》。</w:t>
      </w:r>
      <w:r>
        <w:rPr>
          <w:rFonts w:hint="eastAsia" w:ascii="宋体" w:hAnsi="宋体"/>
          <w:color w:val="000000"/>
          <w:sz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投标人撤回电子投标文件，则认为其不再参与本项目投标活动。</w:t>
      </w:r>
      <w:r>
        <w:rPr>
          <w:rFonts w:hint="eastAsia" w:ascii="宋体" w:hAnsi="宋体"/>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20.2投标文件的修改</w:t>
      </w:r>
      <w:r>
        <w:rPr>
          <w:rFonts w:hint="eastAsia" w:ascii="宋体" w:hAnsi="宋体"/>
          <w:color w:val="000000"/>
          <w:sz w:val="24"/>
          <w:szCs w:val="24"/>
          <w:highlight w:val="none"/>
        </w:rPr>
      </w:r>
      <w:r/>
    </w:p>
    <w:p>
      <w:pPr>
        <w:pStyle w:val="668"/>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20.2.1投标人可在投标截止时间前，对其电子投标文件进行修改，具体操作方法见《操作手册》。</w:t>
      </w:r>
      <w:r>
        <w:rPr>
          <w:rFonts w:hint="eastAsia" w:ascii="宋体" w:hAnsi="宋体"/>
          <w:color w:val="000000"/>
          <w:sz w:val="24"/>
          <w:highlight w:val="none"/>
        </w:rPr>
      </w:r>
      <w:r/>
    </w:p>
    <w:p>
      <w:pPr>
        <w:pStyle w:val="668"/>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在投标截止时间之后，投标人不得对其电子投标文件作任何修改。</w:t>
      </w:r>
      <w:r>
        <w:rPr>
          <w:rFonts w:hint="eastAsia" w:ascii="宋体" w:hAnsi="宋体"/>
          <w:bCs/>
          <w:color w:val="000000"/>
          <w:sz w:val="24"/>
          <w:highlight w:val="none"/>
        </w:rPr>
      </w:r>
      <w:r/>
    </w:p>
    <w:p>
      <w:pPr>
        <w:pStyle w:val="668"/>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在投标截止时间至招标文件中规定的投标有效期满之间的这段时间内，投标人不得撤回其投标。</w:t>
      </w:r>
      <w:r>
        <w:rPr>
          <w:rFonts w:hint="eastAsia" w:ascii="宋体" w:hAnsi="宋体"/>
          <w:bCs/>
          <w:color w:val="000000"/>
          <w:sz w:val="24"/>
          <w:highlight w:val="none"/>
        </w:rPr>
      </w:r>
      <w:r/>
    </w:p>
    <w:p>
      <w:pPr>
        <w:pStyle w:val="671"/>
        <w:ind w:firstLine="452"/>
        <w:keepLines w:val="0"/>
        <w:keepNext w:val="0"/>
        <w:spacing w:before="0" w:after="0" w:line="500" w:lineRule="exact"/>
        <w:rPr>
          <w:rFonts w:hint="eastAsia"/>
          <w:color w:val="000000"/>
          <w:sz w:val="30"/>
          <w:szCs w:val="30"/>
          <w:highlight w:val="none"/>
        </w:rPr>
      </w:pPr>
      <w:r/>
      <w:bookmarkStart w:id="142" w:name="_Toc120614218"/>
      <w:r/>
      <w:bookmarkStart w:id="143" w:name="_Toc20823301"/>
      <w:r/>
      <w:bookmarkStart w:id="144" w:name="_Toc513029229"/>
      <w:r/>
      <w:bookmarkStart w:id="145" w:name="_Toc16938545"/>
      <w:r>
        <w:rPr>
          <w:rFonts w:hint="eastAsia"/>
          <w:color w:val="000000"/>
          <w:sz w:val="30"/>
          <w:szCs w:val="30"/>
          <w:highlight w:val="none"/>
        </w:rPr>
        <w:t xml:space="preserve">五、开标与评标</w:t>
      </w:r>
      <w:bookmarkEnd w:id="142"/>
      <w:r/>
      <w:bookmarkEnd w:id="143"/>
      <w:r/>
      <w:bookmarkEnd w:id="144"/>
      <w:r/>
      <w:bookmarkEnd w:id="145"/>
      <w:r>
        <w:rPr>
          <w:rFonts w:hint="eastAsia"/>
          <w:color w:val="000000"/>
          <w:sz w:val="30"/>
          <w:szCs w:val="30"/>
          <w:highlight w:val="none"/>
        </w:rPr>
      </w:r>
      <w:r/>
    </w:p>
    <w:p>
      <w:pPr>
        <w:pStyle w:val="672"/>
        <w:ind w:firstLine="422"/>
        <w:keepLines w:val="0"/>
        <w:keepNext w:val="0"/>
        <w:spacing w:before="0" w:after="0" w:line="500" w:lineRule="exact"/>
        <w:rPr>
          <w:rFonts w:hint="eastAsia" w:ascii="宋体" w:hAnsi="宋体" w:eastAsia="宋体"/>
          <w:bCs w:val="0"/>
          <w:color w:val="000000"/>
          <w:highlight w:val="none"/>
        </w:rPr>
      </w:pPr>
      <w:r/>
      <w:bookmarkStart w:id="146" w:name="_Toc513029230"/>
      <w:r/>
      <w:bookmarkStart w:id="147" w:name="_Toc16938546"/>
      <w:r/>
      <w:bookmarkStart w:id="148" w:name="_Toc20823302"/>
      <w:r>
        <w:rPr>
          <w:rFonts w:hint="eastAsia" w:ascii="宋体" w:hAnsi="宋体" w:eastAsia="宋体"/>
          <w:bCs w:val="0"/>
          <w:color w:val="000000"/>
          <w:highlight w:val="none"/>
        </w:rPr>
        <w:t xml:space="preserve">21.开标</w:t>
      </w:r>
      <w:bookmarkEnd w:id="146"/>
      <w:r/>
      <w:bookmarkEnd w:id="147"/>
      <w:r/>
      <w:bookmarkEnd w:id="148"/>
      <w:r>
        <w:rPr>
          <w:rFonts w:hint="eastAsia" w:ascii="宋体" w:hAnsi="宋体" w:eastAsia="宋体"/>
          <w:bCs w:val="0"/>
          <w:color w:val="000000"/>
          <w:highlight w:val="none"/>
        </w:rPr>
      </w:r>
      <w:r/>
    </w:p>
    <w:p>
      <w:pPr>
        <w:pStyle w:val="668"/>
        <w:ind w:firstLine="480"/>
        <w:spacing w:line="500" w:lineRule="exact"/>
        <w:rPr>
          <w:rFonts w:hint="eastAsia"/>
          <w:color w:val="000000"/>
          <w:highlight w:val="none"/>
        </w:rPr>
      </w:pPr>
      <w:r>
        <w:rPr>
          <w:rFonts w:hint="eastAsia" w:ascii="宋体" w:hAnsi="宋体"/>
          <w:color w:val="000000"/>
          <w:sz w:val="24"/>
          <w:highlight w:val="none"/>
        </w:rPr>
        <w:t xml:space="preserve">21.1</w:t>
      </w:r>
      <w:r>
        <w:rPr>
          <w:rFonts w:hint="eastAsia" w:ascii="宋体" w:hAnsi="宋体"/>
          <w:bCs/>
          <w:color w:val="000000"/>
          <w:sz w:val="24"/>
          <w:highlight w:val="none"/>
        </w:rPr>
        <w:t xml:space="preserve">交易中心将在招标公告中规定的时间和地点组织公开开标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rPr>
          <w:rFonts w:hint="eastAsia"/>
          <w:color w:val="000000"/>
          <w:highlight w:val="none"/>
        </w:rPr>
      </w:r>
      <w:r/>
    </w:p>
    <w:p>
      <w:pPr>
        <w:pStyle w:val="668"/>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21.2开标仪式由交易中心组织。</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rPr>
          <w:rFonts w:hint="eastAsia" w:ascii="宋体" w:hAnsi="宋体"/>
          <w:color w:val="000000"/>
          <w:sz w:val="24"/>
          <w:highlight w:val="none"/>
        </w:rPr>
      </w:r>
      <w:r/>
    </w:p>
    <w:p>
      <w:pPr>
        <w:pStyle w:val="668"/>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21.3投标人在开标过程中涉及的投标文件解密、开标结果确认等工作，应按照《操作手册》规定执行。</w:t>
      </w:r>
      <w:r>
        <w:rPr>
          <w:rFonts w:hint="eastAsia" w:ascii="宋体" w:hAnsi="宋体"/>
          <w:color w:val="000000"/>
          <w:sz w:val="24"/>
          <w:highlight w:val="none"/>
        </w:rPr>
      </w:r>
      <w:r/>
    </w:p>
    <w:p>
      <w:pPr>
        <w:pStyle w:val="668"/>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21.4投标人如果对开标过程和开标记录有疑义，应当根据《操作手册》规定提出，如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中《开标记录表》宣布后5分钟内未提出的，视同认可开标结果。</w:t>
      </w:r>
      <w:r>
        <w:rPr>
          <w:rFonts w:ascii="宋体" w:hAnsi="宋体"/>
          <w:color w:val="000000"/>
          <w:sz w:val="24"/>
          <w:highlight w:val="none"/>
        </w:rPr>
      </w:r>
      <w:r/>
    </w:p>
    <w:p>
      <w:pPr>
        <w:pStyle w:val="672"/>
        <w:ind w:firstLine="422"/>
        <w:keepLines w:val="0"/>
        <w:keepNext w:val="0"/>
        <w:spacing w:before="0" w:after="0" w:line="500" w:lineRule="exact"/>
        <w:rPr>
          <w:rFonts w:hint="eastAsia" w:ascii="宋体" w:hAnsi="宋体" w:eastAsia="宋体"/>
          <w:bCs w:val="0"/>
          <w:color w:val="000000"/>
          <w:highlight w:val="none"/>
        </w:rPr>
      </w:pPr>
      <w:r/>
      <w:bookmarkStart w:id="149" w:name="_Toc16938547"/>
      <w:r/>
      <w:bookmarkStart w:id="150" w:name="_Toc513029231"/>
      <w:r/>
      <w:bookmarkStart w:id="151" w:name="_Toc20823303"/>
      <w:r>
        <w:rPr>
          <w:rFonts w:hint="eastAsia" w:ascii="宋体" w:hAnsi="宋体" w:eastAsia="宋体"/>
          <w:bCs w:val="0"/>
          <w:color w:val="000000"/>
          <w:highlight w:val="none"/>
        </w:rPr>
        <w:t xml:space="preserve">22.评标委员会</w:t>
      </w:r>
      <w:r>
        <w:rPr>
          <w:rFonts w:hint="eastAsia" w:ascii="宋体" w:hAnsi="宋体" w:eastAsia="宋体"/>
          <w:bCs w:val="0"/>
          <w:color w:val="000000"/>
          <w:highlight w:val="none"/>
        </w:rPr>
      </w:r>
      <w:r/>
    </w:p>
    <w:p>
      <w:pPr>
        <w:pStyle w:val="668"/>
        <w:ind w:firstLine="480"/>
        <w:spacing w:line="500" w:lineRule="exact"/>
        <w:rPr>
          <w:rFonts w:hint="eastAsia" w:ascii="宋体" w:hAnsi="宋体"/>
          <w:b/>
          <w:color w:val="000000"/>
          <w:sz w:val="24"/>
          <w:szCs w:val="24"/>
          <w:highlight w:val="none"/>
        </w:rPr>
      </w:pPr>
      <w:r>
        <w:rPr>
          <w:rFonts w:hint="eastAsia" w:ascii="宋体" w:hAnsi="宋体"/>
          <w:color w:val="000000"/>
          <w:sz w:val="24"/>
          <w:szCs w:val="24"/>
          <w:highlight w:val="none"/>
        </w:rPr>
        <w:t xml:space="preserve">22.1开标后，交易中心将立即组织评标委员会（以下简称评委会）进行评标。</w:t>
      </w:r>
      <w:r>
        <w:rPr>
          <w:rFonts w:hint="eastAsia" w:ascii="宋体" w:hAnsi="宋体"/>
          <w:b/>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22.2评委会依法组建，且人员构成符合政府采购有关规定。</w:t>
      </w:r>
      <w:r>
        <w:rPr>
          <w:rFonts w:hint="eastAsia" w:ascii="宋体" w:hAnsi="宋体"/>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22.3评委会独立工作，负责对招标</w:t>
      </w:r>
      <w:r>
        <w:rPr>
          <w:rFonts w:hint="eastAsia" w:ascii="宋体" w:hAnsi="宋体"/>
          <w:color w:val="000000"/>
          <w:sz w:val="24"/>
          <w:highlight w:val="none"/>
        </w:rPr>
        <w:t xml:space="preserve">文件进行审核，确认其不存在歧视性、排他性等不合理条款后，开始</w:t>
      </w:r>
      <w:r>
        <w:rPr>
          <w:rFonts w:hint="eastAsia" w:ascii="宋体" w:hAnsi="宋体"/>
          <w:color w:val="000000"/>
          <w:sz w:val="24"/>
          <w:szCs w:val="24"/>
          <w:highlight w:val="none"/>
        </w:rPr>
        <w:t xml:space="preserve">负责评审所有投标文件并确定中标候选人。</w:t>
      </w:r>
      <w:r>
        <w:rPr>
          <w:rFonts w:hint="eastAsia" w:ascii="宋体" w:hAnsi="宋体"/>
          <w:color w:val="000000"/>
          <w:sz w:val="24"/>
          <w:szCs w:val="24"/>
          <w:highlight w:val="none"/>
        </w:rPr>
      </w:r>
      <w:r/>
    </w:p>
    <w:p>
      <w:pPr>
        <w:pStyle w:val="672"/>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23.评标过程的保密与公正</w:t>
      </w:r>
      <w:r>
        <w:rPr>
          <w:rFonts w:hint="eastAsia" w:ascii="宋体" w:hAnsi="宋体" w:eastAsia="宋体"/>
          <w:bCs w:val="0"/>
          <w:color w:val="000000"/>
          <w:highlight w:val="none"/>
        </w:rPr>
      </w:r>
      <w:r/>
    </w:p>
    <w:p>
      <w:pPr>
        <w:pStyle w:val="668"/>
        <w:ind w:firstLine="480"/>
        <w:spacing w:line="500" w:lineRule="exact"/>
        <w:rPr>
          <w:rFonts w:hint="eastAsia" w:ascii="宋体" w:hAnsi="宋体"/>
          <w:bCs/>
          <w:color w:val="000000"/>
          <w:sz w:val="24"/>
          <w:highlight w:val="none"/>
        </w:rPr>
      </w:pPr>
      <w:r/>
      <w:bookmarkEnd w:id="149"/>
      <w:r/>
      <w:bookmarkEnd w:id="150"/>
      <w:r/>
      <w:bookmarkEnd w:id="151"/>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凡是与审查、澄清、评价和比较投标的有关资料以及授标建议等，采购人、评委、交易中心均不得向投标人或与评标无关的其他人员透露。</w:t>
      </w:r>
      <w:r>
        <w:rPr>
          <w:rFonts w:hint="eastAsia" w:ascii="宋体" w:hAnsi="宋体"/>
          <w:bCs/>
          <w:color w:val="000000"/>
          <w:sz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rFonts w:hint="eastAsia" w:ascii="宋体" w:hAnsi="宋体"/>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交易中心和评标委员会不向未中标的投标人解释未中标原因，也不公布评标过程中的相关细节。</w:t>
      </w:r>
      <w:r>
        <w:rPr>
          <w:rFonts w:hint="eastAsia" w:ascii="宋体" w:hAnsi="宋体"/>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23.4采用综合评分法的项目，未中标的投标人可于中标结果公告发布后通过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rPr>
          <w:rFonts w:hint="eastAsia" w:ascii="宋体" w:hAnsi="宋体"/>
          <w:color w:val="000000"/>
          <w:sz w:val="24"/>
          <w:szCs w:val="24"/>
          <w:highlight w:val="none"/>
        </w:rPr>
      </w:r>
      <w:r/>
    </w:p>
    <w:p>
      <w:pPr>
        <w:pStyle w:val="672"/>
        <w:ind w:firstLine="422"/>
        <w:keepLines w:val="0"/>
        <w:keepNext w:val="0"/>
        <w:spacing w:before="0" w:after="0" w:line="500" w:lineRule="exact"/>
        <w:rPr>
          <w:rFonts w:hint="eastAsia" w:ascii="宋体" w:hAnsi="宋体" w:eastAsia="宋体"/>
          <w:bCs w:val="0"/>
          <w:color w:val="000000"/>
          <w:highlight w:val="none"/>
        </w:rPr>
      </w:pPr>
      <w:r/>
      <w:bookmarkStart w:id="152" w:name="_Toc513029232"/>
      <w:r/>
      <w:bookmarkStart w:id="153" w:name="_Toc20823304"/>
      <w:r/>
      <w:bookmarkStart w:id="154" w:name="_Toc16938548"/>
      <w:r>
        <w:rPr>
          <w:rFonts w:hint="eastAsia" w:ascii="宋体" w:hAnsi="宋体" w:eastAsia="宋体"/>
          <w:bCs w:val="0"/>
          <w:color w:val="000000"/>
          <w:highlight w:val="none"/>
        </w:rPr>
        <w:t xml:space="preserve">24.投标文件的澄清</w:t>
      </w:r>
      <w:bookmarkEnd w:id="152"/>
      <w:r/>
      <w:bookmarkEnd w:id="153"/>
      <w:r/>
      <w:bookmarkEnd w:id="154"/>
      <w:r>
        <w:rPr>
          <w:rFonts w:hint="eastAsia" w:ascii="宋体" w:hAnsi="宋体" w:eastAsia="宋体"/>
          <w:bCs w:val="0"/>
          <w:color w:val="000000"/>
          <w:highlight w:val="none"/>
        </w:rPr>
      </w:r>
      <w:r/>
    </w:p>
    <w:p>
      <w:pPr>
        <w:pStyle w:val="668"/>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highlight w:val="none"/>
        </w:rPr>
      </w:r>
      <w:r/>
    </w:p>
    <w:p>
      <w:pPr>
        <w:pStyle w:val="668"/>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rPr>
          <w:rFonts w:hint="eastAsia" w:ascii="宋体" w:hAnsi="宋体"/>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24.3接到评委会澄清、说明和补正要求的投标人如未按规定及时做出澄清、说明和补正，其风险由投标人自行承担。</w:t>
      </w:r>
      <w:r>
        <w:rPr>
          <w:rFonts w:hint="eastAsia" w:ascii="宋体" w:hAnsi="宋体"/>
          <w:color w:val="000000"/>
          <w:sz w:val="24"/>
          <w:szCs w:val="24"/>
          <w:highlight w:val="none"/>
        </w:rPr>
      </w:r>
      <w:r/>
    </w:p>
    <w:p>
      <w:pPr>
        <w:pStyle w:val="672"/>
        <w:ind w:firstLine="422"/>
        <w:keepLines w:val="0"/>
        <w:keepNext w:val="0"/>
        <w:spacing w:before="0" w:after="0" w:line="500" w:lineRule="exact"/>
        <w:rPr>
          <w:rFonts w:hint="eastAsia" w:ascii="宋体" w:hAnsi="宋体" w:eastAsia="宋体"/>
          <w:bCs w:val="0"/>
          <w:color w:val="000000"/>
          <w:highlight w:val="none"/>
        </w:rPr>
      </w:pPr>
      <w:r/>
      <w:bookmarkStart w:id="155" w:name="_Toc513029233"/>
      <w:r/>
      <w:bookmarkStart w:id="156" w:name="_Toc20823305"/>
      <w:r/>
      <w:bookmarkStart w:id="157" w:name="_Toc16938549"/>
      <w:r>
        <w:rPr>
          <w:rFonts w:hint="eastAsia" w:ascii="宋体" w:hAnsi="宋体" w:eastAsia="宋体"/>
          <w:bCs w:val="0"/>
          <w:color w:val="000000"/>
          <w:highlight w:val="none"/>
        </w:rPr>
        <w:t xml:space="preserve">25.对投标文件的初审</w:t>
      </w:r>
      <w:bookmarkEnd w:id="155"/>
      <w:r/>
      <w:bookmarkEnd w:id="156"/>
      <w:r/>
      <w:bookmarkEnd w:id="157"/>
      <w:r>
        <w:rPr>
          <w:rFonts w:hint="eastAsia" w:ascii="宋体" w:hAnsi="宋体" w:eastAsia="宋体"/>
          <w:bCs w:val="0"/>
          <w:color w:val="000000"/>
          <w:highlight w:val="none"/>
        </w:rPr>
      </w:r>
      <w:r/>
    </w:p>
    <w:p>
      <w:pPr>
        <w:pStyle w:val="668"/>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rPr>
          <w:rFonts w:hint="eastAsia" w:ascii="宋体" w:hAnsi="宋体"/>
          <w:bCs/>
          <w:color w:val="000000"/>
          <w:sz w:val="24"/>
          <w:highlight w:val="none"/>
        </w:rPr>
      </w:r>
      <w:r/>
    </w:p>
    <w:p>
      <w:pPr>
        <w:pStyle w:val="668"/>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25.1.1资格审查：依据法律法规和招标文件的规定，由采购人对投标文件中的资格证明文件进行审查。</w:t>
      </w:r>
      <w:r>
        <w:rPr>
          <w:rFonts w:hint="eastAsia" w:ascii="宋体" w:hAnsi="宋体"/>
          <w:bCs/>
          <w:color w:val="000000"/>
          <w:sz w:val="24"/>
          <w:highlight w:val="none"/>
        </w:rPr>
      </w:r>
      <w:r/>
    </w:p>
    <w:p>
      <w:pPr>
        <w:pStyle w:val="668"/>
        <w:ind w:firstLine="48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采购人在进行资格审查的同时，将</w:t>
      </w:r>
      <w:r>
        <w:rPr>
          <w:rFonts w:hint="eastAsia" w:ascii="宋体" w:hAnsi="宋体" w:cs="宋体"/>
          <w:bCs/>
          <w:color w:val="000000"/>
          <w:sz w:val="24"/>
          <w:szCs w:val="24"/>
          <w:highlight w:val="none"/>
        </w:rPr>
        <w:t xml:space="preserve">通过“信用中国”网站（</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HYPERLINK "http://www.creditchina.gov.cn"</w:instrText>
      </w:r>
      <w:r>
        <w:rPr>
          <w:rFonts w:hint="eastAsia" w:ascii="宋体" w:hAnsi="宋体" w:cs="宋体"/>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color w:val="000000"/>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中国政府采购网（www.ccgp.gov.cn）</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失信被执行人、重大税收违法案件当事人名单、政府采购严重违法失信行为记录名单，</w:t>
      </w:r>
      <w:r>
        <w:rPr>
          <w:rFonts w:hint="eastAsia" w:ascii="宋体" w:hAnsi="宋体" w:cs="宋体"/>
          <w:bCs/>
          <w:color w:val="000000"/>
          <w:sz w:val="24"/>
          <w:highlight w:val="none"/>
        </w:rPr>
        <w:t xml:space="preserve">以确定投标供应商是否具备投标资格。</w:t>
      </w:r>
      <w:r>
        <w:rPr>
          <w:rFonts w:hint="eastAsia" w:ascii="宋体" w:hAnsi="宋体" w:cs="宋体"/>
          <w:color w:val="000000"/>
          <w:sz w:val="24"/>
          <w:szCs w:val="24"/>
          <w:highlight w:val="none"/>
        </w:rPr>
        <w:t xml:space="preserve">查询结果留存并归档。</w:t>
      </w:r>
      <w:r>
        <w:rPr>
          <w:rFonts w:hint="eastAsia" w:ascii="宋体" w:hAnsi="宋体" w:cs="宋体"/>
          <w:bCs/>
          <w:color w:val="000000"/>
          <w:sz w:val="24"/>
          <w:highlight w:val="none"/>
        </w:rPr>
      </w:r>
      <w:r/>
    </w:p>
    <w:p>
      <w:pPr>
        <w:pStyle w:val="668"/>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color w:val="000000"/>
          <w:sz w:val="24"/>
          <w:highlight w:val="none"/>
        </w:rPr>
      </w:r>
      <w:r/>
    </w:p>
    <w:p>
      <w:pPr>
        <w:pStyle w:val="668"/>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highlight w:val="none"/>
        </w:rPr>
      </w:r>
      <w:r/>
    </w:p>
    <w:p>
      <w:pPr>
        <w:pStyle w:val="668"/>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rPr>
          <w:rFonts w:hint="eastAsia" w:ascii="宋体" w:hAnsi="宋体"/>
          <w:bCs/>
          <w:color w:val="000000"/>
          <w:sz w:val="24"/>
          <w:highlight w:val="none"/>
        </w:rPr>
      </w:r>
      <w:r/>
    </w:p>
    <w:p>
      <w:pPr>
        <w:pStyle w:val="668"/>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highlight w:val="none"/>
        </w:rPr>
      </w:r>
      <w:r/>
    </w:p>
    <w:p>
      <w:pPr>
        <w:pStyle w:val="668"/>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highlight w:val="none"/>
        </w:rPr>
      </w:r>
      <w:r/>
    </w:p>
    <w:p>
      <w:pPr>
        <w:pStyle w:val="668"/>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rPr>
          <w:rFonts w:ascii="宋体" w:hAnsi="宋体"/>
          <w:color w:val="000000"/>
          <w:sz w:val="24"/>
          <w:highlight w:val="none"/>
        </w:rPr>
      </w:r>
      <w:r/>
    </w:p>
    <w:p>
      <w:pPr>
        <w:pStyle w:val="668"/>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rPr>
          <w:rFonts w:hint="eastAsia" w:ascii="宋体" w:hAnsi="宋体"/>
          <w:bCs/>
          <w:color w:val="000000"/>
          <w:sz w:val="24"/>
          <w:highlight w:val="none"/>
        </w:rPr>
      </w:r>
      <w:r/>
    </w:p>
    <w:p>
      <w:pPr>
        <w:pStyle w:val="668"/>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rPr>
          <w:rFonts w:ascii="宋体" w:hAnsi="宋体"/>
          <w:bCs/>
          <w:color w:val="000000"/>
          <w:sz w:val="24"/>
          <w:highlight w:val="none"/>
        </w:rPr>
      </w:r>
      <w:r/>
    </w:p>
    <w:p>
      <w:pPr>
        <w:pStyle w:val="668"/>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rPr>
          <w:rFonts w:ascii="宋体" w:hAnsi="宋体"/>
          <w:bCs/>
          <w:color w:val="000000"/>
          <w:sz w:val="24"/>
          <w:highlight w:val="none"/>
        </w:rPr>
      </w:r>
      <w:r/>
    </w:p>
    <w:p>
      <w:pPr>
        <w:pStyle w:val="668"/>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rPr>
          <w:rFonts w:ascii="宋体" w:hAnsi="宋体"/>
          <w:bCs/>
          <w:color w:val="000000"/>
          <w:sz w:val="24"/>
          <w:highlight w:val="none"/>
        </w:rPr>
      </w:r>
      <w:r/>
    </w:p>
    <w:p>
      <w:pPr>
        <w:pStyle w:val="668"/>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rPr>
          <w:rFonts w:hint="eastAsia" w:ascii="宋体" w:hAnsi="宋体"/>
          <w:bCs/>
          <w:color w:val="000000"/>
          <w:sz w:val="24"/>
          <w:highlight w:val="none"/>
        </w:rPr>
      </w:r>
      <w:r/>
    </w:p>
    <w:p>
      <w:pPr>
        <w:pStyle w:val="668"/>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rPr>
          <w:rFonts w:hint="eastAsia" w:ascii="宋体" w:hAnsi="宋体"/>
          <w:bCs/>
          <w:color w:val="000000"/>
          <w:sz w:val="24"/>
          <w:highlight w:val="none"/>
        </w:rPr>
      </w:r>
      <w:r/>
    </w:p>
    <w:p>
      <w:pPr>
        <w:pStyle w:val="668"/>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rPr>
          <w:rFonts w:ascii="宋体" w:hAnsi="宋体"/>
          <w:bCs/>
          <w:color w:val="000000"/>
          <w:sz w:val="24"/>
          <w:highlight w:val="none"/>
        </w:rPr>
      </w:r>
      <w:r/>
    </w:p>
    <w:p>
      <w:pPr>
        <w:pStyle w:val="668"/>
        <w:ind w:firstLine="420"/>
        <w:spacing w:line="500" w:lineRule="exact"/>
        <w:rPr>
          <w:rFonts w:hint="eastAsia" w:ascii="宋体" w:hAnsi="宋体"/>
          <w:color w:val="000000"/>
          <w:sz w:val="24"/>
          <w:highlight w:val="none"/>
        </w:rPr>
      </w:pPr>
      <w:r/>
      <w:bookmarkStart w:id="158" w:name="_Toc513029234"/>
      <w:r/>
      <w:bookmarkStart w:id="159" w:name="_Toc20823306"/>
      <w:r/>
      <w:bookmarkStart w:id="160" w:name="_Toc16938550"/>
      <w:r>
        <w:rPr>
          <w:rFonts w:hint="eastAsia" w:ascii="宋体" w:hAnsi="宋体"/>
          <w:color w:val="000000"/>
          <w:sz w:val="24"/>
          <w:highlight w:val="none"/>
        </w:rPr>
        <w:t xml:space="preserve">25.6投标人在开、评标全过程中应保持通信畅通，及时登录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rPr>
          <w:rFonts w:hint="eastAsia" w:ascii="宋体" w:hAnsi="宋体"/>
          <w:color w:val="000000"/>
          <w:sz w:val="24"/>
          <w:highlight w:val="none"/>
        </w:rPr>
      </w:r>
      <w:r/>
    </w:p>
    <w:p>
      <w:pPr>
        <w:pStyle w:val="66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rPr>
          <w:rFonts w:hint="eastAsia" w:ascii="宋体" w:hAnsi="宋体"/>
          <w:color w:val="000000"/>
          <w:sz w:val="24"/>
          <w:highlight w:val="none"/>
        </w:rPr>
      </w:r>
      <w:r/>
    </w:p>
    <w:p>
      <w:pPr>
        <w:pStyle w:val="66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none"/>
        </w:rPr>
      </w:r>
      <w:r/>
    </w:p>
    <w:p>
      <w:pPr>
        <w:pStyle w:val="66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none"/>
        </w:rPr>
      </w:r>
      <w:r/>
    </w:p>
    <w:p>
      <w:pPr>
        <w:pStyle w:val="66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none"/>
        </w:rPr>
      </w:r>
      <w:r/>
    </w:p>
    <w:p>
      <w:pPr>
        <w:pStyle w:val="66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rPr>
          <w:rFonts w:hint="eastAsia" w:ascii="宋体" w:hAnsi="宋体"/>
          <w:color w:val="000000"/>
          <w:sz w:val="24"/>
          <w:highlight w:val="none"/>
        </w:rPr>
      </w:r>
      <w:r/>
    </w:p>
    <w:p>
      <w:pPr>
        <w:pStyle w:val="66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rPr>
          <w:rFonts w:hint="eastAsia" w:ascii="宋体" w:hAnsi="宋体"/>
          <w:color w:val="000000"/>
          <w:sz w:val="24"/>
          <w:highlight w:val="none"/>
        </w:rPr>
      </w:r>
      <w:r/>
    </w:p>
    <w:p>
      <w:pPr>
        <w:pStyle w:val="66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rPr>
          <w:rFonts w:hint="eastAsia" w:ascii="宋体" w:hAnsi="宋体"/>
          <w:color w:val="000000"/>
          <w:sz w:val="24"/>
          <w:highlight w:val="none"/>
        </w:rPr>
      </w:r>
      <w:r/>
    </w:p>
    <w:p>
      <w:pPr>
        <w:pStyle w:val="66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none"/>
        </w:rPr>
      </w:r>
      <w:r/>
    </w:p>
    <w:p>
      <w:pPr>
        <w:pStyle w:val="66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none"/>
        </w:rPr>
      </w:r>
      <w:r/>
    </w:p>
    <w:p>
      <w:pPr>
        <w:pStyle w:val="66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p>
    <w:p>
      <w:pPr>
        <w:pStyle w:val="66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none"/>
        </w:rPr>
      </w:r>
      <w:r/>
    </w:p>
    <w:p>
      <w:pPr>
        <w:pStyle w:val="66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财政部门在投诉处理、监督检查中发现评审委员会未按规定对异常低价开展审查的，依法予以纠正并追究评审专家的法律责任。</w:t>
      </w:r>
      <w:r>
        <w:rPr>
          <w:rFonts w:hint="eastAsia" w:ascii="宋体" w:hAnsi="宋体"/>
          <w:color w:val="000000"/>
          <w:sz w:val="24"/>
          <w:highlight w:val="none"/>
        </w:rPr>
      </w:r>
      <w:r/>
    </w:p>
    <w:p>
      <w:pPr>
        <w:pStyle w:val="672"/>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26</w:t>
      </w:r>
      <w:bookmarkEnd w:id="158"/>
      <w:r/>
      <w:bookmarkEnd w:id="159"/>
      <w:r/>
      <w:bookmarkEnd w:id="160"/>
      <w:r>
        <w:rPr>
          <w:rFonts w:hint="eastAsia" w:ascii="宋体" w:hAnsi="宋体" w:eastAsia="宋体"/>
          <w:bCs w:val="0"/>
          <w:color w:val="000000"/>
          <w:highlight w:val="none"/>
        </w:rPr>
        <w:t xml:space="preserve">.无效投标条款和废标条款</w:t>
      </w:r>
      <w:r>
        <w:rPr>
          <w:rFonts w:hint="eastAsia" w:ascii="宋体" w:hAnsi="宋体" w:eastAsia="宋体"/>
          <w:bCs w:val="0"/>
          <w:color w:val="000000"/>
          <w:highlight w:val="none"/>
        </w:rPr>
      </w:r>
      <w:r/>
    </w:p>
    <w:p>
      <w:pPr>
        <w:pStyle w:val="668"/>
        <w:ind w:left="479"/>
        <w:spacing w:line="500" w:lineRule="exact"/>
        <w:rPr>
          <w:rFonts w:hint="eastAsia" w:ascii="宋体" w:hAnsi="宋体"/>
          <w:bCs/>
          <w:color w:val="000000"/>
          <w:sz w:val="24"/>
          <w:highlight w:val="none"/>
        </w:rPr>
      </w:pPr>
      <w:r/>
      <w:bookmarkStart w:id="161" w:name="_Toc20823307"/>
      <w:r/>
      <w:bookmarkStart w:id="162" w:name="_Toc513029235"/>
      <w:r/>
      <w:bookmarkStart w:id="163" w:name="_Toc16938551"/>
      <w:r>
        <w:rPr>
          <w:rFonts w:hint="eastAsia" w:ascii="宋体" w:hAnsi="宋体"/>
          <w:bCs/>
          <w:color w:val="000000"/>
          <w:sz w:val="24"/>
          <w:highlight w:val="none"/>
        </w:rPr>
        <w:t xml:space="preserve">26.1无效投标条款</w:t>
      </w:r>
      <w:r>
        <w:rPr>
          <w:rFonts w:hint="eastAsia" w:ascii="宋体" w:hAnsi="宋体"/>
          <w:bCs/>
          <w:color w:val="000000"/>
          <w:sz w:val="24"/>
          <w:highlight w:val="none"/>
        </w:rPr>
      </w:r>
      <w:r/>
    </w:p>
    <w:p>
      <w:pPr>
        <w:pStyle w:val="668"/>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rPr>
          <w:rFonts w:hint="eastAsia" w:ascii="宋体" w:hAnsi="宋体"/>
          <w:bCs/>
          <w:color w:val="000000"/>
          <w:sz w:val="24"/>
          <w:szCs w:val="24"/>
          <w:highlight w:val="none"/>
        </w:rPr>
      </w:r>
      <w:r/>
    </w:p>
    <w:p>
      <w:pPr>
        <w:pStyle w:val="668"/>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26.1.2投标人在“苏采云”系统规定的时间内未成功解密电子投标文件的。</w:t>
      </w:r>
      <w:r>
        <w:rPr>
          <w:rFonts w:hint="eastAsia" w:ascii="宋体" w:hAnsi="宋体"/>
          <w:bCs/>
          <w:color w:val="000000"/>
          <w:sz w:val="24"/>
          <w:szCs w:val="24"/>
          <w:highlight w:val="none"/>
        </w:rPr>
      </w:r>
      <w:r/>
    </w:p>
    <w:p>
      <w:pPr>
        <w:pStyle w:val="668"/>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投标人未按照招标文件要求上传电子投标文件、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rPr>
          <w:rFonts w:hint="eastAsia" w:ascii="宋体" w:hAnsi="宋体"/>
          <w:bCs/>
          <w:color w:val="000000"/>
          <w:sz w:val="24"/>
          <w:szCs w:val="24"/>
          <w:highlight w:val="none"/>
        </w:rPr>
      </w:r>
      <w:r/>
    </w:p>
    <w:p>
      <w:pPr>
        <w:pStyle w:val="668"/>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电子投标文件未按招标文件要求签章的。</w:t>
      </w:r>
      <w:r>
        <w:rPr>
          <w:rFonts w:hint="eastAsia" w:ascii="宋体" w:hAnsi="宋体"/>
          <w:bCs/>
          <w:color w:val="000000"/>
          <w:sz w:val="24"/>
          <w:szCs w:val="24"/>
          <w:highlight w:val="none"/>
        </w:rPr>
      </w:r>
      <w:r/>
    </w:p>
    <w:p>
      <w:pPr>
        <w:pStyle w:val="668"/>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26.1.5投标人的被授权代表无授权委托书或授权委托日期晚于投标截止日期的。</w:t>
      </w:r>
      <w:r>
        <w:rPr>
          <w:rFonts w:hint="eastAsia" w:ascii="宋体" w:hAnsi="宋体"/>
          <w:bCs/>
          <w:color w:val="000000"/>
          <w:sz w:val="24"/>
          <w:szCs w:val="24"/>
          <w:highlight w:val="none"/>
        </w:rPr>
      </w:r>
      <w:r/>
    </w:p>
    <w:p>
      <w:pPr>
        <w:pStyle w:val="668"/>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26.1.6投标人不具备招标文件中规定的资格要求或未按招标文件规定的要求提供资格证明文件的。</w:t>
      </w:r>
      <w:r>
        <w:rPr>
          <w:rFonts w:hint="eastAsia" w:ascii="宋体" w:hAnsi="宋体"/>
          <w:bCs/>
          <w:color w:val="000000"/>
          <w:sz w:val="24"/>
          <w:szCs w:val="24"/>
          <w:highlight w:val="none"/>
        </w:rPr>
      </w:r>
      <w:r/>
    </w:p>
    <w:p>
      <w:pPr>
        <w:pStyle w:val="668"/>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同一投标人提交两种（含两种）以上不同的投标报价的。</w:t>
      </w:r>
      <w:r>
        <w:rPr>
          <w:rFonts w:hint="eastAsia" w:ascii="宋体" w:hAnsi="宋体"/>
          <w:bCs/>
          <w:color w:val="000000"/>
          <w:sz w:val="24"/>
          <w:szCs w:val="24"/>
          <w:highlight w:val="none"/>
        </w:rPr>
      </w:r>
      <w:r/>
    </w:p>
    <w:p>
      <w:pPr>
        <w:pStyle w:val="668"/>
        <w:ind w:firstLine="480"/>
        <w:spacing w:line="50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26.1.8投标人被“信用中国”网站（</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HYPERLINK "http://www.creditchina.gov.cn" </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www.creditchina.gov.cn</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）、中国政府采购网（www.ccgp.gov.cn）</w:t>
      </w:r>
      <w:r>
        <w:rPr>
          <w:rFonts w:hint="eastAsia" w:ascii="宋体" w:hAnsi="宋体"/>
          <w:color w:val="000000"/>
          <w:sz w:val="24"/>
          <w:szCs w:val="24"/>
          <w:highlight w:val="none"/>
        </w:rPr>
        <w:t xml:space="preserve">列入失信被执行人或重大税收违法案件当事人名单或政府采购严重违法失信行为记录名单的。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rPr>
          <w:rFonts w:hint="eastAsia" w:ascii="宋体" w:hAnsi="宋体"/>
          <w:bCs/>
          <w:color w:val="000000"/>
          <w:sz w:val="24"/>
          <w:szCs w:val="24"/>
          <w:highlight w:val="none"/>
        </w:rPr>
      </w:r>
      <w:r/>
    </w:p>
    <w:p>
      <w:pPr>
        <w:pStyle w:val="668"/>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26.1.9投标文件未按招标文件规定的内容和要求填写的。</w:t>
      </w:r>
      <w:r>
        <w:rPr>
          <w:rFonts w:hint="eastAsia" w:ascii="宋体" w:hAnsi="宋体"/>
          <w:bCs/>
          <w:color w:val="000000"/>
          <w:sz w:val="24"/>
          <w:szCs w:val="24"/>
          <w:highlight w:val="none"/>
        </w:rPr>
      </w:r>
      <w:r/>
    </w:p>
    <w:p>
      <w:pPr>
        <w:pStyle w:val="668"/>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项目（采购包、标项、标段）投标总价超过本项目（本采购包、本标项、本标段）预算或最高限价的。</w:t>
      </w:r>
      <w:r>
        <w:rPr>
          <w:rFonts w:hint="eastAsia" w:ascii="宋体" w:hAnsi="宋体"/>
          <w:bCs/>
          <w:color w:val="000000"/>
          <w:sz w:val="24"/>
          <w:szCs w:val="24"/>
          <w:highlight w:val="none"/>
        </w:rPr>
      </w:r>
      <w:r/>
    </w:p>
    <w:p>
      <w:pPr>
        <w:pStyle w:val="668"/>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rPr>
          <w:rFonts w:hint="eastAsia" w:ascii="宋体" w:hAnsi="宋体"/>
          <w:bCs/>
          <w:color w:val="000000"/>
          <w:sz w:val="24"/>
          <w:szCs w:val="24"/>
          <w:highlight w:val="none"/>
        </w:rPr>
      </w:r>
      <w:r/>
    </w:p>
    <w:p>
      <w:pPr>
        <w:pStyle w:val="668"/>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26.1.12投标文件含有采购人不能接受的附加条件的。</w:t>
      </w:r>
      <w:r>
        <w:rPr>
          <w:rFonts w:hint="eastAsia" w:ascii="宋体" w:hAnsi="宋体"/>
          <w:bCs/>
          <w:color w:val="000000"/>
          <w:sz w:val="24"/>
          <w:szCs w:val="24"/>
          <w:highlight w:val="none"/>
        </w:rPr>
      </w:r>
      <w:r/>
    </w:p>
    <w:p>
      <w:pPr>
        <w:pStyle w:val="668"/>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26.1.13电子投标文件图片、字迹模糊不清、无法辨认导致无法评审的。</w:t>
      </w:r>
      <w:r>
        <w:rPr>
          <w:rFonts w:hint="eastAsia" w:ascii="宋体" w:hAnsi="宋体"/>
          <w:bCs/>
          <w:color w:val="000000"/>
          <w:sz w:val="24"/>
          <w:szCs w:val="24"/>
          <w:highlight w:val="none"/>
        </w:rPr>
      </w:r>
      <w:r/>
    </w:p>
    <w:p>
      <w:pPr>
        <w:pStyle w:val="668"/>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26.1.14投标文件中有招标文件未允许提供的选择性内容。</w:t>
      </w:r>
      <w:r>
        <w:rPr>
          <w:rFonts w:hint="eastAsia" w:ascii="宋体" w:hAnsi="宋体"/>
          <w:bCs/>
          <w:color w:val="000000"/>
          <w:sz w:val="24"/>
          <w:szCs w:val="24"/>
          <w:highlight w:val="none"/>
        </w:rPr>
      </w:r>
      <w:r/>
    </w:p>
    <w:p>
      <w:pPr>
        <w:pStyle w:val="668"/>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不同投标人委托同一单位或者个人办理投标事宜的。</w:t>
      </w:r>
      <w:r>
        <w:rPr>
          <w:rFonts w:hint="eastAsia" w:ascii="宋体" w:hAnsi="宋体"/>
          <w:bCs/>
          <w:color w:val="000000"/>
          <w:sz w:val="24"/>
          <w:szCs w:val="24"/>
          <w:highlight w:val="none"/>
        </w:rPr>
      </w:r>
      <w:r/>
    </w:p>
    <w:p>
      <w:pPr>
        <w:pStyle w:val="668"/>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不同投标人的单位负责人为同一人或者存在直接控股、管理关系的。</w:t>
      </w:r>
      <w:r>
        <w:rPr>
          <w:rFonts w:hint="eastAsia" w:ascii="宋体" w:hAnsi="宋体"/>
          <w:bCs/>
          <w:color w:val="000000"/>
          <w:sz w:val="24"/>
          <w:highlight w:val="none"/>
        </w:rPr>
      </w:r>
      <w:r/>
    </w:p>
    <w:p>
      <w:pPr>
        <w:pStyle w:val="668"/>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color w:val="000000"/>
          <w:sz w:val="24"/>
          <w:szCs w:val="24"/>
          <w:highlight w:val="none"/>
        </w:rPr>
      </w:r>
      <w:r/>
    </w:p>
    <w:p>
      <w:pPr>
        <w:pStyle w:val="668"/>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color w:val="000000"/>
          <w:sz w:val="24"/>
          <w:szCs w:val="24"/>
          <w:highlight w:val="none"/>
        </w:rPr>
      </w:r>
      <w:r/>
    </w:p>
    <w:p>
      <w:pPr>
        <w:pStyle w:val="668"/>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color w:val="000000"/>
          <w:sz w:val="24"/>
          <w:highlight w:val="none"/>
        </w:rPr>
      </w:r>
      <w:r/>
    </w:p>
    <w:p>
      <w:pPr>
        <w:pStyle w:val="668"/>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rPr>
          <w:rFonts w:hint="eastAsia" w:ascii="宋体" w:hAnsi="宋体"/>
          <w:bCs/>
          <w:color w:val="000000"/>
          <w:sz w:val="24"/>
          <w:highlight w:val="none"/>
        </w:rPr>
      </w:r>
      <w:r/>
    </w:p>
    <w:p>
      <w:pPr>
        <w:pStyle w:val="668"/>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26.1.21</w:t>
      </w:r>
      <w:r>
        <w:rPr>
          <w:rFonts w:hint="eastAsia" w:ascii="宋体" w:hAnsi="宋体"/>
          <w:bCs/>
          <w:color w:val="000000"/>
          <w:sz w:val="24"/>
          <w:szCs w:val="24"/>
          <w:highlight w:val="none"/>
        </w:rPr>
        <w:t xml:space="preserve">除单一来源采购项目外，为采购项目提供整体设计、规范编制或者项目管理、监理、检测等服务的。</w:t>
      </w:r>
      <w:r>
        <w:rPr>
          <w:rFonts w:hint="eastAsia" w:ascii="宋体" w:hAnsi="宋体"/>
          <w:bCs/>
          <w:color w:val="000000"/>
          <w:sz w:val="24"/>
          <w:highlight w:val="none"/>
        </w:rPr>
      </w:r>
      <w:r/>
    </w:p>
    <w:p>
      <w:pPr>
        <w:pStyle w:val="668"/>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26.1.22评标委员会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bCs/>
          <w:color w:val="000000"/>
          <w:sz w:val="24"/>
          <w:szCs w:val="24"/>
          <w:highlight w:val="none"/>
        </w:rPr>
      </w:r>
      <w:r/>
    </w:p>
    <w:p>
      <w:pPr>
        <w:pStyle w:val="668"/>
        <w:ind w:firstLine="480"/>
        <w:spacing w:line="500" w:lineRule="exact"/>
        <w:rPr>
          <w:rFonts w:hint="eastAsia" w:ascii="宋体" w:hAnsi="宋体"/>
          <w:bCs/>
          <w:color w:val="000000"/>
          <w:sz w:val="24"/>
          <w:highlight w:val="none"/>
        </w:rPr>
      </w:pPr>
      <w:r>
        <w:rPr>
          <w:rFonts w:hint="eastAsia" w:ascii="宋体" w:hAnsi="宋体"/>
          <w:bCs/>
          <w:color w:val="000000"/>
          <w:sz w:val="24"/>
          <w:szCs w:val="24"/>
          <w:highlight w:val="none"/>
        </w:rPr>
        <w:t xml:space="preserve">26.1.23投标文件内容不全或不符合招标文件中规定的其他实质性要求和条件的。</w:t>
      </w:r>
      <w:r>
        <w:rPr>
          <w:rFonts w:hint="eastAsia" w:ascii="宋体" w:hAnsi="宋体"/>
          <w:bCs/>
          <w:color w:val="000000"/>
          <w:sz w:val="24"/>
          <w:highlight w:val="none"/>
        </w:rPr>
      </w:r>
      <w:r/>
    </w:p>
    <w:p>
      <w:pPr>
        <w:pStyle w:val="668"/>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rPr>
          <w:rFonts w:hint="eastAsia" w:ascii="宋体" w:hAnsi="宋体"/>
          <w:bCs/>
          <w:color w:val="000000"/>
          <w:sz w:val="24"/>
          <w:highlight w:val="none"/>
        </w:rPr>
      </w:r>
      <w:r/>
    </w:p>
    <w:p>
      <w:pPr>
        <w:pStyle w:val="668"/>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26.1.25其他法律法规及本招标文件规定的属于无效投标的情形。</w:t>
      </w:r>
      <w:r>
        <w:rPr>
          <w:rFonts w:hint="eastAsia" w:ascii="宋体" w:hAnsi="宋体"/>
          <w:bCs/>
          <w:color w:val="000000"/>
          <w:sz w:val="24"/>
          <w:highlight w:val="none"/>
        </w:rPr>
      </w:r>
      <w:r/>
    </w:p>
    <w:p>
      <w:pPr>
        <w:pStyle w:val="668"/>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26.2废标条款</w:t>
      </w:r>
      <w:r>
        <w:rPr>
          <w:rFonts w:hint="eastAsia" w:ascii="宋体" w:hAnsi="宋体"/>
          <w:bCs/>
          <w:color w:val="000000"/>
          <w:sz w:val="24"/>
          <w:highlight w:val="none"/>
        </w:rPr>
      </w:r>
      <w:r/>
    </w:p>
    <w:p>
      <w:pPr>
        <w:pStyle w:val="668"/>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26.2.1符合专业条件的供应商或者对招标文件作实质响应的供应商不足三家的。26.2.2出现影响采购公正的违法、违规行为的。</w:t>
      </w:r>
      <w:r>
        <w:rPr>
          <w:rFonts w:hint="eastAsia" w:ascii="宋体" w:hAnsi="宋体"/>
          <w:bCs/>
          <w:color w:val="000000"/>
          <w:sz w:val="24"/>
          <w:highlight w:val="none"/>
        </w:rPr>
      </w:r>
      <w:r/>
    </w:p>
    <w:p>
      <w:pPr>
        <w:pStyle w:val="668"/>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26.2.3因重大变故，采购任务取消的。</w:t>
      </w:r>
      <w:r>
        <w:rPr>
          <w:rFonts w:hint="eastAsia" w:ascii="宋体" w:hAnsi="宋体"/>
          <w:bCs/>
          <w:color w:val="000000"/>
          <w:sz w:val="24"/>
          <w:highlight w:val="none"/>
        </w:rPr>
      </w:r>
      <w:r/>
    </w:p>
    <w:p>
      <w:pPr>
        <w:pStyle w:val="668"/>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26.2.4评标委员会认定招标文件存在歧义、重大缺陷导致评审工作无法进行。</w:t>
      </w:r>
      <w:r>
        <w:rPr>
          <w:rFonts w:ascii="宋体" w:hAnsi="宋体"/>
          <w:bCs/>
          <w:color w:val="000000"/>
          <w:sz w:val="24"/>
          <w:highlight w:val="none"/>
        </w:rPr>
      </w:r>
      <w:r/>
    </w:p>
    <w:p>
      <w:pPr>
        <w:pStyle w:val="668"/>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26.2.5 因</w:t>
      </w:r>
      <w:r>
        <w:rPr>
          <w:rFonts w:hint="eastAsia" w:ascii="宋体" w:hAnsi="宋体"/>
          <w:bCs/>
          <w:color w:val="000000"/>
          <w:sz w:val="24"/>
          <w:szCs w:val="24"/>
          <w:highlight w:val="none"/>
        </w:rPr>
        <w:t xml:space="preserve">“苏采云”系统</w:t>
      </w:r>
      <w:r>
        <w:rPr>
          <w:rFonts w:ascii="宋体" w:hAnsi="宋体"/>
          <w:bCs/>
          <w:color w:val="000000"/>
          <w:sz w:val="24"/>
          <w:highlight w:val="none"/>
        </w:rPr>
        <w:t xml:space="preserve">故障原因造成开标不成功</w:t>
      </w:r>
      <w:r>
        <w:rPr>
          <w:rFonts w:hint="eastAsia" w:ascii="宋体" w:hAnsi="宋体"/>
          <w:bCs/>
          <w:color w:val="000000"/>
          <w:sz w:val="24"/>
          <w:highlight w:val="none"/>
        </w:rPr>
        <w:t xml:space="preserve">的。</w:t>
      </w:r>
      <w:r>
        <w:rPr>
          <w:rFonts w:hint="eastAsia" w:ascii="宋体" w:hAnsi="宋体"/>
          <w:bCs/>
          <w:color w:val="000000"/>
          <w:sz w:val="24"/>
          <w:highlight w:val="none"/>
        </w:rPr>
      </w:r>
      <w:r/>
    </w:p>
    <w:p>
      <w:pPr>
        <w:pStyle w:val="668"/>
        <w:ind w:left="479"/>
        <w:spacing w:line="500" w:lineRule="exact"/>
        <w:rPr>
          <w:rFonts w:hint="eastAsia" w:ascii="宋体" w:hAnsi="宋体"/>
          <w:bCs/>
          <w:color w:val="000000"/>
          <w:sz w:val="24"/>
          <w:highlight w:val="none"/>
        </w:rPr>
      </w:pPr>
      <w:r>
        <w:rPr>
          <w:rFonts w:hint="eastAsia" w:ascii="宋体" w:hAnsi="宋体"/>
          <w:bCs/>
          <w:color w:val="000000"/>
          <w:sz w:val="24"/>
          <w:szCs w:val="24"/>
          <w:highlight w:val="none"/>
        </w:rPr>
        <w:t xml:space="preserve">26.2.6投标人的报价均超过采购预算，采购人不能支付的。</w:t>
      </w:r>
      <w:r>
        <w:rPr>
          <w:rFonts w:hint="eastAsia" w:ascii="宋体" w:hAnsi="宋体"/>
          <w:bCs/>
          <w:color w:val="000000"/>
          <w:sz w:val="24"/>
          <w:highlight w:val="none"/>
        </w:rPr>
      </w:r>
      <w:r/>
    </w:p>
    <w:p>
      <w:pPr>
        <w:pStyle w:val="668"/>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26.3 投标截止时间结束后参加投标的供应商不足三家的处理：</w:t>
      </w:r>
      <w:r>
        <w:rPr>
          <w:rFonts w:hint="eastAsia" w:ascii="宋体" w:hAnsi="宋体"/>
          <w:bCs/>
          <w:color w:val="000000"/>
          <w:sz w:val="24"/>
          <w:highlight w:val="none"/>
        </w:rPr>
      </w:r>
      <w:r/>
    </w:p>
    <w:p>
      <w:pPr>
        <w:pStyle w:val="668"/>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bCs/>
          <w:color w:val="000000"/>
          <w:sz w:val="24"/>
          <w:highlight w:val="none"/>
        </w:rPr>
      </w:r>
      <w:r/>
    </w:p>
    <w:p>
      <w:pPr>
        <w:pStyle w:val="671"/>
        <w:ind w:firstLine="452"/>
        <w:keepLines w:val="0"/>
        <w:keepNext w:val="0"/>
        <w:spacing w:before="0" w:after="0" w:line="500" w:lineRule="exact"/>
        <w:rPr>
          <w:rFonts w:hint="eastAsia"/>
          <w:color w:val="000000"/>
          <w:sz w:val="30"/>
          <w:szCs w:val="30"/>
          <w:highlight w:val="none"/>
        </w:rPr>
      </w:pPr>
      <w:r/>
      <w:bookmarkStart w:id="164" w:name="_Toc120614219"/>
      <w:r>
        <w:rPr>
          <w:rFonts w:hint="eastAsia"/>
          <w:color w:val="000000"/>
          <w:sz w:val="30"/>
          <w:szCs w:val="30"/>
          <w:highlight w:val="none"/>
        </w:rPr>
        <w:t xml:space="preserve">六、</w:t>
      </w:r>
      <w:bookmarkEnd w:id="161"/>
      <w:r/>
      <w:bookmarkEnd w:id="162"/>
      <w:r/>
      <w:bookmarkEnd w:id="163"/>
      <w:r>
        <w:rPr>
          <w:rFonts w:hint="eastAsia"/>
          <w:color w:val="000000"/>
          <w:sz w:val="30"/>
          <w:szCs w:val="30"/>
          <w:highlight w:val="none"/>
        </w:rPr>
        <w:t xml:space="preserve">定标</w:t>
      </w:r>
      <w:bookmarkEnd w:id="164"/>
      <w:r>
        <w:rPr>
          <w:rFonts w:hint="eastAsia"/>
          <w:color w:val="000000"/>
          <w:sz w:val="30"/>
          <w:szCs w:val="30"/>
          <w:highlight w:val="none"/>
        </w:rPr>
      </w:r>
      <w:r/>
    </w:p>
    <w:p>
      <w:pPr>
        <w:pStyle w:val="672"/>
        <w:ind w:firstLine="422"/>
        <w:keepLines w:val="0"/>
        <w:keepNext w:val="0"/>
        <w:spacing w:before="0" w:after="0" w:line="500" w:lineRule="exact"/>
        <w:rPr>
          <w:rFonts w:hint="eastAsia" w:ascii="宋体" w:hAnsi="宋体" w:eastAsia="宋体"/>
          <w:bCs w:val="0"/>
          <w:color w:val="000000"/>
          <w:highlight w:val="none"/>
        </w:rPr>
      </w:pPr>
      <w:r/>
      <w:bookmarkStart w:id="165" w:name="_Toc513029238"/>
      <w:r/>
      <w:bookmarkStart w:id="166" w:name="_Toc20823310"/>
      <w:r/>
      <w:bookmarkStart w:id="167" w:name="_Toc16938554"/>
      <w:r>
        <w:rPr>
          <w:rFonts w:hint="eastAsia" w:ascii="宋体" w:hAnsi="宋体" w:eastAsia="宋体"/>
          <w:bCs w:val="0"/>
          <w:color w:val="000000"/>
          <w:highlight w:val="none"/>
        </w:rPr>
        <w:t xml:space="preserve">27</w:t>
      </w:r>
      <w:bookmarkEnd w:id="165"/>
      <w:r>
        <w:rPr>
          <w:rFonts w:hint="eastAsia" w:ascii="宋体" w:hAnsi="宋体" w:eastAsia="宋体"/>
          <w:bCs w:val="0"/>
          <w:color w:val="000000"/>
          <w:highlight w:val="none"/>
        </w:rPr>
        <w:t xml:space="preserve">.确定</w:t>
      </w:r>
      <w:bookmarkEnd w:id="166"/>
      <w:r/>
      <w:bookmarkEnd w:id="167"/>
      <w:r>
        <w:rPr>
          <w:rFonts w:hint="eastAsia" w:ascii="宋体" w:hAnsi="宋体" w:eastAsia="宋体"/>
          <w:bCs w:val="0"/>
          <w:color w:val="000000"/>
          <w:highlight w:val="none"/>
        </w:rPr>
        <w:t xml:space="preserve">中标单位</w:t>
      </w:r>
      <w:r>
        <w:rPr>
          <w:rFonts w:hint="eastAsia" w:ascii="宋体" w:hAnsi="宋体" w:eastAsia="宋体"/>
          <w:bCs w:val="0"/>
          <w:color w:val="000000"/>
          <w:highlight w:val="none"/>
        </w:rPr>
      </w:r>
      <w:r/>
    </w:p>
    <w:p>
      <w:pPr>
        <w:pStyle w:val="668"/>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color w:val="000000"/>
          <w:sz w:val="24"/>
          <w:highlight w:val="none"/>
        </w:rPr>
      </w:r>
      <w:r/>
    </w:p>
    <w:p>
      <w:pPr>
        <w:pStyle w:val="668"/>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color w:val="000000"/>
          <w:sz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color w:val="000000"/>
          <w:sz w:val="24"/>
          <w:szCs w:val="24"/>
          <w:highlight w:val="none"/>
        </w:rPr>
        <w:t xml:space="preserve">交易中心将在“江苏政府采购网”发布中标公告，公告期限为1个工作日。</w:t>
      </w:r>
      <w:r>
        <w:rPr>
          <w:rFonts w:hint="eastAsia" w:ascii="宋体" w:hAnsi="宋体"/>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27.4中标无效的确认</w:t>
      </w:r>
      <w:r>
        <w:rPr>
          <w:rFonts w:hint="eastAsia" w:ascii="宋体" w:hAnsi="宋体"/>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若有充分证据证明，中标人出现下列情况之一的，一经查实，将被取消中标资格：</w:t>
      </w:r>
      <w:r>
        <w:rPr>
          <w:rFonts w:hint="eastAsia" w:ascii="宋体" w:hAnsi="宋体"/>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rPr>
          <w:rFonts w:hint="eastAsia" w:ascii="宋体" w:hAnsi="宋体"/>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27.4.2向采购人、交易中心行贿或者提供其他不正当利益的。</w:t>
      </w:r>
      <w:r>
        <w:rPr>
          <w:rFonts w:hint="eastAsia" w:ascii="宋体" w:hAnsi="宋体"/>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27.4.3属于本文件规定的无效投标文件条件的，但在评标过程中又未被评委会发现的。</w:t>
      </w:r>
      <w:r>
        <w:rPr>
          <w:rFonts w:hint="eastAsia" w:ascii="宋体" w:hAnsi="宋体"/>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rPr>
          <w:rFonts w:hint="eastAsia" w:ascii="宋体" w:hAnsi="宋体"/>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rPr>
          <w:rFonts w:hint="eastAsia" w:ascii="宋体" w:hAnsi="宋体"/>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bookmarkStart w:id="168" w:name="_Toc200451960"/>
      <w:r>
        <w:rPr>
          <w:rFonts w:hint="eastAsia" w:ascii="宋体" w:hAnsi="宋体"/>
          <w:color w:val="000000"/>
          <w:sz w:val="24"/>
          <w:szCs w:val="24"/>
          <w:highlight w:val="none"/>
        </w:rPr>
        <w:t xml:space="preserve">27.4.6</w:t>
      </w:r>
      <w:r>
        <w:rPr>
          <w:rFonts w:hint="eastAsia" w:ascii="宋体" w:hAnsi="宋体"/>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27.4.7</w:t>
      </w:r>
      <w:r>
        <w:rPr>
          <w:rFonts w:hint="eastAsia" w:ascii="宋体" w:hAnsi="宋体"/>
          <w:bCs/>
          <w:color w:val="000000"/>
          <w:sz w:val="24"/>
          <w:szCs w:val="24"/>
          <w:highlight w:val="none"/>
        </w:rPr>
        <w:t xml:space="preserve">拒绝有关部门监督检查或者提供虚假情况的。</w:t>
      </w:r>
      <w:r>
        <w:rPr>
          <w:rFonts w:hint="eastAsia" w:ascii="宋体" w:hAnsi="宋体"/>
          <w:color w:val="000000"/>
          <w:sz w:val="24"/>
          <w:szCs w:val="24"/>
          <w:highlight w:val="none"/>
        </w:rPr>
      </w:r>
      <w:r/>
    </w:p>
    <w:p>
      <w:pPr>
        <w:pStyle w:val="668"/>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rPr>
          <w:rFonts w:ascii="宋体" w:hAnsi="宋体"/>
          <w:color w:val="000000"/>
          <w:sz w:val="24"/>
          <w:szCs w:val="24"/>
          <w:highlight w:val="none"/>
        </w:rPr>
      </w:r>
      <w:r/>
    </w:p>
    <w:p>
      <w:pPr>
        <w:pStyle w:val="668"/>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rPr>
          <w:rFonts w:ascii="宋体" w:hAnsi="宋体"/>
          <w:color w:val="000000"/>
          <w:sz w:val="24"/>
          <w:szCs w:val="24"/>
          <w:highlight w:val="none"/>
        </w:rPr>
      </w:r>
      <w:r/>
    </w:p>
    <w:p>
      <w:pPr>
        <w:pStyle w:val="668"/>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rPr>
          <w:rFonts w:ascii="宋体" w:hAnsi="宋体"/>
          <w:color w:val="000000"/>
          <w:sz w:val="24"/>
          <w:szCs w:val="24"/>
          <w:highlight w:val="none"/>
        </w:rPr>
      </w:r>
      <w:r/>
    </w:p>
    <w:p>
      <w:pPr>
        <w:pStyle w:val="668"/>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rPr>
          <w:rFonts w:ascii="宋体" w:hAnsi="宋体"/>
          <w:color w:val="000000"/>
          <w:sz w:val="24"/>
          <w:szCs w:val="24"/>
          <w:highlight w:val="none"/>
        </w:rPr>
      </w:r>
      <w:r/>
    </w:p>
    <w:p>
      <w:pPr>
        <w:pStyle w:val="668"/>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rPr>
          <w:rFonts w:ascii="宋体" w:hAnsi="宋体"/>
          <w:color w:val="000000"/>
          <w:sz w:val="24"/>
          <w:szCs w:val="24"/>
          <w:highlight w:val="none"/>
        </w:rPr>
      </w:r>
      <w:r/>
    </w:p>
    <w:p>
      <w:pPr>
        <w:pStyle w:val="672"/>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28.质疑处理</w:t>
      </w:r>
      <w:bookmarkEnd w:id="168"/>
      <w:r>
        <w:rPr>
          <w:rFonts w:hint="eastAsia" w:ascii="宋体" w:hAnsi="宋体" w:eastAsia="宋体"/>
          <w:bCs w:val="0"/>
          <w:color w:val="000000"/>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28.1 提出质疑的供应商应当是参与所</w:t>
      </w:r>
      <w:r>
        <w:rPr>
          <w:rFonts w:hint="eastAsia" w:ascii="宋体" w:hAnsi="宋体"/>
          <w:color w:val="000000"/>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28.2.1</w:t>
      </w:r>
      <w:r>
        <w:rPr>
          <w:rFonts w:ascii="宋体" w:hAnsi="宋体"/>
          <w:color w:val="000000"/>
          <w:sz w:val="24"/>
          <w:szCs w:val="24"/>
          <w:highlight w:val="none"/>
        </w:rPr>
        <w:t xml:space="preserve">对可以质疑的采购文件提出质疑的，为收到采购文件之日或者采购文件公告期限届满之日；</w:t>
      </w:r>
      <w:r>
        <w:rPr>
          <w:rFonts w:hint="eastAsia" w:ascii="宋体" w:hAnsi="宋体"/>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28.2.2</w:t>
      </w:r>
      <w:r>
        <w:rPr>
          <w:rFonts w:ascii="宋体" w:hAnsi="宋体"/>
          <w:color w:val="000000"/>
          <w:sz w:val="24"/>
          <w:szCs w:val="24"/>
          <w:highlight w:val="none"/>
        </w:rPr>
        <w:t xml:space="preserve">对采购过程提出质疑的，为各采购程序环节结束之日；</w:t>
      </w:r>
      <w:r>
        <w:rPr>
          <w:rFonts w:hint="eastAsia" w:ascii="宋体" w:hAnsi="宋体"/>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28.2.3</w:t>
      </w:r>
      <w:r>
        <w:rPr>
          <w:rFonts w:ascii="宋体" w:hAnsi="宋体"/>
          <w:color w:val="000000"/>
          <w:sz w:val="24"/>
          <w:szCs w:val="24"/>
          <w:highlight w:val="none"/>
        </w:rPr>
        <w:t xml:space="preserve">对中标或者成交结果提出质疑的，为中标或者成交结果公告期限届满之日。</w:t>
      </w:r>
      <w:r>
        <w:rPr>
          <w:rFonts w:hint="eastAsia" w:ascii="宋体" w:hAnsi="宋体"/>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rPr>
          <w:rFonts w:hint="eastAsia" w:ascii="宋体" w:hAnsi="宋体"/>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供应商如组成联合体参加投标，则《质疑函范本》中要求签字、盖章、加盖公章之处，联合体各方均须按要求签字、盖章、加盖公章。</w:t>
      </w:r>
      <w:r>
        <w:rPr>
          <w:rFonts w:hint="eastAsia" w:ascii="宋体" w:hAnsi="宋体"/>
          <w:color w:val="000000"/>
          <w:sz w:val="24"/>
          <w:szCs w:val="24"/>
          <w:highlight w:val="none"/>
        </w:rPr>
      </w:r>
      <w:r/>
    </w:p>
    <w:p>
      <w:pPr>
        <w:pStyle w:val="668"/>
        <w:ind w:firstLine="480"/>
        <w:spacing w:line="500" w:lineRule="exact"/>
        <w:rPr>
          <w:rFonts w:hint="eastAsia"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000000"/>
          <w:sz w:val="24"/>
          <w:szCs w:val="24"/>
          <w:highlight w:val="none"/>
          <w:shd w:val="clear" w:color="ffffff" w:fill="d9d9d9"/>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采购人、交易中心只接收以纸质原件形式送达的质疑，质疑供应商可通过面交或邮寄方式送达（采购人和交易中心不接受未填写快递运单的快件）。</w:t>
      </w:r>
      <w:r>
        <w:rPr>
          <w:rFonts w:hint="eastAsia" w:ascii="宋体" w:hAnsi="宋体"/>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采购人、交易中心联系人、联系方式、通信地址见招标文件第一章。</w:t>
      </w:r>
      <w:r>
        <w:rPr>
          <w:rFonts w:hint="eastAsia" w:ascii="宋体" w:hAnsi="宋体"/>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rPr>
          <w:rFonts w:hint="eastAsia" w:ascii="宋体" w:hAnsi="宋体"/>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rPr>
          <w:rFonts w:hint="eastAsia" w:ascii="宋体" w:hAnsi="宋体"/>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rPr>
          <w:rFonts w:hint="eastAsia" w:ascii="宋体" w:hAnsi="宋体"/>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rPr>
          <w:rFonts w:hint="eastAsia" w:ascii="宋体" w:hAnsi="宋体"/>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28.5.4未参加投标活动的供应商或在投标活动中自身权益未受到损害的供应商所提出的质疑。</w:t>
      </w:r>
      <w:r>
        <w:rPr>
          <w:rFonts w:hint="eastAsia" w:ascii="宋体" w:hAnsi="宋体"/>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rPr>
          <w:rFonts w:hint="eastAsia" w:ascii="宋体" w:hAnsi="宋体"/>
          <w:color w:val="000000"/>
          <w:sz w:val="24"/>
          <w:szCs w:val="24"/>
          <w:highlight w:val="none"/>
        </w:rPr>
      </w:r>
      <w:r/>
    </w:p>
    <w:p>
      <w:pPr>
        <w:pStyle w:val="668"/>
        <w:ind w:firstLine="468"/>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一经查实，交易中心有权依据政府采购的有关规定，报请政府采购监管部门对该供应商进行相应的行政处罚和记录该供应商的失信信息。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672"/>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29.中标通知书</w:t>
      </w:r>
      <w:r>
        <w:rPr>
          <w:rFonts w:hint="eastAsia" w:ascii="宋体" w:hAnsi="宋体" w:eastAsia="宋体"/>
          <w:bCs w:val="0"/>
          <w:color w:val="000000"/>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及时下载中标通知书。因系统存储空间有限，自中标结果公告届满之日起30日后，</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不再保证提供下载中标通知书服务，因未及时下载而造成的不利后果由中标人自行承担。</w:t>
      </w:r>
      <w:r>
        <w:rPr>
          <w:rFonts w:hint="eastAsia" w:ascii="宋体" w:hAnsi="宋体"/>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color w:val="000000"/>
          <w:sz w:val="24"/>
          <w:szCs w:val="24"/>
          <w:highlight w:val="none"/>
        </w:rPr>
      </w:r>
      <w:r/>
    </w:p>
    <w:p>
      <w:pPr>
        <w:pStyle w:val="671"/>
        <w:ind w:firstLine="452"/>
        <w:keepLines w:val="0"/>
        <w:keepNext w:val="0"/>
        <w:spacing w:before="0" w:after="0" w:line="500" w:lineRule="exact"/>
        <w:rPr>
          <w:rFonts w:hint="eastAsia"/>
          <w:color w:val="000000"/>
          <w:sz w:val="30"/>
          <w:szCs w:val="30"/>
          <w:highlight w:val="none"/>
        </w:rPr>
      </w:pPr>
      <w:r/>
      <w:bookmarkStart w:id="169" w:name="_Toc120614220"/>
      <w:r/>
      <w:bookmarkStart w:id="170" w:name="_Toc16938552"/>
      <w:r/>
      <w:bookmarkStart w:id="171" w:name="_Toc20823308"/>
      <w:r/>
      <w:bookmarkStart w:id="172" w:name="_Toc513029236"/>
      <w:r>
        <w:rPr>
          <w:rFonts w:hint="eastAsia"/>
          <w:color w:val="000000"/>
          <w:sz w:val="30"/>
          <w:szCs w:val="30"/>
          <w:highlight w:val="none"/>
        </w:rPr>
        <w:t xml:space="preserve">七、授予合同</w:t>
      </w:r>
      <w:bookmarkEnd w:id="169"/>
      <w:r>
        <w:rPr>
          <w:rFonts w:hint="eastAsia"/>
          <w:color w:val="000000"/>
          <w:sz w:val="30"/>
          <w:szCs w:val="30"/>
          <w:highlight w:val="none"/>
        </w:rPr>
      </w:r>
      <w:r/>
    </w:p>
    <w:p>
      <w:pPr>
        <w:pStyle w:val="672"/>
        <w:ind w:firstLine="422"/>
        <w:keepLines w:val="0"/>
        <w:keepNext w:val="0"/>
        <w:spacing w:before="0" w:after="0" w:line="500" w:lineRule="exact"/>
        <w:rPr>
          <w:rFonts w:hint="eastAsia" w:ascii="宋体" w:hAnsi="宋体" w:eastAsia="宋体"/>
          <w:bCs w:val="0"/>
          <w:color w:val="000000"/>
          <w:highlight w:val="none"/>
        </w:rPr>
      </w:pPr>
      <w:r/>
      <w:bookmarkEnd w:id="170"/>
      <w:r/>
      <w:bookmarkEnd w:id="171"/>
      <w:r/>
      <w:bookmarkEnd w:id="172"/>
      <w:r/>
      <w:bookmarkStart w:id="173" w:name="_Toc513029237"/>
      <w:r/>
      <w:bookmarkStart w:id="174" w:name="_Toc16938553"/>
      <w:r/>
      <w:bookmarkStart w:id="175" w:name="_Toc20823309"/>
      <w:r>
        <w:rPr>
          <w:rFonts w:hint="eastAsia" w:ascii="宋体" w:hAnsi="宋体" w:eastAsia="宋体"/>
          <w:bCs w:val="0"/>
          <w:color w:val="000000"/>
          <w:highlight w:val="none"/>
        </w:rPr>
        <w:t xml:space="preserve">30.签订合同</w:t>
      </w:r>
      <w:r>
        <w:rPr>
          <w:rFonts w:hint="eastAsia" w:ascii="宋体" w:hAnsi="宋体" w:eastAsia="宋体"/>
          <w:bCs w:val="0"/>
          <w:color w:val="000000"/>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none"/>
        </w:rPr>
        <w:t xml:space="preserve">招标文件、中标人的投标文件及招标过程中有关澄清、承诺文件均应作为合同附件。</w:t>
      </w:r>
      <w:r>
        <w:rPr>
          <w:rFonts w:hint="eastAsia" w:ascii="宋体" w:hAnsi="宋体"/>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30.2中标人非因不可抗力未履行招、投标文件和合同规定的义务，一经查实，交易中心将根据具体情况提请政府采购管理部门作出相应处理。</w:t>
      </w:r>
      <w:r>
        <w:rPr>
          <w:rFonts w:hint="eastAsia" w:ascii="宋体" w:hAnsi="宋体"/>
          <w:color w:val="000000"/>
          <w:sz w:val="24"/>
          <w:szCs w:val="24"/>
          <w:highlight w:val="none"/>
        </w:rPr>
      </w:r>
      <w:r/>
    </w:p>
    <w:p>
      <w:pPr>
        <w:pStyle w:val="668"/>
        <w:ind w:firstLine="480"/>
        <w:spacing w:line="50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color w:val="000000"/>
          <w:sz w:val="24"/>
          <w:szCs w:val="24"/>
          <w:highlight w:val="none"/>
        </w:rPr>
      </w:r>
      <w:r/>
    </w:p>
    <w:p>
      <w:pPr>
        <w:pStyle w:val="672"/>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31.服务（包含与服务相关的货物）的追加</w:t>
      </w:r>
      <w:r>
        <w:rPr>
          <w:rFonts w:hint="eastAsia" w:ascii="宋体" w:hAnsi="宋体" w:eastAsia="宋体"/>
          <w:bCs w:val="0"/>
          <w:color w:val="000000"/>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olor w:val="000000"/>
          <w:sz w:val="24"/>
          <w:szCs w:val="24"/>
          <w:highlight w:val="none"/>
        </w:rPr>
      </w:r>
      <w:r/>
    </w:p>
    <w:p>
      <w:pPr>
        <w:pStyle w:val="668"/>
        <w:jc w:val="center"/>
        <w:spacing w:line="500" w:lineRule="exact"/>
        <w:tabs>
          <w:tab w:val="left" w:pos="1440" w:leader="none"/>
        </w:tabs>
        <w:rPr>
          <w:rFonts w:hint="eastAsia" w:ascii="黑体" w:hAnsi="黑体" w:eastAsia="黑体"/>
          <w:color w:val="000000"/>
          <w:sz w:val="36"/>
          <w:szCs w:val="36"/>
          <w:highlight w:val="none"/>
        </w:rPr>
        <w:outlineLvl w:val="0"/>
      </w:pPr>
      <w:r/>
      <w:bookmarkEnd w:id="173"/>
      <w:r/>
      <w:bookmarkEnd w:id="174"/>
      <w:r/>
      <w:bookmarkEnd w:id="175"/>
      <w:r/>
      <w:bookmarkStart w:id="176" w:name="_Toc16938558"/>
      <w:r/>
      <w:bookmarkStart w:id="177" w:name="_Toc20823314"/>
      <w:r/>
      <w:bookmarkStart w:id="178" w:name="_Toc513029242"/>
      <w:r/>
      <w:bookmarkStart w:id="179" w:name="_Toc120614221"/>
      <w:r/>
      <w:bookmarkStart w:id="180" w:name="_Toc479757207"/>
      <w:r>
        <w:rPr>
          <w:rFonts w:ascii="宋体" w:hAnsi="宋体"/>
          <w:bCs/>
          <w:color w:val="000000"/>
          <w:sz w:val="24"/>
          <w:highlight w:val="none"/>
          <w:shd w:val="clear" w:color="ffffff" w:fill="d9d9d9"/>
        </w:rPr>
        <w:br w:type="page" w:clear="all"/>
      </w:r>
      <w:r>
        <w:rPr>
          <w:rFonts w:hint="eastAsia" w:ascii="黑体" w:hAnsi="黑体" w:eastAsia="黑体"/>
          <w:color w:val="000000"/>
          <w:sz w:val="36"/>
          <w:szCs w:val="36"/>
          <w:highlight w:val="none"/>
        </w:rPr>
        <w:t xml:space="preserve">第三章  合同</w:t>
      </w:r>
      <w:bookmarkEnd w:id="176"/>
      <w:r/>
      <w:bookmarkEnd w:id="177"/>
      <w:r/>
      <w:bookmarkEnd w:id="178"/>
      <w:r/>
      <w:bookmarkEnd w:id="179"/>
      <w:r/>
      <w:bookmarkEnd w:id="180"/>
      <w:r>
        <w:rPr>
          <w:rFonts w:hint="eastAsia" w:ascii="黑体" w:hAnsi="黑体" w:eastAsia="黑体"/>
          <w:color w:val="000000"/>
          <w:sz w:val="36"/>
          <w:szCs w:val="36"/>
          <w:highlight w:val="none"/>
        </w:rPr>
        <w:t xml:space="preserve">文本</w:t>
      </w:r>
      <w:r>
        <w:rPr>
          <w:rFonts w:hint="eastAsia" w:ascii="黑体" w:hAnsi="黑体" w:eastAsia="黑体"/>
          <w:color w:val="000000"/>
          <w:sz w:val="36"/>
          <w:szCs w:val="36"/>
          <w:highlight w:val="none"/>
        </w:rPr>
      </w:r>
      <w:r/>
    </w:p>
    <w:p>
      <w:pPr>
        <w:pStyle w:val="668"/>
        <w:ind w:firstLine="480"/>
        <w:spacing w:line="400" w:lineRule="exact"/>
        <w:rPr>
          <w:rFonts w:hint="eastAsia" w:ascii="宋体" w:hAnsi="宋体"/>
          <w:bCs/>
          <w:color w:val="000000"/>
          <w:sz w:val="24"/>
          <w:highlight w:val="none"/>
        </w:rPr>
      </w:pPr>
      <w:r/>
      <w:bookmarkStart w:id="181" w:name="_Toc20823315"/>
      <w:r/>
      <w:bookmarkStart w:id="182" w:name="_Toc16938559"/>
      <w:r/>
      <w:bookmarkStart w:id="183" w:name="_Toc513029243"/>
      <w:r>
        <w:rPr>
          <w:rFonts w:hint="eastAsia" w:ascii="宋体" w:hAnsi="宋体"/>
          <w:bCs/>
          <w:color w:val="000000"/>
          <w:sz w:val="24"/>
          <w:highlight w:val="none"/>
        </w:rPr>
        <w:t xml:space="preserve">以下为中标后签订本项目合同的通用条款，中标人不得提出实质性的修改。</w:t>
      </w:r>
      <w:r>
        <w:rPr>
          <w:rFonts w:hint="eastAsia" w:ascii="宋体" w:hAnsi="宋体"/>
          <w:bCs/>
          <w:color w:val="000000"/>
          <w:sz w:val="24"/>
          <w:highlight w:val="none"/>
        </w:rPr>
      </w:r>
      <w:r/>
    </w:p>
    <w:p>
      <w:pPr>
        <w:pStyle w:val="668"/>
        <w:jc w:val="center"/>
        <w:spacing w:line="400" w:lineRule="exact"/>
        <w:rPr>
          <w:rFonts w:ascii="宋体" w:hAnsi="宋体"/>
          <w:b/>
          <w:bCs/>
          <w:color w:val="000000"/>
          <w:sz w:val="30"/>
          <w:szCs w:val="20"/>
          <w:highlight w:val="none"/>
        </w:rPr>
        <w:outlineLvl w:val="0"/>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706"/>
        <w:spacing w:line="400" w:lineRule="exact"/>
        <w:rPr>
          <w:rFonts w:hAnsi="宋体"/>
          <w:color w:val="000000"/>
          <w:sz w:val="24"/>
          <w:szCs w:val="24"/>
          <w:highlight w:val="none"/>
        </w:rPr>
      </w:pPr>
      <w:r>
        <w:rPr>
          <w:rFonts w:hAnsi="宋体"/>
          <w:color w:val="000000"/>
          <w:sz w:val="24"/>
          <w:szCs w:val="24"/>
          <w:highlight w:val="none"/>
        </w:rPr>
        <w:t xml:space="preserve">项目名称：                                       项目编号：</w:t>
      </w:r>
      <w:r>
        <w:rPr>
          <w:rFonts w:hAnsi="宋体"/>
          <w:color w:val="000000"/>
          <w:sz w:val="24"/>
          <w:szCs w:val="24"/>
          <w:highlight w:val="none"/>
        </w:rPr>
      </w:r>
      <w:r/>
    </w:p>
    <w:p>
      <w:pPr>
        <w:pStyle w:val="706"/>
        <w:spacing w:line="400" w:lineRule="exact"/>
        <w:rPr>
          <w:rFonts w:hAnsi="宋体"/>
          <w:color w:val="000000"/>
          <w:sz w:val="24"/>
          <w:szCs w:val="24"/>
          <w:highlight w:val="none"/>
        </w:rPr>
      </w:pPr>
      <w:r>
        <w:rPr>
          <w:rFonts w:hAnsi="宋体"/>
          <w:color w:val="000000"/>
          <w:sz w:val="24"/>
          <w:szCs w:val="24"/>
          <w:highlight w:val="none"/>
        </w:rPr>
        <w:t xml:space="preserve">甲方：（买方、需方、采购人）_________</w:t>
      </w:r>
      <w:r>
        <w:rPr>
          <w:rFonts w:hAnsi="宋体"/>
          <w:color w:val="000000"/>
          <w:sz w:val="24"/>
          <w:szCs w:val="24"/>
          <w:highlight w:val="none"/>
        </w:rPr>
      </w:r>
      <w:r/>
    </w:p>
    <w:p>
      <w:pPr>
        <w:pStyle w:val="706"/>
        <w:spacing w:line="400" w:lineRule="exact"/>
        <w:rPr>
          <w:rFonts w:hint="eastAsia" w:hAnsi="宋体"/>
          <w:color w:val="000000"/>
          <w:sz w:val="24"/>
          <w:szCs w:val="24"/>
          <w:highlight w:val="none"/>
        </w:rPr>
      </w:pPr>
      <w:r>
        <w:rPr>
          <w:rFonts w:hAnsi="宋体"/>
          <w:color w:val="000000"/>
          <w:sz w:val="24"/>
          <w:szCs w:val="24"/>
          <w:highlight w:val="none"/>
        </w:rPr>
        <w:t xml:space="preserve">乙方：（卖方、供方、供应商）_________</w:t>
      </w:r>
      <w:r>
        <w:rPr>
          <w:rFonts w:hint="eastAsia" w:hAnsi="宋体"/>
          <w:color w:val="000000"/>
          <w:sz w:val="24"/>
          <w:szCs w:val="24"/>
          <w:highlight w:val="none"/>
        </w:rPr>
      </w:r>
      <w:r/>
    </w:p>
    <w:p>
      <w:pPr>
        <w:pStyle w:val="706"/>
        <w:ind w:firstLine="480"/>
        <w:spacing w:line="400" w:lineRule="exact"/>
        <w:rPr>
          <w:rFonts w:hAnsi="宋体"/>
          <w:b/>
          <w:color w:val="000000"/>
          <w:sz w:val="24"/>
          <w:szCs w:val="24"/>
          <w:highlight w:val="none"/>
        </w:rPr>
      </w:pPr>
      <w:r>
        <w:rPr>
          <w:rFonts w:hAnsi="宋体"/>
          <w:color w:val="000000"/>
          <w:sz w:val="24"/>
          <w:szCs w:val="24"/>
          <w:highlight w:val="none"/>
        </w:rPr>
        <w:t xml:space="preserve">甲、乙双方根据</w:t>
      </w:r>
      <w:r>
        <w:rPr>
          <w:rFonts w:hint="eastAsia" w:hAnsi="宋体"/>
          <w:color w:val="000000"/>
          <w:sz w:val="24"/>
          <w:szCs w:val="24"/>
          <w:highlight w:val="none"/>
        </w:rPr>
        <w:t xml:space="preserve">无锡市公共资源交易中心</w:t>
      </w:r>
      <w:r>
        <w:rPr>
          <w:rFonts w:hint="eastAsia" w:hAnsi="宋体"/>
          <w:color w:val="000000"/>
          <w:sz w:val="24"/>
          <w:szCs w:val="24"/>
          <w:highlight w:val="none"/>
          <w:u w:val="single"/>
        </w:rPr>
        <w:t xml:space="preserve">    </w:t>
      </w:r>
      <w:r>
        <w:rPr>
          <w:rFonts w:hAnsi="宋体"/>
          <w:color w:val="000000"/>
          <w:sz w:val="24"/>
          <w:szCs w:val="24"/>
          <w:highlight w:val="none"/>
        </w:rPr>
        <w:t xml:space="preserve">项目公开招标的结果，签署本合同。</w:t>
      </w:r>
      <w:r>
        <w:rPr>
          <w:rFonts w:hAnsi="宋体"/>
          <w:b/>
          <w:color w:val="000000"/>
          <w:sz w:val="24"/>
          <w:szCs w:val="24"/>
          <w:highlight w:val="none"/>
        </w:rPr>
      </w:r>
      <w:r/>
    </w:p>
    <w:p>
      <w:pPr>
        <w:pStyle w:val="706"/>
        <w:ind w:firstLine="482"/>
        <w:spacing w:line="400" w:lineRule="exact"/>
        <w:rPr>
          <w:rFonts w:hAnsi="宋体"/>
          <w:b/>
          <w:color w:val="000000"/>
          <w:sz w:val="24"/>
          <w:szCs w:val="24"/>
          <w:highlight w:val="none"/>
        </w:rPr>
      </w:pPr>
      <w:r>
        <w:rPr>
          <w:rFonts w:hAnsi="宋体"/>
          <w:b/>
          <w:color w:val="000000"/>
          <w:sz w:val="24"/>
          <w:szCs w:val="24"/>
          <w:highlight w:val="none"/>
        </w:rPr>
        <w:t xml:space="preserve">一、</w:t>
      </w:r>
      <w:r>
        <w:rPr>
          <w:rFonts w:hint="eastAsia" w:hAnsi="宋体"/>
          <w:b/>
          <w:color w:val="000000"/>
          <w:sz w:val="24"/>
          <w:szCs w:val="24"/>
          <w:highlight w:val="none"/>
        </w:rPr>
        <w:t xml:space="preserve">合同</w:t>
      </w:r>
      <w:r>
        <w:rPr>
          <w:rFonts w:hAnsi="宋体"/>
          <w:b/>
          <w:color w:val="000000"/>
          <w:sz w:val="24"/>
          <w:szCs w:val="24"/>
          <w:highlight w:val="none"/>
        </w:rPr>
        <w:t xml:space="preserve">内容</w:t>
      </w:r>
      <w:r>
        <w:rPr>
          <w:rFonts w:hAnsi="宋体"/>
          <w:b/>
          <w:color w:val="000000"/>
          <w:sz w:val="24"/>
          <w:szCs w:val="24"/>
          <w:highlight w:val="none"/>
        </w:rPr>
      </w:r>
      <w:r/>
    </w:p>
    <w:p>
      <w:pPr>
        <w:pStyle w:val="706"/>
        <w:ind w:firstLine="480"/>
        <w:spacing w:line="400" w:lineRule="exact"/>
        <w:rPr>
          <w:rFonts w:hAnsi="宋体"/>
          <w:color w:val="000000"/>
          <w:sz w:val="24"/>
          <w:szCs w:val="24"/>
          <w:highlight w:val="none"/>
        </w:rPr>
      </w:pPr>
      <w:r>
        <w:rPr>
          <w:rFonts w:hAnsi="宋体"/>
          <w:color w:val="000000"/>
          <w:sz w:val="24"/>
          <w:szCs w:val="24"/>
          <w:highlight w:val="none"/>
        </w:rPr>
        <w:t xml:space="preserve">1.1 </w:t>
      </w:r>
      <w:r>
        <w:rPr>
          <w:rFonts w:hint="eastAsia" w:hAnsi="宋体"/>
          <w:color w:val="000000"/>
          <w:sz w:val="24"/>
          <w:szCs w:val="24"/>
          <w:highlight w:val="none"/>
        </w:rPr>
        <w:t xml:space="preserve">标的</w:t>
      </w:r>
      <w:r>
        <w:rPr>
          <w:rFonts w:hAnsi="宋体"/>
          <w:color w:val="000000"/>
          <w:sz w:val="24"/>
          <w:szCs w:val="24"/>
          <w:highlight w:val="none"/>
        </w:rPr>
        <w:t xml:space="preserve">名称：</w:t>
      </w:r>
      <w:r>
        <w:rPr>
          <w:rFonts w:hAnsi="宋体"/>
          <w:color w:val="000000"/>
          <w:sz w:val="24"/>
          <w:szCs w:val="24"/>
          <w:highlight w:val="none"/>
        </w:rPr>
      </w:r>
      <w:r/>
    </w:p>
    <w:p>
      <w:pPr>
        <w:pStyle w:val="706"/>
        <w:ind w:firstLine="480"/>
        <w:spacing w:line="400" w:lineRule="exact"/>
        <w:rPr>
          <w:rFonts w:hint="eastAsia" w:hAnsi="宋体"/>
          <w:color w:val="000000"/>
          <w:sz w:val="24"/>
          <w:szCs w:val="24"/>
          <w:highlight w:val="none"/>
        </w:rPr>
      </w:pPr>
      <w:r>
        <w:rPr>
          <w:rFonts w:hAnsi="宋体"/>
          <w:color w:val="000000"/>
          <w:sz w:val="24"/>
          <w:szCs w:val="24"/>
          <w:highlight w:val="none"/>
        </w:rPr>
        <w:t xml:space="preserve">1.2</w:t>
      </w:r>
      <w:r>
        <w:rPr>
          <w:rFonts w:hint="eastAsia" w:hAnsi="宋体"/>
          <w:color w:val="000000"/>
          <w:sz w:val="24"/>
          <w:szCs w:val="24"/>
          <w:highlight w:val="none"/>
        </w:rPr>
        <w:t xml:space="preserve">标的质量：</w:t>
      </w:r>
      <w:r>
        <w:rPr>
          <w:rFonts w:hint="eastAsia" w:hAnsi="宋体"/>
          <w:color w:val="000000"/>
          <w:sz w:val="24"/>
          <w:szCs w:val="24"/>
          <w:highlight w:val="none"/>
        </w:rPr>
      </w:r>
      <w:r/>
    </w:p>
    <w:p>
      <w:pPr>
        <w:pStyle w:val="706"/>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1.3 标的数量（规模）：</w:t>
      </w:r>
      <w:r>
        <w:rPr>
          <w:rFonts w:hint="eastAsia" w:hAnsi="宋体"/>
          <w:color w:val="000000"/>
          <w:sz w:val="24"/>
          <w:szCs w:val="24"/>
          <w:highlight w:val="none"/>
        </w:rPr>
      </w:r>
      <w:r/>
    </w:p>
    <w:p>
      <w:pPr>
        <w:pStyle w:val="706"/>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1.4 履行时间（期限）：</w:t>
      </w:r>
      <w:r>
        <w:rPr>
          <w:rFonts w:hint="eastAsia" w:hAnsi="宋体"/>
          <w:color w:val="000000"/>
          <w:sz w:val="24"/>
          <w:szCs w:val="24"/>
          <w:highlight w:val="none"/>
        </w:rPr>
      </w:r>
      <w:r/>
    </w:p>
    <w:p>
      <w:pPr>
        <w:pStyle w:val="706"/>
        <w:ind w:firstLine="480"/>
        <w:spacing w:line="400" w:lineRule="exact"/>
        <w:rPr>
          <w:rFonts w:hAnsi="宋体"/>
          <w:color w:val="000000"/>
          <w:sz w:val="24"/>
          <w:szCs w:val="24"/>
          <w:highlight w:val="none"/>
        </w:rPr>
      </w:pPr>
      <w:r>
        <w:rPr>
          <w:rFonts w:hint="eastAsia" w:hAnsi="宋体"/>
          <w:color w:val="000000"/>
          <w:sz w:val="24"/>
          <w:szCs w:val="24"/>
          <w:highlight w:val="none"/>
        </w:rPr>
        <w:t xml:space="preserve">1.5 履行地点：</w:t>
      </w:r>
      <w:r>
        <w:rPr>
          <w:rFonts w:hAnsi="宋体"/>
          <w:color w:val="000000"/>
          <w:sz w:val="24"/>
          <w:szCs w:val="24"/>
          <w:highlight w:val="none"/>
        </w:rPr>
      </w:r>
      <w:r/>
    </w:p>
    <w:p>
      <w:pPr>
        <w:pStyle w:val="706"/>
        <w:ind w:firstLine="480"/>
        <w:spacing w:line="40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6履行方式：</w:t>
      </w:r>
      <w:r>
        <w:rPr>
          <w:rFonts w:hAnsi="宋体"/>
          <w:color w:val="000000"/>
          <w:sz w:val="24"/>
          <w:szCs w:val="24"/>
          <w:highlight w:val="none"/>
        </w:rPr>
      </w:r>
      <w:r/>
    </w:p>
    <w:p>
      <w:pPr>
        <w:pStyle w:val="706"/>
        <w:ind w:firstLine="482"/>
        <w:spacing w:line="400" w:lineRule="exact"/>
        <w:rPr>
          <w:rFonts w:hAnsi="宋体"/>
          <w:b/>
          <w:color w:val="000000"/>
          <w:sz w:val="24"/>
          <w:szCs w:val="24"/>
          <w:highlight w:val="none"/>
        </w:rPr>
      </w:pPr>
      <w:r>
        <w:rPr>
          <w:rFonts w:hAnsi="宋体"/>
          <w:b/>
          <w:color w:val="000000"/>
          <w:sz w:val="24"/>
          <w:szCs w:val="24"/>
          <w:highlight w:val="none"/>
        </w:rPr>
        <w:t xml:space="preserve">二、合同金额</w:t>
      </w:r>
      <w:r>
        <w:rPr>
          <w:rFonts w:hAnsi="宋体"/>
          <w:b/>
          <w:color w:val="000000"/>
          <w:sz w:val="24"/>
          <w:szCs w:val="24"/>
          <w:highlight w:val="none"/>
        </w:rPr>
      </w:r>
      <w:r/>
    </w:p>
    <w:p>
      <w:pPr>
        <w:pStyle w:val="706"/>
        <w:ind w:firstLine="480"/>
        <w:spacing w:line="400" w:lineRule="exact"/>
        <w:rPr>
          <w:rFonts w:hAnsi="宋体"/>
          <w:color w:val="000000"/>
          <w:sz w:val="24"/>
          <w:szCs w:val="24"/>
          <w:highlight w:val="none"/>
        </w:rPr>
      </w:pPr>
      <w:r>
        <w:rPr>
          <w:rFonts w:hAnsi="宋体"/>
          <w:color w:val="000000"/>
          <w:sz w:val="24"/>
          <w:szCs w:val="24"/>
          <w:highlight w:val="none"/>
        </w:rPr>
        <w:t xml:space="preserve">2.1 本合同金额为（大写）： ____________</w:t>
      </w:r>
      <w:r>
        <w:rPr>
          <w:rFonts w:hint="eastAsia" w:hAnsi="宋体"/>
          <w:color w:val="000000"/>
          <w:sz w:val="24"/>
          <w:szCs w:val="24"/>
          <w:highlight w:val="none"/>
        </w:rPr>
        <w:t xml:space="preserve">圆</w:t>
      </w:r>
      <w:r>
        <w:rPr>
          <w:rFonts w:hAnsi="宋体"/>
          <w:color w:val="000000"/>
          <w:sz w:val="24"/>
          <w:szCs w:val="24"/>
          <w:highlight w:val="none"/>
        </w:rPr>
        <w:t xml:space="preserve">（______元）人民币</w:t>
      </w:r>
      <w:r>
        <w:rPr>
          <w:rFonts w:hint="eastAsia" w:hAnsi="宋体"/>
          <w:color w:val="000000"/>
          <w:sz w:val="24"/>
          <w:szCs w:val="24"/>
          <w:highlight w:val="none"/>
        </w:rPr>
        <w:t xml:space="preserve">或其他币种</w:t>
      </w:r>
      <w:r>
        <w:rPr>
          <w:rFonts w:hAnsi="宋体"/>
          <w:color w:val="000000"/>
          <w:sz w:val="24"/>
          <w:szCs w:val="24"/>
          <w:highlight w:val="none"/>
        </w:rPr>
        <w:t xml:space="preserve">。</w:t>
      </w:r>
      <w:r>
        <w:rPr>
          <w:rFonts w:hAnsi="宋体"/>
          <w:color w:val="000000"/>
          <w:sz w:val="24"/>
          <w:szCs w:val="24"/>
          <w:highlight w:val="none"/>
        </w:rPr>
      </w:r>
      <w:r/>
    </w:p>
    <w:p>
      <w:pPr>
        <w:pStyle w:val="706"/>
        <w:ind w:firstLine="482"/>
        <w:spacing w:line="400" w:lineRule="exact"/>
        <w:rPr>
          <w:rFonts w:hAnsi="宋体"/>
          <w:b/>
          <w:color w:val="000000"/>
          <w:sz w:val="24"/>
          <w:szCs w:val="24"/>
          <w:highlight w:val="none"/>
        </w:rPr>
      </w:pPr>
      <w:r>
        <w:rPr>
          <w:rFonts w:hAnsi="宋体"/>
          <w:b/>
          <w:color w:val="000000"/>
          <w:sz w:val="24"/>
          <w:szCs w:val="24"/>
          <w:highlight w:val="none"/>
        </w:rPr>
        <w:t xml:space="preserve">三、技术资料</w:t>
      </w:r>
      <w:r>
        <w:rPr>
          <w:rFonts w:hAnsi="宋体"/>
          <w:b/>
          <w:color w:val="000000"/>
          <w:sz w:val="24"/>
          <w:szCs w:val="24"/>
          <w:highlight w:val="none"/>
        </w:rPr>
      </w:r>
      <w:r/>
    </w:p>
    <w:p>
      <w:pPr>
        <w:pStyle w:val="706"/>
        <w:ind w:firstLine="480"/>
        <w:spacing w:line="400" w:lineRule="exact"/>
        <w:rPr>
          <w:rFonts w:hint="eastAsia" w:hAnsi="宋体"/>
          <w:color w:val="000000"/>
          <w:sz w:val="24"/>
          <w:szCs w:val="24"/>
          <w:highlight w:val="none"/>
        </w:rPr>
      </w:pPr>
      <w:r>
        <w:rPr>
          <w:rFonts w:hAnsi="宋体"/>
          <w:color w:val="000000"/>
          <w:sz w:val="24"/>
          <w:szCs w:val="24"/>
          <w:highlight w:val="none"/>
        </w:rPr>
        <w:t xml:space="preserve">3.1乙方应按招标文件规定的时间向甲方提供服务</w:t>
      </w:r>
      <w:r>
        <w:rPr>
          <w:rFonts w:hint="eastAsia" w:hAnsi="宋体"/>
          <w:color w:val="000000"/>
          <w:sz w:val="24"/>
          <w:szCs w:val="24"/>
          <w:highlight w:val="none"/>
        </w:rPr>
        <w:t xml:space="preserve">（包含与服务相关的货物）</w:t>
      </w:r>
      <w:r>
        <w:rPr>
          <w:rFonts w:hAnsi="宋体"/>
          <w:color w:val="000000"/>
          <w:sz w:val="24"/>
          <w:szCs w:val="24"/>
          <w:highlight w:val="none"/>
        </w:rPr>
        <w:t xml:space="preserve">的有关技术资料。</w:t>
      </w:r>
      <w:r>
        <w:rPr>
          <w:rFonts w:hint="eastAsia" w:hAnsi="宋体"/>
          <w:color w:val="000000"/>
          <w:sz w:val="24"/>
          <w:szCs w:val="24"/>
          <w:highlight w:val="none"/>
        </w:rPr>
      </w:r>
      <w:r/>
    </w:p>
    <w:p>
      <w:pPr>
        <w:pStyle w:val="706"/>
        <w:ind w:firstLine="480"/>
        <w:spacing w:line="400" w:lineRule="exact"/>
        <w:rPr>
          <w:rFonts w:hAnsi="宋体"/>
          <w:color w:val="000000"/>
          <w:sz w:val="24"/>
          <w:szCs w:val="24"/>
          <w:highlight w:val="none"/>
        </w:rPr>
      </w:pPr>
      <w:r>
        <w:rPr>
          <w:rFonts w:hAnsi="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olor w:val="000000"/>
          <w:sz w:val="24"/>
          <w:szCs w:val="24"/>
          <w:highlight w:val="none"/>
        </w:rPr>
      </w:r>
      <w:r/>
    </w:p>
    <w:p>
      <w:pPr>
        <w:pStyle w:val="706"/>
        <w:ind w:firstLine="482"/>
        <w:spacing w:line="400" w:lineRule="exact"/>
        <w:rPr>
          <w:rFonts w:hAnsi="宋体"/>
          <w:b/>
          <w:color w:val="000000"/>
          <w:sz w:val="24"/>
          <w:szCs w:val="24"/>
          <w:highlight w:val="none"/>
        </w:rPr>
      </w:pPr>
      <w:r>
        <w:rPr>
          <w:rFonts w:hAnsi="宋体"/>
          <w:b/>
          <w:color w:val="000000"/>
          <w:sz w:val="24"/>
          <w:szCs w:val="24"/>
          <w:highlight w:val="none"/>
        </w:rPr>
        <w:t xml:space="preserve">四、知识产权</w:t>
      </w:r>
      <w:r>
        <w:rPr>
          <w:rFonts w:hAnsi="宋体"/>
          <w:b/>
          <w:color w:val="000000"/>
          <w:sz w:val="24"/>
          <w:szCs w:val="24"/>
          <w:highlight w:val="none"/>
        </w:rPr>
      </w:r>
      <w:r/>
    </w:p>
    <w:p>
      <w:pPr>
        <w:pStyle w:val="706"/>
        <w:ind w:firstLine="480"/>
        <w:spacing w:line="400" w:lineRule="exact"/>
        <w:rPr>
          <w:rFonts w:hint="eastAsia" w:hAnsi="宋体"/>
          <w:color w:val="000000"/>
          <w:sz w:val="24"/>
          <w:szCs w:val="24"/>
          <w:highlight w:val="none"/>
        </w:rPr>
      </w:pPr>
      <w:r>
        <w:rPr>
          <w:rFonts w:hAnsi="宋体"/>
          <w:color w:val="000000"/>
          <w:sz w:val="24"/>
          <w:szCs w:val="24"/>
          <w:highlight w:val="none"/>
        </w:rPr>
        <w:t xml:space="preserve">4.1乙</w:t>
      </w:r>
      <w:r>
        <w:rPr>
          <w:rFonts w:hint="eastAsia" w:hAnsi="宋体"/>
          <w:color w:val="000000"/>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color w:val="000000"/>
          <w:sz w:val="24"/>
          <w:szCs w:val="24"/>
          <w:highlight w:val="none"/>
        </w:rPr>
      </w:r>
      <w:r/>
    </w:p>
    <w:p>
      <w:pPr>
        <w:pStyle w:val="706"/>
        <w:spacing w:line="400" w:lineRule="exact"/>
        <w:rPr>
          <w:rFonts w:hint="eastAsia" w:hAnsi="宋体"/>
          <w:color w:val="000000"/>
          <w:sz w:val="24"/>
          <w:szCs w:val="24"/>
          <w:highlight w:val="none"/>
        </w:rPr>
      </w:pPr>
      <w:r>
        <w:rPr>
          <w:rFonts w:hint="eastAsia" w:hAnsi="宋体"/>
          <w:color w:val="000000"/>
          <w:sz w:val="24"/>
          <w:szCs w:val="24"/>
          <w:highlight w:val="none"/>
        </w:rPr>
        <w:t xml:space="preserve">（注：采购项目如涉及采购标的的知识产权归属、处理的，如订购、设计、定制开发的信息化建设项目等，应当约定知识产权的归属和处理方式）</w:t>
      </w:r>
      <w:r>
        <w:rPr>
          <w:rFonts w:hint="eastAsia" w:hAnsi="宋体"/>
          <w:color w:val="000000"/>
          <w:sz w:val="24"/>
          <w:szCs w:val="24"/>
          <w:highlight w:val="none"/>
        </w:rPr>
      </w:r>
      <w:r/>
    </w:p>
    <w:p>
      <w:pPr>
        <w:pStyle w:val="706"/>
        <w:ind w:firstLine="482"/>
        <w:spacing w:line="400" w:lineRule="exact"/>
        <w:rPr>
          <w:rFonts w:hAnsi="宋体"/>
          <w:color w:val="000000"/>
          <w:sz w:val="24"/>
          <w:szCs w:val="24"/>
          <w:highlight w:val="none"/>
          <w:u w:val="single"/>
        </w:rPr>
      </w:pPr>
      <w:r>
        <w:rPr>
          <w:rFonts w:hAnsi="宋体"/>
          <w:b/>
          <w:color w:val="000000"/>
          <w:sz w:val="24"/>
          <w:szCs w:val="24"/>
          <w:highlight w:val="none"/>
        </w:rPr>
        <w:t xml:space="preserve">五、产权担保</w:t>
      </w:r>
      <w:r>
        <w:rPr>
          <w:rFonts w:hAnsi="宋体"/>
          <w:color w:val="000000"/>
          <w:sz w:val="24"/>
          <w:szCs w:val="24"/>
          <w:highlight w:val="none"/>
          <w:u w:val="single"/>
        </w:rPr>
      </w:r>
      <w:r/>
    </w:p>
    <w:p>
      <w:pPr>
        <w:pStyle w:val="706"/>
        <w:ind w:firstLine="480"/>
        <w:spacing w:line="400" w:lineRule="exact"/>
        <w:rPr>
          <w:rFonts w:hAnsi="宋体"/>
          <w:color w:val="000000"/>
          <w:sz w:val="24"/>
          <w:szCs w:val="24"/>
          <w:highlight w:val="none"/>
          <w:u w:val="single"/>
        </w:rPr>
      </w:pPr>
      <w:r>
        <w:rPr>
          <w:rFonts w:hAnsi="宋体"/>
          <w:color w:val="000000"/>
          <w:sz w:val="24"/>
          <w:szCs w:val="24"/>
          <w:highlight w:val="none"/>
        </w:rPr>
        <w:t xml:space="preserve">5.1 乙方保证所交付的</w:t>
      </w:r>
      <w:r>
        <w:rPr>
          <w:rFonts w:hint="eastAsia" w:hAnsi="宋体"/>
          <w:color w:val="000000"/>
          <w:sz w:val="24"/>
          <w:szCs w:val="24"/>
          <w:highlight w:val="none"/>
        </w:rPr>
        <w:t xml:space="preserve">服务（包含与服务相关的货物）</w:t>
      </w:r>
      <w:r>
        <w:rPr>
          <w:rFonts w:hAnsi="宋体"/>
          <w:color w:val="000000"/>
          <w:sz w:val="24"/>
          <w:szCs w:val="24"/>
          <w:highlight w:val="none"/>
        </w:rPr>
        <w:t xml:space="preserve">的所有权完全属于乙方且无任何抵押、查封等产权瑕疵。</w:t>
      </w:r>
      <w:r>
        <w:rPr>
          <w:rFonts w:hAnsi="宋体"/>
          <w:color w:val="000000"/>
          <w:sz w:val="24"/>
          <w:szCs w:val="24"/>
          <w:highlight w:val="none"/>
          <w:u w:val="single"/>
        </w:rPr>
      </w:r>
      <w:r/>
    </w:p>
    <w:p>
      <w:pPr>
        <w:pStyle w:val="706"/>
        <w:ind w:firstLine="482"/>
        <w:spacing w:line="400" w:lineRule="exact"/>
        <w:rPr>
          <w:rFonts w:hAnsi="宋体"/>
          <w:b/>
          <w:color w:val="000000"/>
          <w:sz w:val="24"/>
          <w:szCs w:val="24"/>
          <w:highlight w:val="none"/>
        </w:rPr>
      </w:pPr>
      <w:r>
        <w:rPr>
          <w:rFonts w:hAnsi="宋体"/>
          <w:b/>
          <w:color w:val="000000"/>
          <w:sz w:val="24"/>
          <w:szCs w:val="24"/>
          <w:highlight w:val="none"/>
        </w:rPr>
        <w:t xml:space="preserve">六、履约保证金</w:t>
      </w:r>
      <w:r>
        <w:rPr>
          <w:rFonts w:hAnsi="宋体"/>
          <w:b/>
          <w:color w:val="000000"/>
          <w:sz w:val="24"/>
          <w:szCs w:val="24"/>
          <w:highlight w:val="none"/>
        </w:rPr>
      </w:r>
      <w:r/>
    </w:p>
    <w:p>
      <w:pPr>
        <w:pStyle w:val="706"/>
        <w:ind w:firstLine="480"/>
        <w:spacing w:line="400" w:lineRule="exact"/>
        <w:rPr>
          <w:rFonts w:hint="eastAsia" w:hAnsi="宋体"/>
          <w:color w:val="000000"/>
          <w:sz w:val="24"/>
          <w:szCs w:val="24"/>
          <w:highlight w:val="none"/>
        </w:rPr>
      </w:pPr>
      <w:r>
        <w:rPr>
          <w:rFonts w:hAnsi="宋体"/>
          <w:color w:val="000000"/>
          <w:sz w:val="24"/>
          <w:szCs w:val="24"/>
          <w:highlight w:val="none"/>
        </w:rPr>
        <w:t xml:space="preserve">6.1 乙方交纳人民币__元作为本合同的履约保证金。</w:t>
      </w:r>
      <w:r>
        <w:rPr>
          <w:rFonts w:hint="eastAsia" w:hAnsi="宋体"/>
          <w:color w:val="000000"/>
          <w:sz w:val="24"/>
          <w:szCs w:val="24"/>
          <w:highlight w:val="none"/>
        </w:rPr>
        <w:t xml:space="preserve">（不得超过合同金额的10%）</w:t>
      </w:r>
      <w:r>
        <w:rPr>
          <w:rFonts w:hint="eastAsia" w:hAnsi="宋体"/>
          <w:color w:val="000000"/>
          <w:sz w:val="24"/>
          <w:szCs w:val="24"/>
          <w:highlight w:val="none"/>
        </w:rPr>
      </w:r>
      <w:r/>
    </w:p>
    <w:p>
      <w:pPr>
        <w:pStyle w:val="706"/>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6.2合同履行结束后，甲方应及时退还交纳的履约保证金。</w:t>
      </w:r>
      <w:r>
        <w:rPr>
          <w:rFonts w:hint="eastAsia" w:hAnsi="宋体"/>
          <w:color w:val="000000"/>
          <w:sz w:val="24"/>
          <w:szCs w:val="24"/>
          <w:highlight w:val="none"/>
        </w:rPr>
      </w:r>
      <w:r/>
    </w:p>
    <w:p>
      <w:pPr>
        <w:pStyle w:val="706"/>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6.2.1履约保证金退还方式：</w:t>
      </w:r>
      <w:r>
        <w:rPr>
          <w:rFonts w:hint="eastAsia" w:hAnsi="宋体"/>
          <w:color w:val="000000"/>
          <w:sz w:val="24"/>
          <w:szCs w:val="24"/>
          <w:highlight w:val="none"/>
        </w:rPr>
      </w:r>
      <w:r/>
    </w:p>
    <w:p>
      <w:pPr>
        <w:pStyle w:val="706"/>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6.2.2履约保证金退还时间：</w:t>
      </w:r>
      <w:r>
        <w:rPr>
          <w:rFonts w:hint="eastAsia" w:hAnsi="宋体"/>
          <w:color w:val="000000"/>
          <w:sz w:val="24"/>
          <w:szCs w:val="24"/>
          <w:highlight w:val="none"/>
        </w:rPr>
      </w:r>
      <w:r/>
    </w:p>
    <w:p>
      <w:pPr>
        <w:pStyle w:val="706"/>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6.2.3履约保证金退还条件：</w:t>
      </w:r>
      <w:r>
        <w:rPr>
          <w:rFonts w:hint="eastAsia" w:hAnsi="宋体"/>
          <w:color w:val="000000"/>
          <w:sz w:val="24"/>
          <w:szCs w:val="24"/>
          <w:highlight w:val="none"/>
        </w:rPr>
      </w:r>
      <w:r/>
    </w:p>
    <w:p>
      <w:pPr>
        <w:pStyle w:val="706"/>
        <w:ind w:firstLine="480"/>
        <w:spacing w:line="400" w:lineRule="exact"/>
        <w:rPr>
          <w:rFonts w:hAnsi="宋体"/>
          <w:color w:val="000000"/>
          <w:sz w:val="24"/>
          <w:szCs w:val="24"/>
          <w:highlight w:val="none"/>
        </w:rPr>
      </w:pPr>
      <w:r>
        <w:rPr>
          <w:rFonts w:hint="eastAsia" w:hAnsi="宋体"/>
          <w:color w:val="000000"/>
          <w:sz w:val="24"/>
          <w:szCs w:val="24"/>
          <w:highlight w:val="none"/>
        </w:rPr>
        <w:t xml:space="preserve">6.2.4履约保证金不予退还的情形：</w:t>
      </w:r>
      <w:r>
        <w:rPr>
          <w:rFonts w:hAnsi="宋体"/>
          <w:color w:val="000000"/>
          <w:sz w:val="24"/>
          <w:szCs w:val="24"/>
          <w:highlight w:val="none"/>
        </w:rPr>
      </w:r>
      <w:r/>
    </w:p>
    <w:p>
      <w:pPr>
        <w:pStyle w:val="668"/>
        <w:ind w:firstLine="482"/>
        <w:spacing w:line="400" w:lineRule="exact"/>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七、合同转包或分包</w:t>
      </w:r>
      <w:r>
        <w:rPr>
          <w:rFonts w:ascii="宋体" w:hAnsi="宋体" w:eastAsia="仿宋_GB2312"/>
          <w:b/>
          <w:color w:val="000000"/>
          <w:sz w:val="24"/>
          <w:szCs w:val="24"/>
          <w:highlight w:val="none"/>
        </w:rPr>
      </w:r>
      <w:r/>
    </w:p>
    <w:p>
      <w:pPr>
        <w:pStyle w:val="66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rPr>
          <w:rFonts w:hint="eastAsia" w:ascii="宋体" w:hAnsi="宋体"/>
          <w:color w:val="000000"/>
          <w:sz w:val="24"/>
          <w:szCs w:val="24"/>
          <w:highlight w:val="none"/>
        </w:rPr>
      </w:r>
      <w:r/>
    </w:p>
    <w:p>
      <w:pPr>
        <w:pStyle w:val="66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color w:val="000000"/>
          <w:sz w:val="24"/>
          <w:szCs w:val="24"/>
          <w:highlight w:val="none"/>
        </w:rPr>
      </w:r>
      <w:r/>
    </w:p>
    <w:p>
      <w:pPr>
        <w:pStyle w:val="668"/>
        <w:ind w:firstLine="480"/>
        <w:spacing w:line="400" w:lineRule="exact"/>
        <w:rPr>
          <w:rFonts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ascii="宋体" w:hAnsi="宋体"/>
          <w:color w:val="000000"/>
          <w:sz w:val="24"/>
          <w:szCs w:val="24"/>
          <w:highlight w:val="none"/>
        </w:rPr>
        <w:t xml:space="preserve">乙方如有转包或未经甲方同意的分包行为，甲方有权解除合同。</w:t>
      </w:r>
      <w:r>
        <w:rPr>
          <w:rFonts w:ascii="宋体" w:hAnsi="宋体" w:eastAsia="仿宋_GB2312"/>
          <w:color w:val="000000"/>
          <w:sz w:val="24"/>
          <w:szCs w:val="24"/>
          <w:highlight w:val="none"/>
        </w:rPr>
      </w:r>
      <w:r/>
    </w:p>
    <w:p>
      <w:pPr>
        <w:pStyle w:val="706"/>
        <w:ind w:firstLine="482"/>
        <w:spacing w:line="400" w:lineRule="exact"/>
        <w:rPr>
          <w:rFonts w:hAnsi="宋体"/>
          <w:b/>
          <w:color w:val="000000"/>
          <w:sz w:val="24"/>
          <w:szCs w:val="24"/>
          <w:highlight w:val="none"/>
        </w:rPr>
      </w:pPr>
      <w:r>
        <w:rPr>
          <w:rFonts w:hint="eastAsia" w:hAnsi="宋体"/>
          <w:b/>
          <w:color w:val="000000"/>
          <w:sz w:val="24"/>
          <w:szCs w:val="24"/>
          <w:highlight w:val="none"/>
        </w:rPr>
        <w:t xml:space="preserve">八</w:t>
      </w:r>
      <w:r>
        <w:rPr>
          <w:rFonts w:hAnsi="宋体"/>
          <w:b/>
          <w:color w:val="000000"/>
          <w:sz w:val="24"/>
          <w:szCs w:val="24"/>
          <w:highlight w:val="none"/>
        </w:rPr>
        <w:t xml:space="preserve">、</w:t>
      </w:r>
      <w:r>
        <w:rPr>
          <w:rFonts w:hint="eastAsia" w:hAnsi="宋体"/>
          <w:b/>
          <w:color w:val="000000"/>
          <w:sz w:val="24"/>
          <w:szCs w:val="24"/>
          <w:highlight w:val="none"/>
        </w:rPr>
        <w:t xml:space="preserve">合同款项</w:t>
      </w:r>
      <w:r>
        <w:rPr>
          <w:rFonts w:hAnsi="宋体"/>
          <w:b/>
          <w:color w:val="000000"/>
          <w:sz w:val="24"/>
          <w:szCs w:val="24"/>
          <w:highlight w:val="none"/>
        </w:rPr>
        <w:t xml:space="preserve">支付</w:t>
      </w:r>
      <w:r>
        <w:rPr>
          <w:rFonts w:hAnsi="宋体"/>
          <w:b/>
          <w:color w:val="000000"/>
          <w:sz w:val="24"/>
          <w:szCs w:val="24"/>
          <w:highlight w:val="none"/>
        </w:rPr>
      </w:r>
      <w:r/>
    </w:p>
    <w:p>
      <w:pPr>
        <w:pStyle w:val="706"/>
        <w:ind w:firstLine="480"/>
        <w:spacing w:line="400" w:lineRule="exact"/>
        <w:rPr>
          <w:rFonts w:hint="eastAsia" w:hAnsi="宋体"/>
          <w:bCs/>
          <w:color w:val="000000"/>
          <w:sz w:val="24"/>
          <w:szCs w:val="24"/>
          <w:highlight w:val="none"/>
        </w:rPr>
      </w:pPr>
      <w:r>
        <w:rPr>
          <w:rFonts w:hint="eastAsia" w:hAnsi="宋体"/>
          <w:bCs/>
          <w:color w:val="000000"/>
          <w:sz w:val="24"/>
          <w:szCs w:val="24"/>
          <w:highlight w:val="none"/>
        </w:rPr>
        <w:t xml:space="preserve">8</w:t>
      </w:r>
      <w:r>
        <w:rPr>
          <w:rFonts w:hAnsi="宋体"/>
          <w:bCs/>
          <w:color w:val="000000"/>
          <w:sz w:val="24"/>
          <w:szCs w:val="24"/>
          <w:highlight w:val="none"/>
        </w:rPr>
        <w:t xml:space="preserve">.1</w:t>
      </w:r>
      <w:r>
        <w:rPr>
          <w:rFonts w:hint="eastAsia" w:hAnsi="宋体"/>
          <w:bCs/>
          <w:color w:val="000000"/>
          <w:sz w:val="24"/>
          <w:szCs w:val="24"/>
          <w:highlight w:val="none"/>
        </w:rPr>
        <w:t xml:space="preserve">合同款项的支付方式及进度安排</w:t>
      </w:r>
      <w:r>
        <w:rPr>
          <w:rFonts w:hint="eastAsia" w:hAnsi="宋体"/>
          <w:bCs/>
          <w:color w:val="000000"/>
          <w:sz w:val="24"/>
          <w:szCs w:val="24"/>
          <w:highlight w:val="none"/>
        </w:rPr>
      </w:r>
      <w:r/>
    </w:p>
    <w:p>
      <w:pPr>
        <w:pStyle w:val="706"/>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8.1.1</w:t>
      </w:r>
      <w:r>
        <w:rPr>
          <w:rFonts w:hint="eastAsia" w:hAnsi="宋体" w:cs="Courier New"/>
          <w:bCs/>
          <w:color w:val="000000"/>
          <w:sz w:val="24"/>
          <w:szCs w:val="24"/>
          <w:highlight w:val="none"/>
        </w:rPr>
        <w:t xml:space="preserve">预付款支付时间：</w:t>
      </w:r>
      <w:r>
        <w:rPr>
          <w:rFonts w:hint="eastAsia" w:hAnsi="宋体" w:cs="Courier New"/>
          <w:bCs/>
          <w:color w:val="000000"/>
          <w:sz w:val="24"/>
          <w:szCs w:val="24"/>
          <w:highlight w:val="none"/>
          <w:u w:val="single"/>
        </w:rPr>
        <w:t xml:space="preserve">               </w:t>
      </w:r>
      <w:r>
        <w:rPr>
          <w:rFonts w:hint="eastAsia" w:hAnsi="宋体" w:cs="Courier New"/>
          <w:bCs/>
          <w:color w:val="000000"/>
          <w:sz w:val="24"/>
          <w:szCs w:val="24"/>
          <w:highlight w:val="none"/>
        </w:rPr>
        <w:t xml:space="preserve">，预付款支付比例：</w:t>
      </w:r>
      <w:r>
        <w:rPr>
          <w:rFonts w:hint="eastAsia" w:hAnsi="宋体" w:cs="Courier New"/>
          <w:bCs/>
          <w:color w:val="000000"/>
          <w:sz w:val="24"/>
          <w:szCs w:val="24"/>
          <w:highlight w:val="none"/>
          <w:u w:val="single"/>
        </w:rPr>
        <w:t xml:space="preserve">         </w:t>
      </w:r>
      <w:r>
        <w:rPr>
          <w:rFonts w:hint="eastAsia" w:hAnsi="宋体" w:cs="Courier New"/>
          <w:bCs/>
          <w:color w:val="000000"/>
          <w:sz w:val="24"/>
          <w:szCs w:val="24"/>
          <w:highlight w:val="none"/>
        </w:rPr>
        <w:t xml:space="preserve">。</w:t>
      </w:r>
      <w:r>
        <w:rPr>
          <w:rFonts w:hint="eastAsia" w:hAnsi="宋体"/>
          <w:color w:val="000000"/>
          <w:sz w:val="24"/>
          <w:szCs w:val="24"/>
          <w:highlight w:val="none"/>
        </w:rPr>
      </w:r>
      <w:r/>
    </w:p>
    <w:p>
      <w:pPr>
        <w:pStyle w:val="706"/>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8.1.2</w:t>
      </w:r>
      <w:r>
        <w:rPr>
          <w:rFonts w:hint="eastAsia" w:hAnsi="宋体" w:cs="Courier New"/>
          <w:bCs/>
          <w:color w:val="000000"/>
          <w:sz w:val="24"/>
          <w:szCs w:val="24"/>
          <w:highlight w:val="none"/>
        </w:rPr>
        <w:t xml:space="preserve">尾款支付时间：</w:t>
      </w:r>
      <w:r>
        <w:rPr>
          <w:rFonts w:hint="eastAsia" w:hAnsi="宋体" w:cs="Courier New"/>
          <w:bCs/>
          <w:color w:val="000000"/>
          <w:sz w:val="24"/>
          <w:szCs w:val="24"/>
          <w:highlight w:val="none"/>
          <w:u w:val="single"/>
        </w:rPr>
        <w:t xml:space="preserve">                 </w:t>
      </w:r>
      <w:r>
        <w:rPr>
          <w:rFonts w:hint="eastAsia" w:hAnsi="宋体" w:cs="Courier New"/>
          <w:bCs/>
          <w:color w:val="000000"/>
          <w:sz w:val="24"/>
          <w:szCs w:val="24"/>
          <w:highlight w:val="none"/>
        </w:rPr>
        <w:t xml:space="preserve">。</w:t>
      </w:r>
      <w:r>
        <w:rPr>
          <w:rFonts w:hint="eastAsia" w:hAnsi="宋体"/>
          <w:color w:val="000000"/>
          <w:sz w:val="24"/>
          <w:szCs w:val="24"/>
          <w:highlight w:val="none"/>
        </w:rPr>
      </w:r>
      <w:r/>
    </w:p>
    <w:p>
      <w:pPr>
        <w:pStyle w:val="668"/>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注：（1）根据《关于做好政府采购支持企业发展有关事项的通知》（苏采购</w:t>
      </w:r>
      <w:r>
        <w:rPr>
          <w:rFonts w:hint="eastAsia" w:ascii="宋体" w:hAnsi="宋体" w:cs="Courier New"/>
          <w:bCs/>
          <w:color w:val="000000"/>
          <w:sz w:val="24"/>
          <w:szCs w:val="24"/>
          <w:highlight w:val="none"/>
        </w:rPr>
        <w:t xml:space="preserve">〔2020〕52</w:t>
      </w:r>
      <w:r>
        <w:rPr>
          <w:rFonts w:hint="eastAsia" w:ascii="宋体" w:hAnsi="宋体"/>
          <w:bCs/>
          <w:color w:val="000000"/>
          <w:sz w:val="24"/>
          <w:szCs w:val="24"/>
          <w:highlight w:val="none"/>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hint="eastAsia" w:ascii="宋体" w:hAnsi="宋体"/>
          <w:bCs/>
          <w:color w:val="000000"/>
          <w:sz w:val="24"/>
          <w:szCs w:val="24"/>
          <w:highlight w:val="none"/>
        </w:rPr>
      </w:r>
      <w:r/>
    </w:p>
    <w:p>
      <w:pPr>
        <w:pStyle w:val="668"/>
        <w:spacing w:line="400" w:lineRule="exact"/>
        <w:rPr>
          <w:rFonts w:hint="eastAsia" w:ascii="宋体" w:hAnsi="宋体" w:cs="Courier New"/>
          <w:bCs/>
          <w:color w:val="000000"/>
          <w:sz w:val="24"/>
          <w:szCs w:val="24"/>
          <w:highlight w:val="none"/>
        </w:rPr>
      </w:pPr>
      <w:r>
        <w:rPr>
          <w:rFonts w:ascii="宋体" w:hAnsi="宋体" w:cs="Courier New"/>
          <w:bCs/>
          <w:color w:val="000000"/>
          <w:sz w:val="24"/>
          <w:szCs w:val="24"/>
          <w:highlight w:val="none"/>
        </w:rPr>
        <w:t xml:space="preserve">（</w:t>
      </w:r>
      <w:r>
        <w:rPr>
          <w:rFonts w:hint="eastAsia" w:ascii="宋体" w:hAnsi="宋体" w:cs="Courier New"/>
          <w:bCs/>
          <w:color w:val="000000"/>
          <w:sz w:val="24"/>
          <w:szCs w:val="24"/>
          <w:highlight w:val="none"/>
        </w:rPr>
        <w:t xml:space="preserve">2</w:t>
      </w:r>
      <w:r>
        <w:rPr>
          <w:rFonts w:ascii="宋体" w:hAnsi="宋体" w:cs="Courier New"/>
          <w:bCs/>
          <w:color w:val="000000"/>
          <w:sz w:val="24"/>
          <w:szCs w:val="24"/>
          <w:highlight w:val="none"/>
        </w:rPr>
        <w:t xml:space="preserve">）根据《</w:t>
      </w:r>
      <w:r>
        <w:rPr>
          <w:rFonts w:hint="eastAsia" w:ascii="宋体" w:hAnsi="宋体" w:cs="Courier New"/>
          <w:bCs/>
          <w:color w:val="000000"/>
          <w:sz w:val="24"/>
          <w:szCs w:val="24"/>
          <w:highlight w:val="none"/>
        </w:rPr>
        <w:t xml:space="preserve">关于进一步提高政府采购透明度和采购效率相关事项的通知</w:t>
      </w:r>
      <w:r>
        <w:rPr>
          <w:rFonts w:ascii="宋体" w:hAnsi="宋体" w:cs="Courier New"/>
          <w:bCs/>
          <w:color w:val="000000"/>
          <w:sz w:val="24"/>
          <w:szCs w:val="24"/>
          <w:highlight w:val="none"/>
        </w:rPr>
        <w:t xml:space="preserve">》（</w:t>
      </w:r>
      <w:r>
        <w:rPr>
          <w:rFonts w:hint="eastAsia" w:ascii="宋体" w:hAnsi="宋体" w:cs="Courier New"/>
          <w:bCs/>
          <w:color w:val="000000"/>
          <w:sz w:val="24"/>
          <w:szCs w:val="24"/>
          <w:highlight w:val="none"/>
        </w:rPr>
        <w:t xml:space="preserve">财办库〔2023〕243号</w:t>
      </w:r>
      <w:r>
        <w:rPr>
          <w:rFonts w:ascii="宋体" w:hAnsi="宋体" w:cs="Courier New"/>
          <w:bCs/>
          <w:color w:val="000000"/>
          <w:sz w:val="24"/>
          <w:szCs w:val="24"/>
          <w:highlight w:val="none"/>
        </w:rPr>
        <w:t xml:space="preserve">）</w:t>
      </w:r>
      <w:r>
        <w:rPr>
          <w:rFonts w:hint="eastAsia" w:ascii="宋体" w:hAnsi="宋体" w:cs="Courier New"/>
          <w:bCs/>
          <w:color w:val="000000"/>
          <w:sz w:val="24"/>
          <w:szCs w:val="24"/>
          <w:highlight w:val="none"/>
        </w:rPr>
        <w:t xml:space="preserve">规定，对于满足合同约定支付条件的，采购人原则上应当自收到发票后10个工作日内将资金支付到合同约定的供应商账户，鼓励采购人完善内部流程，自收到发票后1个工作日内完成资金支付事宜。</w:t>
      </w:r>
      <w:r>
        <w:rPr>
          <w:rFonts w:hint="eastAsia" w:ascii="宋体" w:hAnsi="宋体" w:cs="Courier New"/>
          <w:bCs/>
          <w:color w:val="000000"/>
          <w:sz w:val="24"/>
          <w:szCs w:val="24"/>
          <w:highlight w:val="none"/>
        </w:rPr>
      </w:r>
      <w:r/>
    </w:p>
    <w:p>
      <w:pPr>
        <w:pStyle w:val="668"/>
        <w:spacing w:line="400" w:lineRule="exact"/>
        <w:rPr>
          <w:rFonts w:hint="eastAsia" w:hAnsi="宋体"/>
          <w:bCs/>
          <w:color w:val="000000"/>
          <w:sz w:val="24"/>
          <w:szCs w:val="24"/>
          <w:highlight w:val="none"/>
        </w:rPr>
      </w:pPr>
      <w:r>
        <w:rPr>
          <w:rFonts w:hint="eastAsia" w:ascii="宋体" w:hAnsi="宋体" w:cs="Courier New"/>
          <w:bCs/>
          <w:color w:val="000000"/>
          <w:sz w:val="24"/>
          <w:szCs w:val="24"/>
          <w:highlight w:val="none"/>
        </w:rPr>
        <w:t xml:space="preserve">（3）</w:t>
      </w:r>
      <w:r>
        <w:rPr>
          <w:rFonts w:hint="eastAsia" w:ascii="宋体"/>
          <w:bCs/>
          <w:color w:val="000000"/>
          <w:sz w:val="24"/>
          <w:szCs w:val="24"/>
          <w:highlight w:val="none"/>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rPr>
          <w:rFonts w:hint="eastAsia" w:hAnsi="宋体"/>
          <w:bCs/>
          <w:color w:val="000000"/>
          <w:sz w:val="24"/>
          <w:szCs w:val="24"/>
          <w:highlight w:val="none"/>
        </w:rPr>
      </w:r>
      <w:r/>
    </w:p>
    <w:p>
      <w:pPr>
        <w:pStyle w:val="668"/>
        <w:ind w:firstLine="482"/>
        <w:spacing w:line="400" w:lineRule="exact"/>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rPr>
          <w:rFonts w:ascii="宋体" w:hAnsi="宋体" w:eastAsia="仿宋_GB2312"/>
          <w:b/>
          <w:color w:val="000000"/>
          <w:sz w:val="24"/>
          <w:szCs w:val="24"/>
          <w:highlight w:val="none"/>
        </w:rPr>
      </w:r>
      <w:r/>
    </w:p>
    <w:p>
      <w:pPr>
        <w:pStyle w:val="668"/>
        <w:ind w:firstLine="480"/>
        <w:spacing w:line="400" w:lineRule="exact"/>
        <w:rPr>
          <w:rFonts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rPr>
          <w:rFonts w:ascii="宋体" w:hAnsi="宋体" w:eastAsia="仿宋_GB2312"/>
          <w:color w:val="000000"/>
          <w:sz w:val="24"/>
          <w:szCs w:val="24"/>
          <w:highlight w:val="none"/>
        </w:rPr>
      </w:r>
      <w:r/>
    </w:p>
    <w:p>
      <w:pPr>
        <w:pStyle w:val="706"/>
        <w:ind w:firstLine="482"/>
        <w:spacing w:line="40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项目</w:t>
      </w:r>
      <w:r>
        <w:rPr>
          <w:rFonts w:hAnsi="宋体"/>
          <w:b/>
          <w:color w:val="000000"/>
          <w:sz w:val="24"/>
          <w:szCs w:val="24"/>
          <w:highlight w:val="none"/>
        </w:rPr>
        <w:t xml:space="preserve">验收</w:t>
      </w:r>
      <w:r>
        <w:rPr>
          <w:rFonts w:hAnsi="宋体"/>
          <w:b/>
          <w:color w:val="000000"/>
          <w:sz w:val="24"/>
          <w:szCs w:val="24"/>
          <w:highlight w:val="none"/>
        </w:rPr>
      </w:r>
      <w:r/>
    </w:p>
    <w:p>
      <w:pPr>
        <w:pStyle w:val="706"/>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10.1 甲方依法组织履约验收工作。</w:t>
      </w:r>
      <w:r>
        <w:rPr>
          <w:rFonts w:hint="eastAsia" w:hAnsi="宋体"/>
          <w:color w:val="000000"/>
          <w:sz w:val="24"/>
          <w:szCs w:val="24"/>
          <w:highlight w:val="none"/>
        </w:rPr>
      </w:r>
      <w:r/>
    </w:p>
    <w:p>
      <w:pPr>
        <w:pStyle w:val="706"/>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color w:val="000000"/>
          <w:sz w:val="24"/>
          <w:szCs w:val="24"/>
          <w:highlight w:val="none"/>
        </w:rPr>
      </w:r>
      <w:r/>
    </w:p>
    <w:p>
      <w:pPr>
        <w:pStyle w:val="706"/>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10.3 对于实际使用人和甲方分离的项目，甲方邀请实际使用人参与验收。</w:t>
      </w:r>
      <w:r>
        <w:rPr>
          <w:rFonts w:hint="eastAsia" w:hAnsi="宋体"/>
          <w:color w:val="000000"/>
          <w:sz w:val="24"/>
          <w:szCs w:val="24"/>
          <w:highlight w:val="none"/>
        </w:rPr>
      </w:r>
      <w:r/>
    </w:p>
    <w:p>
      <w:pPr>
        <w:pStyle w:val="706"/>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10.4 如有必要，甲方邀请参加本项目的其他供应商或第三方专业机构及专家参与验收，相关意见将作为验收书的参考资料。</w:t>
      </w:r>
      <w:r>
        <w:rPr>
          <w:rFonts w:hint="eastAsia" w:hAnsi="宋体"/>
          <w:color w:val="000000"/>
          <w:sz w:val="24"/>
          <w:szCs w:val="24"/>
          <w:highlight w:val="none"/>
        </w:rPr>
      </w:r>
      <w:r/>
    </w:p>
    <w:p>
      <w:pPr>
        <w:pStyle w:val="706"/>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color w:val="000000"/>
          <w:sz w:val="24"/>
          <w:szCs w:val="24"/>
          <w:highlight w:val="none"/>
        </w:rPr>
      </w:r>
      <w:r/>
    </w:p>
    <w:p>
      <w:pPr>
        <w:pStyle w:val="706"/>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hAnsi="宋体"/>
          <w:color w:val="000000"/>
          <w:sz w:val="24"/>
          <w:szCs w:val="24"/>
          <w:highlight w:val="none"/>
        </w:rPr>
      </w:r>
      <w:r/>
    </w:p>
    <w:p>
      <w:pPr>
        <w:pStyle w:val="706"/>
        <w:ind w:firstLine="482"/>
        <w:spacing w:line="40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一</w:t>
      </w:r>
      <w:r>
        <w:rPr>
          <w:rFonts w:hAnsi="宋体"/>
          <w:b/>
          <w:color w:val="000000"/>
          <w:sz w:val="24"/>
          <w:szCs w:val="24"/>
          <w:highlight w:val="none"/>
        </w:rPr>
        <w:t xml:space="preserve">、违约责任</w:t>
      </w:r>
      <w:r>
        <w:rPr>
          <w:rFonts w:hAnsi="宋体"/>
          <w:b/>
          <w:color w:val="000000"/>
          <w:sz w:val="24"/>
          <w:szCs w:val="24"/>
          <w:highlight w:val="none"/>
        </w:rPr>
      </w:r>
      <w:r/>
    </w:p>
    <w:p>
      <w:pPr>
        <w:pStyle w:val="706"/>
        <w:ind w:firstLine="480"/>
        <w:spacing w:line="40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.1 甲方无正当理由</w:t>
      </w:r>
      <w:r>
        <w:rPr>
          <w:rFonts w:hint="eastAsia" w:hAnsi="宋体"/>
          <w:color w:val="000000"/>
          <w:sz w:val="24"/>
          <w:szCs w:val="24"/>
          <w:highlight w:val="none"/>
        </w:rPr>
        <w:t xml:space="preserve">拒绝接受乙方提供服务</w:t>
      </w:r>
      <w:r>
        <w:rPr>
          <w:rFonts w:hAnsi="宋体"/>
          <w:color w:val="000000"/>
          <w:sz w:val="24"/>
          <w:szCs w:val="24"/>
          <w:highlight w:val="none"/>
        </w:rPr>
        <w:t xml:space="preserve">的，甲方向乙方偿付</w:t>
      </w:r>
      <w:r>
        <w:rPr>
          <w:rFonts w:hint="eastAsia" w:hAnsi="宋体"/>
          <w:color w:val="000000"/>
          <w:sz w:val="24"/>
          <w:szCs w:val="24"/>
          <w:highlight w:val="none"/>
        </w:rPr>
        <w:t xml:space="preserve">拒绝接受服务合同价款</w:t>
      </w:r>
      <w:r>
        <w:rPr>
          <w:rFonts w:hAnsi="宋体"/>
          <w:color w:val="000000"/>
          <w:sz w:val="24"/>
          <w:szCs w:val="24"/>
          <w:highlight w:val="none"/>
        </w:rPr>
        <w:t xml:space="preserve">总值</w:t>
      </w:r>
      <w:r>
        <w:rPr>
          <w:rFonts w:hint="eastAsia" w:hAnsi="宋体"/>
          <w:color w:val="000000"/>
          <w:sz w:val="24"/>
          <w:szCs w:val="24"/>
          <w:highlight w:val="none"/>
          <w:u w:val="single"/>
        </w:rPr>
        <w:t xml:space="preserve">    </w:t>
      </w:r>
      <w:r>
        <w:rPr>
          <w:rFonts w:hAnsi="宋体"/>
          <w:color w:val="000000"/>
          <w:sz w:val="24"/>
          <w:szCs w:val="24"/>
          <w:highlight w:val="none"/>
        </w:rPr>
        <w:t xml:space="preserve">的违约金。</w:t>
      </w:r>
      <w:r>
        <w:rPr>
          <w:rFonts w:hAnsi="宋体"/>
          <w:color w:val="000000"/>
          <w:sz w:val="24"/>
          <w:szCs w:val="24"/>
          <w:highlight w:val="none"/>
        </w:rPr>
      </w:r>
      <w:r/>
    </w:p>
    <w:p>
      <w:pPr>
        <w:pStyle w:val="706"/>
        <w:ind w:firstLine="480"/>
        <w:spacing w:line="40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.2 甲方无故逾期验收和办理</w:t>
      </w:r>
      <w:r>
        <w:rPr>
          <w:rFonts w:hint="eastAsia" w:hAnsi="宋体"/>
          <w:color w:val="000000"/>
          <w:sz w:val="24"/>
          <w:szCs w:val="24"/>
          <w:highlight w:val="none"/>
        </w:rPr>
        <w:t xml:space="preserve">合同款项</w:t>
      </w:r>
      <w:r>
        <w:rPr>
          <w:rFonts w:hAnsi="宋体"/>
          <w:color w:val="000000"/>
          <w:sz w:val="24"/>
          <w:szCs w:val="24"/>
          <w:highlight w:val="none"/>
        </w:rPr>
        <w:t xml:space="preserve">支付手续的</w:t>
      </w:r>
      <w:r>
        <w:rPr>
          <w:rFonts w:hint="eastAsia" w:hAnsi="宋体"/>
          <w:color w:val="000000"/>
          <w:sz w:val="24"/>
          <w:szCs w:val="24"/>
          <w:highlight w:val="none"/>
        </w:rPr>
        <w:t xml:space="preserve">，</w:t>
      </w:r>
      <w:r>
        <w:rPr>
          <w:rFonts w:hAnsi="宋体"/>
          <w:color w:val="000000"/>
          <w:sz w:val="24"/>
          <w:szCs w:val="24"/>
          <w:highlight w:val="none"/>
        </w:rPr>
        <w:t xml:space="preserve">甲方应按逾期付款总额</w:t>
      </w:r>
      <w:r>
        <w:rPr>
          <w:rFonts w:hint="eastAsia" w:hAnsi="宋体"/>
          <w:color w:val="000000"/>
          <w:sz w:val="24"/>
          <w:szCs w:val="24"/>
          <w:highlight w:val="none"/>
          <w:u w:val="single"/>
        </w:rPr>
        <w:t xml:space="preserve">    </w:t>
      </w:r>
      <w:r>
        <w:rPr>
          <w:rFonts w:hAnsi="宋体"/>
          <w:color w:val="000000"/>
          <w:sz w:val="24"/>
          <w:szCs w:val="24"/>
          <w:highlight w:val="none"/>
        </w:rPr>
        <w:t xml:space="preserve">每日向乙方支付违约金。</w:t>
      </w:r>
      <w:r>
        <w:rPr>
          <w:rFonts w:hAnsi="宋体"/>
          <w:color w:val="000000"/>
          <w:sz w:val="24"/>
          <w:szCs w:val="24"/>
          <w:highlight w:val="none"/>
        </w:rPr>
      </w:r>
      <w:r/>
    </w:p>
    <w:p>
      <w:pPr>
        <w:pStyle w:val="706"/>
        <w:ind w:firstLine="480"/>
        <w:spacing w:line="40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.3 乙方逾期</w:t>
      </w:r>
      <w:r>
        <w:rPr>
          <w:rFonts w:hint="eastAsia" w:hAnsi="宋体"/>
          <w:color w:val="000000"/>
          <w:sz w:val="24"/>
          <w:szCs w:val="24"/>
          <w:highlight w:val="none"/>
        </w:rPr>
        <w:t xml:space="preserve">提供服务</w:t>
      </w:r>
      <w:r>
        <w:rPr>
          <w:rFonts w:hAnsi="宋体"/>
          <w:color w:val="000000"/>
          <w:sz w:val="24"/>
          <w:szCs w:val="24"/>
          <w:highlight w:val="none"/>
        </w:rPr>
        <w:t xml:space="preserve">的，乙方应按逾期</w:t>
      </w:r>
      <w:r>
        <w:rPr>
          <w:rFonts w:hint="eastAsia" w:hAnsi="宋体"/>
          <w:color w:val="000000"/>
          <w:sz w:val="24"/>
          <w:szCs w:val="24"/>
          <w:highlight w:val="none"/>
        </w:rPr>
        <w:t xml:space="preserve">提供服务合同</w:t>
      </w:r>
      <w:r>
        <w:rPr>
          <w:rFonts w:hAnsi="宋体"/>
          <w:color w:val="000000"/>
          <w:sz w:val="24"/>
          <w:szCs w:val="24"/>
          <w:highlight w:val="none"/>
        </w:rPr>
        <w:t xml:space="preserve">总额每日千分之六向甲方支付违约金，由甲方从待付</w:t>
      </w:r>
      <w:r>
        <w:rPr>
          <w:rFonts w:hint="eastAsia" w:hAnsi="宋体"/>
          <w:color w:val="000000"/>
          <w:sz w:val="24"/>
          <w:szCs w:val="24"/>
          <w:highlight w:val="none"/>
        </w:rPr>
        <w:t xml:space="preserve">合同款项</w:t>
      </w:r>
      <w:r>
        <w:rPr>
          <w:rFonts w:hAnsi="宋体"/>
          <w:color w:val="000000"/>
          <w:sz w:val="24"/>
          <w:szCs w:val="24"/>
          <w:highlight w:val="none"/>
        </w:rPr>
        <w:t xml:space="preserve">中扣除。逾期超过约定日期10个工作日不能</w:t>
      </w:r>
      <w:r>
        <w:rPr>
          <w:rFonts w:hint="eastAsia" w:hAnsi="宋体"/>
          <w:color w:val="000000"/>
          <w:sz w:val="24"/>
          <w:szCs w:val="24"/>
          <w:highlight w:val="none"/>
        </w:rPr>
        <w:t xml:space="preserve">提供服务</w:t>
      </w:r>
      <w:r>
        <w:rPr>
          <w:rFonts w:hAnsi="宋体"/>
          <w:color w:val="000000"/>
          <w:sz w:val="24"/>
          <w:szCs w:val="24"/>
          <w:highlight w:val="none"/>
        </w:rPr>
        <w:t xml:space="preserve">的，甲方可解除本合同。乙方因逾期</w:t>
      </w:r>
      <w:r>
        <w:rPr>
          <w:rFonts w:hint="eastAsia" w:hAnsi="宋体"/>
          <w:color w:val="000000"/>
          <w:sz w:val="24"/>
          <w:szCs w:val="24"/>
          <w:highlight w:val="none"/>
        </w:rPr>
        <w:t xml:space="preserve">提供服务</w:t>
      </w:r>
      <w:r>
        <w:rPr>
          <w:rFonts w:hAnsi="宋体"/>
          <w:color w:val="000000"/>
          <w:sz w:val="24"/>
          <w:szCs w:val="24"/>
          <w:highlight w:val="none"/>
        </w:rPr>
        <w:t xml:space="preserve">或因其他违约行为导致甲方解除合同的，乙方应向甲方支付合同</w:t>
      </w:r>
      <w:r>
        <w:rPr>
          <w:rFonts w:hint="eastAsia" w:hAnsi="宋体"/>
          <w:color w:val="000000"/>
          <w:sz w:val="24"/>
          <w:szCs w:val="24"/>
          <w:highlight w:val="none"/>
        </w:rPr>
        <w:t xml:space="preserve">价款总额</w:t>
      </w:r>
      <w:r>
        <w:rPr>
          <w:rFonts w:hint="eastAsia" w:hAnsi="宋体"/>
          <w:color w:val="000000"/>
          <w:sz w:val="24"/>
          <w:szCs w:val="24"/>
          <w:highlight w:val="none"/>
          <w:u w:val="single"/>
        </w:rPr>
        <w:t xml:space="preserve">     </w:t>
      </w:r>
      <w:r>
        <w:rPr>
          <w:rFonts w:hAnsi="宋体"/>
          <w:color w:val="000000"/>
          <w:sz w:val="24"/>
          <w:szCs w:val="24"/>
          <w:highlight w:val="none"/>
        </w:rPr>
        <w:t xml:space="preserve">的违约金，如造成甲方损失超过违约金的，超出部分由乙方继续承担赔偿责任。 </w:t>
      </w:r>
      <w:r>
        <w:rPr>
          <w:rFonts w:hAnsi="宋体"/>
          <w:color w:val="000000"/>
          <w:sz w:val="24"/>
          <w:szCs w:val="24"/>
          <w:highlight w:val="none"/>
        </w:rPr>
      </w:r>
      <w:r/>
    </w:p>
    <w:p>
      <w:pPr>
        <w:pStyle w:val="706"/>
        <w:ind w:firstLine="480"/>
        <w:spacing w:line="40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.4 乙方</w:t>
      </w:r>
      <w:r>
        <w:rPr>
          <w:rFonts w:hint="eastAsia" w:hAnsi="宋体"/>
          <w:color w:val="000000"/>
          <w:sz w:val="24"/>
          <w:szCs w:val="24"/>
          <w:highlight w:val="none"/>
        </w:rPr>
        <w:t xml:space="preserve">所提供服务的标准</w:t>
      </w:r>
      <w:r>
        <w:rPr>
          <w:rFonts w:hAnsi="宋体"/>
          <w:color w:val="000000"/>
          <w:sz w:val="24"/>
          <w:szCs w:val="24"/>
          <w:highlight w:val="none"/>
        </w:rPr>
        <w:t xml:space="preserve">不符合合同规定及招标文件规定标准的，甲方有权</w:t>
      </w:r>
      <w:r>
        <w:rPr>
          <w:rFonts w:hint="eastAsia" w:hAnsi="宋体"/>
          <w:color w:val="000000"/>
          <w:sz w:val="24"/>
          <w:szCs w:val="24"/>
          <w:highlight w:val="none"/>
        </w:rPr>
        <w:t xml:space="preserve">拒绝接受服务</w:t>
      </w:r>
      <w:r>
        <w:rPr>
          <w:rFonts w:hAnsi="宋体"/>
          <w:color w:val="000000"/>
          <w:sz w:val="24"/>
          <w:szCs w:val="24"/>
          <w:highlight w:val="none"/>
        </w:rPr>
        <w:t xml:space="preserve">，</w:t>
      </w:r>
      <w:r>
        <w:rPr>
          <w:rFonts w:hint="eastAsia" w:hAnsi="宋体"/>
          <w:color w:val="000000"/>
          <w:sz w:val="24"/>
          <w:szCs w:val="24"/>
          <w:highlight w:val="none"/>
        </w:rPr>
        <w:t xml:space="preserve">并</w:t>
      </w:r>
      <w:r>
        <w:rPr>
          <w:rFonts w:hAnsi="宋体"/>
          <w:color w:val="000000"/>
          <w:sz w:val="24"/>
          <w:szCs w:val="24"/>
          <w:highlight w:val="none"/>
        </w:rPr>
        <w:t xml:space="preserve">可单方面解除合同。</w:t>
      </w:r>
      <w:r>
        <w:rPr>
          <w:rFonts w:hAnsi="宋体"/>
          <w:color w:val="000000"/>
          <w:sz w:val="24"/>
          <w:szCs w:val="24"/>
          <w:highlight w:val="none"/>
        </w:rPr>
      </w:r>
      <w:r/>
    </w:p>
    <w:p>
      <w:pPr>
        <w:pStyle w:val="706"/>
        <w:ind w:firstLine="482"/>
        <w:spacing w:line="40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二</w:t>
      </w:r>
      <w:r>
        <w:rPr>
          <w:rFonts w:hAnsi="宋体"/>
          <w:b/>
          <w:color w:val="000000"/>
          <w:sz w:val="24"/>
          <w:szCs w:val="24"/>
          <w:highlight w:val="none"/>
        </w:rPr>
        <w:t xml:space="preserve">、不可抗力事件处理</w:t>
      </w:r>
      <w:r>
        <w:rPr>
          <w:rFonts w:hAnsi="宋体"/>
          <w:b/>
          <w:color w:val="000000"/>
          <w:sz w:val="24"/>
          <w:szCs w:val="24"/>
          <w:highlight w:val="none"/>
        </w:rPr>
      </w:r>
      <w:r/>
    </w:p>
    <w:p>
      <w:pPr>
        <w:pStyle w:val="706"/>
        <w:ind w:firstLine="480"/>
        <w:spacing w:line="40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.1 在合同有效期内，任何一方因不可抗力事件导致不能履行合同，则合同履行期可延长，其延长期与不可抗力影响</w:t>
      </w:r>
      <w:r>
        <w:rPr>
          <w:rFonts w:hint="eastAsia" w:hAnsi="宋体"/>
          <w:color w:val="000000"/>
          <w:sz w:val="24"/>
          <w:szCs w:val="24"/>
          <w:highlight w:val="none"/>
        </w:rPr>
        <w:t xml:space="preserve"> </w:t>
      </w:r>
      <w:r>
        <w:rPr>
          <w:rFonts w:hAnsi="宋体"/>
          <w:color w:val="000000"/>
          <w:sz w:val="24"/>
          <w:szCs w:val="24"/>
          <w:highlight w:val="none"/>
        </w:rPr>
        <w:t xml:space="preserve">期相同。</w:t>
      </w:r>
      <w:r>
        <w:rPr>
          <w:rFonts w:hAnsi="宋体"/>
          <w:color w:val="000000"/>
          <w:sz w:val="24"/>
          <w:szCs w:val="24"/>
          <w:highlight w:val="none"/>
        </w:rPr>
      </w:r>
      <w:r/>
    </w:p>
    <w:p>
      <w:pPr>
        <w:pStyle w:val="706"/>
        <w:ind w:firstLine="480"/>
        <w:spacing w:line="40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.2 不可抗力事件发生后，应立即通知对方，并寄送有关权威机构出具的证明。</w:t>
      </w:r>
      <w:r>
        <w:rPr>
          <w:rFonts w:hAnsi="宋体"/>
          <w:color w:val="000000"/>
          <w:sz w:val="24"/>
          <w:szCs w:val="24"/>
          <w:highlight w:val="none"/>
        </w:rPr>
      </w:r>
      <w:r/>
    </w:p>
    <w:p>
      <w:pPr>
        <w:pStyle w:val="706"/>
        <w:ind w:firstLine="480"/>
        <w:spacing w:line="40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.3 不可抗力事件延续120天以上，双方应通过友好协商，确定是否继续履行合同。</w:t>
      </w:r>
      <w:r>
        <w:rPr>
          <w:rFonts w:hAnsi="宋体"/>
          <w:color w:val="000000"/>
          <w:sz w:val="24"/>
          <w:szCs w:val="24"/>
          <w:highlight w:val="none"/>
        </w:rPr>
      </w:r>
      <w:r/>
    </w:p>
    <w:p>
      <w:pPr>
        <w:pStyle w:val="706"/>
        <w:ind w:firstLine="482"/>
        <w:spacing w:line="40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三</w:t>
      </w:r>
      <w:r>
        <w:rPr>
          <w:rFonts w:hAnsi="宋体"/>
          <w:b/>
          <w:color w:val="000000"/>
          <w:sz w:val="24"/>
          <w:szCs w:val="24"/>
          <w:highlight w:val="none"/>
        </w:rPr>
        <w:t xml:space="preserve">、</w:t>
      </w:r>
      <w:r>
        <w:rPr>
          <w:rFonts w:hint="eastAsia" w:hAnsi="宋体"/>
          <w:b/>
          <w:color w:val="000000"/>
          <w:sz w:val="24"/>
          <w:szCs w:val="24"/>
          <w:highlight w:val="none"/>
        </w:rPr>
        <w:t xml:space="preserve">解决争议的方法</w:t>
      </w:r>
      <w:r>
        <w:rPr>
          <w:rFonts w:hAnsi="宋体"/>
          <w:b/>
          <w:color w:val="000000"/>
          <w:sz w:val="24"/>
          <w:szCs w:val="24"/>
          <w:highlight w:val="none"/>
        </w:rPr>
      </w:r>
      <w:r/>
    </w:p>
    <w:p>
      <w:pPr>
        <w:pStyle w:val="706"/>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13.1双方在签订、履行合同中所发生的一切争议，应通过友好协商解决。如协商不成，由甲方住所地人民法院管辖。</w:t>
      </w:r>
      <w:r>
        <w:rPr>
          <w:rFonts w:hint="eastAsia" w:hAnsi="宋体"/>
          <w:color w:val="000000"/>
          <w:sz w:val="24"/>
          <w:szCs w:val="24"/>
          <w:highlight w:val="none"/>
        </w:rPr>
      </w:r>
      <w:r/>
    </w:p>
    <w:p>
      <w:pPr>
        <w:pStyle w:val="706"/>
        <w:ind w:firstLine="482"/>
        <w:spacing w:line="40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四</w:t>
      </w:r>
      <w:r>
        <w:rPr>
          <w:rFonts w:hAnsi="宋体"/>
          <w:b/>
          <w:color w:val="000000"/>
          <w:sz w:val="24"/>
          <w:szCs w:val="24"/>
          <w:highlight w:val="none"/>
        </w:rPr>
        <w:t xml:space="preserve">、合同生效及其他</w:t>
      </w:r>
      <w:r>
        <w:rPr>
          <w:rFonts w:hAnsi="宋体"/>
          <w:b/>
          <w:color w:val="000000"/>
          <w:sz w:val="24"/>
          <w:szCs w:val="24"/>
          <w:highlight w:val="none"/>
        </w:rPr>
      </w:r>
      <w:r/>
    </w:p>
    <w:p>
      <w:pPr>
        <w:pStyle w:val="706"/>
        <w:ind w:firstLine="480"/>
        <w:spacing w:line="40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.1 合同经双方法定代表人或授权委托代</w:t>
      </w:r>
      <w:r>
        <w:rPr>
          <w:rFonts w:hint="eastAsia" w:hAnsi="宋体"/>
          <w:color w:val="000000"/>
          <w:sz w:val="24"/>
          <w:szCs w:val="24"/>
          <w:highlight w:val="none"/>
        </w:rPr>
        <w:t xml:space="preserve">表</w:t>
      </w:r>
      <w:r>
        <w:rPr>
          <w:rFonts w:hAnsi="宋体"/>
          <w:color w:val="000000"/>
          <w:sz w:val="24"/>
          <w:szCs w:val="24"/>
          <w:highlight w:val="none"/>
        </w:rPr>
        <w:t xml:space="preserve">人签字并加盖单位公章后生效。</w:t>
      </w:r>
      <w:r>
        <w:rPr>
          <w:rFonts w:hAnsi="宋体"/>
          <w:color w:val="000000"/>
          <w:sz w:val="24"/>
          <w:szCs w:val="24"/>
          <w:highlight w:val="none"/>
        </w:rPr>
      </w:r>
      <w:r/>
    </w:p>
    <w:p>
      <w:pPr>
        <w:pStyle w:val="706"/>
        <w:ind w:firstLine="480"/>
        <w:spacing w:line="40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.2本合同未尽事宜，遵照</w:t>
      </w:r>
      <w:r>
        <w:rPr>
          <w:rFonts w:hint="eastAsia" w:hAnsi="宋体"/>
          <w:color w:val="000000"/>
          <w:sz w:val="24"/>
          <w:szCs w:val="24"/>
          <w:highlight w:val="none"/>
        </w:rPr>
        <w:t xml:space="preserve">《中华人民共和国民法典》《中华人民共和国政府采购法》等</w:t>
      </w:r>
      <w:r>
        <w:rPr>
          <w:rFonts w:hAnsi="宋体"/>
          <w:color w:val="000000"/>
          <w:sz w:val="24"/>
          <w:szCs w:val="24"/>
          <w:highlight w:val="none"/>
        </w:rPr>
        <w:t xml:space="preserve">有关条文执行。</w:t>
      </w:r>
      <w:r>
        <w:rPr>
          <w:rFonts w:hAnsi="宋体"/>
          <w:color w:val="000000"/>
          <w:sz w:val="24"/>
          <w:szCs w:val="24"/>
          <w:highlight w:val="none"/>
        </w:rPr>
      </w:r>
      <w:r/>
    </w:p>
    <w:p>
      <w:pPr>
        <w:pStyle w:val="706"/>
        <w:ind w:firstLine="480"/>
        <w:spacing w:line="40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w:t>
      </w:r>
      <w:r>
        <w:rPr>
          <w:rFonts w:hint="eastAsia" w:hAnsi="宋体"/>
          <w:color w:val="000000"/>
          <w:sz w:val="24"/>
          <w:szCs w:val="24"/>
          <w:highlight w:val="none"/>
        </w:rPr>
        <w:t xml:space="preserve">3</w:t>
      </w:r>
      <w:r>
        <w:rPr>
          <w:rFonts w:hAnsi="宋体"/>
          <w:color w:val="000000"/>
          <w:sz w:val="24"/>
          <w:szCs w:val="24"/>
          <w:highlight w:val="none"/>
        </w:rPr>
        <w:t xml:space="preserve"> 本合同正本一式</w:t>
      </w:r>
      <w:r>
        <w:rPr>
          <w:rFonts w:hint="eastAsia" w:hAnsi="宋体"/>
          <w:color w:val="000000"/>
          <w:sz w:val="24"/>
          <w:szCs w:val="24"/>
          <w:highlight w:val="none"/>
        </w:rPr>
        <w:t xml:space="preserve">两</w:t>
      </w:r>
      <w:r>
        <w:rPr>
          <w:rFonts w:hAnsi="宋体"/>
          <w:color w:val="000000"/>
          <w:sz w:val="24"/>
          <w:szCs w:val="24"/>
          <w:highlight w:val="none"/>
        </w:rPr>
        <w:t xml:space="preserve">份，具有同等法律效力，甲</w:t>
      </w:r>
      <w:r>
        <w:rPr>
          <w:rFonts w:hint="eastAsia" w:hAnsi="宋体"/>
          <w:color w:val="000000"/>
          <w:sz w:val="24"/>
          <w:szCs w:val="24"/>
          <w:highlight w:val="none"/>
        </w:rPr>
        <w:t xml:space="preserve">方、</w:t>
      </w:r>
      <w:r>
        <w:rPr>
          <w:rFonts w:hAnsi="宋体"/>
          <w:color w:val="000000"/>
          <w:sz w:val="24"/>
          <w:szCs w:val="24"/>
          <w:highlight w:val="none"/>
        </w:rPr>
        <w:t xml:space="preserve">乙方各执一份。</w:t>
      </w:r>
      <w:r>
        <w:rPr>
          <w:rFonts w:hAnsi="宋体"/>
          <w:color w:val="000000"/>
          <w:sz w:val="24"/>
          <w:szCs w:val="24"/>
          <w:highlight w:val="none"/>
        </w:rPr>
      </w:r>
      <w:r/>
    </w:p>
    <w:p>
      <w:pPr>
        <w:pStyle w:val="706"/>
        <w:ind w:left="480" w:hanging="480"/>
        <w:spacing w:line="400" w:lineRule="exact"/>
        <w:rPr>
          <w:rFonts w:hAnsi="宋体"/>
          <w:color w:val="000000"/>
          <w:sz w:val="24"/>
          <w:szCs w:val="24"/>
          <w:highlight w:val="none"/>
        </w:rPr>
      </w:pPr>
      <w:r>
        <w:rPr>
          <w:rFonts w:hAnsi="宋体"/>
          <w:color w:val="000000"/>
          <w:sz w:val="24"/>
          <w:szCs w:val="24"/>
          <w:highlight w:val="none"/>
        </w:rPr>
        <w:t xml:space="preserve">  甲方：                        乙方： </w:t>
      </w:r>
      <w:r>
        <w:rPr>
          <w:rFonts w:hAnsi="宋体"/>
          <w:color w:val="000000"/>
          <w:sz w:val="24"/>
          <w:szCs w:val="24"/>
          <w:highlight w:val="none"/>
        </w:rPr>
      </w:r>
      <w:r/>
    </w:p>
    <w:p>
      <w:pPr>
        <w:pStyle w:val="706"/>
        <w:spacing w:line="400" w:lineRule="exact"/>
        <w:rPr>
          <w:rFonts w:hAnsi="宋体"/>
          <w:color w:val="000000"/>
          <w:sz w:val="24"/>
          <w:szCs w:val="24"/>
          <w:highlight w:val="none"/>
        </w:rPr>
      </w:pPr>
      <w:r>
        <w:rPr>
          <w:rFonts w:hAnsi="宋体"/>
          <w:color w:val="000000"/>
          <w:sz w:val="24"/>
          <w:szCs w:val="24"/>
          <w:highlight w:val="none"/>
        </w:rPr>
        <w:t xml:space="preserve">  地址：                       </w:t>
      </w:r>
      <w:r>
        <w:rPr>
          <w:rFonts w:hint="eastAsia" w:hAnsi="宋体"/>
          <w:color w:val="000000"/>
          <w:sz w:val="24"/>
          <w:szCs w:val="24"/>
          <w:highlight w:val="none"/>
        </w:rPr>
        <w:t xml:space="preserve"> </w:t>
      </w:r>
      <w:r>
        <w:rPr>
          <w:rFonts w:hAnsi="宋体"/>
          <w:color w:val="000000"/>
          <w:sz w:val="24"/>
          <w:szCs w:val="24"/>
          <w:highlight w:val="none"/>
        </w:rPr>
        <w:t xml:space="preserve">地址： </w:t>
      </w:r>
      <w:r>
        <w:rPr>
          <w:rFonts w:hAnsi="宋体"/>
          <w:color w:val="000000"/>
          <w:sz w:val="24"/>
          <w:szCs w:val="24"/>
          <w:highlight w:val="none"/>
        </w:rPr>
      </w:r>
      <w:r/>
    </w:p>
    <w:p>
      <w:pPr>
        <w:pStyle w:val="706"/>
        <w:spacing w:line="400" w:lineRule="exact"/>
        <w:rPr>
          <w:rFonts w:hAnsi="宋体"/>
          <w:color w:val="000000"/>
          <w:sz w:val="24"/>
          <w:szCs w:val="24"/>
          <w:highlight w:val="none"/>
        </w:rPr>
      </w:pPr>
      <w:r>
        <w:rPr>
          <w:rFonts w:hAnsi="宋体"/>
          <w:color w:val="000000"/>
          <w:sz w:val="24"/>
          <w:szCs w:val="24"/>
          <w:highlight w:val="none"/>
        </w:rPr>
        <w:t xml:space="preserve">  法定代表人</w:t>
      </w:r>
      <w:r>
        <w:rPr>
          <w:rFonts w:hint="eastAsia" w:hAnsi="宋体"/>
          <w:color w:val="000000"/>
          <w:sz w:val="24"/>
          <w:szCs w:val="24"/>
          <w:highlight w:val="none"/>
        </w:rPr>
        <w:t xml:space="preserve">或授权代表</w:t>
      </w:r>
      <w:r>
        <w:rPr>
          <w:rFonts w:hAnsi="宋体"/>
          <w:color w:val="000000"/>
          <w:sz w:val="24"/>
          <w:szCs w:val="24"/>
          <w:highlight w:val="none"/>
        </w:rPr>
        <w:t xml:space="preserve">：        法定代表人</w:t>
      </w:r>
      <w:r>
        <w:rPr>
          <w:rFonts w:hint="eastAsia" w:hAnsi="宋体"/>
          <w:color w:val="000000"/>
          <w:sz w:val="24"/>
          <w:szCs w:val="24"/>
          <w:highlight w:val="none"/>
        </w:rPr>
        <w:t xml:space="preserve">或授权代表</w:t>
      </w:r>
      <w:r>
        <w:rPr>
          <w:rFonts w:hAnsi="宋体"/>
          <w:color w:val="000000"/>
          <w:sz w:val="24"/>
          <w:szCs w:val="24"/>
          <w:highlight w:val="none"/>
        </w:rPr>
        <w:t xml:space="preserve">：</w:t>
      </w:r>
      <w:r>
        <w:rPr>
          <w:rFonts w:hAnsi="宋体"/>
          <w:color w:val="000000"/>
          <w:sz w:val="24"/>
          <w:szCs w:val="24"/>
          <w:highlight w:val="none"/>
        </w:rPr>
      </w:r>
      <w:r/>
    </w:p>
    <w:p>
      <w:pPr>
        <w:pStyle w:val="706"/>
        <w:ind w:firstLine="240"/>
        <w:spacing w:line="400" w:lineRule="exact"/>
        <w:rPr>
          <w:rFonts w:hint="eastAsia"/>
          <w:color w:val="000000"/>
          <w:highlight w:val="none"/>
        </w:rPr>
      </w:pPr>
      <w:r>
        <w:rPr>
          <w:rFonts w:hint="eastAsia" w:hAnsi="宋体"/>
          <w:color w:val="000000"/>
          <w:sz w:val="24"/>
          <w:szCs w:val="24"/>
          <w:highlight w:val="none"/>
        </w:rPr>
        <w:t xml:space="preserve">联系电话：                    联系电话：          </w:t>
      </w:r>
      <w:r>
        <w:rPr>
          <w:rFonts w:hint="eastAsia"/>
          <w:color w:val="000000"/>
          <w:highlight w:val="none"/>
        </w:rPr>
      </w:r>
      <w:r/>
    </w:p>
    <w:p>
      <w:pPr>
        <w:pStyle w:val="668"/>
        <w:ind w:firstLine="480"/>
        <w:spacing w:line="400" w:lineRule="exact"/>
        <w:rPr>
          <w:color w:val="000000"/>
          <w:sz w:val="24"/>
          <w:szCs w:val="24"/>
          <w:highlight w:val="none"/>
        </w:rPr>
      </w:pPr>
      <w:r>
        <w:rPr>
          <w:rFonts w:hint="eastAsia"/>
          <w:color w:val="000000"/>
          <w:sz w:val="24"/>
          <w:szCs w:val="24"/>
          <w:highlight w:val="none"/>
        </w:rPr>
        <w:t xml:space="preserve">                                </w:t>
      </w:r>
      <w:r>
        <w:rPr>
          <w:color w:val="000000"/>
          <w:sz w:val="24"/>
          <w:szCs w:val="24"/>
          <w:highlight w:val="none"/>
        </w:rPr>
        <w:t xml:space="preserve">签订日期：      年  </w:t>
      </w:r>
      <w:r>
        <w:rPr>
          <w:rFonts w:hint="eastAsia"/>
          <w:color w:val="000000"/>
          <w:sz w:val="24"/>
          <w:szCs w:val="24"/>
          <w:highlight w:val="none"/>
        </w:rPr>
        <w:t xml:space="preserve">  </w:t>
      </w:r>
      <w:r>
        <w:rPr>
          <w:color w:val="000000"/>
          <w:sz w:val="24"/>
          <w:szCs w:val="24"/>
          <w:highlight w:val="none"/>
        </w:rPr>
        <w:t xml:space="preserve">月  </w:t>
      </w:r>
      <w:r>
        <w:rPr>
          <w:rFonts w:hint="eastAsia"/>
          <w:color w:val="000000"/>
          <w:sz w:val="24"/>
          <w:szCs w:val="24"/>
          <w:highlight w:val="none"/>
        </w:rPr>
        <w:t xml:space="preserve"> </w:t>
      </w:r>
      <w:r>
        <w:rPr>
          <w:color w:val="000000"/>
          <w:sz w:val="24"/>
          <w:szCs w:val="24"/>
          <w:highlight w:val="none"/>
        </w:rPr>
        <w:t xml:space="preserve">日</w:t>
      </w:r>
      <w:r>
        <w:rPr>
          <w:color w:val="000000"/>
          <w:sz w:val="24"/>
          <w:szCs w:val="24"/>
          <w:highlight w:val="none"/>
        </w:rPr>
      </w:r>
      <w:r/>
    </w:p>
    <w:p>
      <w:pPr>
        <w:pStyle w:val="668"/>
        <w:jc w:val="center"/>
        <w:spacing w:line="500" w:lineRule="exact"/>
        <w:tabs>
          <w:tab w:val="left" w:pos="1440" w:leader="none"/>
        </w:tabs>
        <w:rPr>
          <w:rFonts w:hint="eastAsia" w:ascii="黑体" w:hAnsi="黑体" w:eastAsia="黑体"/>
          <w:color w:val="000000"/>
          <w:sz w:val="36"/>
          <w:szCs w:val="36"/>
          <w:highlight w:val="none"/>
        </w:rPr>
        <w:outlineLvl w:val="0"/>
      </w:pPr>
      <w:r>
        <w:rPr>
          <w:color w:val="000000"/>
          <w:sz w:val="24"/>
          <w:szCs w:val="24"/>
          <w:highlight w:val="none"/>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62564139"/>
      <w:r/>
      <w:bookmarkStart w:id="190" w:name="_Toc479757211"/>
      <w:r>
        <w:rPr>
          <w:rFonts w:hint="eastAsia" w:ascii="黑体" w:hAnsi="黑体" w:eastAsia="黑体"/>
          <w:color w:val="000000"/>
          <w:sz w:val="36"/>
          <w:szCs w:val="36"/>
          <w:highlight w:val="none"/>
        </w:rPr>
        <w:t xml:space="preserve">第</w:t>
      </w:r>
      <w:bookmarkEnd w:id="185"/>
      <w:r>
        <w:rPr>
          <w:rFonts w:hint="eastAsia" w:ascii="黑体" w:hAnsi="黑体" w:eastAsia="黑体"/>
          <w:color w:val="000000"/>
          <w:sz w:val="36"/>
          <w:szCs w:val="36"/>
          <w:highlight w:val="none"/>
        </w:rPr>
        <w:t xml:space="preserve">四章 采购需求</w:t>
      </w:r>
      <w:bookmarkEnd w:id="186"/>
      <w:r/>
      <w:bookmarkEnd w:id="187"/>
      <w:r/>
      <w:bookmarkEnd w:id="188"/>
      <w:r>
        <w:rPr>
          <w:rFonts w:hint="eastAsia" w:ascii="黑体" w:hAnsi="黑体" w:eastAsia="黑体"/>
          <w:color w:val="000000"/>
          <w:sz w:val="36"/>
          <w:szCs w:val="36"/>
          <w:highlight w:val="none"/>
        </w:rPr>
      </w:r>
      <w:r/>
    </w:p>
    <w:p>
      <w:pPr>
        <w:pStyle w:val="668"/>
        <w:ind w:firstLine="480"/>
        <w:jc w:val="left"/>
        <w:spacing w:line="360" w:lineRule="auto"/>
        <w:rPr>
          <w:rFonts w:hint="eastAsia" w:ascii="黑体" w:hAnsi="黑体" w:eastAsia="黑体"/>
          <w:color w:val="000000"/>
          <w:sz w:val="30"/>
          <w:szCs w:val="30"/>
          <w:highlight w:val="none"/>
        </w:rPr>
      </w:pPr>
      <w:r/>
      <w:bookmarkStart w:id="191" w:name="_Toc26554093"/>
      <w:r/>
      <w:bookmarkStart w:id="192" w:name="_Toc49090575"/>
      <w:r>
        <w:rPr>
          <w:rFonts w:hint="eastAsia" w:ascii="宋体" w:hAnsi="宋体"/>
          <w:color w:val="000000"/>
          <w:sz w:val="24"/>
          <w:szCs w:val="24"/>
          <w:highlight w:val="none"/>
        </w:rPr>
        <w:t xml:space="preserve">投标人所投</w:t>
      </w:r>
      <w:r>
        <w:rPr>
          <w:rFonts w:hint="eastAsia" w:ascii="宋体" w:hAnsi="宋体"/>
          <w:color w:val="000000"/>
          <w:sz w:val="24"/>
          <w:szCs w:val="24"/>
          <w:highlight w:val="none"/>
        </w:rPr>
        <w:t xml:space="preserve">内容必须满足以下要求，不得有负偏离。</w:t>
      </w:r>
      <w:r>
        <w:rPr>
          <w:rFonts w:hint="eastAsia" w:ascii="黑体" w:hAnsi="黑体" w:eastAsia="黑体"/>
          <w:color w:val="000000"/>
          <w:sz w:val="30"/>
          <w:szCs w:val="30"/>
          <w:highlight w:val="none"/>
        </w:rPr>
      </w:r>
      <w:r/>
    </w:p>
    <w:p>
      <w:pPr>
        <w:pStyle w:val="668"/>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本项目属性：服务类项目</w:t>
      </w:r>
      <w:r>
        <w:rPr>
          <w:rFonts w:hint="eastAsia" w:ascii="宋体" w:hAnsi="宋体"/>
          <w:b/>
          <w:color w:val="000000"/>
          <w:sz w:val="24"/>
          <w:szCs w:val="24"/>
          <w:highlight w:val="none"/>
        </w:rPr>
      </w:r>
      <w:r/>
    </w:p>
    <w:p>
      <w:pPr>
        <w:pStyle w:val="668"/>
        <w:ind w:firstLine="480"/>
        <w:spacing w:line="360" w:lineRule="auto"/>
        <w:rPr>
          <w:rFonts w:hint="eastAsia" w:ascii="宋体" w:hAnsi="宋体"/>
          <w:i/>
          <w:color w:val="000000"/>
          <w:sz w:val="24"/>
          <w:szCs w:val="24"/>
          <w:highlight w:val="none"/>
        </w:rPr>
      </w:pPr>
      <w:r>
        <w:rPr>
          <w:rFonts w:hint="eastAsia" w:ascii="宋体" w:hAnsi="宋体"/>
          <w:bCs/>
          <w:color w:val="000000"/>
          <w:sz w:val="24"/>
          <w:szCs w:val="24"/>
          <w:highlight w:val="none"/>
        </w:rPr>
        <w:t xml:space="preserve">本项目标的物所属行业：软件和信息技术服务业</w:t>
      </w:r>
      <w:r>
        <w:rPr>
          <w:rFonts w:hint="eastAsia" w:ascii="宋体" w:hAnsi="宋体"/>
          <w:i/>
          <w:color w:val="000000"/>
          <w:sz w:val="24"/>
          <w:szCs w:val="24"/>
          <w:highlight w:val="none"/>
        </w:rPr>
      </w:r>
      <w:r/>
    </w:p>
    <w:p>
      <w:pPr>
        <w:pStyle w:val="668"/>
        <w:ind w:firstLine="602"/>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第一部分  项目技术要求</w:t>
      </w:r>
      <w:r>
        <w:rPr>
          <w:rFonts w:hint="eastAsia" w:ascii="宋体" w:hAnsi="宋体"/>
          <w:b/>
          <w:color w:val="000000"/>
          <w:sz w:val="30"/>
          <w:szCs w:val="30"/>
          <w:highlight w:val="none"/>
        </w:rPr>
      </w:r>
      <w:r/>
    </w:p>
    <w:p>
      <w:pPr>
        <w:pStyle w:val="668"/>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一、建设目标</w:t>
      </w:r>
      <w:r>
        <w:rPr>
          <w:rFonts w:hint="eastAsia" w:ascii="仿宋" w:hAnsi="仿宋" w:eastAsia="仿宋"/>
          <w:b/>
          <w:bCs/>
          <w:color w:val="000000"/>
          <w:sz w:val="28"/>
          <w:szCs w:val="36"/>
          <w:highlight w:val="none"/>
        </w:rPr>
      </w:r>
      <w:r/>
    </w:p>
    <w:p>
      <w:pPr>
        <w:pStyle w:val="668"/>
        <w:ind w:firstLine="560"/>
        <w:spacing w:line="520" w:lineRule="exact"/>
        <w:rPr>
          <w:rFonts w:hint="eastAsia" w:ascii="仿宋" w:hAnsi="仿宋" w:eastAsia="仿宋"/>
          <w:color w:val="000000"/>
          <w:sz w:val="28"/>
          <w:szCs w:val="36"/>
          <w:highlight w:val="none"/>
        </w:rPr>
      </w:pPr>
      <w:r>
        <w:rPr>
          <w:rFonts w:ascii="仿宋" w:hAnsi="仿宋" w:eastAsia="仿宋"/>
          <w:color w:val="000000"/>
          <w:sz w:val="28"/>
          <w:szCs w:val="36"/>
          <w:highlight w:val="none"/>
        </w:rPr>
        <w:t xml:space="preserve">本项目旨在建设“智慧住建</w:t>
      </w:r>
      <w:r>
        <w:rPr>
          <w:rFonts w:hint="eastAsia" w:ascii="仿宋" w:hAnsi="仿宋" w:eastAsia="仿宋"/>
          <w:color w:val="000000"/>
          <w:sz w:val="28"/>
          <w:szCs w:val="36"/>
          <w:highlight w:val="none"/>
        </w:rPr>
        <w:t xml:space="preserve">（</w:t>
      </w:r>
      <w:r>
        <w:rPr>
          <w:rFonts w:ascii="仿宋" w:hAnsi="仿宋" w:eastAsia="仿宋"/>
          <w:color w:val="000000"/>
          <w:sz w:val="28"/>
          <w:szCs w:val="36"/>
          <w:highlight w:val="none"/>
        </w:rPr>
        <w:t xml:space="preserve">二期</w:t>
      </w:r>
      <w:r>
        <w:rPr>
          <w:rFonts w:hint="eastAsia" w:ascii="仿宋" w:hAnsi="仿宋" w:eastAsia="仿宋"/>
          <w:color w:val="000000"/>
          <w:sz w:val="28"/>
          <w:szCs w:val="36"/>
          <w:highlight w:val="none"/>
        </w:rPr>
        <w:t xml:space="preserve">）</w:t>
      </w:r>
      <w:r>
        <w:rPr>
          <w:rFonts w:ascii="仿宋" w:hAnsi="仿宋" w:eastAsia="仿宋"/>
          <w:color w:val="000000"/>
          <w:sz w:val="28"/>
          <w:szCs w:val="36"/>
          <w:highlight w:val="none"/>
        </w:rPr>
        <w:t xml:space="preserve">”，聚焦信创改造、招投标监管、BIM审查升级及契税补贴管理四大方向。一是完成智慧住建业务平台等三大子系统在信创环境的适配改造，实现核心技术自主可控，强化网络与数据安全。二是构建招投标活动监管子系统，运用大数据技术加强交易监测分析，提升监管效能，优化营商环境。三是升级BIM施工图智能审查系统，对接工改3.0标准，拓展城市更新审查、电子发票管理等功能，提升审查效率与协同管理能力。四是新增“卖旧买新”契税补贴资格管理模块，落实本市商品房支持政策。通过以上举措，全面提升住建领域数字化监管与服务能力。</w:t>
      </w:r>
      <w:r>
        <w:rPr>
          <w:rFonts w:hint="eastAsia" w:ascii="仿宋" w:hAnsi="仿宋" w:eastAsia="仿宋"/>
          <w:color w:val="000000"/>
          <w:sz w:val="28"/>
          <w:szCs w:val="36"/>
          <w:highlight w:val="none"/>
        </w:rPr>
      </w:r>
      <w:r/>
    </w:p>
    <w:p>
      <w:pPr>
        <w:pStyle w:val="668"/>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二、建设内容</w:t>
      </w:r>
      <w:r>
        <w:rPr>
          <w:rFonts w:hint="eastAsia" w:ascii="仿宋" w:hAnsi="仿宋" w:eastAsia="仿宋"/>
          <w:b/>
          <w:bCs/>
          <w:color w:val="000000"/>
          <w:sz w:val="28"/>
          <w:szCs w:val="36"/>
          <w:highlight w:val="none"/>
        </w:rPr>
      </w:r>
      <w:r/>
    </w:p>
    <w:p>
      <w:pPr>
        <w:pStyle w:val="668"/>
        <w:ind w:firstLine="560"/>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t xml:space="preserve">本项目建设内容主要包括四个方面：一是完成智慧住建业务平台、建筑工地智慧监管子系统、无锡市城市基础设施配套费征收管理子系统</w:t>
      </w:r>
      <w:r>
        <w:rPr>
          <w:rFonts w:hint="eastAsia" w:ascii="仿宋" w:hAnsi="仿宋" w:eastAsia="仿宋" w:cs="仿宋"/>
          <w:color w:val="000000"/>
          <w:sz w:val="28"/>
          <w:szCs w:val="28"/>
          <w:highlight w:val="none"/>
        </w:rPr>
        <w:t xml:space="preserve">等3个现有系统</w:t>
      </w:r>
      <w:r>
        <w:rPr>
          <w:rFonts w:ascii="仿宋" w:hAnsi="仿宋" w:eastAsia="仿宋" w:cs="仿宋"/>
          <w:color w:val="000000"/>
          <w:sz w:val="28"/>
          <w:szCs w:val="28"/>
          <w:highlight w:val="none"/>
        </w:rPr>
        <w:t xml:space="preserve">的信创适配</w:t>
      </w:r>
      <w:r>
        <w:rPr>
          <w:rFonts w:hint="eastAsia" w:ascii="仿宋" w:hAnsi="仿宋" w:eastAsia="仿宋" w:cs="仿宋"/>
          <w:color w:val="000000"/>
          <w:sz w:val="28"/>
          <w:szCs w:val="28"/>
          <w:highlight w:val="none"/>
        </w:rPr>
        <w:t xml:space="preserve">改造</w:t>
      </w:r>
      <w:r>
        <w:rPr>
          <w:rFonts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t xml:space="preserve">以及存量数据迁移</w:t>
      </w:r>
      <w:r>
        <w:rPr>
          <w:rFonts w:ascii="仿宋" w:hAnsi="仿宋" w:eastAsia="仿宋" w:cs="仿宋"/>
          <w:color w:val="000000"/>
          <w:sz w:val="28"/>
          <w:szCs w:val="28"/>
          <w:highlight w:val="none"/>
        </w:rPr>
        <w:t xml:space="preserve">。二是建设招投标活动监管子系统，深度融合现有</w:t>
      </w:r>
      <w:r>
        <w:rPr>
          <w:rFonts w:hint="eastAsia" w:ascii="仿宋" w:hAnsi="仿宋" w:eastAsia="仿宋" w:cs="仿宋"/>
          <w:color w:val="000000"/>
          <w:sz w:val="28"/>
          <w:szCs w:val="28"/>
          <w:highlight w:val="none"/>
        </w:rPr>
        <w:t xml:space="preserve">无锡市建设工程网上招投标系统（以下简称“招投标系统”）及无锡市建筑市场信用管理系统</w:t>
      </w:r>
      <w:r>
        <w:rPr>
          <w:rFonts w:ascii="仿宋" w:hAnsi="仿宋" w:eastAsia="仿宋" w:cs="仿宋"/>
          <w:color w:val="000000"/>
          <w:sz w:val="28"/>
          <w:szCs w:val="28"/>
          <w:highlight w:val="none"/>
        </w:rPr>
        <w:t xml:space="preserve">，开发投标文件特征码雷同分析、市场主体社团分析、智能辅助评标及转包分包大数据分析等功能，强化房屋建设工程招投标全过程监测与分析能力。三是对</w:t>
      </w:r>
      <w:r>
        <w:rPr>
          <w:rFonts w:hint="eastAsia" w:ascii="仿宋" w:hAnsi="仿宋" w:eastAsia="仿宋" w:cs="仿宋"/>
          <w:color w:val="000000"/>
          <w:sz w:val="28"/>
          <w:szCs w:val="28"/>
          <w:highlight w:val="none"/>
        </w:rPr>
        <w:t xml:space="preserve">现有</w:t>
      </w:r>
      <w:r>
        <w:rPr>
          <w:rFonts w:ascii="仿宋" w:hAnsi="仿宋" w:eastAsia="仿宋" w:cs="仿宋"/>
          <w:color w:val="000000"/>
          <w:sz w:val="28"/>
          <w:szCs w:val="28"/>
          <w:highlight w:val="none"/>
        </w:rPr>
        <w:t xml:space="preserve">BIM施工图智能审查子系统进行全面升级，包括建设工单管理、电子发票开具与下载、城市更新审查模块，</w:t>
      </w:r>
      <w:r>
        <w:rPr>
          <w:rFonts w:hint="eastAsia" w:ascii="仿宋" w:hAnsi="仿宋" w:eastAsia="仿宋"/>
          <w:color w:val="000000"/>
          <w:sz w:val="28"/>
          <w:szCs w:val="28"/>
          <w:highlight w:val="none"/>
        </w:rPr>
        <w:t xml:space="preserve">适配工程建设项目审批管理系统数据共享交换标准 3.0，</w:t>
      </w:r>
      <w:r>
        <w:rPr>
          <w:rFonts w:ascii="仿宋" w:hAnsi="仿宋" w:eastAsia="仿宋" w:cs="仿宋"/>
          <w:color w:val="000000"/>
          <w:sz w:val="28"/>
          <w:szCs w:val="28"/>
          <w:highlight w:val="none"/>
        </w:rPr>
        <w:t xml:space="preserve">实现与</w:t>
      </w:r>
      <w:r>
        <w:rPr>
          <w:rFonts w:hint="eastAsia" w:ascii="仿宋" w:hAnsi="仿宋" w:eastAsia="仿宋" w:cs="仿宋"/>
          <w:color w:val="000000"/>
          <w:sz w:val="28"/>
          <w:szCs w:val="28"/>
          <w:highlight w:val="none"/>
        </w:rPr>
        <w:t xml:space="preserve">无锡市数据局</w:t>
      </w:r>
      <w:r>
        <w:rPr>
          <w:rFonts w:ascii="仿宋" w:hAnsi="仿宋" w:eastAsia="仿宋" w:cs="仿宋"/>
          <w:color w:val="000000"/>
          <w:sz w:val="28"/>
          <w:szCs w:val="28"/>
          <w:highlight w:val="none"/>
        </w:rPr>
        <w:t xml:space="preserve">工改系统对接，新增一对一结构化整改回复、跨专业图纸关联变更和全过程图纸版本精细化管理功能。四是在</w:t>
      </w:r>
      <w:r>
        <w:rPr>
          <w:rFonts w:hint="eastAsia" w:ascii="仿宋" w:hAnsi="仿宋" w:eastAsia="仿宋" w:cs="仿宋"/>
          <w:color w:val="000000"/>
          <w:sz w:val="28"/>
          <w:szCs w:val="28"/>
          <w:highlight w:val="none"/>
        </w:rPr>
        <w:t xml:space="preserve">现有</w:t>
      </w:r>
      <w:r>
        <w:rPr>
          <w:rFonts w:ascii="仿宋" w:hAnsi="仿宋" w:eastAsia="仿宋" w:cs="仿宋"/>
          <w:color w:val="000000"/>
          <w:sz w:val="28"/>
          <w:szCs w:val="28"/>
          <w:highlight w:val="none"/>
        </w:rPr>
        <w:t xml:space="preserve">商品房备案子系统中开发“卖旧买新”契税补贴资格管理模块，涵盖存量房与商品房信息管理、家庭成员认定、补贴申请审核、发放管理及撤销等功能，实现契税补贴政策全流程线上办理与管理。</w:t>
      </w:r>
      <w:r>
        <w:rPr>
          <w:rFonts w:ascii="仿宋" w:hAnsi="仿宋" w:eastAsia="仿宋" w:cs="仿宋"/>
          <w:color w:val="000000"/>
          <w:sz w:val="28"/>
          <w:szCs w:val="28"/>
          <w:highlight w:val="none"/>
        </w:rPr>
      </w:r>
      <w:r/>
    </w:p>
    <w:p>
      <w:pPr>
        <w:pStyle w:val="668"/>
        <w:ind w:firstLine="560"/>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采购清单包括：</w:t>
      </w:r>
      <w:r>
        <w:rPr>
          <w:rFonts w:ascii="仿宋" w:hAnsi="仿宋" w:eastAsia="仿宋" w:cs="仿宋"/>
          <w:color w:val="000000"/>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3544"/>
        <w:gridCol w:w="1140"/>
        <w:gridCol w:w="1834"/>
        <w:gridCol w:w="1834"/>
      </w:tblGrid>
      <w:tr>
        <w:trPr/>
        <w:tc>
          <w:tcPr>
            <w:tcW w:w="817" w:type="dxa"/>
            <w:vAlign w:val="top"/>
            <w:textDirection w:val="lrTb"/>
            <w:noWrap w:val="false"/>
          </w:tcPr>
          <w:p>
            <w:pPr>
              <w:pStyle w:val="66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rPr>
                <w:rFonts w:hint="eastAsia" w:ascii="仿宋" w:hAnsi="仿宋" w:eastAsia="仿宋" w:cs="仿宋"/>
                <w:color w:val="000000"/>
                <w:sz w:val="28"/>
                <w:szCs w:val="28"/>
                <w:highlight w:val="none"/>
              </w:rPr>
            </w:r>
            <w:r/>
          </w:p>
        </w:tc>
        <w:tc>
          <w:tcPr>
            <w:tcW w:w="3544" w:type="dxa"/>
            <w:vAlign w:val="top"/>
            <w:textDirection w:val="lrTb"/>
            <w:noWrap w:val="false"/>
          </w:tcPr>
          <w:p>
            <w:pPr>
              <w:pStyle w:val="66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标的名称</w:t>
            </w:r>
            <w:r>
              <w:rPr>
                <w:rFonts w:hint="eastAsia" w:ascii="仿宋" w:hAnsi="仿宋" w:eastAsia="仿宋" w:cs="仿宋"/>
                <w:color w:val="000000"/>
                <w:sz w:val="28"/>
                <w:szCs w:val="28"/>
                <w:highlight w:val="none"/>
              </w:rPr>
            </w:r>
            <w:r/>
          </w:p>
        </w:tc>
        <w:tc>
          <w:tcPr>
            <w:tcW w:w="1140" w:type="dxa"/>
            <w:vAlign w:val="top"/>
            <w:textDirection w:val="lrTb"/>
            <w:noWrap w:val="false"/>
          </w:tcPr>
          <w:p>
            <w:pPr>
              <w:pStyle w:val="66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数量</w:t>
            </w:r>
            <w:r>
              <w:rPr>
                <w:rFonts w:hint="eastAsia" w:ascii="仿宋" w:hAnsi="仿宋" w:eastAsia="仿宋" w:cs="仿宋"/>
                <w:color w:val="000000"/>
                <w:sz w:val="28"/>
                <w:szCs w:val="28"/>
                <w:highlight w:val="none"/>
              </w:rPr>
            </w:r>
            <w:r/>
          </w:p>
        </w:tc>
        <w:tc>
          <w:tcPr>
            <w:tcW w:w="1834" w:type="dxa"/>
            <w:vAlign w:val="top"/>
            <w:textDirection w:val="lrTb"/>
            <w:noWrap w:val="false"/>
          </w:tcPr>
          <w:p>
            <w:pPr>
              <w:pStyle w:val="66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单位</w:t>
            </w:r>
            <w:r>
              <w:rPr>
                <w:rFonts w:hint="eastAsia" w:ascii="仿宋" w:hAnsi="仿宋" w:eastAsia="仿宋" w:cs="仿宋"/>
                <w:color w:val="000000"/>
                <w:sz w:val="28"/>
                <w:szCs w:val="28"/>
                <w:highlight w:val="none"/>
              </w:rPr>
            </w:r>
            <w:r/>
          </w:p>
        </w:tc>
        <w:tc>
          <w:tcPr>
            <w:tcW w:w="1834" w:type="dxa"/>
            <w:vAlign w:val="top"/>
            <w:textDirection w:val="lrTb"/>
            <w:noWrap w:val="false"/>
          </w:tcPr>
          <w:p>
            <w:pPr>
              <w:pStyle w:val="66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所属行业</w:t>
            </w:r>
            <w:r>
              <w:rPr>
                <w:rFonts w:hint="eastAsia" w:ascii="仿宋" w:hAnsi="仿宋" w:eastAsia="仿宋" w:cs="仿宋"/>
                <w:color w:val="000000"/>
                <w:sz w:val="28"/>
                <w:szCs w:val="28"/>
                <w:highlight w:val="none"/>
              </w:rPr>
            </w:r>
            <w:r/>
          </w:p>
        </w:tc>
      </w:tr>
      <w:tr>
        <w:trPr/>
        <w:tc>
          <w:tcPr>
            <w:tcW w:w="817" w:type="dxa"/>
            <w:vAlign w:val="top"/>
            <w:textDirection w:val="lrTb"/>
            <w:noWrap w:val="false"/>
          </w:tcPr>
          <w:p>
            <w:pPr>
              <w:pStyle w:val="66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W w:w="3544" w:type="dxa"/>
            <w:vAlign w:val="top"/>
            <w:textDirection w:val="lrTb"/>
            <w:noWrap w:val="false"/>
          </w:tcPr>
          <w:p>
            <w:pPr>
              <w:pStyle w:val="668"/>
              <w:spacing w:line="520" w:lineRule="exact"/>
              <w:rPr>
                <w:rFonts w:hint="eastAsia" w:ascii="仿宋" w:hAnsi="仿宋" w:eastAsia="仿宋" w:cs="仿宋"/>
                <w:color w:val="000000"/>
                <w:sz w:val="28"/>
                <w:szCs w:val="28"/>
                <w:highlight w:val="none"/>
              </w:rPr>
            </w:pPr>
            <w:r>
              <w:rPr>
                <w:rFonts w:ascii="仿宋" w:hAnsi="仿宋" w:eastAsia="仿宋" w:cs="仿宋"/>
                <w:color w:val="000000"/>
                <w:sz w:val="28"/>
                <w:szCs w:val="28"/>
                <w:highlight w:val="none"/>
              </w:rPr>
              <w:t xml:space="preserve">智慧住建业务平台</w:t>
            </w:r>
            <w:r>
              <w:rPr>
                <w:rFonts w:hint="eastAsia" w:ascii="仿宋" w:hAnsi="仿宋" w:eastAsia="仿宋" w:cs="仿宋"/>
                <w:color w:val="000000"/>
                <w:sz w:val="28"/>
                <w:szCs w:val="28"/>
                <w:highlight w:val="none"/>
              </w:rPr>
              <w:t xml:space="preserve">信创改造</w:t>
            </w:r>
            <w:r>
              <w:rPr>
                <w:rFonts w:hint="eastAsia" w:ascii="仿宋" w:hAnsi="仿宋" w:eastAsia="仿宋" w:cs="仿宋"/>
                <w:color w:val="000000"/>
                <w:sz w:val="28"/>
                <w:szCs w:val="28"/>
                <w:highlight w:val="none"/>
              </w:rPr>
            </w:r>
            <w:r/>
          </w:p>
        </w:tc>
        <w:tc>
          <w:tcPr>
            <w:tcW w:w="1140" w:type="dxa"/>
            <w:vAlign w:val="top"/>
            <w:textDirection w:val="lrTb"/>
            <w:noWrap w:val="false"/>
          </w:tcPr>
          <w:p>
            <w:pPr>
              <w:pStyle w:val="66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W w:w="1834" w:type="dxa"/>
            <w:vAlign w:val="top"/>
            <w:textDirection w:val="lrTb"/>
            <w:noWrap w:val="false"/>
          </w:tcPr>
          <w:p>
            <w:pPr>
              <w:pStyle w:val="66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套</w:t>
            </w:r>
            <w:r>
              <w:rPr>
                <w:rFonts w:hint="eastAsia" w:ascii="仿宋" w:hAnsi="仿宋" w:eastAsia="仿宋" w:cs="仿宋"/>
                <w:color w:val="000000"/>
                <w:sz w:val="28"/>
                <w:szCs w:val="28"/>
                <w:highlight w:val="none"/>
              </w:rPr>
            </w:r>
            <w:r/>
          </w:p>
        </w:tc>
        <w:tc>
          <w:tcPr>
            <w:tcW w:w="1834" w:type="dxa"/>
            <w:vAlign w:val="top"/>
            <w:textDirection w:val="lrTb"/>
            <w:noWrap w:val="false"/>
          </w:tcPr>
          <w:p>
            <w:pPr>
              <w:pStyle w:val="668"/>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软件和</w:t>
            </w:r>
            <w:r>
              <w:rPr>
                <w:rFonts w:hint="eastAsia" w:ascii="仿宋" w:hAnsi="仿宋" w:eastAsia="仿宋" w:cs="仿宋"/>
                <w:color w:val="000000"/>
                <w:sz w:val="28"/>
                <w:szCs w:val="28"/>
                <w:highlight w:val="none"/>
              </w:rPr>
              <w:t xml:space="preserve">信息技术</w:t>
            </w:r>
            <w:r>
              <w:rPr>
                <w:rFonts w:hint="eastAsia" w:ascii="仿宋" w:hAnsi="仿宋" w:eastAsia="仿宋" w:cs="仿宋"/>
                <w:color w:val="000000"/>
                <w:sz w:val="28"/>
                <w:szCs w:val="28"/>
                <w:highlight w:val="none"/>
                <w:lang w:val="en-US" w:eastAsia="zh-CN"/>
              </w:rPr>
              <w:t xml:space="preserve">服务业</w:t>
            </w:r>
            <w:r>
              <w:rPr>
                <w:rFonts w:hint="eastAsia" w:ascii="仿宋" w:hAnsi="仿宋" w:eastAsia="仿宋" w:cs="仿宋"/>
                <w:color w:val="000000"/>
                <w:sz w:val="28"/>
                <w:szCs w:val="28"/>
                <w:highlight w:val="none"/>
                <w:lang w:val="en-US" w:eastAsia="zh-CN"/>
              </w:rPr>
            </w:r>
            <w:r/>
          </w:p>
        </w:tc>
      </w:tr>
      <w:tr>
        <w:trPr/>
        <w:tc>
          <w:tcPr>
            <w:tcW w:w="817" w:type="dxa"/>
            <w:vAlign w:val="top"/>
            <w:textDirection w:val="lrTb"/>
            <w:noWrap w:val="false"/>
          </w:tcPr>
          <w:p>
            <w:pPr>
              <w:pStyle w:val="66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rPr>
            </w:r>
            <w:r/>
          </w:p>
        </w:tc>
        <w:tc>
          <w:tcPr>
            <w:tcW w:w="3544" w:type="dxa"/>
            <w:vAlign w:val="top"/>
            <w:textDirection w:val="lrTb"/>
            <w:noWrap w:val="false"/>
          </w:tcPr>
          <w:p>
            <w:pPr>
              <w:pStyle w:val="668"/>
              <w:spacing w:line="520" w:lineRule="exact"/>
              <w:rPr>
                <w:rFonts w:hint="eastAsia" w:ascii="仿宋" w:hAnsi="仿宋" w:eastAsia="仿宋" w:cs="仿宋"/>
                <w:color w:val="000000"/>
                <w:sz w:val="28"/>
                <w:szCs w:val="28"/>
                <w:highlight w:val="none"/>
              </w:rPr>
            </w:pPr>
            <w:r>
              <w:rPr>
                <w:rFonts w:ascii="仿宋" w:hAnsi="仿宋" w:eastAsia="仿宋" w:cs="仿宋"/>
                <w:color w:val="000000"/>
                <w:sz w:val="28"/>
                <w:szCs w:val="28"/>
                <w:highlight w:val="none"/>
              </w:rPr>
              <w:t xml:space="preserve">建筑工地智慧监管子系统</w:t>
            </w:r>
            <w:r>
              <w:rPr>
                <w:rFonts w:hint="eastAsia" w:ascii="仿宋" w:hAnsi="仿宋" w:eastAsia="仿宋" w:cs="仿宋"/>
                <w:color w:val="000000"/>
                <w:sz w:val="28"/>
                <w:szCs w:val="28"/>
                <w:highlight w:val="none"/>
              </w:rPr>
              <w:t xml:space="preserve">信创改造</w:t>
            </w:r>
            <w:r>
              <w:rPr>
                <w:rFonts w:hint="eastAsia" w:ascii="仿宋" w:hAnsi="仿宋" w:eastAsia="仿宋" w:cs="仿宋"/>
                <w:color w:val="000000"/>
                <w:sz w:val="28"/>
                <w:szCs w:val="28"/>
                <w:highlight w:val="none"/>
              </w:rPr>
            </w:r>
            <w:r/>
          </w:p>
        </w:tc>
        <w:tc>
          <w:tcPr>
            <w:tcW w:w="1140" w:type="dxa"/>
            <w:vAlign w:val="top"/>
            <w:textDirection w:val="lrTb"/>
            <w:noWrap w:val="false"/>
          </w:tcPr>
          <w:p>
            <w:pPr>
              <w:pStyle w:val="66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W w:w="1834" w:type="dxa"/>
            <w:vAlign w:val="top"/>
            <w:textDirection w:val="lrTb"/>
            <w:noWrap w:val="false"/>
          </w:tcPr>
          <w:p>
            <w:pPr>
              <w:pStyle w:val="66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套</w:t>
            </w:r>
            <w:r>
              <w:rPr>
                <w:rFonts w:hint="eastAsia" w:ascii="仿宋" w:hAnsi="仿宋" w:eastAsia="仿宋" w:cs="仿宋"/>
                <w:color w:val="000000"/>
                <w:sz w:val="28"/>
                <w:szCs w:val="28"/>
                <w:highlight w:val="none"/>
              </w:rPr>
            </w:r>
            <w:r/>
          </w:p>
        </w:tc>
        <w:tc>
          <w:tcPr>
            <w:tcW w:w="1834" w:type="dxa"/>
            <w:vAlign w:val="top"/>
            <w:textDirection w:val="lrTb"/>
            <w:noWrap w:val="false"/>
          </w:tcPr>
          <w:p>
            <w:pPr>
              <w:pStyle w:val="66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软件和</w:t>
            </w:r>
            <w:r>
              <w:rPr>
                <w:rFonts w:hint="eastAsia" w:ascii="仿宋" w:hAnsi="仿宋" w:eastAsia="仿宋" w:cs="仿宋"/>
                <w:color w:val="000000"/>
                <w:sz w:val="28"/>
                <w:szCs w:val="28"/>
                <w:highlight w:val="none"/>
              </w:rPr>
              <w:t xml:space="preserve">信息技术</w:t>
            </w:r>
            <w:r>
              <w:rPr>
                <w:rFonts w:hint="eastAsia" w:ascii="仿宋" w:hAnsi="仿宋" w:eastAsia="仿宋" w:cs="仿宋"/>
                <w:color w:val="000000"/>
                <w:sz w:val="28"/>
                <w:szCs w:val="28"/>
                <w:highlight w:val="none"/>
                <w:lang w:val="en-US" w:eastAsia="zh-CN"/>
              </w:rPr>
              <w:t xml:space="preserve">服务业</w:t>
            </w:r>
            <w:r>
              <w:rPr>
                <w:rFonts w:hint="eastAsia" w:ascii="仿宋" w:hAnsi="仿宋" w:eastAsia="仿宋" w:cs="仿宋"/>
                <w:color w:val="000000"/>
                <w:sz w:val="28"/>
                <w:szCs w:val="28"/>
                <w:highlight w:val="none"/>
              </w:rPr>
            </w:r>
            <w:r/>
          </w:p>
        </w:tc>
      </w:tr>
      <w:tr>
        <w:trPr/>
        <w:tc>
          <w:tcPr>
            <w:tcW w:w="817" w:type="dxa"/>
            <w:vAlign w:val="top"/>
            <w:textDirection w:val="lrTb"/>
            <w:noWrap w:val="false"/>
          </w:tcPr>
          <w:p>
            <w:pPr>
              <w:pStyle w:val="66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rPr>
            </w:r>
            <w:r/>
          </w:p>
        </w:tc>
        <w:tc>
          <w:tcPr>
            <w:tcW w:w="3544" w:type="dxa"/>
            <w:vAlign w:val="top"/>
            <w:textDirection w:val="lrTb"/>
            <w:noWrap w:val="false"/>
          </w:tcPr>
          <w:p>
            <w:pPr>
              <w:pStyle w:val="668"/>
              <w:spacing w:line="520" w:lineRule="exact"/>
              <w:rPr>
                <w:rFonts w:hint="eastAsia" w:ascii="仿宋" w:hAnsi="仿宋" w:eastAsia="仿宋" w:cs="仿宋"/>
                <w:color w:val="000000"/>
                <w:sz w:val="28"/>
                <w:szCs w:val="28"/>
                <w:highlight w:val="none"/>
              </w:rPr>
            </w:pPr>
            <w:r>
              <w:rPr>
                <w:rFonts w:ascii="仿宋" w:hAnsi="仿宋" w:eastAsia="仿宋" w:cs="仿宋"/>
                <w:color w:val="000000"/>
                <w:sz w:val="28"/>
                <w:szCs w:val="28"/>
                <w:highlight w:val="none"/>
              </w:rPr>
              <w:t xml:space="preserve">无锡市城市基础设施配套费征收管理子系统</w:t>
            </w:r>
            <w:r>
              <w:rPr>
                <w:rFonts w:hint="eastAsia" w:ascii="仿宋" w:hAnsi="仿宋" w:eastAsia="仿宋" w:cs="仿宋"/>
                <w:color w:val="000000"/>
                <w:sz w:val="28"/>
                <w:szCs w:val="28"/>
                <w:highlight w:val="none"/>
              </w:rPr>
              <w:t xml:space="preserve">信创改造</w:t>
            </w:r>
            <w:r>
              <w:rPr>
                <w:rFonts w:hint="eastAsia" w:ascii="仿宋" w:hAnsi="仿宋" w:eastAsia="仿宋" w:cs="仿宋"/>
                <w:color w:val="000000"/>
                <w:sz w:val="28"/>
                <w:szCs w:val="28"/>
                <w:highlight w:val="none"/>
              </w:rPr>
            </w:r>
            <w:r/>
          </w:p>
        </w:tc>
        <w:tc>
          <w:tcPr>
            <w:tcW w:w="1140" w:type="dxa"/>
            <w:vAlign w:val="top"/>
            <w:textDirection w:val="lrTb"/>
            <w:noWrap w:val="false"/>
          </w:tcPr>
          <w:p>
            <w:pPr>
              <w:pStyle w:val="66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W w:w="1834" w:type="dxa"/>
            <w:vAlign w:val="top"/>
            <w:textDirection w:val="lrTb"/>
            <w:noWrap w:val="false"/>
          </w:tcPr>
          <w:p>
            <w:pPr>
              <w:pStyle w:val="66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套</w:t>
            </w:r>
            <w:r>
              <w:rPr>
                <w:rFonts w:hint="eastAsia" w:ascii="仿宋" w:hAnsi="仿宋" w:eastAsia="仿宋" w:cs="仿宋"/>
                <w:color w:val="000000"/>
                <w:sz w:val="28"/>
                <w:szCs w:val="28"/>
                <w:highlight w:val="none"/>
              </w:rPr>
            </w:r>
            <w:r/>
          </w:p>
        </w:tc>
        <w:tc>
          <w:tcPr>
            <w:tcW w:w="1834" w:type="dxa"/>
            <w:vAlign w:val="top"/>
            <w:textDirection w:val="lrTb"/>
            <w:noWrap w:val="false"/>
          </w:tcPr>
          <w:p>
            <w:pPr>
              <w:pStyle w:val="66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软件和</w:t>
            </w:r>
            <w:r>
              <w:rPr>
                <w:rFonts w:hint="eastAsia" w:ascii="仿宋" w:hAnsi="仿宋" w:eastAsia="仿宋" w:cs="仿宋"/>
                <w:color w:val="000000"/>
                <w:sz w:val="28"/>
                <w:szCs w:val="28"/>
                <w:highlight w:val="none"/>
              </w:rPr>
              <w:t xml:space="preserve">信息技术</w:t>
            </w:r>
            <w:r>
              <w:rPr>
                <w:rFonts w:hint="eastAsia" w:ascii="仿宋" w:hAnsi="仿宋" w:eastAsia="仿宋" w:cs="仿宋"/>
                <w:color w:val="000000"/>
                <w:sz w:val="28"/>
                <w:szCs w:val="28"/>
                <w:highlight w:val="none"/>
                <w:lang w:val="en-US" w:eastAsia="zh-CN"/>
              </w:rPr>
              <w:t xml:space="preserve">服务业</w:t>
            </w:r>
            <w:r>
              <w:rPr>
                <w:rFonts w:hint="eastAsia" w:ascii="仿宋" w:hAnsi="仿宋" w:eastAsia="仿宋" w:cs="仿宋"/>
                <w:color w:val="000000"/>
                <w:sz w:val="28"/>
                <w:szCs w:val="28"/>
                <w:highlight w:val="none"/>
              </w:rPr>
            </w:r>
            <w:r/>
          </w:p>
        </w:tc>
      </w:tr>
      <w:tr>
        <w:trPr/>
        <w:tc>
          <w:tcPr>
            <w:tcW w:w="817" w:type="dxa"/>
            <w:vAlign w:val="top"/>
            <w:textDirection w:val="lrTb"/>
            <w:noWrap w:val="false"/>
          </w:tcPr>
          <w:p>
            <w:pPr>
              <w:pStyle w:val="66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rPr>
            </w:r>
            <w:r/>
          </w:p>
        </w:tc>
        <w:tc>
          <w:tcPr>
            <w:tcW w:w="3544" w:type="dxa"/>
            <w:vAlign w:val="top"/>
            <w:textDirection w:val="lrTb"/>
            <w:noWrap w:val="false"/>
          </w:tcPr>
          <w:p>
            <w:pPr>
              <w:pStyle w:val="668"/>
              <w:spacing w:line="520" w:lineRule="exact"/>
              <w:rPr>
                <w:rFonts w:hint="eastAsia" w:ascii="仿宋" w:hAnsi="仿宋" w:eastAsia="仿宋" w:cs="仿宋"/>
                <w:color w:val="000000"/>
                <w:sz w:val="28"/>
                <w:szCs w:val="28"/>
                <w:highlight w:val="none"/>
              </w:rPr>
            </w:pPr>
            <w:r>
              <w:rPr>
                <w:rFonts w:ascii="仿宋" w:hAnsi="仿宋" w:eastAsia="仿宋" w:cs="仿宋"/>
                <w:color w:val="000000"/>
                <w:sz w:val="28"/>
                <w:szCs w:val="28"/>
                <w:highlight w:val="none"/>
              </w:rPr>
              <w:t xml:space="preserve">招投标活动监管子系统</w:t>
            </w:r>
            <w:r>
              <w:rPr>
                <w:rFonts w:hint="eastAsia" w:ascii="仿宋" w:hAnsi="仿宋" w:eastAsia="仿宋" w:cs="仿宋"/>
                <w:color w:val="000000"/>
                <w:sz w:val="28"/>
                <w:szCs w:val="28"/>
                <w:highlight w:val="none"/>
              </w:rPr>
            </w:r>
            <w:r/>
          </w:p>
        </w:tc>
        <w:tc>
          <w:tcPr>
            <w:tcW w:w="1140" w:type="dxa"/>
            <w:vAlign w:val="top"/>
            <w:textDirection w:val="lrTb"/>
            <w:noWrap w:val="false"/>
          </w:tcPr>
          <w:p>
            <w:pPr>
              <w:pStyle w:val="66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W w:w="1834" w:type="dxa"/>
            <w:vAlign w:val="top"/>
            <w:textDirection w:val="lrTb"/>
            <w:noWrap w:val="false"/>
          </w:tcPr>
          <w:p>
            <w:pPr>
              <w:pStyle w:val="66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套</w:t>
            </w:r>
            <w:r>
              <w:rPr>
                <w:rFonts w:hint="eastAsia" w:ascii="仿宋" w:hAnsi="仿宋" w:eastAsia="仿宋" w:cs="仿宋"/>
                <w:color w:val="000000"/>
                <w:sz w:val="28"/>
                <w:szCs w:val="28"/>
                <w:highlight w:val="none"/>
              </w:rPr>
            </w:r>
            <w:r/>
          </w:p>
        </w:tc>
        <w:tc>
          <w:tcPr>
            <w:tcW w:w="1834" w:type="dxa"/>
            <w:vAlign w:val="top"/>
            <w:textDirection w:val="lrTb"/>
            <w:noWrap w:val="false"/>
          </w:tcPr>
          <w:p>
            <w:pPr>
              <w:pStyle w:val="66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软件和</w:t>
            </w:r>
            <w:r>
              <w:rPr>
                <w:rFonts w:hint="eastAsia" w:ascii="仿宋" w:hAnsi="仿宋" w:eastAsia="仿宋" w:cs="仿宋"/>
                <w:color w:val="000000"/>
                <w:sz w:val="28"/>
                <w:szCs w:val="28"/>
                <w:highlight w:val="none"/>
              </w:rPr>
              <w:t xml:space="preserve">信息技术</w:t>
            </w:r>
            <w:r>
              <w:rPr>
                <w:rFonts w:hint="eastAsia" w:ascii="仿宋" w:hAnsi="仿宋" w:eastAsia="仿宋" w:cs="仿宋"/>
                <w:color w:val="000000"/>
                <w:sz w:val="28"/>
                <w:szCs w:val="28"/>
                <w:highlight w:val="none"/>
                <w:lang w:val="en-US" w:eastAsia="zh-CN"/>
              </w:rPr>
              <w:t xml:space="preserve">服务业</w:t>
            </w:r>
            <w:r>
              <w:rPr>
                <w:rFonts w:hint="eastAsia" w:ascii="仿宋" w:hAnsi="仿宋" w:eastAsia="仿宋" w:cs="仿宋"/>
                <w:color w:val="000000"/>
                <w:sz w:val="28"/>
                <w:szCs w:val="28"/>
                <w:highlight w:val="none"/>
              </w:rPr>
            </w:r>
            <w:r/>
          </w:p>
        </w:tc>
      </w:tr>
      <w:tr>
        <w:trPr/>
        <w:tc>
          <w:tcPr>
            <w:tcW w:w="817" w:type="dxa"/>
            <w:vAlign w:val="top"/>
            <w:textDirection w:val="lrTb"/>
            <w:noWrap w:val="false"/>
          </w:tcPr>
          <w:p>
            <w:pPr>
              <w:pStyle w:val="66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hint="eastAsia" w:ascii="仿宋" w:hAnsi="仿宋" w:eastAsia="仿宋" w:cs="仿宋"/>
                <w:color w:val="000000"/>
                <w:sz w:val="28"/>
                <w:szCs w:val="28"/>
                <w:highlight w:val="none"/>
              </w:rPr>
            </w:r>
            <w:r/>
          </w:p>
        </w:tc>
        <w:tc>
          <w:tcPr>
            <w:tcW w:w="3544" w:type="dxa"/>
            <w:vAlign w:val="top"/>
            <w:textDirection w:val="lrTb"/>
            <w:noWrap w:val="false"/>
          </w:tcPr>
          <w:p>
            <w:pPr>
              <w:pStyle w:val="668"/>
              <w:spacing w:line="520" w:lineRule="exact"/>
              <w:rPr>
                <w:rFonts w:hint="eastAsia" w:ascii="仿宋" w:hAnsi="仿宋" w:eastAsia="仿宋" w:cs="仿宋"/>
                <w:color w:val="000000"/>
                <w:sz w:val="28"/>
                <w:szCs w:val="28"/>
                <w:highlight w:val="none"/>
              </w:rPr>
            </w:pPr>
            <w:r>
              <w:rPr>
                <w:rFonts w:ascii="仿宋" w:hAnsi="仿宋" w:eastAsia="仿宋" w:cs="仿宋"/>
                <w:color w:val="000000"/>
                <w:sz w:val="28"/>
                <w:szCs w:val="28"/>
                <w:highlight w:val="none"/>
              </w:rPr>
              <w:t xml:space="preserve">BIM施工图智能审查子系统</w:t>
            </w:r>
            <w:r>
              <w:rPr>
                <w:rFonts w:hint="eastAsia" w:ascii="仿宋" w:hAnsi="仿宋" w:eastAsia="仿宋" w:cs="仿宋"/>
                <w:color w:val="000000"/>
                <w:sz w:val="28"/>
                <w:szCs w:val="28"/>
                <w:highlight w:val="none"/>
              </w:rPr>
              <w:t xml:space="preserve">升级</w:t>
            </w:r>
            <w:r>
              <w:rPr>
                <w:rFonts w:hint="eastAsia" w:ascii="仿宋" w:hAnsi="仿宋" w:eastAsia="仿宋" w:cs="仿宋"/>
                <w:color w:val="000000"/>
                <w:sz w:val="28"/>
                <w:szCs w:val="28"/>
                <w:highlight w:val="none"/>
              </w:rPr>
            </w:r>
            <w:r/>
          </w:p>
        </w:tc>
        <w:tc>
          <w:tcPr>
            <w:tcW w:w="1140" w:type="dxa"/>
            <w:vAlign w:val="top"/>
            <w:textDirection w:val="lrTb"/>
            <w:noWrap w:val="false"/>
          </w:tcPr>
          <w:p>
            <w:pPr>
              <w:pStyle w:val="66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W w:w="1834" w:type="dxa"/>
            <w:vAlign w:val="top"/>
            <w:textDirection w:val="lrTb"/>
            <w:noWrap w:val="false"/>
          </w:tcPr>
          <w:p>
            <w:pPr>
              <w:pStyle w:val="66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套</w:t>
            </w:r>
            <w:r>
              <w:rPr>
                <w:rFonts w:hint="eastAsia" w:ascii="仿宋" w:hAnsi="仿宋" w:eastAsia="仿宋" w:cs="仿宋"/>
                <w:color w:val="000000"/>
                <w:sz w:val="28"/>
                <w:szCs w:val="28"/>
                <w:highlight w:val="none"/>
              </w:rPr>
            </w:r>
            <w:r/>
          </w:p>
        </w:tc>
        <w:tc>
          <w:tcPr>
            <w:tcW w:w="1834" w:type="dxa"/>
            <w:vAlign w:val="top"/>
            <w:textDirection w:val="lrTb"/>
            <w:noWrap w:val="false"/>
          </w:tcPr>
          <w:p>
            <w:pPr>
              <w:pStyle w:val="66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软件和</w:t>
            </w:r>
            <w:r>
              <w:rPr>
                <w:rFonts w:hint="eastAsia" w:ascii="仿宋" w:hAnsi="仿宋" w:eastAsia="仿宋" w:cs="仿宋"/>
                <w:color w:val="000000"/>
                <w:sz w:val="28"/>
                <w:szCs w:val="28"/>
                <w:highlight w:val="none"/>
              </w:rPr>
              <w:t xml:space="preserve">信息技术</w:t>
            </w:r>
            <w:r>
              <w:rPr>
                <w:rFonts w:hint="eastAsia" w:ascii="仿宋" w:hAnsi="仿宋" w:eastAsia="仿宋" w:cs="仿宋"/>
                <w:color w:val="000000"/>
                <w:sz w:val="28"/>
                <w:szCs w:val="28"/>
                <w:highlight w:val="none"/>
                <w:lang w:val="en-US" w:eastAsia="zh-CN"/>
              </w:rPr>
              <w:t xml:space="preserve">服务业</w:t>
            </w:r>
            <w:r>
              <w:rPr>
                <w:rFonts w:hint="eastAsia" w:ascii="仿宋" w:hAnsi="仿宋" w:eastAsia="仿宋" w:cs="仿宋"/>
                <w:color w:val="000000"/>
                <w:sz w:val="28"/>
                <w:szCs w:val="28"/>
                <w:highlight w:val="none"/>
              </w:rPr>
            </w:r>
            <w:r/>
          </w:p>
        </w:tc>
      </w:tr>
      <w:tr>
        <w:trPr/>
        <w:tc>
          <w:tcPr>
            <w:tcW w:w="817" w:type="dxa"/>
            <w:vAlign w:val="top"/>
            <w:textDirection w:val="lrTb"/>
            <w:noWrap w:val="false"/>
          </w:tcPr>
          <w:p>
            <w:pPr>
              <w:pStyle w:val="66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w:t>
            </w:r>
            <w:r>
              <w:rPr>
                <w:rFonts w:hint="eastAsia" w:ascii="仿宋" w:hAnsi="仿宋" w:eastAsia="仿宋" w:cs="仿宋"/>
                <w:color w:val="000000"/>
                <w:sz w:val="28"/>
                <w:szCs w:val="28"/>
                <w:highlight w:val="none"/>
              </w:rPr>
            </w:r>
            <w:r/>
          </w:p>
        </w:tc>
        <w:tc>
          <w:tcPr>
            <w:tcW w:w="3544" w:type="dxa"/>
            <w:vAlign w:val="top"/>
            <w:textDirection w:val="lrTb"/>
            <w:noWrap w:val="false"/>
          </w:tcPr>
          <w:p>
            <w:pPr>
              <w:pStyle w:val="668"/>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t xml:space="preserve">商品房备案子系统</w:t>
            </w:r>
            <w:r>
              <w:rPr>
                <w:rFonts w:hint="eastAsia" w:ascii="仿宋" w:hAnsi="仿宋" w:eastAsia="仿宋" w:cs="仿宋"/>
                <w:color w:val="000000"/>
                <w:sz w:val="28"/>
                <w:szCs w:val="28"/>
                <w:highlight w:val="none"/>
              </w:rPr>
              <w:t xml:space="preserve">升级</w:t>
            </w:r>
            <w:r>
              <w:rPr>
                <w:rFonts w:ascii="仿宋" w:hAnsi="仿宋" w:eastAsia="仿宋" w:cs="仿宋"/>
                <w:color w:val="000000"/>
                <w:sz w:val="28"/>
                <w:szCs w:val="28"/>
                <w:highlight w:val="none"/>
              </w:rPr>
            </w:r>
            <w:r/>
          </w:p>
        </w:tc>
        <w:tc>
          <w:tcPr>
            <w:tcW w:w="1140" w:type="dxa"/>
            <w:vAlign w:val="top"/>
            <w:textDirection w:val="lrTb"/>
            <w:noWrap w:val="false"/>
          </w:tcPr>
          <w:p>
            <w:pPr>
              <w:pStyle w:val="66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W w:w="1834" w:type="dxa"/>
            <w:vAlign w:val="top"/>
            <w:textDirection w:val="lrTb"/>
            <w:noWrap w:val="false"/>
          </w:tcPr>
          <w:p>
            <w:pPr>
              <w:pStyle w:val="66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套</w:t>
            </w:r>
            <w:r>
              <w:rPr>
                <w:rFonts w:hint="eastAsia" w:ascii="仿宋" w:hAnsi="仿宋" w:eastAsia="仿宋" w:cs="仿宋"/>
                <w:color w:val="000000"/>
                <w:sz w:val="28"/>
                <w:szCs w:val="28"/>
                <w:highlight w:val="none"/>
              </w:rPr>
            </w:r>
            <w:r/>
          </w:p>
        </w:tc>
        <w:tc>
          <w:tcPr>
            <w:tcW w:w="1834" w:type="dxa"/>
            <w:vAlign w:val="top"/>
            <w:textDirection w:val="lrTb"/>
            <w:noWrap w:val="false"/>
          </w:tcPr>
          <w:p>
            <w:pPr>
              <w:pStyle w:val="66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软件和</w:t>
            </w:r>
            <w:r>
              <w:rPr>
                <w:rFonts w:hint="eastAsia" w:ascii="仿宋" w:hAnsi="仿宋" w:eastAsia="仿宋" w:cs="仿宋"/>
                <w:color w:val="000000"/>
                <w:sz w:val="28"/>
                <w:szCs w:val="28"/>
                <w:highlight w:val="none"/>
              </w:rPr>
              <w:t xml:space="preserve">信息技术</w:t>
            </w:r>
            <w:r>
              <w:rPr>
                <w:rFonts w:hint="eastAsia" w:ascii="仿宋" w:hAnsi="仿宋" w:eastAsia="仿宋" w:cs="仿宋"/>
                <w:color w:val="000000"/>
                <w:sz w:val="28"/>
                <w:szCs w:val="28"/>
                <w:highlight w:val="none"/>
                <w:lang w:val="en-US" w:eastAsia="zh-CN"/>
              </w:rPr>
              <w:t xml:space="preserve">服务业</w:t>
            </w:r>
            <w:r>
              <w:rPr>
                <w:rFonts w:hint="eastAsia" w:ascii="仿宋" w:hAnsi="仿宋" w:eastAsia="仿宋" w:cs="仿宋"/>
                <w:color w:val="000000"/>
                <w:sz w:val="28"/>
                <w:szCs w:val="28"/>
                <w:highlight w:val="none"/>
              </w:rPr>
            </w:r>
            <w:r/>
          </w:p>
        </w:tc>
      </w:tr>
    </w:tbl>
    <w:p>
      <w:pPr>
        <w:pStyle w:val="66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68"/>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2.1智慧住建业务平台信创改造</w:t>
      </w:r>
      <w:r>
        <w:rPr>
          <w:rFonts w:hint="eastAsia" w:ascii="仿宋" w:hAnsi="仿宋" w:eastAsia="仿宋"/>
          <w:b/>
          <w:bCs/>
          <w:color w:val="000000"/>
          <w:sz w:val="28"/>
          <w:szCs w:val="36"/>
          <w:highlight w:val="none"/>
        </w:rPr>
      </w:r>
      <w:r/>
    </w:p>
    <w:p>
      <w:pPr>
        <w:pStyle w:val="668"/>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2.1.1操作系统替换与适配 </w:t>
      </w:r>
      <w:r>
        <w:rPr>
          <w:rFonts w:hint="eastAsia" w:ascii="仿宋" w:hAnsi="仿宋" w:eastAsia="仿宋"/>
          <w:b/>
          <w:bCs/>
          <w:color w:val="000000"/>
          <w:sz w:val="28"/>
          <w:szCs w:val="36"/>
          <w:highlight w:val="none"/>
        </w:rPr>
      </w:r>
      <w:r/>
    </w:p>
    <w:p>
      <w:pPr>
        <w:pStyle w:val="668"/>
        <w:ind w:firstLine="560"/>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智慧住建业务平台</w:t>
      </w:r>
      <w:r>
        <w:rPr>
          <w:rFonts w:hint="eastAsia" w:ascii="仿宋" w:hAnsi="仿宋" w:eastAsia="仿宋"/>
          <w:color w:val="000000"/>
          <w:sz w:val="28"/>
          <w:szCs w:val="28"/>
          <w:highlight w:val="none"/>
        </w:rPr>
        <w:t xml:space="preserve">现部署于5台服务器上</w:t>
      </w:r>
      <w:r>
        <w:rPr>
          <w:rFonts w:hint="eastAsia" w:ascii="仿宋" w:hAnsi="仿宋" w:eastAsia="仿宋"/>
          <w:color w:val="000000"/>
          <w:sz w:val="28"/>
          <w:szCs w:val="28"/>
          <w:highlight w:val="none"/>
        </w:rPr>
        <w:t xml:space="preserve">（应用服务器2台,</w:t>
      </w:r>
      <w:r>
        <w:rPr>
          <w:rFonts w:hint="eastAsia" w:ascii="仿宋" w:hAnsi="仿宋" w:eastAsia="仿宋" w:cs="宋体"/>
          <w:color w:val="000000"/>
          <w:sz w:val="28"/>
          <w:szCs w:val="28"/>
          <w:highlight w:val="none"/>
        </w:rPr>
        <w:t xml:space="preserve">反向代理服务器1台，数据库服务器1台，文件服务器1台），</w:t>
      </w:r>
      <w:r>
        <w:rPr>
          <w:rFonts w:hint="eastAsia" w:ascii="仿宋" w:hAnsi="仿宋" w:eastAsia="仿宋" w:cs="宋体"/>
          <w:color w:val="000000"/>
          <w:sz w:val="28"/>
          <w:szCs w:val="28"/>
          <w:highlight w:val="none"/>
        </w:rPr>
        <w:t xml:space="preserve">均使用</w:t>
      </w:r>
      <w:r>
        <w:rPr>
          <w:rFonts w:hint="eastAsia" w:ascii="仿宋" w:hAnsi="仿宋" w:eastAsia="仿宋" w:cs="宋体"/>
          <w:color w:val="000000"/>
          <w:sz w:val="28"/>
          <w:szCs w:val="28"/>
          <w:highlight w:val="none"/>
        </w:rPr>
        <w:t xml:space="preserve">Windows Server 2012操作系统，计划替换为国产操作系统，</w:t>
      </w:r>
      <w:r>
        <w:rPr>
          <w:rFonts w:ascii="仿宋" w:hAnsi="仿宋" w:eastAsia="仿宋" w:cs="宋体"/>
          <w:color w:val="000000"/>
          <w:sz w:val="28"/>
          <w:szCs w:val="28"/>
          <w:highlight w:val="none"/>
        </w:rPr>
        <w:t xml:space="preserve">具体型号以合同为准</w:t>
      </w:r>
      <w:r>
        <w:rPr>
          <w:rFonts w:hint="eastAsia" w:ascii="仿宋" w:hAnsi="仿宋" w:eastAsia="仿宋" w:cs="宋体"/>
          <w:color w:val="000000"/>
          <w:sz w:val="28"/>
          <w:szCs w:val="28"/>
          <w:highlight w:val="none"/>
        </w:rPr>
        <w:t xml:space="preserve">。</w:t>
      </w:r>
      <w:r>
        <w:rPr>
          <w:rFonts w:hint="eastAsia" w:ascii="仿宋" w:hAnsi="仿宋" w:eastAsia="仿宋" w:cs="宋体"/>
          <w:color w:val="000000"/>
          <w:sz w:val="28"/>
          <w:szCs w:val="28"/>
          <w:highlight w:val="none"/>
        </w:rPr>
      </w:r>
      <w:r/>
    </w:p>
    <w:p>
      <w:pPr>
        <w:pStyle w:val="668"/>
        <w:ind w:firstLine="560"/>
        <w:spacing w:line="52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目标云主机资源及操作系统由采购单位提供，</w:t>
      </w:r>
      <w:r>
        <w:rPr>
          <w:rFonts w:ascii="仿宋" w:hAnsi="仿宋" w:eastAsia="仿宋" w:cs="宋体"/>
          <w:color w:val="000000"/>
          <w:sz w:val="28"/>
          <w:szCs w:val="28"/>
          <w:highlight w:val="none"/>
        </w:rPr>
        <w:t xml:space="preserve">本项目仅承担操作系统替换适配、应用系统适配</w:t>
      </w:r>
      <w:r>
        <w:rPr>
          <w:rFonts w:hint="eastAsia" w:ascii="仿宋" w:hAnsi="仿宋" w:eastAsia="仿宋" w:cs="宋体"/>
          <w:color w:val="000000"/>
          <w:sz w:val="28"/>
          <w:szCs w:val="28"/>
          <w:highlight w:val="none"/>
        </w:rPr>
        <w:t xml:space="preserve">和</w:t>
      </w:r>
      <w:r>
        <w:rPr>
          <w:rFonts w:ascii="仿宋" w:hAnsi="仿宋" w:eastAsia="仿宋" w:cs="宋体"/>
          <w:color w:val="000000"/>
          <w:sz w:val="28"/>
          <w:szCs w:val="28"/>
          <w:highlight w:val="none"/>
        </w:rPr>
        <w:t xml:space="preserve">迁移</w:t>
      </w:r>
      <w:r>
        <w:rPr>
          <w:rFonts w:hint="eastAsia" w:ascii="仿宋" w:hAnsi="仿宋" w:eastAsia="仿宋" w:cs="宋体"/>
          <w:color w:val="000000"/>
          <w:sz w:val="28"/>
          <w:szCs w:val="28"/>
          <w:highlight w:val="none"/>
        </w:rPr>
        <w:t xml:space="preserve">、</w:t>
      </w:r>
      <w:r>
        <w:rPr>
          <w:rFonts w:ascii="仿宋" w:hAnsi="仿宋" w:eastAsia="仿宋" w:cs="宋体"/>
          <w:color w:val="000000"/>
          <w:sz w:val="28"/>
          <w:szCs w:val="28"/>
          <w:highlight w:val="none"/>
        </w:rPr>
        <w:t xml:space="preserve">业务验证工作</w:t>
      </w:r>
      <w:r>
        <w:rPr>
          <w:rFonts w:hint="eastAsia" w:ascii="仿宋" w:hAnsi="仿宋" w:eastAsia="仿宋" w:cs="宋体"/>
          <w:color w:val="000000"/>
          <w:sz w:val="28"/>
          <w:szCs w:val="28"/>
          <w:highlight w:val="none"/>
        </w:rPr>
        <w:t xml:space="preserve">，不涉及云资源及操作系统采购</w:t>
      </w:r>
      <w:r>
        <w:rPr>
          <w:rFonts w:hint="eastAsia" w:ascii="仿宋" w:hAnsi="仿宋" w:eastAsia="仿宋" w:cs="宋体"/>
          <w:color w:val="000000"/>
          <w:sz w:val="28"/>
          <w:szCs w:val="28"/>
          <w:highlight w:val="none"/>
        </w:rPr>
        <w:t xml:space="preserve">。</w:t>
      </w:r>
      <w:r>
        <w:rPr>
          <w:rFonts w:hint="eastAsia" w:ascii="仿宋" w:hAnsi="仿宋" w:eastAsia="仿宋" w:cs="宋体"/>
          <w:color w:val="000000"/>
          <w:sz w:val="28"/>
          <w:szCs w:val="28"/>
          <w:highlight w:val="none"/>
        </w:rPr>
      </w:r>
      <w:r/>
    </w:p>
    <w:p>
      <w:pPr>
        <w:pStyle w:val="668"/>
        <w:ind w:firstLine="562"/>
        <w:spacing w:line="520" w:lineRule="exact"/>
        <w:rPr>
          <w:rFonts w:hint="eastAsia" w:ascii="仿宋" w:hAnsi="仿宋" w:eastAsia="仿宋"/>
          <w:b/>
          <w:bCs/>
          <w:color w:val="000000"/>
          <w:sz w:val="28"/>
          <w:szCs w:val="28"/>
          <w:highlight w:val="none"/>
        </w:rPr>
      </w:pPr>
      <w:r>
        <w:rPr>
          <w:rFonts w:hint="eastAsia" w:ascii="仿宋" w:hAnsi="仿宋" w:eastAsia="仿宋"/>
          <w:b/>
          <w:bCs/>
          <w:color w:val="000000"/>
          <w:sz w:val="28"/>
          <w:szCs w:val="28"/>
          <w:highlight w:val="none"/>
        </w:rPr>
        <w:t xml:space="preserve">（1）系统环境适配</w:t>
      </w:r>
      <w:r>
        <w:rPr>
          <w:rFonts w:hint="eastAsia" w:ascii="仿宋" w:hAnsi="仿宋" w:eastAsia="仿宋"/>
          <w:b/>
          <w:bCs/>
          <w:color w:val="000000"/>
          <w:sz w:val="28"/>
          <w:szCs w:val="28"/>
          <w:highlight w:val="none"/>
        </w:rPr>
      </w:r>
      <w:r/>
    </w:p>
    <w:p>
      <w:pPr>
        <w:pStyle w:val="668"/>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将Windows环境下的服务配置、启动脚本、权限管理等迁移至麒麟操作系统，需重构服务管理机制。</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b/>
          <w:bCs/>
          <w:color w:val="000000"/>
          <w:sz w:val="28"/>
          <w:szCs w:val="28"/>
          <w:highlight w:val="none"/>
        </w:rPr>
      </w:pPr>
      <w:r>
        <w:rPr>
          <w:rFonts w:hint="eastAsia" w:ascii="仿宋" w:hAnsi="仿宋" w:eastAsia="仿宋"/>
          <w:b/>
          <w:bCs/>
          <w:color w:val="000000"/>
          <w:sz w:val="28"/>
          <w:szCs w:val="28"/>
          <w:highlight w:val="none"/>
        </w:rPr>
        <w:t xml:space="preserve">（2）文件系统调整</w:t>
      </w:r>
      <w:r>
        <w:rPr>
          <w:rFonts w:hint="eastAsia" w:ascii="仿宋" w:hAnsi="仿宋" w:eastAsia="仿宋"/>
          <w:b/>
          <w:bCs/>
          <w:color w:val="000000"/>
          <w:sz w:val="28"/>
          <w:szCs w:val="28"/>
          <w:highlight w:val="none"/>
        </w:rPr>
      </w:r>
      <w:r/>
    </w:p>
    <w:p>
      <w:pPr>
        <w:pStyle w:val="668"/>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路径分隔符、文件权限、目录结构等适配工作。</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2.1.2数据库迁移</w:t>
      </w:r>
      <w:r>
        <w:rPr>
          <w:rFonts w:hint="eastAsia" w:ascii="仿宋" w:hAnsi="仿宋" w:eastAsia="仿宋"/>
          <w:b/>
          <w:bCs/>
          <w:color w:val="000000"/>
          <w:sz w:val="28"/>
          <w:szCs w:val="36"/>
          <w:highlight w:val="none"/>
        </w:rPr>
      </w:r>
      <w:r/>
    </w:p>
    <w:p>
      <w:pPr>
        <w:pStyle w:val="668"/>
        <w:ind w:firstLine="560"/>
        <w:spacing w:line="520" w:lineRule="exact"/>
        <w:rPr>
          <w:rFonts w:hint="eastAsia" w:ascii="仿宋" w:hAnsi="仿宋" w:eastAsia="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highlight w:val="none"/>
        </w:rPr>
        <w:t xml:space="preserve">将智慧住建平台现有MS SQL Server数据库（</w:t>
      </w:r>
      <w:r>
        <w:rPr>
          <w:rFonts w:ascii="仿宋" w:hAnsi="仿宋" w:eastAsia="仿宋"/>
          <w:color w:val="000000"/>
          <w:sz w:val="28"/>
          <w:szCs w:val="28"/>
          <w:highlight w:val="none"/>
        </w:rPr>
        <w:t xml:space="preserve">含两个后台数据库实例，分别是业务数据库和治理数据库</w:t>
      </w:r>
      <w:r>
        <w:rPr>
          <w:rFonts w:hint="eastAsia" w:ascii="仿宋" w:hAnsi="仿宋" w:eastAsia="仿宋"/>
          <w:color w:val="000000"/>
          <w:sz w:val="28"/>
          <w:szCs w:val="28"/>
          <w:highlight w:val="none"/>
        </w:rPr>
        <w:t xml:space="preserve">）迁移到达梦数据库。数据库迁移工作主要包括数据库结构迁移、全量数据迁移、数据一致性验证。</w:t>
      </w:r>
      <w:r>
        <w:rPr>
          <w:rFonts w:hint="eastAsia" w:ascii="仿宋" w:hAnsi="仿宋" w:eastAsia="仿宋"/>
          <w:color w:val="000000"/>
          <w:sz w:val="28"/>
          <w:szCs w:val="28"/>
          <w:highlight w:val="none"/>
        </w:rPr>
      </w:r>
      <w:r/>
    </w:p>
    <w:p>
      <w:pPr>
        <w:pStyle w:val="668"/>
        <w:ind w:firstLine="560"/>
        <w:spacing w:line="520" w:lineRule="exact"/>
        <w:rPr>
          <w:rFonts w:hint="eastAsia" w:ascii="仿宋" w:hAnsi="仿宋" w:eastAsia="仿宋"/>
          <w:color w:val="000000"/>
          <w:sz w:val="28"/>
          <w:szCs w:val="28"/>
          <w:highlight w:val="none"/>
        </w:rPr>
      </w:pPr>
      <w:r>
        <w:rPr>
          <w:rFonts w:hint="eastAsia" w:ascii="仿宋" w:hAnsi="仿宋" w:eastAsia="仿宋" w:cs="宋体"/>
          <w:color w:val="000000"/>
          <w:sz w:val="28"/>
          <w:szCs w:val="28"/>
          <w:highlight w:val="none"/>
        </w:rPr>
        <w:t xml:space="preserve">目标数据库软件由采购单位提供，本项目不涉及数据库采购。</w:t>
      </w:r>
      <w:r>
        <w:rPr>
          <w:rFonts w:hint="eastAsia" w:ascii="仿宋" w:hAnsi="仿宋" w:eastAsia="仿宋"/>
          <w:color w:val="000000"/>
          <w:sz w:val="28"/>
          <w:szCs w:val="28"/>
          <w:highlight w:val="none"/>
        </w:rPr>
      </w:r>
      <w:r/>
    </w:p>
    <w:p>
      <w:pPr>
        <w:pStyle w:val="668"/>
        <w:ind w:firstLine="560"/>
        <w:spacing w:line="520" w:lineRule="exact"/>
        <w:rPr>
          <w:rFonts w:hint="eastAsia" w:ascii="仿宋" w:hAnsi="仿宋" w:eastAsia="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highlight w:val="none"/>
        </w:rPr>
        <w:t xml:space="preserve">数据库结构迁移包括（但不限于）：</w:t>
      </w:r>
      <w:r>
        <w:rPr>
          <w:rFonts w:ascii="仿宋" w:hAnsi="仿宋" w:eastAsia="仿宋"/>
          <w:color w:val="000000"/>
          <w:sz w:val="28"/>
          <w:szCs w:val="28"/>
          <w:highlight w:val="none"/>
        </w:rPr>
        <w:t xml:space="preserve">表结构迁移</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索引迁移</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约束迁移</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程序对象迁移</w:t>
      </w:r>
      <w:r>
        <w:rPr>
          <w:rFonts w:hint="eastAsia" w:ascii="仿宋" w:hAnsi="仿宋" w:eastAsia="仿宋"/>
          <w:color w:val="000000"/>
          <w:sz w:val="28"/>
          <w:szCs w:val="28"/>
          <w:highlight w:val="none"/>
        </w:rPr>
        <w:t xml:space="preserve">等，并对结构迁移进行验证。</w:t>
      </w:r>
      <w:r>
        <w:rPr>
          <w:rFonts w:hint="eastAsia" w:ascii="仿宋" w:hAnsi="仿宋" w:eastAsia="仿宋"/>
          <w:color w:val="000000"/>
          <w:sz w:val="28"/>
          <w:szCs w:val="28"/>
          <w:highlight w:val="none"/>
        </w:rPr>
      </w:r>
      <w:r/>
    </w:p>
    <w:p>
      <w:pPr>
        <w:pStyle w:val="668"/>
        <w:ind w:firstLine="560"/>
        <w:spacing w:line="520" w:lineRule="exact"/>
        <w:rPr>
          <w:rFonts w:hint="eastAsia" w:ascii="仿宋" w:hAnsi="仿宋" w:eastAsia="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highlight w:val="none"/>
        </w:rPr>
        <w:t xml:space="preserve">全量数据迁移：智慧住建平台设计时因系统内部有大量的数据汇聚和治理，考虑将业务数据和治理数据分别存储为两个数据库实例，数据迁移时也需要对2个数据库实例分别迁移。</w:t>
      </w:r>
      <w:r>
        <w:rPr>
          <w:rFonts w:hint="eastAsia" w:ascii="仿宋" w:hAnsi="仿宋" w:eastAsia="仿宋"/>
          <w:color w:val="000000"/>
          <w:sz w:val="28"/>
          <w:szCs w:val="28"/>
          <w:highlight w:val="none"/>
        </w:rPr>
      </w:r>
      <w:r/>
    </w:p>
    <w:p>
      <w:pPr>
        <w:pStyle w:val="668"/>
        <w:ind w:firstLine="560"/>
        <w:spacing w:line="520" w:lineRule="exact"/>
        <w:rPr>
          <w:rFonts w:hint="eastAsia" w:ascii="仿宋" w:hAnsi="仿宋" w:eastAsia="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highlight w:val="none"/>
        </w:rPr>
        <w:t xml:space="preserve">数据一致性验证：</w:t>
      </w:r>
      <w:r>
        <w:rPr>
          <w:rFonts w:ascii="仿宋" w:hAnsi="仿宋" w:eastAsia="仿宋"/>
          <w:color w:val="000000"/>
          <w:sz w:val="28"/>
          <w:szCs w:val="28"/>
          <w:highlight w:val="none"/>
        </w:rPr>
        <w:t xml:space="preserve">迁移完成后，检查达梦数据库中迁移的数据是否与SQL Server数据库中的原始数据一致。</w:t>
      </w:r>
      <w:r>
        <w:rPr>
          <w:rFonts w:hint="eastAsia" w:ascii="仿宋" w:hAnsi="仿宋" w:eastAsia="仿宋"/>
          <w:color w:val="000000"/>
          <w:sz w:val="28"/>
          <w:szCs w:val="28"/>
          <w:highlight w:val="none"/>
        </w:rPr>
        <w:t xml:space="preserve">需</w:t>
      </w:r>
      <w:r>
        <w:rPr>
          <w:rFonts w:ascii="仿宋" w:hAnsi="仿宋" w:eastAsia="仿宋"/>
          <w:color w:val="000000"/>
          <w:sz w:val="28"/>
          <w:szCs w:val="28"/>
          <w:highlight w:val="none"/>
        </w:rPr>
        <w:t xml:space="preserve">建立从基础到业务的全方位数据一致性验证体系，</w:t>
      </w:r>
      <w:r>
        <w:rPr>
          <w:rFonts w:hint="eastAsia" w:ascii="仿宋" w:hAnsi="仿宋" w:eastAsia="仿宋"/>
          <w:color w:val="000000"/>
          <w:sz w:val="28"/>
          <w:szCs w:val="28"/>
          <w:highlight w:val="none"/>
        </w:rPr>
        <w:t xml:space="preserve">对比迁移前后关键表行数、字段值（如用户表、业务流水表），</w:t>
      </w:r>
      <w:r>
        <w:rPr>
          <w:rFonts w:ascii="仿宋" w:hAnsi="仿宋" w:eastAsia="仿宋"/>
          <w:color w:val="000000"/>
          <w:sz w:val="28"/>
          <w:szCs w:val="28"/>
          <w:highlight w:val="none"/>
        </w:rPr>
        <w:t xml:space="preserve">确保迁移数据的完整性和准确性</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68"/>
        <w:ind w:firstLine="560"/>
        <w:spacing w:line="520" w:lineRule="exact"/>
        <w:rPr>
          <w:rFonts w:hint="eastAsia" w:ascii="仿宋" w:hAnsi="仿宋" w:eastAsia="仿宋"/>
          <w:color w:val="000000"/>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highlight w:val="none"/>
        </w:rPr>
        <w:t xml:space="preserve">数据不一致分类处理方案</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针对</w:t>
      </w:r>
      <w:r>
        <w:rPr>
          <w:rFonts w:hint="eastAsia" w:ascii="仿宋" w:hAnsi="仿宋" w:eastAsia="仿宋"/>
          <w:color w:val="000000"/>
          <w:sz w:val="28"/>
          <w:szCs w:val="28"/>
          <w:highlight w:val="none"/>
        </w:rPr>
        <w:t xml:space="preserve">数据迁移可能存在</w:t>
      </w:r>
      <w:r>
        <w:rPr>
          <w:rFonts w:ascii="仿宋" w:hAnsi="仿宋" w:eastAsia="仿宋"/>
          <w:color w:val="000000"/>
          <w:sz w:val="28"/>
          <w:szCs w:val="28"/>
          <w:highlight w:val="none"/>
        </w:rPr>
        <w:t xml:space="preserve">不同类型的不一致问题，制定分级处理策略，确保问题快速有效解决</w:t>
      </w:r>
      <w:r>
        <w:rPr>
          <w:rFonts w:hint="eastAsia" w:ascii="仿宋" w:hAnsi="仿宋" w:eastAsia="仿宋"/>
          <w:color w:val="000000"/>
          <w:sz w:val="28"/>
          <w:szCs w:val="28"/>
          <w:highlight w:val="none"/>
        </w:rPr>
        <w:t xml:space="preserve">，制定完备的</w:t>
      </w:r>
      <w:r>
        <w:rPr>
          <w:rFonts w:ascii="仿宋" w:hAnsi="仿宋" w:eastAsia="仿宋"/>
          <w:color w:val="000000"/>
          <w:sz w:val="28"/>
          <w:szCs w:val="28"/>
          <w:highlight w:val="none"/>
        </w:rPr>
        <w:t xml:space="preserve">应急处理</w:t>
      </w:r>
      <w:r>
        <w:rPr>
          <w:rFonts w:hint="eastAsia" w:ascii="仿宋" w:hAnsi="仿宋" w:eastAsia="仿宋"/>
          <w:color w:val="000000"/>
          <w:sz w:val="28"/>
          <w:szCs w:val="28"/>
          <w:highlight w:val="none"/>
        </w:rPr>
        <w:t xml:space="preserve">方案。</w:t>
      </w:r>
      <w:r>
        <w:rPr>
          <w:rFonts w:hint="eastAsia" w:ascii="仿宋" w:hAnsi="仿宋" w:eastAsia="仿宋"/>
          <w:color w:val="000000"/>
          <w:sz w:val="28"/>
          <w:szCs w:val="28"/>
          <w:highlight w:val="none"/>
        </w:rPr>
      </w:r>
      <w:r/>
    </w:p>
    <w:p>
      <w:pPr>
        <w:pStyle w:val="668"/>
        <w:ind w:firstLine="560"/>
        <w:spacing w:line="520" w:lineRule="exact"/>
        <w:rPr>
          <w:rFonts w:hint="eastAsia" w:ascii="仿宋" w:hAnsi="仿宋" w:eastAsia="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highlight w:val="none"/>
        </w:rPr>
        <w:t xml:space="preserve">具体迁移计划：</w:t>
      </w:r>
      <w:r>
        <w:rPr>
          <w:rFonts w:ascii="仿宋" w:hAnsi="仿宋" w:eastAsia="仿宋"/>
          <w:color w:val="000000"/>
          <w:sz w:val="28"/>
          <w:szCs w:val="28"/>
          <w:highlight w:val="none"/>
        </w:rPr>
        <w:t xml:space="preserve">基于政务系统</w:t>
      </w:r>
      <w:r>
        <w:rPr>
          <w:rFonts w:hint="eastAsia" w:ascii="仿宋" w:hAnsi="仿宋" w:eastAsia="仿宋"/>
          <w:color w:val="000000"/>
          <w:sz w:val="28"/>
          <w:szCs w:val="28"/>
          <w:highlight w:val="none"/>
        </w:rPr>
        <w:t xml:space="preserve">的</w:t>
      </w:r>
      <w:r>
        <w:rPr>
          <w:rFonts w:ascii="仿宋" w:hAnsi="仿宋" w:eastAsia="仿宋"/>
          <w:color w:val="000000"/>
          <w:sz w:val="28"/>
          <w:szCs w:val="28"/>
          <w:highlight w:val="none"/>
        </w:rPr>
        <w:t xml:space="preserve">特点，制定详细的迁移时间计划</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2.1.3 应用系统适配</w:t>
      </w:r>
      <w:r>
        <w:rPr>
          <w:rFonts w:hint="eastAsia" w:ascii="仿宋" w:hAnsi="仿宋" w:eastAsia="仿宋"/>
          <w:b/>
          <w:bCs/>
          <w:color w:val="000000"/>
          <w:sz w:val="28"/>
          <w:szCs w:val="36"/>
          <w:highlight w:val="none"/>
        </w:rPr>
      </w:r>
      <w:r/>
    </w:p>
    <w:p>
      <w:pPr>
        <w:pStyle w:val="668"/>
        <w:ind w:firstLine="560"/>
        <w:spacing w:line="520" w:lineRule="exact"/>
        <w:rPr>
          <w:rFonts w:hint="eastAsia" w:ascii="仿宋" w:hAnsi="仿宋" w:eastAsia="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highlight w:val="none"/>
        </w:rPr>
        <w:t xml:space="preserve">基于现有智慧住建系统源代码（Java B/S架构）进行适配改造，包括但不限于：</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b/>
          <w:bCs/>
          <w:color w:val="000000"/>
          <w:sz w:val="28"/>
          <w:szCs w:val="28"/>
          <w:highlight w:val="none"/>
        </w:rPr>
      </w:pPr>
      <w:r>
        <w:rPr>
          <w:rFonts w:hint="eastAsia" w:ascii="仿宋" w:hAnsi="仿宋" w:eastAsia="仿宋"/>
          <w:b/>
          <w:bCs/>
          <w:color w:val="000000"/>
          <w:sz w:val="28"/>
          <w:szCs w:val="28"/>
          <w:highlight w:val="none"/>
        </w:rPr>
        <w:t xml:space="preserve">SQL 语句适配：</w:t>
      </w:r>
      <w:r>
        <w:rPr>
          <w:rFonts w:hint="eastAsia" w:ascii="仿宋" w:hAnsi="仿宋" w:eastAsia="仿宋"/>
          <w:color w:val="000000"/>
          <w:sz w:val="28"/>
          <w:szCs w:val="28"/>
          <w:highlight w:val="none"/>
        </w:rPr>
        <w:t xml:space="preserve">按照达梦数据库的语法，对ORM框架及原生SQL进行相应适配修改。</w:t>
      </w:r>
      <w:r>
        <w:rPr>
          <w:rFonts w:hint="eastAsia" w:ascii="仿宋" w:hAnsi="仿宋" w:eastAsia="仿宋"/>
          <w:b/>
          <w:bCs/>
          <w:color w:val="000000"/>
          <w:sz w:val="28"/>
          <w:szCs w:val="28"/>
          <w:highlight w:val="none"/>
        </w:rPr>
      </w:r>
      <w:r/>
    </w:p>
    <w:p>
      <w:pPr>
        <w:pStyle w:val="668"/>
        <w:ind w:firstLine="562"/>
        <w:spacing w:line="520" w:lineRule="exact"/>
        <w:rPr>
          <w:rFonts w:hint="eastAsia" w:ascii="仿宋" w:hAnsi="仿宋" w:eastAsia="仿宋"/>
          <w:b/>
          <w:bCs/>
          <w:color w:val="000000"/>
          <w:sz w:val="28"/>
          <w:szCs w:val="28"/>
          <w:highlight w:val="none"/>
        </w:rPr>
      </w:pPr>
      <w:r>
        <w:rPr>
          <w:rFonts w:hint="eastAsia" w:ascii="仿宋" w:hAnsi="仿宋" w:eastAsia="仿宋"/>
          <w:b/>
          <w:bCs/>
          <w:color w:val="000000"/>
          <w:sz w:val="28"/>
          <w:szCs w:val="28"/>
          <w:highlight w:val="none"/>
        </w:rPr>
        <w:t xml:space="preserve">跨平台适配：</w:t>
      </w:r>
      <w:r>
        <w:rPr>
          <w:rFonts w:hint="eastAsia" w:ascii="仿宋" w:hAnsi="仿宋" w:eastAsia="仿宋"/>
          <w:color w:val="000000"/>
          <w:sz w:val="28"/>
          <w:szCs w:val="28"/>
          <w:highlight w:val="none"/>
        </w:rPr>
        <w:t xml:space="preserve">文件路径修改、操作系统命令适配等。替换或重新编译依赖的依赖库、第三方工具：确保与迁移的目标操作系统兼容；检查并修改Windows平台特有API调用，确保Java应用在适配环境下正常运行。</w:t>
      </w:r>
      <w:r>
        <w:rPr>
          <w:rFonts w:hint="eastAsia" w:ascii="仿宋" w:hAnsi="仿宋" w:eastAsia="仿宋"/>
          <w:b/>
          <w:bCs/>
          <w:color w:val="000000"/>
          <w:sz w:val="28"/>
          <w:szCs w:val="28"/>
          <w:highlight w:val="none"/>
        </w:rPr>
      </w:r>
      <w:r/>
    </w:p>
    <w:p>
      <w:pPr>
        <w:pStyle w:val="668"/>
        <w:ind w:firstLine="562"/>
        <w:spacing w:line="520" w:lineRule="exact"/>
        <w:rPr>
          <w:rFonts w:hint="eastAsia" w:ascii="仿宋" w:hAnsi="仿宋" w:eastAsia="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b/>
          <w:bCs/>
          <w:color w:val="000000"/>
          <w:sz w:val="28"/>
          <w:szCs w:val="28"/>
          <w:highlight w:val="none"/>
        </w:rPr>
        <w:t xml:space="preserve">中间件适配：</w:t>
      </w:r>
      <w:r>
        <w:rPr>
          <w:rFonts w:hint="eastAsia" w:ascii="仿宋" w:hAnsi="仿宋" w:eastAsia="仿宋"/>
          <w:color w:val="000000"/>
          <w:sz w:val="28"/>
          <w:szCs w:val="28"/>
          <w:highlight w:val="none"/>
        </w:rPr>
        <w:t xml:space="preserve">智慧住建用到Spring、Nginx、Redis、MinIO等各类中间件，确保操作系统适配。</w:t>
      </w:r>
      <w:r>
        <w:rPr>
          <w:rFonts w:hint="eastAsia" w:ascii="仿宋" w:hAnsi="仿宋" w:eastAsia="仿宋"/>
          <w:b/>
          <w:bCs/>
          <w:color w:val="000000"/>
          <w:sz w:val="28"/>
          <w:szCs w:val="28"/>
          <w:highlight w:val="none"/>
        </w:rPr>
      </w:r>
      <w:r/>
    </w:p>
    <w:p>
      <w:pPr>
        <w:pStyle w:val="668"/>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性能优化：复杂页面查询：针对业务表数据量超过百万级别的、以及级联表大于两张表的查询进行慢SQL分析，并进行相关优化。</w:t>
      </w:r>
      <w:r>
        <w:rPr>
          <w:rFonts w:hint="eastAsia" w:ascii="仿宋" w:hAnsi="仿宋" w:eastAsia="仿宋"/>
          <w:color w:val="000000"/>
          <w:sz w:val="28"/>
          <w:szCs w:val="28"/>
          <w:highlight w:val="none"/>
        </w:rPr>
      </w:r>
      <w:r/>
    </w:p>
    <w:p>
      <w:pPr>
        <w:pStyle w:val="668"/>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统计分析：对智慧住建业务平台驾驶舱页面进行慢SQL分析，并进行相关优化。</w:t>
      </w:r>
      <w:r>
        <w:rPr>
          <w:rFonts w:hint="eastAsia" w:ascii="仿宋" w:hAnsi="仿宋" w:eastAsia="仿宋"/>
          <w:color w:val="000000"/>
          <w:sz w:val="28"/>
          <w:szCs w:val="28"/>
          <w:highlight w:val="none"/>
        </w:rPr>
      </w:r>
      <w:r/>
    </w:p>
    <w:p>
      <w:pPr>
        <w:pStyle w:val="668"/>
        <w:ind w:firstLine="560"/>
        <w:spacing w:line="520" w:lineRule="exact"/>
        <w:rPr>
          <w:rFonts w:hint="eastAsia" w:ascii="仿宋" w:hAnsi="仿宋" w:eastAsia="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highlight w:val="none"/>
        </w:rPr>
        <w:t xml:space="preserve">系统测试：系统迁移后完成</w:t>
      </w:r>
      <w:r>
        <w:rPr>
          <w:rFonts w:ascii="仿宋" w:hAnsi="仿宋" w:eastAsia="仿宋"/>
          <w:color w:val="000000"/>
          <w:sz w:val="28"/>
          <w:szCs w:val="28"/>
          <w:highlight w:val="none"/>
        </w:rPr>
        <w:t xml:space="preserve">数据一致性验证</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管理端</w:t>
      </w:r>
      <w:r>
        <w:rPr>
          <w:rFonts w:hint="eastAsia" w:ascii="仿宋" w:hAnsi="仿宋" w:eastAsia="仿宋"/>
          <w:color w:val="000000"/>
          <w:sz w:val="28"/>
          <w:szCs w:val="28"/>
          <w:highlight w:val="none"/>
        </w:rPr>
        <w:t xml:space="preserve">及企业端功能测试、</w:t>
      </w:r>
      <w:r>
        <w:rPr>
          <w:rFonts w:ascii="仿宋" w:hAnsi="仿宋" w:eastAsia="仿宋"/>
          <w:color w:val="000000"/>
          <w:sz w:val="28"/>
          <w:szCs w:val="28"/>
          <w:highlight w:val="none"/>
        </w:rPr>
        <w:t xml:space="preserve">API测试</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性能测试</w:t>
      </w:r>
      <w:r>
        <w:rPr>
          <w:rFonts w:hint="eastAsia" w:ascii="仿宋" w:hAnsi="仿宋" w:eastAsia="仿宋"/>
          <w:color w:val="000000"/>
          <w:sz w:val="28"/>
          <w:szCs w:val="28"/>
          <w:highlight w:val="none"/>
        </w:rPr>
        <w:t xml:space="preserve">、浏览器兼容测试、解决第三方安全测试发现的网络安全漏洞。</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2.1.4 网络安全加固</w:t>
      </w:r>
      <w:r>
        <w:rPr>
          <w:rFonts w:hint="eastAsia" w:ascii="仿宋" w:hAnsi="仿宋" w:eastAsia="仿宋"/>
          <w:b/>
          <w:bCs/>
          <w:color w:val="000000"/>
          <w:sz w:val="28"/>
          <w:szCs w:val="36"/>
          <w:highlight w:val="none"/>
        </w:rPr>
      </w:r>
      <w:r/>
    </w:p>
    <w:p>
      <w:pPr>
        <w:pStyle w:val="668"/>
        <w:ind w:firstLine="560"/>
        <w:spacing w:line="520" w:lineRule="exact"/>
        <w:rPr>
          <w:rFonts w:hint="eastAsia" w:ascii="仿宋" w:hAnsi="仿宋" w:eastAsia="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highlight w:val="none"/>
        </w:rPr>
        <w:t xml:space="preserve">智慧住建平台</w:t>
      </w:r>
      <w:r>
        <w:rPr>
          <w:rFonts w:ascii="仿宋" w:hAnsi="仿宋" w:eastAsia="仿宋"/>
          <w:color w:val="000000"/>
          <w:sz w:val="28"/>
          <w:szCs w:val="28"/>
          <w:highlight w:val="none"/>
        </w:rPr>
        <w:t xml:space="preserve">遵循“边界防护、应用加固、数据安全”的核心理念，设计三层防护架构</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68"/>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接入层安全（API网关层）：作为系统对外第一道防线，负责统一入口管理、流量管控、粗粒度身份认证、防恶意扫描、防DDoS攻击及API收敛。</w:t>
      </w:r>
      <w:r>
        <w:rPr>
          <w:rFonts w:hint="eastAsia" w:ascii="仿宋" w:hAnsi="仿宋" w:eastAsia="仿宋"/>
          <w:color w:val="000000"/>
          <w:sz w:val="28"/>
          <w:szCs w:val="28"/>
          <w:highlight w:val="none"/>
        </w:rPr>
      </w:r>
      <w:r/>
    </w:p>
    <w:p>
      <w:pPr>
        <w:pStyle w:val="668"/>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w:t>
      </w:r>
      <w:r>
        <w:rPr>
          <w:rFonts w:ascii="仿宋" w:hAnsi="仿宋" w:eastAsia="仿宋"/>
          <w:color w:val="000000"/>
          <w:sz w:val="28"/>
          <w:szCs w:val="28"/>
          <w:highlight w:val="none"/>
        </w:rPr>
        <w:t xml:space="preserve">应用层安全（后端服务层）：业务安全的核心，实现细粒度访问控制、业务逻辑安全、应用层限流、关键流程加固。</w:t>
      </w:r>
      <w:r>
        <w:rPr>
          <w:rFonts w:hint="eastAsia" w:ascii="仿宋" w:hAnsi="仿宋" w:eastAsia="仿宋"/>
          <w:color w:val="000000"/>
          <w:sz w:val="28"/>
          <w:szCs w:val="28"/>
          <w:highlight w:val="none"/>
        </w:rPr>
      </w:r>
      <w:r/>
    </w:p>
    <w:p>
      <w:pPr>
        <w:pStyle w:val="668"/>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ascii="仿宋" w:hAnsi="仿宋" w:eastAsia="仿宋"/>
          <w:color w:val="000000"/>
          <w:sz w:val="28"/>
          <w:szCs w:val="28"/>
          <w:highlight w:val="none"/>
        </w:rPr>
        <w:t xml:space="preserve">数据层安全（数据存储与传输层）：最后一道防线，保护核心数据资产，实现敏感数据非必要不采集、展示脱敏化、传输加密（TLS），必要时存储加密。</w:t>
      </w:r>
      <w:r>
        <w:rPr>
          <w:rFonts w:hint="eastAsia" w:ascii="仿宋" w:hAnsi="仿宋" w:eastAsia="仿宋"/>
          <w:color w:val="000000"/>
          <w:sz w:val="28"/>
          <w:szCs w:val="28"/>
          <w:highlight w:val="none"/>
        </w:rPr>
      </w:r>
      <w:r/>
    </w:p>
    <w:p>
      <w:pPr>
        <w:pStyle w:val="668"/>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基于以上安全架构，HTTP请求</w:t>
      </w:r>
      <w:r>
        <w:rPr>
          <w:rFonts w:ascii="仿宋" w:hAnsi="仿宋" w:eastAsia="仿宋"/>
          <w:color w:val="000000"/>
          <w:sz w:val="28"/>
          <w:szCs w:val="28"/>
          <w:highlight w:val="none"/>
        </w:rPr>
        <w:t xml:space="preserve">的流转路径和安全组件的拦截点</w:t>
      </w:r>
      <w:r>
        <w:rPr>
          <w:rFonts w:hint="eastAsia" w:ascii="仿宋" w:hAnsi="仿宋" w:eastAsia="仿宋"/>
          <w:color w:val="000000"/>
          <w:sz w:val="28"/>
          <w:szCs w:val="28"/>
          <w:highlight w:val="none"/>
        </w:rPr>
        <w:t xml:space="preserve">如下：</w:t>
      </w:r>
      <w:r>
        <w:rPr>
          <w:rFonts w:ascii="仿宋" w:hAnsi="仿宋" w:eastAsia="仿宋"/>
          <w:color w:val="000000"/>
          <w:sz w:val="28"/>
          <w:szCs w:val="28"/>
          <w:highlight w:val="none"/>
        </w:rPr>
        <w:t xml:space="preserve">互联网用户 -&gt; Nginx (静态资源) -&gt; API网关 (统一认证、限流、防扫描) -&gt; 后端</w:t>
      </w:r>
      <w:r>
        <w:rPr>
          <w:rFonts w:hint="eastAsia" w:ascii="仿宋" w:hAnsi="仿宋" w:eastAsia="仿宋"/>
          <w:color w:val="000000"/>
          <w:sz w:val="28"/>
          <w:szCs w:val="28"/>
          <w:highlight w:val="none"/>
        </w:rPr>
        <w:t xml:space="preserve">数据接口</w:t>
      </w:r>
      <w:r>
        <w:rPr>
          <w:rFonts w:ascii="仿宋" w:hAnsi="仿宋" w:eastAsia="仿宋"/>
          <w:color w:val="000000"/>
          <w:sz w:val="28"/>
          <w:szCs w:val="28"/>
          <w:highlight w:val="none"/>
        </w:rPr>
        <w:t xml:space="preserve"> (权限校验中间件、业务逻辑、数据脱敏) -&gt; 数据库</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2.1.4.1 API安全网关管控</w:t>
      </w:r>
      <w:r>
        <w:rPr>
          <w:rFonts w:hint="eastAsia" w:ascii="仿宋" w:hAnsi="仿宋" w:eastAsia="仿宋"/>
          <w:b/>
          <w:bCs/>
          <w:color w:val="000000"/>
          <w:sz w:val="28"/>
          <w:szCs w:val="36"/>
          <w:highlight w:val="none"/>
        </w:rPr>
      </w:r>
      <w:r/>
    </w:p>
    <w:p>
      <w:pPr>
        <w:pStyle w:val="668"/>
        <w:ind w:firstLine="560"/>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通过API安全网关实现以下安全能力</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68"/>
        <w:ind w:firstLine="562"/>
        <w:spacing w:line="520" w:lineRule="exact"/>
        <w:tabs>
          <w:tab w:val="left" w:pos="720" w:leader="none"/>
        </w:tabs>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路由与API收敛：</w:t>
      </w:r>
      <w:r>
        <w:rPr>
          <w:rFonts w:ascii="仿宋" w:hAnsi="仿宋" w:eastAsia="仿宋"/>
          <w:color w:val="000000"/>
          <w:sz w:val="28"/>
          <w:szCs w:val="28"/>
          <w:highlight w:val="none"/>
        </w:rPr>
        <w:t xml:space="preserve">将后端服务的API地址统一收敛为少数入口地址，减少攻击面。</w:t>
      </w:r>
      <w:r>
        <w:rPr>
          <w:rFonts w:hint="eastAsia" w:ascii="仿宋" w:hAnsi="仿宋" w:eastAsia="仿宋"/>
          <w:color w:val="000000"/>
          <w:sz w:val="28"/>
          <w:szCs w:val="28"/>
          <w:highlight w:val="none"/>
        </w:rPr>
      </w:r>
      <w:r/>
    </w:p>
    <w:p>
      <w:pPr>
        <w:pStyle w:val="668"/>
        <w:ind w:firstLine="562"/>
        <w:spacing w:line="520" w:lineRule="exact"/>
        <w:tabs>
          <w:tab w:val="left" w:pos="720" w:leader="none"/>
        </w:tabs>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网关层限流（粗粒度）：</w:t>
      </w:r>
      <w:r>
        <w:rPr>
          <w:rFonts w:ascii="仿宋" w:hAnsi="仿宋" w:eastAsia="仿宋"/>
          <w:color w:val="000000"/>
          <w:sz w:val="28"/>
          <w:szCs w:val="28"/>
          <w:highlight w:val="none"/>
        </w:rPr>
        <w:t xml:space="preserve">支持按IP地址、API路径、客户端标识等多维度设置请求速率阈值（如单IP每分钟最多100次请求），防止恶意爬虫和资源耗尽攻击。</w:t>
      </w:r>
      <w:r>
        <w:rPr>
          <w:rFonts w:hint="eastAsia" w:ascii="仿宋" w:hAnsi="仿宋" w:eastAsia="仿宋"/>
          <w:color w:val="000000"/>
          <w:sz w:val="28"/>
          <w:szCs w:val="28"/>
          <w:highlight w:val="none"/>
        </w:rPr>
      </w:r>
      <w:r/>
    </w:p>
    <w:p>
      <w:pPr>
        <w:pStyle w:val="668"/>
        <w:ind w:firstLine="562"/>
        <w:spacing w:line="520" w:lineRule="exact"/>
        <w:tabs>
          <w:tab w:val="left" w:pos="720" w:leader="none"/>
        </w:tabs>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统一身份认证：</w:t>
      </w:r>
      <w:r>
        <w:rPr>
          <w:rFonts w:ascii="仿宋" w:hAnsi="仿宋" w:eastAsia="仿宋"/>
          <w:color w:val="000000"/>
          <w:sz w:val="28"/>
          <w:szCs w:val="28"/>
          <w:highlight w:val="none"/>
        </w:rPr>
        <w:t xml:space="preserve">在网关层集中验证客户端身份</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确保只有登录用户才能访问 API，防止匿名访问</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68"/>
        <w:ind w:firstLine="562"/>
        <w:spacing w:line="520" w:lineRule="exact"/>
        <w:tabs>
          <w:tab w:val="left" w:pos="720" w:leader="none"/>
        </w:tabs>
        <w:rPr>
          <w:rFonts w:hint="eastAsia" w:ascii="仿宋" w:hAnsi="仿宋" w:eastAsia="仿宋"/>
          <w:b/>
          <w:bCs/>
          <w:color w:val="000000"/>
          <w:sz w:val="28"/>
          <w:szCs w:val="28"/>
          <w:highlight w:val="none"/>
        </w:rPr>
      </w:pPr>
      <w:r>
        <w:rPr>
          <w:rFonts w:ascii="仿宋" w:hAnsi="仿宋" w:eastAsia="仿宋"/>
          <w:b/>
          <w:bCs/>
          <w:color w:val="000000"/>
          <w:sz w:val="28"/>
          <w:szCs w:val="28"/>
          <w:highlight w:val="none"/>
        </w:rPr>
        <w:t xml:space="preserve">统一权限校验</w:t>
      </w:r>
      <w:r>
        <w:rPr>
          <w:rFonts w:ascii="仿宋" w:hAnsi="仿宋" w:eastAsia="仿宋"/>
          <w:color w:val="000000"/>
          <w:sz w:val="28"/>
          <w:szCs w:val="28"/>
          <w:highlight w:val="none"/>
        </w:rPr>
        <w:t xml:space="preserve">：在网关层校验客户端是否有权访问特定API，实现垂直越权防护。支持为每个API接口绑定允许访问的角色或用户组，并通过调用后端权限服务实时校验当前用户权限</w:t>
      </w:r>
      <w:r>
        <w:rPr>
          <w:rFonts w:ascii="仿宋" w:hAnsi="仿宋" w:eastAsia="仿宋"/>
          <w:b/>
          <w:bCs/>
          <w:color w:val="000000"/>
          <w:sz w:val="28"/>
          <w:szCs w:val="28"/>
          <w:highlight w:val="none"/>
        </w:rPr>
        <w:t xml:space="preserve">。</w:t>
      </w:r>
      <w:r>
        <w:rPr>
          <w:rFonts w:hint="eastAsia" w:ascii="仿宋" w:hAnsi="仿宋" w:eastAsia="仿宋"/>
          <w:b/>
          <w:bCs/>
          <w:color w:val="000000"/>
          <w:sz w:val="28"/>
          <w:szCs w:val="28"/>
          <w:highlight w:val="none"/>
        </w:rPr>
      </w:r>
      <w:r/>
    </w:p>
    <w:p>
      <w:pPr>
        <w:pStyle w:val="668"/>
        <w:ind w:firstLine="562"/>
        <w:spacing w:line="520" w:lineRule="exact"/>
        <w:tabs>
          <w:tab w:val="left" w:pos="720" w:leader="none"/>
        </w:tabs>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扫描行为检测与阻断</w:t>
      </w:r>
      <w:r>
        <w:rPr>
          <w:rFonts w:hint="eastAsia" w:ascii="仿宋" w:hAnsi="仿宋" w:eastAsia="仿宋"/>
          <w:b/>
          <w:bCs/>
          <w:color w:val="000000"/>
          <w:sz w:val="28"/>
          <w:szCs w:val="28"/>
          <w:highlight w:val="none"/>
        </w:rPr>
        <w:t xml:space="preserve">：</w:t>
      </w:r>
      <w:r>
        <w:rPr>
          <w:rFonts w:ascii="仿宋" w:hAnsi="仿宋" w:eastAsia="仿宋"/>
          <w:color w:val="000000"/>
          <w:sz w:val="28"/>
          <w:szCs w:val="28"/>
          <w:highlight w:val="none"/>
        </w:rPr>
        <w:t xml:space="preserve">通过规则引擎检测短时间内请求大量不同路径、连续访问无效路径、请求头特征符合扫描工具指纹等异常行为；对疑似扫描请求返回统一状态码和虚假响应体，干扰攻击判断；对多次触发扫描行为的IP实施渐进式惩罚（临时封禁或永久加入黑名单）。</w:t>
      </w:r>
      <w:r>
        <w:rPr>
          <w:rFonts w:hint="eastAsia" w:ascii="仿宋" w:hAnsi="仿宋" w:eastAsia="仿宋"/>
          <w:color w:val="000000"/>
          <w:sz w:val="28"/>
          <w:szCs w:val="28"/>
          <w:highlight w:val="none"/>
        </w:rPr>
      </w:r>
      <w:r/>
    </w:p>
    <w:p>
      <w:pPr>
        <w:pStyle w:val="668"/>
        <w:ind w:firstLine="562"/>
        <w:spacing w:line="520" w:lineRule="exact"/>
        <w:tabs>
          <w:tab w:val="left" w:pos="720" w:leader="none"/>
        </w:tabs>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实时告警与联动</w:t>
      </w:r>
      <w:r>
        <w:rPr>
          <w:rFonts w:hint="eastAsia" w:ascii="仿宋" w:hAnsi="仿宋" w:eastAsia="仿宋"/>
          <w:b/>
          <w:bCs/>
          <w:color w:val="000000"/>
          <w:sz w:val="28"/>
          <w:szCs w:val="28"/>
          <w:highlight w:val="none"/>
        </w:rPr>
        <w:t xml:space="preserve">：</w:t>
      </w:r>
      <w:r>
        <w:rPr>
          <w:rFonts w:ascii="仿宋" w:hAnsi="仿宋" w:eastAsia="仿宋"/>
          <w:color w:val="000000"/>
          <w:sz w:val="28"/>
          <w:szCs w:val="28"/>
          <w:highlight w:val="none"/>
        </w:rPr>
        <w:t xml:space="preserve">检测到异常行为时，通过短信、邮件或企业微信等方式实时通知运维人员，并自动执行防护动作（如临时封禁IP、下调限流阈值）</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68"/>
        <w:ind w:firstLine="562"/>
        <w:spacing w:line="520" w:lineRule="exact"/>
        <w:tabs>
          <w:tab w:val="left" w:pos="720" w:leader="none"/>
        </w:tabs>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与现有架构平滑集成：</w:t>
      </w:r>
      <w:r>
        <w:rPr>
          <w:rFonts w:ascii="仿宋" w:hAnsi="仿宋" w:eastAsia="仿宋"/>
          <w:color w:val="000000"/>
          <w:sz w:val="28"/>
          <w:szCs w:val="28"/>
          <w:highlight w:val="none"/>
        </w:rPr>
        <w:t xml:space="preserve">支持与现有Nginx等前端接入层协同部署，通常方案为Nginx作为最前端处理SSL卸载和静态文件，将API请求反向代理至API安全网关集群</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2.1.4.2 身份认证与访问控制强化</w:t>
      </w:r>
      <w:r>
        <w:rPr>
          <w:rFonts w:hint="eastAsia" w:ascii="仿宋" w:hAnsi="仿宋" w:eastAsia="仿宋"/>
          <w:b/>
          <w:bCs/>
          <w:color w:val="000000"/>
          <w:sz w:val="28"/>
          <w:szCs w:val="36"/>
          <w:highlight w:val="none"/>
        </w:rPr>
      </w:r>
      <w:r/>
    </w:p>
    <w:p>
      <w:pPr>
        <w:pStyle w:val="668"/>
        <w:ind w:firstLine="560"/>
        <w:spacing w:line="520" w:lineRule="exact"/>
        <w:tabs>
          <w:tab w:val="left" w:pos="720" w:leader="none"/>
        </w:tabs>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聚焦于应用层（应用加固）的身份认证与访问控制，通过对后端业务系统源代码和架构的直接优化，解决权限控制失效的根本问题。</w:t>
      </w:r>
      <w:r>
        <w:rPr>
          <w:rFonts w:hint="eastAsia" w:ascii="仿宋" w:hAnsi="仿宋" w:eastAsia="仿宋"/>
          <w:color w:val="000000"/>
          <w:sz w:val="28"/>
          <w:szCs w:val="28"/>
          <w:highlight w:val="none"/>
        </w:rPr>
      </w:r>
      <w:r/>
    </w:p>
    <w:p>
      <w:pPr>
        <w:pStyle w:val="668"/>
        <w:ind w:firstLine="560"/>
        <w:spacing w:line="520" w:lineRule="exact"/>
        <w:tabs>
          <w:tab w:val="left" w:pos="720" w:leader="none"/>
        </w:tabs>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统一权限校验组件：构建非侵入式、强制性的安全校验执行框架，确保所有请求在进入业务代码前完成身份上下文建立，并根据方法声明的权限要求自动执行访问控制决策</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68"/>
        <w:ind w:firstLine="560"/>
        <w:spacing w:line="520" w:lineRule="exact"/>
        <w:tabs>
          <w:tab w:val="left" w:pos="720" w:leader="none"/>
        </w:tabs>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精细化权限模型：采用基于角色（RBAC）与基于属性（ABAC）相结合的混合模型。以RBAC作为功能权限骨架，定义稳定的角色体系（管理员、经办员、普通用户等）及其对功能模块的访问资格；以ABAC实现数据级权限控制（如“仅本人数据”）。需形成详细的权限矩阵表，明确每个API接口所需的角色组合与数据权限规则</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68"/>
        <w:ind w:firstLine="562"/>
        <w:spacing w:line="520" w:lineRule="exact"/>
        <w:tabs>
          <w:tab w:val="left" w:pos="720" w:leader="none"/>
        </w:tabs>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全量API接口改造</w:t>
      </w:r>
      <w:r>
        <w:rPr>
          <w:rFonts w:ascii="仿宋" w:hAnsi="仿宋" w:eastAsia="仿宋"/>
          <w:color w:val="000000"/>
          <w:sz w:val="28"/>
          <w:szCs w:val="28"/>
          <w:highlight w:val="none"/>
        </w:rPr>
        <w:t xml:space="preserve">：对智慧住建平台所有后端API接口（约100余个）进行代码审核与改造，集成统一权限校验组件，确保所有请求在进入业务逻辑前必须经过访问权限强制校验</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68"/>
        <w:ind w:firstLine="562"/>
        <w:spacing w:line="520" w:lineRule="exact"/>
        <w:tabs>
          <w:tab w:val="left" w:pos="720" w:leader="none"/>
        </w:tabs>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越权测试验证</w:t>
      </w:r>
      <w:r>
        <w:rPr>
          <w:rFonts w:ascii="仿宋" w:hAnsi="仿宋" w:eastAsia="仿宋"/>
          <w:color w:val="000000"/>
          <w:sz w:val="28"/>
          <w:szCs w:val="28"/>
          <w:highlight w:val="none"/>
        </w:rPr>
        <w:t xml:space="preserve">：制定覆盖垂直越权和水平越权场景的测试用例，通过自动化测试、第三方渗透测试等多种手段验证权限控制有效性</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2.1.4.3关键业务流程加固</w:t>
      </w:r>
      <w:r>
        <w:rPr>
          <w:rFonts w:hint="eastAsia" w:ascii="仿宋" w:hAnsi="仿宋" w:eastAsia="仿宋"/>
          <w:b/>
          <w:bCs/>
          <w:color w:val="000000"/>
          <w:sz w:val="28"/>
          <w:szCs w:val="36"/>
          <w:highlight w:val="none"/>
        </w:rPr>
      </w:r>
      <w:r/>
    </w:p>
    <w:p>
      <w:pPr>
        <w:pStyle w:val="668"/>
        <w:ind w:firstLine="560"/>
        <w:spacing w:line="520" w:lineRule="exact"/>
        <w:tabs>
          <w:tab w:val="left" w:pos="720" w:leader="none"/>
        </w:tabs>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聚焦应用层关键业务流程安全，通过优化后端业务代码，实现对业务逻辑层面特定风险的深度防护</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68"/>
        <w:ind w:firstLine="562"/>
        <w:spacing w:line="520" w:lineRule="exact"/>
        <w:tabs>
          <w:tab w:val="left" w:pos="720" w:leader="none"/>
        </w:tabs>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人工审核功能</w:t>
      </w:r>
      <w:r>
        <w:rPr>
          <w:rFonts w:hint="eastAsia" w:ascii="仿宋" w:hAnsi="仿宋" w:eastAsia="仿宋"/>
          <w:b/>
          <w:bCs/>
          <w:color w:val="000000"/>
          <w:sz w:val="28"/>
          <w:szCs w:val="28"/>
          <w:highlight w:val="none"/>
        </w:rPr>
        <w:t xml:space="preserve">：</w:t>
      </w:r>
      <w:r>
        <w:rPr>
          <w:rFonts w:ascii="仿宋" w:hAnsi="仿宋" w:eastAsia="仿宋"/>
          <w:color w:val="000000"/>
          <w:sz w:val="28"/>
          <w:szCs w:val="28"/>
          <w:highlight w:val="none"/>
        </w:rPr>
        <w:t xml:space="preserve">针对高频次、异地、异常时间段的注册、忘记密码等敏感操作行为，开发后端监控与人工审核功能，提供管理界面、审核流程和消息通知机制，形成“人技结合”的主动防御闭环</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68"/>
        <w:ind w:firstLine="562"/>
        <w:spacing w:line="520" w:lineRule="exact"/>
        <w:tabs>
          <w:tab w:val="left" w:pos="720" w:leader="none"/>
        </w:tabs>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应用层细粒度限流</w:t>
      </w:r>
      <w:r>
        <w:rPr>
          <w:rFonts w:ascii="仿宋" w:hAnsi="仿宋" w:eastAsia="仿宋"/>
          <w:color w:val="000000"/>
          <w:sz w:val="28"/>
          <w:szCs w:val="28"/>
          <w:highlight w:val="none"/>
        </w:rPr>
        <w:t xml:space="preserve">：在业务代码中，对登录、密码重置等核心接口实现按用户名、手机号等维度的精细化限流，与网关层限流形成互补，防范撞库、恶意扫描等攻击</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68"/>
        <w:ind w:firstLine="562"/>
        <w:spacing w:line="520" w:lineRule="exact"/>
        <w:tabs>
          <w:tab w:val="left" w:pos="720" w:leader="none"/>
        </w:tabs>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IDS告警优化：</w:t>
      </w:r>
      <w:r>
        <w:rPr>
          <w:rFonts w:ascii="仿宋" w:hAnsi="仿宋" w:eastAsia="仿宋"/>
          <w:color w:val="000000"/>
          <w:sz w:val="28"/>
          <w:szCs w:val="28"/>
          <w:highlight w:val="none"/>
        </w:rPr>
        <w:t xml:space="preserve">优化前后端调用机制（如API聚合、按需加载），减少前端界面无效API调用导致的IDS误报，提升安全告警精准度</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2.1.4.4 个人信息保护合规升级</w:t>
      </w:r>
      <w:r>
        <w:rPr>
          <w:rFonts w:hint="eastAsia" w:ascii="仿宋" w:hAnsi="仿宋" w:eastAsia="仿宋"/>
          <w:b/>
          <w:bCs/>
          <w:color w:val="000000"/>
          <w:sz w:val="28"/>
          <w:szCs w:val="36"/>
          <w:highlight w:val="none"/>
        </w:rPr>
      </w:r>
      <w:r/>
    </w:p>
    <w:p>
      <w:pPr>
        <w:pStyle w:val="668"/>
        <w:ind w:firstLine="560"/>
        <w:spacing w:line="520" w:lineRule="exact"/>
        <w:tabs>
          <w:tab w:val="left" w:pos="720" w:leader="none"/>
        </w:tabs>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聚焦于数据层管控，确保平台符合《</w:t>
      </w:r>
      <w:r>
        <w:rPr>
          <w:rFonts w:hint="eastAsia" w:ascii="仿宋" w:hAnsi="仿宋" w:eastAsia="仿宋"/>
          <w:color w:val="000000"/>
          <w:sz w:val="28"/>
          <w:szCs w:val="28"/>
          <w:highlight w:val="none"/>
        </w:rPr>
        <w:t xml:space="preserve">中华人民共和国</w:t>
      </w:r>
      <w:r>
        <w:rPr>
          <w:rFonts w:ascii="仿宋" w:hAnsi="仿宋" w:eastAsia="仿宋"/>
          <w:color w:val="000000"/>
          <w:sz w:val="28"/>
          <w:szCs w:val="28"/>
          <w:highlight w:val="none"/>
        </w:rPr>
        <w:t xml:space="preserve">个人信息保护法》等法律法规要求，核心目标是实现数据采集最小化、展示脱敏化、管控精细化</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68"/>
        <w:ind w:firstLine="562"/>
        <w:spacing w:line="520" w:lineRule="exact"/>
        <w:tabs>
          <w:tab w:val="left" w:pos="720" w:leader="none"/>
        </w:tabs>
        <w:rPr>
          <w:rFonts w:hint="eastAsia" w:ascii="仿宋" w:hAnsi="仿宋" w:eastAsia="仿宋"/>
          <w:b/>
          <w:bCs/>
          <w:color w:val="000000"/>
          <w:sz w:val="28"/>
          <w:szCs w:val="28"/>
          <w:highlight w:val="none"/>
        </w:rPr>
      </w:pPr>
      <w:r>
        <w:rPr>
          <w:rFonts w:ascii="仿宋" w:hAnsi="仿宋" w:eastAsia="仿宋"/>
          <w:b/>
          <w:bCs/>
          <w:color w:val="000000"/>
          <w:sz w:val="28"/>
          <w:szCs w:val="28"/>
          <w:highlight w:val="none"/>
        </w:rPr>
        <w:t xml:space="preserve">数据资产梳理与分类分级</w:t>
      </w:r>
      <w:r>
        <w:rPr>
          <w:rFonts w:hint="eastAsia" w:ascii="仿宋" w:hAnsi="仿宋" w:eastAsia="仿宋"/>
          <w:b/>
          <w:bCs/>
          <w:color w:val="000000"/>
          <w:sz w:val="28"/>
          <w:szCs w:val="28"/>
          <w:highlight w:val="none"/>
        </w:rPr>
        <w:t xml:space="preserve">：</w:t>
      </w:r>
      <w:r>
        <w:rPr>
          <w:rFonts w:ascii="仿宋" w:hAnsi="仿宋" w:eastAsia="仿宋"/>
          <w:color w:val="000000"/>
          <w:sz w:val="28"/>
          <w:szCs w:val="28"/>
          <w:highlight w:val="none"/>
        </w:rPr>
        <w:t xml:space="preserve">采用业务流与数据流双维度梳理法，形成《数据资产清单》与《数据字典与分类分级清单》，明确数据字段的分类等级、责任人及安全管控基线（如C3级数据必须强制脱敏）</w:t>
      </w:r>
      <w:r>
        <w:rPr>
          <w:rFonts w:hint="eastAsia" w:ascii="仿宋" w:hAnsi="仿宋" w:eastAsia="仿宋"/>
          <w:color w:val="000000"/>
          <w:sz w:val="28"/>
          <w:szCs w:val="28"/>
          <w:highlight w:val="none"/>
        </w:rPr>
        <w:t xml:space="preserve">。</w:t>
      </w:r>
      <w:r>
        <w:rPr>
          <w:rFonts w:hint="eastAsia" w:ascii="仿宋" w:hAnsi="仿宋" w:eastAsia="仿宋"/>
          <w:b/>
          <w:bCs/>
          <w:color w:val="000000"/>
          <w:sz w:val="28"/>
          <w:szCs w:val="28"/>
          <w:highlight w:val="none"/>
        </w:rPr>
      </w:r>
      <w:r/>
    </w:p>
    <w:p>
      <w:pPr>
        <w:pStyle w:val="668"/>
        <w:ind w:firstLine="562"/>
        <w:spacing w:line="520" w:lineRule="exact"/>
        <w:tabs>
          <w:tab w:val="left" w:pos="720" w:leader="none"/>
        </w:tabs>
        <w:rPr>
          <w:rFonts w:hint="eastAsia" w:ascii="仿宋" w:hAnsi="仿宋" w:eastAsia="仿宋"/>
          <w:b/>
          <w:bCs/>
          <w:color w:val="000000"/>
          <w:sz w:val="28"/>
          <w:szCs w:val="28"/>
          <w:highlight w:val="none"/>
        </w:rPr>
      </w:pPr>
      <w:r>
        <w:rPr>
          <w:rFonts w:ascii="仿宋" w:hAnsi="仿宋" w:eastAsia="仿宋"/>
          <w:b/>
          <w:bCs/>
          <w:color w:val="000000"/>
          <w:sz w:val="28"/>
          <w:szCs w:val="28"/>
          <w:highlight w:val="none"/>
        </w:rPr>
        <w:t xml:space="preserve">个人信息采集最小化</w:t>
      </w:r>
      <w:r>
        <w:rPr>
          <w:rFonts w:hint="eastAsia" w:ascii="仿宋" w:hAnsi="仿宋" w:eastAsia="仿宋"/>
          <w:b/>
          <w:bCs/>
          <w:color w:val="000000"/>
          <w:sz w:val="28"/>
          <w:szCs w:val="28"/>
          <w:highlight w:val="none"/>
        </w:rPr>
        <w:t xml:space="preserve">：</w:t>
      </w:r>
      <w:r>
        <w:rPr>
          <w:rFonts w:ascii="仿宋" w:hAnsi="仿宋" w:eastAsia="仿宋"/>
          <w:color w:val="000000"/>
          <w:sz w:val="28"/>
          <w:szCs w:val="28"/>
          <w:highlight w:val="none"/>
        </w:rPr>
        <w:t xml:space="preserve">对平台现有API接口进行合规性评估，评估内容包括采集必要性（字段是否为业务所必需）、目的符合性（与用户授权范围一致）。对于无法通过必要性审查的个人信息字段或业务功能已下线的接口，予以删除或下线，形成《API合规整改报告》</w:t>
      </w:r>
      <w:r>
        <w:rPr>
          <w:rFonts w:hint="eastAsia" w:ascii="仿宋" w:hAnsi="仿宋" w:eastAsia="仿宋"/>
          <w:color w:val="000000"/>
          <w:sz w:val="28"/>
          <w:szCs w:val="28"/>
          <w:highlight w:val="none"/>
        </w:rPr>
        <w:t xml:space="preserve">。</w:t>
      </w:r>
      <w:r>
        <w:rPr>
          <w:rFonts w:hint="eastAsia" w:ascii="仿宋" w:hAnsi="仿宋" w:eastAsia="仿宋"/>
          <w:b/>
          <w:bCs/>
          <w:color w:val="000000"/>
          <w:sz w:val="28"/>
          <w:szCs w:val="28"/>
          <w:highlight w:val="none"/>
        </w:rPr>
      </w:r>
      <w:r/>
    </w:p>
    <w:p>
      <w:pPr>
        <w:pStyle w:val="668"/>
        <w:ind w:firstLine="562"/>
        <w:spacing w:line="520" w:lineRule="exact"/>
        <w:tabs>
          <w:tab w:val="left" w:pos="720" w:leader="none"/>
        </w:tabs>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数据脱敏组件</w:t>
      </w:r>
      <w:r>
        <w:rPr>
          <w:rFonts w:hint="eastAsia" w:ascii="仿宋" w:hAnsi="仿宋" w:eastAsia="仿宋"/>
          <w:b/>
          <w:bCs/>
          <w:color w:val="000000"/>
          <w:sz w:val="28"/>
          <w:szCs w:val="28"/>
          <w:highlight w:val="none"/>
        </w:rPr>
        <w:t xml:space="preserve">：</w:t>
      </w:r>
      <w:r>
        <w:rPr>
          <w:rFonts w:ascii="仿宋" w:hAnsi="仿宋" w:eastAsia="仿宋"/>
          <w:color w:val="000000"/>
          <w:sz w:val="28"/>
          <w:szCs w:val="28"/>
          <w:highlight w:val="none"/>
        </w:rPr>
        <w:t xml:space="preserve">构建统一、灵活、高效的数据脱敏能力，支持多种可配置的脱敏算法（如替换、哈希、偏移、泛化等）</w:t>
      </w:r>
      <w:r>
        <w:rPr>
          <w:rFonts w:hint="eastAsia" w:ascii="仿宋" w:hAnsi="仿宋" w:eastAsia="仿宋"/>
          <w:color w:val="000000"/>
          <w:sz w:val="28"/>
          <w:szCs w:val="28"/>
          <w:highlight w:val="none"/>
        </w:rPr>
        <w:t xml:space="preserve">。技术要求（1）</w:t>
      </w:r>
      <w:r>
        <w:rPr>
          <w:rFonts w:ascii="仿宋" w:hAnsi="仿宋" w:eastAsia="仿宋"/>
          <w:b/>
          <w:bCs/>
          <w:color w:val="000000"/>
          <w:sz w:val="28"/>
          <w:szCs w:val="28"/>
          <w:highlight w:val="none"/>
        </w:rPr>
        <w:t xml:space="preserve">无侵入性</w:t>
      </w:r>
      <w:r>
        <w:rPr>
          <w:rFonts w:ascii="仿宋" w:hAnsi="仿宋" w:eastAsia="仿宋"/>
          <w:color w:val="000000"/>
          <w:sz w:val="28"/>
          <w:szCs w:val="28"/>
          <w:highlight w:val="none"/>
        </w:rPr>
        <w:t xml:space="preserve">：通过切面技术自动拦截返回数据，在序列化前对指定字段进行脱敏，无需修改原有业务逻辑</w:t>
      </w:r>
      <w:r>
        <w:rPr>
          <w:rFonts w:hint="eastAsia" w:ascii="仿宋" w:hAnsi="仿宋" w:eastAsia="仿宋"/>
          <w:color w:val="000000"/>
          <w:sz w:val="28"/>
          <w:szCs w:val="28"/>
          <w:highlight w:val="none"/>
        </w:rPr>
        <w:t xml:space="preserve">；（2）</w:t>
      </w:r>
      <w:r>
        <w:rPr>
          <w:rFonts w:ascii="仿宋" w:hAnsi="仿宋" w:eastAsia="仿宋"/>
          <w:b/>
          <w:bCs/>
          <w:color w:val="000000"/>
          <w:sz w:val="28"/>
          <w:szCs w:val="28"/>
          <w:highlight w:val="none"/>
        </w:rPr>
        <w:t xml:space="preserve">灵活配置</w:t>
      </w:r>
      <w:r>
        <w:rPr>
          <w:rFonts w:ascii="仿宋" w:hAnsi="仿宋" w:eastAsia="仿宋"/>
          <w:color w:val="000000"/>
          <w:sz w:val="28"/>
          <w:szCs w:val="28"/>
          <w:highlight w:val="none"/>
        </w:rPr>
        <w:t xml:space="preserve">：脱敏规则支持通过配置中心动态管理和调整。</w:t>
      </w:r>
      <w:r>
        <w:rPr>
          <w:rFonts w:hint="eastAsia" w:ascii="仿宋" w:hAnsi="仿宋" w:eastAsia="仿宋"/>
          <w:color w:val="000000"/>
          <w:sz w:val="28"/>
          <w:szCs w:val="28"/>
          <w:highlight w:val="none"/>
        </w:rPr>
      </w:r>
      <w:r/>
    </w:p>
    <w:p>
      <w:pPr>
        <w:pStyle w:val="668"/>
        <w:ind w:firstLine="562"/>
        <w:spacing w:line="520" w:lineRule="exact"/>
        <w:tabs>
          <w:tab w:val="left" w:pos="720" w:leader="none"/>
        </w:tabs>
        <w:rPr>
          <w:rFonts w:hint="eastAsia" w:ascii="仿宋" w:hAnsi="仿宋" w:eastAsia="仿宋"/>
          <w:b/>
          <w:bCs/>
          <w:color w:val="000000"/>
          <w:sz w:val="28"/>
          <w:szCs w:val="28"/>
          <w:highlight w:val="none"/>
        </w:rPr>
      </w:pPr>
      <w:r>
        <w:rPr>
          <w:rFonts w:ascii="仿宋" w:hAnsi="仿宋" w:eastAsia="仿宋"/>
          <w:b/>
          <w:bCs/>
          <w:color w:val="000000"/>
          <w:sz w:val="28"/>
          <w:szCs w:val="28"/>
          <w:highlight w:val="none"/>
        </w:rPr>
        <w:t xml:space="preserve">接口集成改造</w:t>
      </w:r>
      <w:r>
        <w:rPr>
          <w:rFonts w:hint="eastAsia" w:ascii="仿宋" w:hAnsi="仿宋" w:eastAsia="仿宋"/>
          <w:b/>
          <w:bCs/>
          <w:color w:val="000000"/>
          <w:sz w:val="28"/>
          <w:szCs w:val="28"/>
          <w:highlight w:val="none"/>
        </w:rPr>
        <w:t xml:space="preserve">：</w:t>
      </w:r>
      <w:r>
        <w:rPr>
          <w:rFonts w:ascii="仿宋" w:hAnsi="仿宋" w:eastAsia="仿宋"/>
          <w:color w:val="000000"/>
          <w:sz w:val="28"/>
          <w:szCs w:val="28"/>
          <w:highlight w:val="none"/>
        </w:rPr>
        <w:t xml:space="preserve">将脱敏能力系统性集成到应用架构中，对所有涉及查询、列表展示、导出个人信息的后端接口进行改造，形成端到端的数据展示安全闭环</w:t>
      </w:r>
      <w:r>
        <w:rPr>
          <w:rFonts w:hint="eastAsia" w:ascii="仿宋" w:hAnsi="仿宋" w:eastAsia="仿宋"/>
          <w:color w:val="000000"/>
          <w:sz w:val="28"/>
          <w:szCs w:val="28"/>
          <w:highlight w:val="none"/>
        </w:rPr>
        <w:t xml:space="preserve">。</w:t>
      </w:r>
      <w:r>
        <w:rPr>
          <w:rFonts w:hint="eastAsia" w:ascii="仿宋" w:hAnsi="仿宋" w:eastAsia="仿宋"/>
          <w:b/>
          <w:bCs/>
          <w:color w:val="000000"/>
          <w:sz w:val="28"/>
          <w:szCs w:val="28"/>
          <w:highlight w:val="none"/>
        </w:rPr>
      </w:r>
      <w:r/>
    </w:p>
    <w:p>
      <w:pPr>
        <w:pStyle w:val="668"/>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2.1.4.5</w:t>
      </w:r>
      <w:r>
        <w:rPr>
          <w:rFonts w:hint="eastAsia" w:ascii="仿宋" w:hAnsi="仿宋" w:eastAsia="仿宋"/>
          <w:b/>
          <w:bCs/>
          <w:color w:val="000000"/>
          <w:sz w:val="28"/>
          <w:szCs w:val="36"/>
          <w:highlight w:val="none"/>
        </w:rPr>
        <w:t xml:space="preserve"> 密码应用安全性评估改造</w:t>
      </w:r>
      <w:r>
        <w:rPr>
          <w:rFonts w:hint="eastAsia" w:ascii="仿宋" w:hAnsi="仿宋" w:eastAsia="仿宋"/>
          <w:b/>
          <w:bCs/>
          <w:color w:val="000000"/>
          <w:sz w:val="28"/>
          <w:szCs w:val="36"/>
          <w:highlight w:val="none"/>
        </w:rPr>
      </w:r>
      <w:r/>
    </w:p>
    <w:p>
      <w:pPr>
        <w:pStyle w:val="668"/>
        <w:ind w:firstLine="560"/>
        <w:spacing w:line="520" w:lineRule="exact"/>
        <w:tabs>
          <w:tab w:val="left" w:pos="720" w:leader="none"/>
        </w:tabs>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聚焦数据层密码技术应用，确保重要业务数据和个人信息的机密性、完整性、不可否认性，满足国家密码应用安全性评估要求</w:t>
      </w:r>
      <w:r>
        <w:rPr>
          <w:rFonts w:hint="eastAsia" w:ascii="仿宋" w:hAnsi="仿宋" w:eastAsia="仿宋"/>
          <w:color w:val="000000"/>
          <w:sz w:val="28"/>
          <w:szCs w:val="28"/>
          <w:highlight w:val="none"/>
        </w:rPr>
        <w:t xml:space="preserve">。应用改造主要包含如下内容：</w:t>
      </w:r>
      <w:r>
        <w:rPr>
          <w:rFonts w:hint="eastAsia" w:ascii="仿宋" w:hAnsi="仿宋" w:eastAsia="仿宋"/>
          <w:color w:val="000000"/>
          <w:sz w:val="28"/>
          <w:szCs w:val="28"/>
          <w:highlight w:val="none"/>
        </w:rPr>
      </w:r>
      <w:r/>
    </w:p>
    <w:p>
      <w:pPr>
        <w:pStyle w:val="668"/>
        <w:ind w:firstLine="560"/>
        <w:spacing w:line="520" w:lineRule="exact"/>
        <w:tabs>
          <w:tab w:val="left" w:pos="720" w:leader="none"/>
        </w:tabs>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身份认证：采用密码技术对登录用户进行身份鉴别，保证用户身份真实性。</w:t>
      </w:r>
      <w:r>
        <w:rPr>
          <w:rFonts w:hint="eastAsia" w:ascii="仿宋" w:hAnsi="仿宋" w:eastAsia="仿宋"/>
          <w:color w:val="000000"/>
          <w:sz w:val="28"/>
          <w:szCs w:val="28"/>
          <w:highlight w:val="none"/>
        </w:rPr>
      </w:r>
      <w:r/>
    </w:p>
    <w:p>
      <w:pPr>
        <w:pStyle w:val="668"/>
        <w:ind w:firstLine="560"/>
        <w:spacing w:line="520" w:lineRule="exact"/>
        <w:tabs>
          <w:tab w:val="left" w:pos="720" w:leader="none"/>
        </w:tabs>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访问控制信息完整性：</w:t>
      </w:r>
      <w:r>
        <w:rPr>
          <w:rFonts w:ascii="仿宋" w:hAnsi="仿宋" w:eastAsia="仿宋"/>
          <w:color w:val="000000"/>
          <w:sz w:val="28"/>
          <w:szCs w:val="28"/>
          <w:highlight w:val="none"/>
        </w:rPr>
        <w:t xml:space="preserve">对数据库权限列表等访问控制信息进行签名保护，保证存储时的完整性</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68"/>
        <w:ind w:firstLine="560"/>
        <w:spacing w:line="520" w:lineRule="exact"/>
        <w:tabs>
          <w:tab w:val="left" w:pos="720" w:leader="none"/>
        </w:tabs>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重要数据完整性：</w:t>
      </w:r>
      <w:r>
        <w:rPr>
          <w:rFonts w:ascii="仿宋" w:hAnsi="仿宋" w:eastAsia="仿宋"/>
          <w:color w:val="000000"/>
          <w:sz w:val="28"/>
          <w:szCs w:val="28"/>
          <w:highlight w:val="none"/>
        </w:rPr>
        <w:t xml:space="preserve">对重要业务数据、系统日志等进行签名保存，确保完整性</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68"/>
        <w:ind w:firstLine="560"/>
        <w:spacing w:line="520" w:lineRule="exact"/>
        <w:tabs>
          <w:tab w:val="left" w:pos="720" w:leader="none"/>
        </w:tabs>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供应商需同步提供密码技术应用服务，确保可通过密码应用安全性评估。</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2.1.4.6</w:t>
      </w:r>
      <w:r>
        <w:rPr>
          <w:rFonts w:hint="eastAsia" w:ascii="仿宋" w:hAnsi="仿宋" w:eastAsia="仿宋"/>
          <w:b/>
          <w:bCs/>
          <w:color w:val="000000"/>
          <w:sz w:val="28"/>
          <w:szCs w:val="36"/>
          <w:highlight w:val="none"/>
        </w:rPr>
        <w:t xml:space="preserve"> Web应用高可用建设</w:t>
      </w:r>
      <w:r>
        <w:rPr>
          <w:rFonts w:hint="eastAsia" w:ascii="仿宋" w:hAnsi="仿宋" w:eastAsia="仿宋"/>
          <w:b/>
          <w:bCs/>
          <w:color w:val="000000"/>
          <w:sz w:val="28"/>
          <w:szCs w:val="36"/>
          <w:highlight w:val="none"/>
        </w:rPr>
      </w:r>
      <w:r/>
    </w:p>
    <w:p>
      <w:pPr>
        <w:pStyle w:val="668"/>
        <w:ind w:firstLine="562"/>
        <w:spacing w:line="520" w:lineRule="exact"/>
        <w:tabs>
          <w:tab w:val="left" w:pos="720" w:leader="none"/>
        </w:tabs>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应用集群部署：</w:t>
      </w:r>
      <w:r>
        <w:rPr>
          <w:rFonts w:ascii="仿宋" w:hAnsi="仿宋" w:eastAsia="仿宋"/>
          <w:color w:val="000000"/>
          <w:sz w:val="28"/>
          <w:szCs w:val="28"/>
          <w:highlight w:val="none"/>
        </w:rPr>
        <w:t xml:space="preserve">部署至少两台应用服务器，运行完全相同的应用环境，消除单点故障。</w:t>
      </w:r>
      <w:r>
        <w:rPr>
          <w:rFonts w:hint="eastAsia" w:ascii="仿宋" w:hAnsi="仿宋" w:eastAsia="仿宋"/>
          <w:color w:val="000000"/>
          <w:sz w:val="28"/>
          <w:szCs w:val="28"/>
          <w:highlight w:val="none"/>
        </w:rPr>
      </w:r>
      <w:r/>
    </w:p>
    <w:p>
      <w:pPr>
        <w:pStyle w:val="668"/>
        <w:ind w:firstLine="562"/>
        <w:spacing w:line="520" w:lineRule="exact"/>
        <w:tabs>
          <w:tab w:val="left" w:pos="720" w:leader="none"/>
        </w:tabs>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负载均衡配置：</w:t>
      </w:r>
      <w:r>
        <w:rPr>
          <w:rFonts w:ascii="仿宋" w:hAnsi="仿宋" w:eastAsia="仿宋"/>
          <w:color w:val="000000"/>
          <w:sz w:val="28"/>
          <w:szCs w:val="28"/>
          <w:highlight w:val="none"/>
        </w:rPr>
        <w:t xml:space="preserve">采用负载均衡器作为流量统一入口，配置健康检查机制，自动检测后端服务器健康状态，自动剔除故障节点，将流量分发到健康实例，保障业务连续性和高可用性。</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2.1.5 施工许可证数据对接调整</w:t>
      </w:r>
      <w:r>
        <w:rPr>
          <w:rFonts w:hint="eastAsia" w:ascii="仿宋" w:hAnsi="仿宋" w:eastAsia="仿宋"/>
          <w:b/>
          <w:bCs/>
          <w:color w:val="000000"/>
          <w:sz w:val="28"/>
          <w:szCs w:val="36"/>
          <w:highlight w:val="none"/>
        </w:rPr>
      </w:r>
      <w:r/>
    </w:p>
    <w:p>
      <w:pPr>
        <w:pStyle w:val="668"/>
        <w:ind w:firstLine="560"/>
        <w:spacing w:line="520" w:lineRule="exact"/>
        <w:tabs>
          <w:tab w:val="left" w:pos="720" w:leader="none"/>
        </w:tabs>
        <w:rPr>
          <w:rFonts w:hint="eastAsia" w:ascii="宋体" w:hAnsi="宋体" w:cs="宋体"/>
          <w:color w:val="000000"/>
          <w:highlight w:val="none"/>
        </w:rPr>
      </w:pPr>
      <w:r>
        <w:rPr>
          <w:rFonts w:hint="eastAsia" w:ascii="仿宋" w:hAnsi="仿宋" w:eastAsia="仿宋"/>
          <w:color w:val="000000"/>
          <w:sz w:val="28"/>
          <w:szCs w:val="28"/>
          <w:highlight w:val="none"/>
        </w:rPr>
        <w:t xml:space="preserve">智慧住建平台实时对接江苏省住建厅施工许可系统，通过数据接口抓取施工许可证、安监、质监信息。省施工许可系统于2025年7月份进行升级，升级后数据接口不再兼容之前的接口版本，需重新对接抓取数据入库。</w:t>
      </w:r>
      <w:r>
        <w:rPr>
          <w:rFonts w:hint="eastAsia" w:ascii="宋体" w:hAnsi="宋体" w:cs="宋体"/>
          <w:color w:val="000000"/>
          <w:highlight w:val="none"/>
        </w:rPr>
      </w:r>
      <w:r/>
    </w:p>
    <w:p>
      <w:pPr>
        <w:pStyle w:val="668"/>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2.2建筑工地智慧监管子系统信创改造</w:t>
      </w:r>
      <w:r>
        <w:rPr>
          <w:rFonts w:hint="eastAsia" w:ascii="仿宋" w:hAnsi="仿宋" w:eastAsia="仿宋"/>
          <w:b/>
          <w:bCs/>
          <w:color w:val="000000"/>
          <w:sz w:val="28"/>
          <w:szCs w:val="36"/>
          <w:highlight w:val="none"/>
        </w:rPr>
      </w:r>
      <w:r/>
    </w:p>
    <w:p>
      <w:pPr>
        <w:pStyle w:val="668"/>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2.2.1操作系统替换与适配 </w:t>
      </w:r>
      <w:r>
        <w:rPr>
          <w:rFonts w:hint="eastAsia" w:ascii="仿宋" w:hAnsi="仿宋" w:eastAsia="仿宋"/>
          <w:b/>
          <w:bCs/>
          <w:color w:val="000000"/>
          <w:sz w:val="28"/>
          <w:szCs w:val="36"/>
          <w:highlight w:val="none"/>
        </w:rPr>
      </w:r>
      <w:r/>
    </w:p>
    <w:p>
      <w:pPr>
        <w:pStyle w:val="668"/>
        <w:ind w:firstLine="560"/>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建筑工地智慧监管子系统</w:t>
      </w:r>
      <w:r>
        <w:rPr>
          <w:rFonts w:hint="eastAsia" w:ascii="仿宋" w:hAnsi="仿宋" w:eastAsia="仿宋"/>
          <w:color w:val="000000"/>
          <w:sz w:val="28"/>
          <w:szCs w:val="28"/>
          <w:highlight w:val="none"/>
        </w:rPr>
        <w:t xml:space="preserve">现部署于2台服务器上</w:t>
      </w:r>
      <w:r>
        <w:rPr>
          <w:rFonts w:hint="eastAsia" w:ascii="仿宋" w:hAnsi="仿宋" w:eastAsia="仿宋"/>
          <w:color w:val="000000"/>
          <w:sz w:val="28"/>
          <w:szCs w:val="28"/>
          <w:highlight w:val="none"/>
        </w:rPr>
        <w:t xml:space="preserve">，应用核心服务器1台</w:t>
      </w:r>
      <w:r>
        <w:rPr>
          <w:rFonts w:hint="eastAsia" w:ascii="仿宋" w:hAnsi="仿宋" w:eastAsia="仿宋" w:cs="宋体"/>
          <w:color w:val="000000"/>
          <w:sz w:val="28"/>
          <w:szCs w:val="28"/>
          <w:highlight w:val="none"/>
        </w:rPr>
        <w:t xml:space="preserve">为Windows Server 2008 </w:t>
      </w:r>
      <w:r>
        <w:rPr>
          <w:rFonts w:hint="eastAsia" w:ascii="仿宋" w:hAnsi="仿宋" w:eastAsia="仿宋"/>
          <w:color w:val="000000"/>
          <w:sz w:val="28"/>
          <w:szCs w:val="28"/>
          <w:highlight w:val="none"/>
        </w:rPr>
        <w:t xml:space="preserve">,</w:t>
      </w:r>
      <w:r>
        <w:rPr>
          <w:rFonts w:hint="eastAsia" w:ascii="仿宋" w:hAnsi="仿宋" w:eastAsia="仿宋" w:cs="宋体"/>
          <w:color w:val="000000"/>
          <w:sz w:val="28"/>
          <w:szCs w:val="28"/>
          <w:highlight w:val="none"/>
        </w:rPr>
        <w:t xml:space="preserve">数据库服务器1台为Ubuntu Server 22.04 LTS，操作系统计划替换为国产操作系统，</w:t>
      </w:r>
      <w:r>
        <w:rPr>
          <w:rFonts w:ascii="仿宋" w:hAnsi="仿宋" w:eastAsia="仿宋" w:cs="宋体"/>
          <w:color w:val="000000"/>
          <w:sz w:val="28"/>
          <w:szCs w:val="28"/>
          <w:highlight w:val="none"/>
        </w:rPr>
        <w:t xml:space="preserve">具体型号以合同为准</w:t>
      </w:r>
      <w:r>
        <w:rPr>
          <w:rFonts w:hint="eastAsia" w:ascii="仿宋" w:hAnsi="仿宋" w:eastAsia="仿宋" w:cs="宋体"/>
          <w:color w:val="000000"/>
          <w:sz w:val="28"/>
          <w:szCs w:val="28"/>
          <w:highlight w:val="none"/>
        </w:rPr>
        <w:t xml:space="preserve">。</w:t>
      </w:r>
      <w:r>
        <w:rPr>
          <w:rFonts w:hint="eastAsia" w:ascii="仿宋" w:hAnsi="仿宋" w:eastAsia="仿宋" w:cs="宋体"/>
          <w:color w:val="000000"/>
          <w:sz w:val="28"/>
          <w:szCs w:val="28"/>
          <w:highlight w:val="none"/>
        </w:rPr>
      </w:r>
      <w:r/>
    </w:p>
    <w:p>
      <w:pPr>
        <w:pStyle w:val="668"/>
        <w:ind w:firstLine="560"/>
        <w:spacing w:line="520" w:lineRule="exact"/>
        <w:rPr>
          <w:rFonts w:hint="eastAsia" w:ascii="仿宋" w:hAnsi="仿宋" w:cs="仿宋"/>
          <w:color w:val="000000"/>
          <w:sz w:val="28"/>
          <w:szCs w:val="28"/>
          <w:highlight w:val="none"/>
        </w:rPr>
      </w:pPr>
      <w:r>
        <w:rPr>
          <w:rFonts w:hint="eastAsia" w:ascii="仿宋" w:hAnsi="仿宋" w:eastAsia="仿宋" w:cs="宋体"/>
          <w:color w:val="000000"/>
          <w:sz w:val="28"/>
          <w:szCs w:val="28"/>
          <w:highlight w:val="none"/>
        </w:rPr>
        <w:t xml:space="preserve">目标云主机资源及操作系统由采购单位提供，</w:t>
      </w:r>
      <w:r>
        <w:rPr>
          <w:rFonts w:ascii="仿宋" w:hAnsi="仿宋" w:eastAsia="仿宋" w:cs="宋体"/>
          <w:color w:val="000000"/>
          <w:sz w:val="28"/>
          <w:szCs w:val="28"/>
          <w:highlight w:val="none"/>
        </w:rPr>
        <w:t xml:space="preserve">本项目仅承担操作系统替换适配、应用迁移</w:t>
      </w:r>
      <w:r>
        <w:rPr>
          <w:rFonts w:hint="eastAsia" w:ascii="仿宋" w:hAnsi="仿宋" w:eastAsia="仿宋" w:cs="宋体"/>
          <w:color w:val="000000"/>
          <w:sz w:val="28"/>
          <w:szCs w:val="28"/>
          <w:highlight w:val="none"/>
        </w:rPr>
        <w:t xml:space="preserve">信创云主机</w:t>
      </w:r>
      <w:r>
        <w:rPr>
          <w:rFonts w:ascii="仿宋" w:hAnsi="仿宋" w:eastAsia="仿宋" w:cs="宋体"/>
          <w:color w:val="000000"/>
          <w:sz w:val="28"/>
          <w:szCs w:val="28"/>
          <w:highlight w:val="none"/>
        </w:rPr>
        <w:t xml:space="preserve">及业务验证工作</w:t>
      </w:r>
      <w:r>
        <w:rPr>
          <w:rFonts w:hint="eastAsia" w:ascii="仿宋" w:hAnsi="仿宋" w:eastAsia="仿宋" w:cs="宋体"/>
          <w:color w:val="000000"/>
          <w:sz w:val="28"/>
          <w:szCs w:val="28"/>
          <w:highlight w:val="none"/>
        </w:rPr>
        <w:t xml:space="preserve">，不涉及云资源及操作系统采购。</w:t>
      </w:r>
      <w:r>
        <w:rPr>
          <w:rFonts w:hint="eastAsia" w:ascii="仿宋" w:hAnsi="仿宋" w:cs="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系统环境适配：</w:t>
      </w:r>
      <w:r>
        <w:rPr>
          <w:rFonts w:hint="eastAsia" w:ascii="仿宋" w:hAnsi="仿宋" w:eastAsia="仿宋"/>
          <w:color w:val="000000"/>
          <w:sz w:val="28"/>
          <w:szCs w:val="28"/>
          <w:highlight w:val="none"/>
        </w:rPr>
        <w:t xml:space="preserve">将Windows/Ubuntu环境下的服务配置、启动脚本、权限管理等迁移至目标操作系统，需重构服务管理机制。</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文件系统调整：</w:t>
      </w:r>
      <w:r>
        <w:rPr>
          <w:rFonts w:hint="eastAsia" w:ascii="仿宋" w:hAnsi="仿宋" w:eastAsia="仿宋"/>
          <w:color w:val="000000"/>
          <w:sz w:val="28"/>
          <w:szCs w:val="28"/>
          <w:highlight w:val="none"/>
        </w:rPr>
        <w:t xml:space="preserve">路径分隔符、文件权限、目录结构等适配工作。</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2.2.2数据库迁移</w:t>
      </w:r>
      <w:r>
        <w:rPr>
          <w:rFonts w:hint="eastAsia" w:ascii="仿宋" w:hAnsi="仿宋" w:eastAsia="仿宋"/>
          <w:b/>
          <w:bCs/>
          <w:color w:val="000000"/>
          <w:sz w:val="28"/>
          <w:szCs w:val="36"/>
          <w:highlight w:val="none"/>
        </w:rPr>
      </w:r>
      <w:r/>
    </w:p>
    <w:p>
      <w:pPr>
        <w:pStyle w:val="668"/>
        <w:ind w:firstLine="560"/>
        <w:rPr>
          <w:rFonts w:hint="eastAsia" w:ascii="仿宋" w:hAnsi="仿宋" w:eastAsia="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highlight w:val="none"/>
        </w:rPr>
        <w:t xml:space="preserve">本政务系统源端为单个MySQL 5.7数据库</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参照"智慧住建平台数据库迁移"</w:t>
      </w:r>
      <w:r>
        <w:rPr>
          <w:rFonts w:hint="eastAsia" w:ascii="仿宋" w:hAnsi="仿宋" w:eastAsia="仿宋"/>
          <w:color w:val="000000"/>
          <w:sz w:val="28"/>
          <w:szCs w:val="28"/>
          <w:highlight w:val="none"/>
        </w:rPr>
        <w:t xml:space="preserve">部分</w:t>
      </w:r>
      <w:r>
        <w:rPr>
          <w:rFonts w:ascii="仿宋" w:hAnsi="仿宋" w:eastAsia="仿宋"/>
          <w:color w:val="000000"/>
          <w:sz w:val="28"/>
          <w:szCs w:val="28"/>
          <w:highlight w:val="none"/>
        </w:rPr>
        <w:t xml:space="preserve">的</w:t>
      </w:r>
      <w:r>
        <w:rPr>
          <w:rFonts w:hint="eastAsia" w:ascii="仿宋" w:hAnsi="仿宋" w:eastAsia="仿宋"/>
          <w:color w:val="000000"/>
          <w:sz w:val="28"/>
          <w:szCs w:val="28"/>
          <w:highlight w:val="none"/>
        </w:rPr>
        <w:t xml:space="preserve">技术要求</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完成建筑工地智慧监管平台的数据库迁移，迁移目标</w:t>
      </w:r>
      <w:r>
        <w:rPr>
          <w:rFonts w:ascii="仿宋" w:hAnsi="仿宋" w:eastAsia="仿宋"/>
          <w:color w:val="000000"/>
          <w:sz w:val="28"/>
          <w:szCs w:val="28"/>
          <w:highlight w:val="none"/>
        </w:rPr>
        <w:t xml:space="preserve">达梦数据库</w:t>
      </w:r>
      <w:r>
        <w:rPr>
          <w:rFonts w:hint="eastAsia" w:ascii="仿宋" w:hAnsi="仿宋" w:eastAsia="仿宋"/>
          <w:b/>
          <w:bCs/>
          <w:color w:val="000000"/>
          <w:sz w:val="28"/>
          <w:szCs w:val="28"/>
          <w:highlight w:val="none"/>
        </w:rPr>
        <w:t xml:space="preserve">。</w:t>
      </w:r>
      <w:r>
        <w:rPr>
          <w:rFonts w:hint="eastAsia" w:ascii="仿宋" w:hAnsi="仿宋" w:eastAsia="仿宋"/>
          <w:b/>
          <w:bCs/>
          <w:color w:val="000000"/>
          <w:sz w:val="28"/>
          <w:szCs w:val="28"/>
          <w:highlight w:val="none"/>
        </w:rPr>
      </w:r>
      <w:r/>
    </w:p>
    <w:p>
      <w:pPr>
        <w:pStyle w:val="668"/>
        <w:ind w:firstLine="560"/>
        <w:rPr>
          <w:rFonts w:hint="eastAsia" w:ascii="仿宋" w:hAnsi="仿宋" w:eastAsia="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8"/>
          <w:szCs w:val="28"/>
          <w:highlight w:val="none"/>
        </w:rPr>
        <w:t xml:space="preserve">目标数据库软件由采购单位提供，本项目不涉及数据库采购。</w:t>
      </w:r>
      <w:r>
        <w:rPr>
          <w:rFonts w:hint="eastAsia" w:ascii="仿宋" w:hAnsi="仿宋" w:eastAsia="仿宋"/>
          <w:b/>
          <w:bCs/>
          <w:color w:val="000000"/>
          <w:sz w:val="28"/>
          <w:szCs w:val="28"/>
          <w:highlight w:val="none"/>
        </w:rPr>
      </w:r>
      <w:r/>
    </w:p>
    <w:p>
      <w:pPr>
        <w:pStyle w:val="668"/>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2.2.3 应用系统适配</w:t>
      </w:r>
      <w:r>
        <w:rPr>
          <w:rFonts w:hint="eastAsia" w:ascii="仿宋" w:hAnsi="仿宋" w:eastAsia="仿宋"/>
          <w:b/>
          <w:bCs/>
          <w:color w:val="000000"/>
          <w:sz w:val="28"/>
          <w:szCs w:val="36"/>
          <w:highlight w:val="none"/>
        </w:rPr>
      </w:r>
      <w:r/>
    </w:p>
    <w:p>
      <w:pPr>
        <w:pStyle w:val="668"/>
        <w:ind w:firstLine="560"/>
        <w:spacing w:line="520" w:lineRule="exact"/>
        <w:rPr>
          <w:rFonts w:hint="eastAsia" w:ascii="仿宋" w:hAnsi="仿宋" w:eastAsia="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highlight w:val="none"/>
        </w:rPr>
        <w:t xml:space="preserve">基于现有建筑工地智慧监管系统源代码（Java B/S架构）进行适配改造，包括但不限于：</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b/>
          <w:bCs/>
          <w:color w:val="000000"/>
          <w:sz w:val="28"/>
          <w:szCs w:val="28"/>
          <w:highlight w:val="none"/>
        </w:rPr>
      </w:pPr>
      <w:r>
        <w:rPr>
          <w:rFonts w:hint="eastAsia" w:ascii="仿宋" w:hAnsi="仿宋" w:eastAsia="仿宋"/>
          <w:b/>
          <w:bCs/>
          <w:color w:val="000000"/>
          <w:sz w:val="28"/>
          <w:szCs w:val="28"/>
          <w:highlight w:val="none"/>
        </w:rPr>
        <w:t xml:space="preserve">SQL语句适配：</w:t>
      </w:r>
      <w:r>
        <w:rPr>
          <w:rFonts w:hint="eastAsia" w:ascii="仿宋" w:hAnsi="仿宋" w:eastAsia="仿宋"/>
          <w:color w:val="000000"/>
          <w:sz w:val="28"/>
          <w:szCs w:val="28"/>
          <w:highlight w:val="none"/>
        </w:rPr>
        <w:t xml:space="preserve">按照达梦数据库的语法，对ORM框架及原生SQL进行相应适配修改。</w:t>
      </w:r>
      <w:r>
        <w:rPr>
          <w:rFonts w:hint="eastAsia" w:ascii="仿宋" w:hAnsi="仿宋" w:eastAsia="仿宋"/>
          <w:b/>
          <w:bCs/>
          <w:color w:val="000000"/>
          <w:sz w:val="28"/>
          <w:szCs w:val="28"/>
          <w:highlight w:val="none"/>
        </w:rPr>
      </w:r>
      <w:r/>
    </w:p>
    <w:p>
      <w:pPr>
        <w:pStyle w:val="668"/>
        <w:ind w:firstLine="562"/>
        <w:spacing w:line="520" w:lineRule="exact"/>
        <w:rPr>
          <w:rFonts w:hint="eastAsia" w:ascii="仿宋" w:hAnsi="仿宋" w:eastAsia="仿宋"/>
          <w:b/>
          <w:bCs/>
          <w:color w:val="000000"/>
          <w:sz w:val="28"/>
          <w:szCs w:val="28"/>
          <w:highlight w:val="none"/>
        </w:rPr>
      </w:pPr>
      <w:r>
        <w:rPr>
          <w:rFonts w:hint="eastAsia" w:ascii="仿宋" w:hAnsi="仿宋" w:eastAsia="仿宋"/>
          <w:b/>
          <w:bCs/>
          <w:color w:val="000000"/>
          <w:sz w:val="28"/>
          <w:szCs w:val="28"/>
          <w:highlight w:val="none"/>
        </w:rPr>
        <w:t xml:space="preserve">跨平台适配：</w:t>
      </w:r>
      <w:r>
        <w:rPr>
          <w:rFonts w:hint="eastAsia" w:ascii="仿宋" w:hAnsi="仿宋" w:eastAsia="仿宋"/>
          <w:color w:val="000000"/>
          <w:sz w:val="28"/>
          <w:szCs w:val="28"/>
          <w:highlight w:val="none"/>
        </w:rPr>
        <w:t xml:space="preserve">文件路径修改、操作系统命令适配等。替换或重新编译依赖的依赖库、第三方工具：确保与迁移的目标操作系统兼容；检查并修改Windows平台特有API调用，确保Java应用在适配环境下正常运行。</w:t>
      </w:r>
      <w:r>
        <w:rPr>
          <w:rFonts w:hint="eastAsia" w:ascii="仿宋" w:hAnsi="仿宋" w:eastAsia="仿宋"/>
          <w:b/>
          <w:bCs/>
          <w:color w:val="000000"/>
          <w:sz w:val="28"/>
          <w:szCs w:val="28"/>
          <w:highlight w:val="none"/>
        </w:rPr>
      </w:r>
      <w:r/>
    </w:p>
    <w:p>
      <w:pPr>
        <w:pStyle w:val="668"/>
        <w:ind w:firstLine="562"/>
        <w:spacing w:line="520" w:lineRule="exact"/>
        <w:rPr>
          <w:rFonts w:hint="eastAsia" w:ascii="仿宋" w:hAnsi="仿宋" w:eastAsia="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b/>
          <w:bCs/>
          <w:color w:val="000000"/>
          <w:sz w:val="28"/>
          <w:szCs w:val="28"/>
          <w:highlight w:val="none"/>
        </w:rPr>
        <w:t xml:space="preserve">中间件适配：</w:t>
      </w:r>
      <w:r>
        <w:rPr>
          <w:rFonts w:hint="eastAsia" w:ascii="仿宋" w:hAnsi="仿宋" w:eastAsia="仿宋"/>
          <w:color w:val="000000"/>
          <w:sz w:val="28"/>
          <w:szCs w:val="28"/>
          <w:highlight w:val="none"/>
        </w:rPr>
        <w:t xml:space="preserve">建筑工地智慧监管系统主要用到Spring中间件需适配</w:t>
      </w:r>
      <w:r>
        <w:rPr>
          <w:rFonts w:hint="eastAsia" w:ascii="仿宋" w:hAnsi="仿宋" w:eastAsia="仿宋"/>
          <w:b/>
          <w:bCs/>
          <w:color w:val="000000"/>
          <w:sz w:val="28"/>
          <w:szCs w:val="28"/>
          <w:highlight w:val="none"/>
        </w:rPr>
        <w:t xml:space="preserve">。</w:t>
      </w:r>
      <w:r>
        <w:rPr>
          <w:rFonts w:hint="eastAsia" w:ascii="仿宋" w:hAnsi="仿宋" w:eastAsia="仿宋"/>
          <w:b/>
          <w:bCs/>
          <w:color w:val="000000"/>
          <w:sz w:val="28"/>
          <w:szCs w:val="28"/>
          <w:highlight w:val="none"/>
        </w:rPr>
      </w:r>
      <w:r/>
    </w:p>
    <w:p>
      <w:pPr>
        <w:pStyle w:val="668"/>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性能优化：（1）复杂页面查询：针对业务表数据量超过百万级别的、以及级联表大于两张表的查询进行慢SQL分析，并进行相关优化。（2）统计分析：对现有统计分析功能进行慢SQL分析，并进行相关优化。</w:t>
      </w:r>
      <w:r>
        <w:rPr>
          <w:rFonts w:hint="eastAsia" w:ascii="仿宋" w:hAnsi="仿宋" w:eastAsia="仿宋"/>
          <w:color w:val="000000"/>
          <w:sz w:val="28"/>
          <w:szCs w:val="28"/>
          <w:highlight w:val="none"/>
        </w:rPr>
      </w:r>
      <w:r/>
    </w:p>
    <w:p>
      <w:pPr>
        <w:pStyle w:val="668"/>
        <w:ind w:firstLine="560"/>
        <w:spacing w:line="520" w:lineRule="exact"/>
        <w:rPr>
          <w:rFonts w:hint="eastAsia" w:ascii="仿宋" w:hAnsi="仿宋" w:eastAsia="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highlight w:val="none"/>
        </w:rPr>
        <w:t xml:space="preserve">系统测试：系统迁移后参照智慧住建平台技术要求，完成相关测试验证。</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2.2.4 密码应用安全性评估改造</w:t>
      </w:r>
      <w:r>
        <w:rPr>
          <w:rFonts w:hint="eastAsia" w:ascii="仿宋" w:hAnsi="仿宋" w:eastAsia="仿宋"/>
          <w:b/>
          <w:bCs/>
          <w:color w:val="000000"/>
          <w:sz w:val="28"/>
          <w:szCs w:val="36"/>
          <w:highlight w:val="none"/>
        </w:rPr>
      </w:r>
      <w:r/>
    </w:p>
    <w:p>
      <w:pPr>
        <w:pStyle w:val="668"/>
        <w:ind w:firstLine="560"/>
        <w:spacing w:line="520" w:lineRule="exact"/>
        <w:tabs>
          <w:tab w:val="left" w:pos="720" w:leader="none"/>
        </w:tabs>
        <w:rPr>
          <w:rFonts w:hint="eastAsia" w:ascii="仿宋" w:hAnsi="仿宋" w:eastAsia="仿宋" w:cs="Calibri"/>
          <w:bCs/>
          <w:color w:val="000000"/>
          <w:sz w:val="28"/>
          <w:szCs w:val="28"/>
          <w:highlight w:val="none"/>
        </w:rPr>
      </w:pPr>
      <w:r>
        <w:rPr>
          <w:rFonts w:hint="eastAsia" w:ascii="仿宋" w:hAnsi="仿宋" w:eastAsia="仿宋" w:cs="Calibri"/>
          <w:bCs/>
          <w:color w:val="000000"/>
          <w:sz w:val="28"/>
          <w:szCs w:val="28"/>
          <w:highlight w:val="none"/>
        </w:rPr>
        <w:t xml:space="preserve">建筑工地智慧监管子系统</w:t>
      </w:r>
      <w:r>
        <w:rPr>
          <w:rFonts w:hint="eastAsia" w:ascii="仿宋" w:hAnsi="仿宋" w:eastAsia="仿宋"/>
          <w:bCs/>
          <w:color w:val="000000"/>
          <w:sz w:val="28"/>
          <w:szCs w:val="28"/>
          <w:highlight w:val="none"/>
        </w:rPr>
        <w:t xml:space="preserve">密码应用安全性评估改造</w:t>
      </w:r>
      <w:r>
        <w:rPr>
          <w:rFonts w:hint="eastAsia" w:ascii="仿宋" w:hAnsi="仿宋" w:eastAsia="仿宋" w:cs="Calibri"/>
          <w:bCs/>
          <w:color w:val="000000"/>
          <w:sz w:val="28"/>
          <w:szCs w:val="28"/>
          <w:highlight w:val="none"/>
        </w:rPr>
        <w:t xml:space="preserve">参照智慧住建密码应用安全性评估相关要求。</w:t>
      </w:r>
      <w:r>
        <w:rPr>
          <w:rFonts w:hint="eastAsia" w:ascii="仿宋" w:hAnsi="仿宋" w:eastAsia="仿宋" w:cs="Calibri"/>
          <w:bCs/>
          <w:color w:val="000000"/>
          <w:sz w:val="28"/>
          <w:szCs w:val="28"/>
          <w:highlight w:val="none"/>
        </w:rPr>
      </w:r>
      <w:r/>
    </w:p>
    <w:p>
      <w:pPr>
        <w:pStyle w:val="668"/>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2.3无锡市城市基础设施配套费征收管理子系统信创改造</w:t>
      </w:r>
      <w:r>
        <w:rPr>
          <w:rFonts w:hint="eastAsia" w:ascii="仿宋" w:hAnsi="仿宋" w:eastAsia="仿宋"/>
          <w:b/>
          <w:bCs/>
          <w:color w:val="000000"/>
          <w:sz w:val="28"/>
          <w:szCs w:val="36"/>
          <w:highlight w:val="none"/>
        </w:rPr>
      </w:r>
      <w:r/>
    </w:p>
    <w:p>
      <w:pPr>
        <w:pStyle w:val="668"/>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2.3.1操作系统替换与适配 </w:t>
      </w:r>
      <w:r>
        <w:rPr>
          <w:rFonts w:hint="eastAsia" w:ascii="仿宋" w:hAnsi="仿宋" w:eastAsia="仿宋"/>
          <w:b/>
          <w:bCs/>
          <w:color w:val="000000"/>
          <w:sz w:val="28"/>
          <w:szCs w:val="36"/>
          <w:highlight w:val="none"/>
        </w:rPr>
      </w:r>
      <w:r/>
    </w:p>
    <w:p>
      <w:pPr>
        <w:pStyle w:val="668"/>
        <w:ind w:firstLine="560"/>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配套费征收管理子系统系统</w:t>
      </w:r>
      <w:r>
        <w:rPr>
          <w:rFonts w:hint="eastAsia" w:ascii="仿宋" w:hAnsi="仿宋" w:eastAsia="仿宋"/>
          <w:color w:val="000000"/>
          <w:sz w:val="28"/>
          <w:szCs w:val="28"/>
          <w:highlight w:val="none"/>
        </w:rPr>
        <w:t xml:space="preserve">现部署于2台服务器上</w:t>
      </w:r>
      <w:r>
        <w:rPr>
          <w:rFonts w:hint="eastAsia" w:ascii="仿宋" w:hAnsi="仿宋" w:eastAsia="仿宋"/>
          <w:color w:val="000000"/>
          <w:sz w:val="28"/>
          <w:szCs w:val="28"/>
          <w:highlight w:val="none"/>
        </w:rPr>
        <w:t xml:space="preserve">，都是Windows 2012 Server</w:t>
      </w:r>
      <w:r>
        <w:rPr>
          <w:rFonts w:hint="eastAsia" w:ascii="仿宋" w:hAnsi="仿宋" w:eastAsia="仿宋" w:cs="宋体"/>
          <w:color w:val="000000"/>
          <w:sz w:val="28"/>
          <w:szCs w:val="28"/>
          <w:highlight w:val="none"/>
        </w:rPr>
        <w:t xml:space="preserve">，计划替换为国产操作系统，</w:t>
      </w:r>
      <w:r>
        <w:rPr>
          <w:rFonts w:ascii="仿宋" w:hAnsi="仿宋" w:eastAsia="仿宋" w:cs="宋体"/>
          <w:color w:val="000000"/>
          <w:sz w:val="28"/>
          <w:szCs w:val="28"/>
          <w:highlight w:val="none"/>
        </w:rPr>
        <w:t xml:space="preserve">具体型号以合同为准</w:t>
      </w:r>
      <w:r>
        <w:rPr>
          <w:rFonts w:hint="eastAsia" w:ascii="仿宋" w:hAnsi="仿宋" w:eastAsia="仿宋" w:cs="宋体"/>
          <w:color w:val="000000"/>
          <w:sz w:val="28"/>
          <w:szCs w:val="28"/>
          <w:highlight w:val="none"/>
        </w:rPr>
        <w:t xml:space="preserve">。</w:t>
      </w:r>
      <w:r>
        <w:rPr>
          <w:rFonts w:hint="eastAsia" w:ascii="仿宋" w:hAnsi="仿宋" w:eastAsia="仿宋" w:cs="宋体"/>
          <w:color w:val="000000"/>
          <w:sz w:val="28"/>
          <w:szCs w:val="28"/>
          <w:highlight w:val="none"/>
        </w:rPr>
      </w:r>
      <w:r/>
    </w:p>
    <w:p>
      <w:pPr>
        <w:pStyle w:val="668"/>
        <w:ind w:firstLine="560"/>
        <w:spacing w:line="520" w:lineRule="exact"/>
        <w:rPr>
          <w:rFonts w:hint="eastAsia" w:ascii="仿宋" w:hAnsi="仿宋" w:cs="仿宋"/>
          <w:color w:val="000000"/>
          <w:sz w:val="28"/>
          <w:szCs w:val="28"/>
          <w:highlight w:val="none"/>
        </w:rPr>
      </w:pPr>
      <w:r>
        <w:rPr>
          <w:rFonts w:hint="eastAsia" w:ascii="仿宋" w:hAnsi="仿宋" w:eastAsia="仿宋" w:cs="宋体"/>
          <w:color w:val="000000"/>
          <w:sz w:val="28"/>
          <w:szCs w:val="28"/>
          <w:highlight w:val="none"/>
        </w:rPr>
        <w:t xml:space="preserve">目标云主机资源及操作系统由采购单位提供，</w:t>
      </w:r>
      <w:r>
        <w:rPr>
          <w:rFonts w:ascii="仿宋" w:hAnsi="仿宋" w:eastAsia="仿宋" w:cs="宋体"/>
          <w:color w:val="000000"/>
          <w:sz w:val="28"/>
          <w:szCs w:val="28"/>
          <w:highlight w:val="none"/>
        </w:rPr>
        <w:t xml:space="preserve">本项目仅承担操作系统替换适配、应用迁移</w:t>
      </w:r>
      <w:r>
        <w:rPr>
          <w:rFonts w:hint="eastAsia" w:ascii="仿宋" w:hAnsi="仿宋" w:eastAsia="仿宋" w:cs="宋体"/>
          <w:color w:val="000000"/>
          <w:sz w:val="28"/>
          <w:szCs w:val="28"/>
          <w:highlight w:val="none"/>
        </w:rPr>
        <w:t xml:space="preserve">信创云主机</w:t>
      </w:r>
      <w:r>
        <w:rPr>
          <w:rFonts w:ascii="仿宋" w:hAnsi="仿宋" w:eastAsia="仿宋" w:cs="宋体"/>
          <w:color w:val="000000"/>
          <w:sz w:val="28"/>
          <w:szCs w:val="28"/>
          <w:highlight w:val="none"/>
        </w:rPr>
        <w:t xml:space="preserve">及业务验证工作</w:t>
      </w:r>
      <w:r>
        <w:rPr>
          <w:rFonts w:hint="eastAsia" w:ascii="仿宋" w:hAnsi="仿宋" w:eastAsia="仿宋" w:cs="宋体"/>
          <w:color w:val="000000"/>
          <w:sz w:val="28"/>
          <w:szCs w:val="28"/>
          <w:highlight w:val="none"/>
        </w:rPr>
        <w:t xml:space="preserve">，不涉及云资源及操作系统采购。</w:t>
      </w:r>
      <w:r>
        <w:rPr>
          <w:rFonts w:hint="eastAsia" w:ascii="仿宋" w:hAnsi="仿宋" w:cs="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系统环境适配：</w:t>
      </w:r>
      <w:r>
        <w:rPr>
          <w:rFonts w:hint="eastAsia" w:ascii="仿宋" w:hAnsi="仿宋" w:eastAsia="仿宋"/>
          <w:color w:val="000000"/>
          <w:sz w:val="28"/>
          <w:szCs w:val="28"/>
          <w:highlight w:val="none"/>
        </w:rPr>
        <w:t xml:space="preserve">将Windows环境下的服务配置、启动脚本、权限管理等迁移至目标操作系统，需重构服务管理机制。</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文件系统调整：</w:t>
      </w:r>
      <w:r>
        <w:rPr>
          <w:rFonts w:hint="eastAsia" w:ascii="仿宋" w:hAnsi="仿宋" w:eastAsia="仿宋"/>
          <w:color w:val="000000"/>
          <w:sz w:val="28"/>
          <w:szCs w:val="28"/>
          <w:highlight w:val="none"/>
        </w:rPr>
        <w:t xml:space="preserve">路径分隔符、文件权限、目录结构等适配工作。</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2.3.2数据库迁移</w:t>
      </w:r>
      <w:r>
        <w:rPr>
          <w:rFonts w:hint="eastAsia" w:ascii="仿宋" w:hAnsi="仿宋" w:eastAsia="仿宋"/>
          <w:b/>
          <w:bCs/>
          <w:color w:val="000000"/>
          <w:sz w:val="28"/>
          <w:szCs w:val="36"/>
          <w:highlight w:val="none"/>
        </w:rPr>
      </w:r>
      <w:r/>
    </w:p>
    <w:p>
      <w:pPr>
        <w:pStyle w:val="668"/>
        <w:ind w:firstLine="560"/>
        <w:rPr>
          <w:rFonts w:hint="eastAsia" w:ascii="仿宋" w:hAnsi="仿宋" w:eastAsia="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highlight w:val="none"/>
        </w:rPr>
        <w:t xml:space="preserve">本政务系统源端为单个MariaDB 10.6.23数据库</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参照"智慧住建平台数据库迁移"</w:t>
      </w:r>
      <w:r>
        <w:rPr>
          <w:rFonts w:hint="eastAsia" w:ascii="仿宋" w:hAnsi="仿宋" w:eastAsia="仿宋"/>
          <w:color w:val="000000"/>
          <w:sz w:val="28"/>
          <w:szCs w:val="28"/>
          <w:highlight w:val="none"/>
        </w:rPr>
        <w:t xml:space="preserve">部分</w:t>
      </w:r>
      <w:r>
        <w:rPr>
          <w:rFonts w:ascii="仿宋" w:hAnsi="仿宋" w:eastAsia="仿宋"/>
          <w:color w:val="000000"/>
          <w:sz w:val="28"/>
          <w:szCs w:val="28"/>
          <w:highlight w:val="none"/>
        </w:rPr>
        <w:t xml:space="preserve">的</w:t>
      </w:r>
      <w:r>
        <w:rPr>
          <w:rFonts w:hint="eastAsia" w:ascii="仿宋" w:hAnsi="仿宋" w:eastAsia="仿宋"/>
          <w:color w:val="000000"/>
          <w:sz w:val="28"/>
          <w:szCs w:val="28"/>
          <w:highlight w:val="none"/>
        </w:rPr>
        <w:t xml:space="preserve">技术要求</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完成配套费征收管理子系统的数据库迁移，迁移目标</w:t>
      </w:r>
      <w:r>
        <w:rPr>
          <w:rFonts w:ascii="仿宋" w:hAnsi="仿宋" w:eastAsia="仿宋"/>
          <w:color w:val="000000"/>
          <w:sz w:val="28"/>
          <w:szCs w:val="28"/>
          <w:highlight w:val="none"/>
        </w:rPr>
        <w:t xml:space="preserve">达梦数据库</w:t>
      </w:r>
      <w:r>
        <w:rPr>
          <w:rFonts w:hint="eastAsia" w:ascii="仿宋" w:hAnsi="仿宋" w:eastAsia="仿宋"/>
          <w:b/>
          <w:bCs/>
          <w:color w:val="000000"/>
          <w:sz w:val="28"/>
          <w:szCs w:val="28"/>
          <w:highlight w:val="none"/>
        </w:rPr>
        <w:t xml:space="preserve">。</w:t>
      </w:r>
      <w:r>
        <w:rPr>
          <w:rFonts w:hint="eastAsia" w:ascii="仿宋" w:hAnsi="仿宋" w:eastAsia="仿宋"/>
          <w:b/>
          <w:bCs/>
          <w:color w:val="000000"/>
          <w:sz w:val="28"/>
          <w:szCs w:val="28"/>
          <w:highlight w:val="none"/>
        </w:rPr>
      </w:r>
      <w:r/>
    </w:p>
    <w:p>
      <w:pPr>
        <w:pStyle w:val="668"/>
        <w:ind w:firstLine="560"/>
        <w:rPr>
          <w:rFonts w:hint="eastAsia" w:ascii="仿宋" w:hAnsi="仿宋" w:eastAsia="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8"/>
          <w:szCs w:val="28"/>
          <w:highlight w:val="none"/>
        </w:rPr>
        <w:t xml:space="preserve">目标数据库软件由采购单位提供，本项目不涉及数据库采购。</w:t>
      </w:r>
      <w:r>
        <w:rPr>
          <w:rFonts w:hint="eastAsia" w:ascii="仿宋" w:hAnsi="仿宋" w:eastAsia="仿宋"/>
          <w:b/>
          <w:bCs/>
          <w:color w:val="000000"/>
          <w:sz w:val="28"/>
          <w:szCs w:val="28"/>
          <w:highlight w:val="none"/>
        </w:rPr>
      </w:r>
      <w:r/>
    </w:p>
    <w:p>
      <w:pPr>
        <w:pStyle w:val="668"/>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2.3.3 应用系统适配</w:t>
      </w:r>
      <w:r>
        <w:rPr>
          <w:rFonts w:hint="eastAsia" w:ascii="仿宋" w:hAnsi="仿宋" w:eastAsia="仿宋"/>
          <w:b/>
          <w:bCs/>
          <w:color w:val="000000"/>
          <w:sz w:val="28"/>
          <w:szCs w:val="36"/>
          <w:highlight w:val="none"/>
        </w:rPr>
      </w:r>
      <w:r/>
    </w:p>
    <w:p>
      <w:pPr>
        <w:pStyle w:val="668"/>
        <w:ind w:firstLine="560"/>
        <w:spacing w:line="520" w:lineRule="exact"/>
        <w:rPr>
          <w:rFonts w:hint="eastAsia" w:ascii="仿宋" w:hAnsi="仿宋" w:eastAsia="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highlight w:val="none"/>
        </w:rPr>
        <w:t xml:space="preserve">基于现有配套费征收管理子系统源代码（Java B/S架构）进行适配改造，包括但不限于：</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b/>
          <w:bCs/>
          <w:color w:val="000000"/>
          <w:sz w:val="28"/>
          <w:szCs w:val="28"/>
          <w:highlight w:val="none"/>
        </w:rPr>
      </w:pPr>
      <w:r>
        <w:rPr>
          <w:rFonts w:hint="eastAsia" w:ascii="仿宋" w:hAnsi="仿宋" w:eastAsia="仿宋"/>
          <w:b/>
          <w:bCs/>
          <w:color w:val="000000"/>
          <w:sz w:val="28"/>
          <w:szCs w:val="28"/>
          <w:highlight w:val="none"/>
        </w:rPr>
        <w:t xml:space="preserve">SQL 语句适配：</w:t>
      </w:r>
      <w:r>
        <w:rPr>
          <w:rFonts w:hint="eastAsia" w:ascii="仿宋" w:hAnsi="仿宋" w:eastAsia="仿宋"/>
          <w:color w:val="000000"/>
          <w:sz w:val="28"/>
          <w:szCs w:val="28"/>
          <w:highlight w:val="none"/>
        </w:rPr>
        <w:t xml:space="preserve">按照达梦数据库的语法，对ORM框架及原生SQL进行相应适配修改。</w:t>
      </w:r>
      <w:r>
        <w:rPr>
          <w:rFonts w:hint="eastAsia" w:ascii="仿宋" w:hAnsi="仿宋" w:eastAsia="仿宋"/>
          <w:b/>
          <w:bCs/>
          <w:color w:val="000000"/>
          <w:sz w:val="28"/>
          <w:szCs w:val="28"/>
          <w:highlight w:val="none"/>
        </w:rPr>
      </w:r>
      <w:r/>
    </w:p>
    <w:p>
      <w:pPr>
        <w:pStyle w:val="668"/>
        <w:ind w:firstLine="562"/>
        <w:spacing w:line="520" w:lineRule="exact"/>
        <w:rPr>
          <w:rFonts w:hint="eastAsia" w:ascii="仿宋" w:hAnsi="仿宋" w:eastAsia="仿宋"/>
          <w:b/>
          <w:bCs/>
          <w:color w:val="000000"/>
          <w:sz w:val="28"/>
          <w:szCs w:val="28"/>
          <w:highlight w:val="none"/>
        </w:rPr>
      </w:pPr>
      <w:r>
        <w:rPr>
          <w:rFonts w:hint="eastAsia" w:ascii="仿宋" w:hAnsi="仿宋" w:eastAsia="仿宋"/>
          <w:b/>
          <w:bCs/>
          <w:color w:val="000000"/>
          <w:sz w:val="28"/>
          <w:szCs w:val="28"/>
          <w:highlight w:val="none"/>
        </w:rPr>
        <w:t xml:space="preserve">跨平台适配：</w:t>
      </w:r>
      <w:r>
        <w:rPr>
          <w:rFonts w:hint="eastAsia" w:ascii="仿宋" w:hAnsi="仿宋" w:eastAsia="仿宋"/>
          <w:color w:val="000000"/>
          <w:sz w:val="28"/>
          <w:szCs w:val="28"/>
          <w:highlight w:val="none"/>
        </w:rPr>
        <w:t xml:space="preserve">文件路径修改、操作系统命令适配等。替换或重新编译依赖的依赖库、第三方工具：确保与迁移的目标操作系统兼容；检查并修改Windows平台特有API调用，确保Java应用在适配环境下正常运行。</w:t>
      </w:r>
      <w:r>
        <w:rPr>
          <w:rFonts w:hint="eastAsia" w:ascii="仿宋" w:hAnsi="仿宋" w:eastAsia="仿宋"/>
          <w:b/>
          <w:bCs/>
          <w:color w:val="000000"/>
          <w:sz w:val="28"/>
          <w:szCs w:val="28"/>
          <w:highlight w:val="none"/>
        </w:rPr>
      </w:r>
      <w:r/>
    </w:p>
    <w:p>
      <w:pPr>
        <w:pStyle w:val="668"/>
        <w:ind w:firstLine="562"/>
        <w:spacing w:line="520" w:lineRule="exact"/>
        <w:rPr>
          <w:rFonts w:hint="eastAsia" w:ascii="仿宋" w:hAnsi="仿宋" w:eastAsia="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b/>
          <w:bCs/>
          <w:color w:val="000000"/>
          <w:sz w:val="28"/>
          <w:szCs w:val="28"/>
          <w:highlight w:val="none"/>
        </w:rPr>
        <w:t xml:space="preserve">中间件适配：</w:t>
      </w:r>
      <w:r>
        <w:rPr>
          <w:rFonts w:hint="eastAsia" w:ascii="仿宋" w:hAnsi="仿宋" w:eastAsia="仿宋"/>
          <w:color w:val="000000"/>
          <w:sz w:val="28"/>
          <w:szCs w:val="28"/>
          <w:highlight w:val="none"/>
        </w:rPr>
        <w:t xml:space="preserve">配套费征收管理子系统主要用到Spring中间件需适配</w:t>
      </w:r>
      <w:r>
        <w:rPr>
          <w:rFonts w:hint="eastAsia" w:ascii="仿宋" w:hAnsi="仿宋" w:eastAsia="仿宋"/>
          <w:b/>
          <w:bCs/>
          <w:color w:val="000000"/>
          <w:sz w:val="28"/>
          <w:szCs w:val="28"/>
          <w:highlight w:val="none"/>
        </w:rPr>
        <w:t xml:space="preserve">。</w:t>
      </w:r>
      <w:r>
        <w:rPr>
          <w:rFonts w:hint="eastAsia" w:ascii="仿宋" w:hAnsi="仿宋" w:eastAsia="仿宋"/>
          <w:b/>
          <w:bCs/>
          <w:color w:val="000000"/>
          <w:sz w:val="28"/>
          <w:szCs w:val="28"/>
          <w:highlight w:val="none"/>
        </w:rPr>
      </w:r>
      <w:r/>
    </w:p>
    <w:p>
      <w:pPr>
        <w:pStyle w:val="668"/>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性能优化：（1）复杂页面查询：针对业务表数据量超过百万级别的、以及级联表大于两张表的查询进行慢SQL分析，并进行相关优化。（2）统计分析：对现有统计分析功能进行慢SQL分析，并进行相关优化。</w:t>
      </w:r>
      <w:r>
        <w:rPr>
          <w:rFonts w:hint="eastAsia" w:ascii="仿宋" w:hAnsi="仿宋" w:eastAsia="仿宋"/>
          <w:color w:val="000000"/>
          <w:sz w:val="28"/>
          <w:szCs w:val="28"/>
          <w:highlight w:val="none"/>
        </w:rPr>
      </w:r>
      <w:r/>
    </w:p>
    <w:p>
      <w:pPr>
        <w:pStyle w:val="668"/>
        <w:ind w:firstLine="560"/>
        <w:spacing w:line="520" w:lineRule="exact"/>
        <w:rPr>
          <w:rFonts w:hint="eastAsia" w:ascii="仿宋" w:hAnsi="仿宋" w:eastAsia="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highlight w:val="none"/>
        </w:rPr>
        <w:t xml:space="preserve">系统测试：系统迁移后参照智慧住建平台技术要求，完成相关测试验证。</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2.3.4 密码应用安全性评估改造</w:t>
      </w:r>
      <w:r>
        <w:rPr>
          <w:rFonts w:hint="eastAsia" w:ascii="仿宋" w:hAnsi="仿宋" w:eastAsia="仿宋"/>
          <w:b/>
          <w:bCs/>
          <w:color w:val="000000"/>
          <w:sz w:val="28"/>
          <w:szCs w:val="36"/>
          <w:highlight w:val="none"/>
        </w:rPr>
      </w:r>
      <w:r/>
    </w:p>
    <w:p>
      <w:pPr>
        <w:pStyle w:val="668"/>
        <w:ind w:firstLine="560"/>
        <w:spacing w:line="520" w:lineRule="exact"/>
        <w:tabs>
          <w:tab w:val="left" w:pos="720" w:leader="none"/>
        </w:tabs>
        <w:rPr>
          <w:rFonts w:hint="eastAsia" w:ascii="仿宋" w:hAnsi="仿宋" w:eastAsia="仿宋" w:cs="Calibri"/>
          <w:color w:val="000000"/>
          <w:sz w:val="28"/>
          <w:szCs w:val="28"/>
          <w:highlight w:val="none"/>
        </w:rPr>
      </w:pPr>
      <w:r>
        <w:rPr>
          <w:rFonts w:hint="eastAsia" w:ascii="仿宋" w:hAnsi="仿宋" w:eastAsia="仿宋"/>
          <w:color w:val="000000"/>
          <w:sz w:val="28"/>
          <w:szCs w:val="28"/>
          <w:highlight w:val="none"/>
        </w:rPr>
        <w:t xml:space="preserve">配套费征收管理子系统密码应用安全性评估改造</w:t>
      </w:r>
      <w:r>
        <w:rPr>
          <w:rFonts w:hint="eastAsia" w:ascii="仿宋" w:hAnsi="仿宋" w:eastAsia="仿宋" w:cs="Calibri"/>
          <w:color w:val="000000"/>
          <w:sz w:val="28"/>
          <w:szCs w:val="28"/>
          <w:highlight w:val="none"/>
        </w:rPr>
        <w:t xml:space="preserve">参照智慧住建密码应用安全性评估相关要求。</w:t>
      </w:r>
      <w:r>
        <w:rPr>
          <w:rFonts w:hint="eastAsia" w:ascii="仿宋" w:hAnsi="仿宋" w:eastAsia="仿宋" w:cs="Calibri"/>
          <w:color w:val="000000"/>
          <w:sz w:val="28"/>
          <w:szCs w:val="28"/>
          <w:highlight w:val="none"/>
        </w:rPr>
      </w:r>
      <w:r/>
    </w:p>
    <w:p>
      <w:pPr>
        <w:pStyle w:val="668"/>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2.4招标投标活动监管子系统</w:t>
      </w:r>
      <w:r>
        <w:rPr>
          <w:rFonts w:hint="eastAsia" w:ascii="仿宋" w:hAnsi="仿宋" w:eastAsia="仿宋"/>
          <w:b/>
          <w:bCs/>
          <w:color w:val="000000"/>
          <w:sz w:val="28"/>
          <w:szCs w:val="36"/>
          <w:highlight w:val="none"/>
        </w:rPr>
      </w:r>
      <w:r/>
    </w:p>
    <w:p>
      <w:pPr>
        <w:pStyle w:val="668"/>
        <w:ind w:firstLine="560"/>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落实国家关于加快招标投标领域人工智能推广应用的部署，</w:t>
      </w:r>
      <w:r>
        <w:rPr>
          <w:rFonts w:hint="eastAsia" w:ascii="仿宋" w:hAnsi="仿宋" w:eastAsia="仿宋"/>
          <w:color w:val="000000"/>
          <w:sz w:val="28"/>
          <w:szCs w:val="28"/>
          <w:highlight w:val="none"/>
        </w:rPr>
        <w:t xml:space="preserve">构建工程招投标智能监管系统，运用自然语言处理与图神经网络技术，深度分析投标文件语义特征与企业关联关系。提取文本特征相似度，自动识别投标文件雷同性；通过专家评分离散度分析，识别“人情分”“倾向分”；整合企业、人员等多维数据构建知识图谱，智能识别隐性关联企业，预警围标串标风险。</w:t>
      </w:r>
      <w:r>
        <w:rPr>
          <w:rFonts w:hint="eastAsia" w:ascii="仿宋" w:hAnsi="仿宋" w:eastAsia="仿宋"/>
          <w:color w:val="000000"/>
          <w:sz w:val="28"/>
          <w:szCs w:val="28"/>
          <w:highlight w:val="none"/>
        </w:rPr>
      </w:r>
      <w:r/>
    </w:p>
    <w:p>
      <w:pPr>
        <w:pStyle w:val="668"/>
        <w:ind w:firstLine="560"/>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该子系统建设将基于市信创</w:t>
      </w:r>
      <w:r>
        <w:rPr>
          <w:rFonts w:hint="eastAsia" w:ascii="仿宋" w:hAnsi="仿宋" w:eastAsia="仿宋"/>
          <w:color w:val="000000"/>
          <w:sz w:val="28"/>
          <w:szCs w:val="28"/>
          <w:highlight w:val="none"/>
        </w:rPr>
        <w:t xml:space="preserve">政务</w:t>
      </w:r>
      <w:r>
        <w:rPr>
          <w:rFonts w:ascii="仿宋" w:hAnsi="仿宋" w:eastAsia="仿宋"/>
          <w:color w:val="000000"/>
          <w:sz w:val="28"/>
          <w:szCs w:val="28"/>
          <w:highlight w:val="none"/>
        </w:rPr>
        <w:t xml:space="preserve">云环境，采用国产操作系统与国产数据库等关键技术，确保全面符合国家信创标准与规范</w:t>
      </w:r>
      <w:r>
        <w:rPr>
          <w:rFonts w:hint="eastAsia" w:ascii="仿宋" w:hAnsi="仿宋" w:eastAsia="仿宋"/>
          <w:color w:val="000000"/>
          <w:sz w:val="28"/>
          <w:szCs w:val="28"/>
          <w:highlight w:val="none"/>
        </w:rPr>
        <w:t xml:space="preserve">，具体功能模块如下：</w:t>
      </w:r>
      <w:r>
        <w:rPr>
          <w:rFonts w:hint="eastAsia" w:ascii="仿宋" w:hAnsi="仿宋" w:eastAsia="仿宋"/>
          <w:color w:val="000000"/>
          <w:sz w:val="28"/>
          <w:szCs w:val="28"/>
          <w:highlight w:val="none"/>
        </w:rPr>
      </w:r>
      <w:r/>
    </w:p>
    <w:p>
      <w:pPr>
        <w:pStyle w:val="668"/>
        <w:ind w:firstLine="560"/>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基于市信创</w:t>
      </w:r>
      <w:r>
        <w:rPr>
          <w:rFonts w:hint="eastAsia" w:ascii="仿宋" w:hAnsi="仿宋" w:eastAsia="仿宋"/>
          <w:color w:val="000000"/>
          <w:sz w:val="28"/>
          <w:szCs w:val="28"/>
          <w:highlight w:val="none"/>
        </w:rPr>
        <w:t xml:space="preserve">政务</w:t>
      </w:r>
      <w:r>
        <w:rPr>
          <w:rFonts w:ascii="仿宋" w:hAnsi="仿宋" w:eastAsia="仿宋"/>
          <w:color w:val="000000"/>
          <w:sz w:val="28"/>
          <w:szCs w:val="28"/>
          <w:highlight w:val="none"/>
        </w:rPr>
        <w:t xml:space="preserve">云环境，采用国产操作系统与国产数据库等关键技术，建设招标投标活动监管子系统，</w:t>
      </w:r>
      <w:r>
        <w:rPr>
          <w:rFonts w:hint="eastAsia" w:ascii="仿宋" w:hAnsi="仿宋" w:eastAsia="仿宋"/>
          <w:color w:val="000000"/>
          <w:sz w:val="28"/>
          <w:szCs w:val="28"/>
          <w:highlight w:val="none"/>
        </w:rPr>
        <w:t xml:space="preserve">通过对招投标信息进行数据分析，形成投标文件特征码雷同性等各类分析结果，</w:t>
      </w:r>
      <w:r>
        <w:rPr>
          <w:rFonts w:ascii="仿宋" w:hAnsi="仿宋" w:eastAsia="仿宋"/>
          <w:color w:val="000000"/>
          <w:sz w:val="28"/>
          <w:szCs w:val="28"/>
          <w:highlight w:val="none"/>
        </w:rPr>
        <w:t xml:space="preserve">实现对串通投标行为的“事前预警、事中监控、事后追溯”，并将分析结果推送至无锡市建筑市场信用监管平台统一展现。</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2.4.1投标文件特征码雷同性分析</w:t>
      </w:r>
      <w:r>
        <w:rPr>
          <w:rFonts w:hint="eastAsia" w:ascii="仿宋" w:hAnsi="仿宋" w:eastAsia="仿宋"/>
          <w:b/>
          <w:bCs/>
          <w:color w:val="000000"/>
          <w:sz w:val="28"/>
          <w:szCs w:val="36"/>
          <w:highlight w:val="none"/>
        </w:rPr>
      </w:r>
      <w:r/>
    </w:p>
    <w:p>
      <w:pPr>
        <w:pStyle w:val="668"/>
        <w:ind w:firstLine="560"/>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实现所有标段中所有投标文件制作机器码、预算编制软件密码锁号、上传投标文件IP地址的一致性分析。具体功能要求如下</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文件制作机器码雷同性分析。</w:t>
      </w:r>
      <w:r>
        <w:rPr>
          <w:rFonts w:hint="eastAsia" w:ascii="仿宋" w:hAnsi="仿宋" w:eastAsia="仿宋"/>
          <w:color w:val="000000"/>
          <w:sz w:val="28"/>
          <w:szCs w:val="28"/>
          <w:highlight w:val="none"/>
        </w:rPr>
        <w:t xml:space="preserve">包括（1）同标段机器码雷同：</w:t>
      </w:r>
      <w:r>
        <w:rPr>
          <w:rFonts w:ascii="仿宋" w:hAnsi="仿宋" w:eastAsia="仿宋"/>
          <w:color w:val="000000"/>
          <w:sz w:val="28"/>
          <w:szCs w:val="28"/>
          <w:highlight w:val="none"/>
        </w:rPr>
        <w:t xml:space="preserve">以标段为分析对象，分析投标单位利用同一台电脑制作标书的行为，挖掘存在机器码雷同的投标人及标段信息</w:t>
      </w:r>
      <w:r>
        <w:rPr>
          <w:rFonts w:hint="eastAsia" w:ascii="仿宋" w:hAnsi="仿宋" w:eastAsia="仿宋"/>
          <w:color w:val="000000"/>
          <w:sz w:val="28"/>
          <w:szCs w:val="28"/>
          <w:highlight w:val="none"/>
        </w:rPr>
        <w:t xml:space="preserve">；（2）异标段机器码雷同：</w:t>
      </w:r>
      <w:r>
        <w:rPr>
          <w:rFonts w:ascii="仿宋" w:hAnsi="仿宋" w:eastAsia="仿宋"/>
          <w:color w:val="000000"/>
          <w:sz w:val="28"/>
          <w:szCs w:val="28"/>
          <w:highlight w:val="none"/>
        </w:rPr>
        <w:t xml:space="preserve">以两家单位为分析对象，分析投标单位在不同标段下使用过同一台电脑制作标书的行为</w:t>
      </w:r>
      <w:r>
        <w:rPr>
          <w:rFonts w:hint="eastAsia" w:ascii="仿宋" w:hAnsi="仿宋" w:eastAsia="仿宋"/>
          <w:color w:val="000000"/>
          <w:sz w:val="28"/>
          <w:szCs w:val="28"/>
          <w:highlight w:val="none"/>
        </w:rPr>
        <w:t xml:space="preserve">；（3）机器码抱团分析：以机器码为分析对象，挖掘多家单位共同使用过同一台电脑的行为。</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文件创建标识码雷同性分析。</w:t>
      </w:r>
      <w:r>
        <w:rPr>
          <w:rFonts w:ascii="仿宋" w:hAnsi="仿宋" w:eastAsia="仿宋"/>
          <w:color w:val="000000"/>
          <w:sz w:val="28"/>
          <w:szCs w:val="28"/>
          <w:highlight w:val="none"/>
        </w:rPr>
        <w:t xml:space="preserve">采集同一个项目下所有投标单位电子标书的文件创建标识码信息</w:t>
      </w:r>
      <w:r>
        <w:rPr>
          <w:rFonts w:hint="eastAsia" w:ascii="仿宋" w:hAnsi="仿宋" w:eastAsia="仿宋"/>
          <w:color w:val="000000"/>
          <w:sz w:val="28"/>
          <w:szCs w:val="28"/>
          <w:highlight w:val="none"/>
        </w:rPr>
        <w:t xml:space="preserve">（在公共资源交易中心专用制作软件中新建标书时自动生成的识别号）</w:t>
      </w:r>
      <w:r>
        <w:rPr>
          <w:rFonts w:ascii="仿宋" w:hAnsi="仿宋" w:eastAsia="仿宋"/>
          <w:color w:val="000000"/>
          <w:sz w:val="28"/>
          <w:szCs w:val="28"/>
          <w:highlight w:val="none"/>
        </w:rPr>
        <w:t xml:space="preserve">，分析投标单位利用同一份标书进行修改上传的行为</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标书上传IP雷同性分析。</w:t>
      </w:r>
      <w:r>
        <w:rPr>
          <w:rFonts w:hint="eastAsia" w:ascii="仿宋" w:hAnsi="仿宋" w:eastAsia="仿宋"/>
          <w:color w:val="000000"/>
          <w:sz w:val="28"/>
          <w:szCs w:val="28"/>
          <w:highlight w:val="none"/>
        </w:rPr>
        <w:t xml:space="preserve">包括（1）同标段上传IP雷同：以标段为分析对象，分析投标单位在同一网络环境上传电子标书的异常行为；（2）异标段上传IP雷同：以两家单位为分析对象，分析投标单位在不同标段下使用过同一IP上传标书的行为；（3）上传IP抱团分析：以上传IP为分析对象，挖掘多家单位共同使用过同一IP上传标书的行为。</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远程解密I</w:t>
      </w:r>
      <w:r>
        <w:rPr>
          <w:rFonts w:hint="eastAsia" w:ascii="仿宋" w:hAnsi="仿宋" w:eastAsia="仿宋"/>
          <w:b/>
          <w:bCs/>
          <w:color w:val="000000"/>
          <w:sz w:val="28"/>
          <w:szCs w:val="28"/>
          <w:highlight w:val="none"/>
        </w:rPr>
        <w:t xml:space="preserve">P雷同性分析。</w:t>
      </w:r>
      <w:r>
        <w:rPr>
          <w:rFonts w:hint="eastAsia" w:ascii="仿宋" w:hAnsi="仿宋" w:eastAsia="仿宋"/>
          <w:color w:val="000000"/>
          <w:sz w:val="28"/>
          <w:szCs w:val="28"/>
          <w:highlight w:val="none"/>
        </w:rPr>
        <w:t xml:space="preserve">包括（1）</w:t>
      </w:r>
      <w:r>
        <w:rPr>
          <w:rFonts w:ascii="仿宋" w:hAnsi="仿宋" w:eastAsia="仿宋"/>
          <w:color w:val="000000"/>
          <w:sz w:val="28"/>
          <w:szCs w:val="28"/>
          <w:highlight w:val="none"/>
        </w:rPr>
        <w:t xml:space="preserve">同标段解密IP雷同：以标段为分析对象，分析投标单位在同一网络环境远程解密标书的异常行为</w:t>
      </w:r>
      <w:r>
        <w:rPr>
          <w:rFonts w:hint="eastAsia" w:ascii="仿宋" w:hAnsi="仿宋" w:eastAsia="仿宋"/>
          <w:color w:val="000000"/>
          <w:sz w:val="28"/>
          <w:szCs w:val="28"/>
          <w:highlight w:val="none"/>
        </w:rPr>
        <w:t xml:space="preserve">；（2）</w:t>
      </w:r>
      <w:r>
        <w:rPr>
          <w:rFonts w:ascii="仿宋" w:hAnsi="仿宋" w:eastAsia="仿宋"/>
          <w:color w:val="000000"/>
          <w:sz w:val="28"/>
          <w:szCs w:val="28"/>
          <w:highlight w:val="none"/>
        </w:rPr>
        <w:t xml:space="preserve">异标段解密IP雷同：以两家单位为分析对象，分析投标单位在不同标段下使用过同一IP远程解密标书的行为</w:t>
      </w:r>
      <w:r>
        <w:rPr>
          <w:rFonts w:hint="eastAsia" w:ascii="仿宋" w:hAnsi="仿宋" w:eastAsia="仿宋"/>
          <w:color w:val="000000"/>
          <w:sz w:val="28"/>
          <w:szCs w:val="28"/>
          <w:highlight w:val="none"/>
        </w:rPr>
        <w:t xml:space="preserve">；（3）</w:t>
      </w:r>
      <w:r>
        <w:rPr>
          <w:rFonts w:ascii="仿宋" w:hAnsi="仿宋" w:eastAsia="仿宋"/>
          <w:color w:val="000000"/>
          <w:sz w:val="28"/>
          <w:szCs w:val="28"/>
          <w:highlight w:val="none"/>
        </w:rPr>
        <w:t xml:space="preserve">解密IP抱团分析：以解密IP为分析对象，挖掘多家单位共同使用过同一IP远程解密标书的行为</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文件下载IP</w:t>
      </w:r>
      <w:r>
        <w:rPr>
          <w:rFonts w:hint="eastAsia" w:ascii="仿宋" w:hAnsi="仿宋" w:eastAsia="仿宋"/>
          <w:b/>
          <w:bCs/>
          <w:color w:val="000000"/>
          <w:sz w:val="28"/>
          <w:szCs w:val="28"/>
          <w:highlight w:val="none"/>
        </w:rPr>
        <w:t xml:space="preserve">雷同性分析。</w:t>
      </w:r>
      <w:r>
        <w:rPr>
          <w:rFonts w:hint="eastAsia" w:ascii="仿宋" w:hAnsi="仿宋" w:eastAsia="仿宋"/>
          <w:color w:val="000000"/>
          <w:sz w:val="28"/>
          <w:szCs w:val="28"/>
          <w:highlight w:val="none"/>
        </w:rPr>
        <w:t xml:space="preserve">包括（1）</w:t>
      </w:r>
      <w:r>
        <w:rPr>
          <w:rFonts w:ascii="仿宋" w:hAnsi="仿宋" w:eastAsia="仿宋"/>
          <w:color w:val="000000"/>
          <w:sz w:val="28"/>
          <w:szCs w:val="28"/>
          <w:highlight w:val="none"/>
        </w:rPr>
        <w:t xml:space="preserve">同标段下载IP雷同：以标段为分析对象，分析投标单位在同一网络环境下载招标文件的异常行为</w:t>
      </w:r>
      <w:r>
        <w:rPr>
          <w:rFonts w:hint="eastAsia" w:ascii="仿宋" w:hAnsi="仿宋" w:eastAsia="仿宋"/>
          <w:color w:val="000000"/>
          <w:sz w:val="28"/>
          <w:szCs w:val="28"/>
          <w:highlight w:val="none"/>
        </w:rPr>
        <w:t xml:space="preserve">；（2）</w:t>
      </w:r>
      <w:r>
        <w:rPr>
          <w:rFonts w:ascii="仿宋" w:hAnsi="仿宋" w:eastAsia="仿宋"/>
          <w:color w:val="000000"/>
          <w:sz w:val="28"/>
          <w:szCs w:val="28"/>
          <w:highlight w:val="none"/>
        </w:rPr>
        <w:t xml:space="preserve">下载IP抱团分析：以下载IP为分析对象，挖掘多家单位共同使用过同一下载IP的行为</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文件下载机器码雷同</w:t>
      </w:r>
      <w:r>
        <w:rPr>
          <w:rFonts w:hint="eastAsia" w:ascii="仿宋" w:hAnsi="仿宋" w:eastAsia="仿宋"/>
          <w:b/>
          <w:bCs/>
          <w:color w:val="000000"/>
          <w:sz w:val="28"/>
          <w:szCs w:val="28"/>
          <w:highlight w:val="none"/>
        </w:rPr>
        <w:t xml:space="preserve">性分析。</w:t>
      </w:r>
      <w:r>
        <w:rPr>
          <w:rFonts w:ascii="仿宋" w:hAnsi="仿宋" w:eastAsia="仿宋"/>
          <w:color w:val="000000"/>
          <w:sz w:val="28"/>
          <w:szCs w:val="28"/>
          <w:highlight w:val="none"/>
        </w:rPr>
        <w:t xml:space="preserve">分析投标单位利用同一台电脑下载标书，挖掘出存在同下载MAC雷同的异常记录</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预警信息定期推送。</w:t>
      </w:r>
      <w:r>
        <w:rPr>
          <w:rFonts w:hint="eastAsia" w:ascii="仿宋" w:hAnsi="仿宋" w:eastAsia="仿宋"/>
          <w:color w:val="000000"/>
          <w:sz w:val="28"/>
          <w:szCs w:val="28"/>
          <w:highlight w:val="none"/>
        </w:rPr>
        <w:t xml:space="preserve">集中项目各个阶段的预警线索进行预警处理、追溯，并支持提供线索分析报告。</w:t>
      </w:r>
      <w:r>
        <w:rPr>
          <w:rFonts w:ascii="仿宋" w:hAnsi="仿宋" w:eastAsia="仿宋"/>
          <w:color w:val="000000"/>
          <w:sz w:val="28"/>
          <w:szCs w:val="28"/>
          <w:highlight w:val="none"/>
        </w:rPr>
        <w:t xml:space="preserve">围绕分析主体建模，计算预警指数，按照预警指数高低进行风险预警，推送给住建局相关部门。同时支持生成“一键式”串通投标线索分析报告</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与无锡市公共资源交易中心招投标系统数据对接。</w:t>
      </w:r>
      <w:r>
        <w:rPr>
          <w:rFonts w:hint="eastAsia" w:ascii="仿宋" w:hAnsi="仿宋" w:eastAsia="仿宋"/>
          <w:color w:val="000000"/>
          <w:sz w:val="28"/>
          <w:szCs w:val="28"/>
          <w:highlight w:val="none"/>
        </w:rPr>
        <w:t xml:space="preserve">获取每个项目从招标、投标到开标、评标及后续的合同备案的全过程数据，包含标段信息、投标人信息、标书文件制作机器码、文件创建标识码、标书上传IP数据的全过程招投标数据。</w:t>
      </w:r>
      <w:r>
        <w:rPr>
          <w:rFonts w:ascii="仿宋" w:hAnsi="仿宋" w:eastAsia="仿宋"/>
          <w:color w:val="000000"/>
          <w:sz w:val="28"/>
          <w:szCs w:val="28"/>
          <w:highlight w:val="none"/>
        </w:rPr>
        <w:t xml:space="preserve">通过精准捕捉数据点，全面识别潜在的不正当竞争行为或串通投标现象。</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与</w:t>
      </w:r>
      <w:r>
        <w:rPr>
          <w:rFonts w:hint="eastAsia" w:ascii="仿宋" w:hAnsi="仿宋" w:eastAsia="仿宋"/>
          <w:color w:val="000000"/>
          <w:sz w:val="28"/>
          <w:szCs w:val="28"/>
          <w:highlight w:val="none"/>
        </w:rPr>
        <w:t xml:space="preserve">无锡市公共资源交易</w:t>
      </w:r>
      <w:r>
        <w:rPr>
          <w:rFonts w:ascii="仿宋" w:hAnsi="仿宋" w:eastAsia="仿宋"/>
          <w:color w:val="000000"/>
          <w:sz w:val="28"/>
          <w:szCs w:val="28"/>
          <w:highlight w:val="none"/>
        </w:rPr>
        <w:t xml:space="preserve">评标系统对接，</w:t>
      </w:r>
      <w:r>
        <w:rPr>
          <w:rFonts w:hint="eastAsia" w:ascii="仿宋" w:hAnsi="仿宋" w:eastAsia="仿宋"/>
          <w:color w:val="000000"/>
          <w:sz w:val="28"/>
          <w:szCs w:val="28"/>
          <w:highlight w:val="none"/>
        </w:rPr>
        <w:t xml:space="preserve">将标书文件制作机器码、文件创建标识码、标书上传IP雷同性分析结果信息回传至评标系统</w:t>
      </w:r>
      <w:r>
        <w:rPr>
          <w:rFonts w:ascii="仿宋" w:hAnsi="仿宋" w:eastAsia="仿宋"/>
          <w:color w:val="000000"/>
          <w:sz w:val="28"/>
          <w:szCs w:val="28"/>
          <w:highlight w:val="none"/>
        </w:rPr>
        <w:t xml:space="preserve">，评标专家可直接在评标流程中查看分析结果，提升评标过程的透明度和效率</w:t>
      </w:r>
      <w:r>
        <w:rPr>
          <w:rFonts w:hint="eastAsia" w:ascii="仿宋" w:hAnsi="仿宋" w:eastAsia="仿宋"/>
          <w:color w:val="000000"/>
          <w:sz w:val="28"/>
          <w:szCs w:val="28"/>
          <w:highlight w:val="none"/>
        </w:rPr>
        <w:t xml:space="preserve">。按照类似要求，与宜兴市、江阴市公共资源交易中心招投标系统实现数据对接。</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2.4.2市场主体社团分析</w:t>
      </w:r>
      <w:r>
        <w:rPr>
          <w:rFonts w:hint="eastAsia" w:ascii="仿宋" w:hAnsi="仿宋" w:eastAsia="仿宋"/>
          <w:b/>
          <w:bCs/>
          <w:color w:val="000000"/>
          <w:sz w:val="28"/>
          <w:szCs w:val="36"/>
          <w:highlight w:val="none"/>
        </w:rPr>
      </w:r>
      <w:r/>
    </w:p>
    <w:p>
      <w:pPr>
        <w:pStyle w:val="668"/>
        <w:ind w:firstLine="560"/>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通过对海量历史交易数据的深入挖掘分析，建立预警模型，多维度深度分析招标人、招标代理机构、中标人、评标专家相互之间的关系。具体功能要求如下</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投标人抱团亲密度分析。</w:t>
      </w:r>
      <w:r>
        <w:rPr>
          <w:rFonts w:hint="eastAsia" w:ascii="仿宋" w:hAnsi="仿宋" w:eastAsia="仿宋"/>
          <w:color w:val="000000"/>
          <w:sz w:val="28"/>
          <w:szCs w:val="28"/>
          <w:highlight w:val="none"/>
        </w:rPr>
        <w:t xml:space="preserve">依托交易历史投标数据，运用抱团亲密度算法，探知大型复杂投标网络中投标人之间抱团投标的行为。支持对团中单位进一步筛选，缩小抱团范围，锁定可疑项目及可疑投标人。</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招标人与中标人关系分析。</w:t>
      </w:r>
      <w:r>
        <w:rPr>
          <w:rFonts w:hint="eastAsia" w:ascii="仿宋" w:hAnsi="仿宋" w:eastAsia="仿宋"/>
          <w:color w:val="000000"/>
          <w:sz w:val="28"/>
          <w:szCs w:val="28"/>
          <w:highlight w:val="none"/>
        </w:rPr>
        <w:t xml:space="preserve">从招标人视角出发，通过对招标人发布的项目、投标人投标聚集度、投标人中标聚集度指标进行综合分析，挖掘招标人与中标人之间潜在的关联关系。</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招标人与投标人关系分析。</w:t>
      </w:r>
      <w:r>
        <w:rPr>
          <w:rFonts w:hint="eastAsia" w:ascii="仿宋" w:hAnsi="仿宋" w:eastAsia="仿宋"/>
          <w:color w:val="000000"/>
          <w:sz w:val="28"/>
          <w:szCs w:val="28"/>
          <w:highlight w:val="none"/>
        </w:rPr>
        <w:t xml:space="preserve">从招标人视角出发，通过对招标情况、投标人数与最多投标次数投标人在招标项目内的投标率信息等指标进行综合分析，挖掘招标人与投标人之间潜在的关联关系。</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招标人与招标代理关系分析。</w:t>
      </w:r>
      <w:r>
        <w:rPr>
          <w:rFonts w:hint="eastAsia" w:ascii="仿宋" w:hAnsi="仿宋" w:eastAsia="仿宋"/>
          <w:color w:val="000000"/>
          <w:sz w:val="28"/>
          <w:szCs w:val="28"/>
          <w:highlight w:val="none"/>
        </w:rPr>
        <w:t xml:space="preserve">分析招标代理在中介选聘过程中，总是同时报名且同时被招标人选中的异常现象，以此判定招标代理之间或者招标代理与招标人之间潜在的关联关系。</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中标人与招标代理关系分析。</w:t>
      </w:r>
      <w:r>
        <w:rPr>
          <w:rFonts w:hint="eastAsia" w:ascii="仿宋" w:hAnsi="仿宋" w:eastAsia="仿宋"/>
          <w:color w:val="000000"/>
          <w:sz w:val="28"/>
          <w:szCs w:val="28"/>
          <w:highlight w:val="none"/>
        </w:rPr>
        <w:t xml:space="preserve">从招标代理视角出发，通过对招标代理发布的项目、投标人投标聚集度、投标人中标聚集度指标进行综合分析，挖掘招标代理与中标人之间潜在的关联关系。</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专家抱团关系分析。</w:t>
      </w:r>
      <w:r>
        <w:rPr>
          <w:rFonts w:hint="eastAsia" w:ascii="仿宋" w:hAnsi="仿宋" w:eastAsia="仿宋"/>
          <w:color w:val="000000"/>
          <w:sz w:val="28"/>
          <w:szCs w:val="28"/>
          <w:highlight w:val="none"/>
        </w:rPr>
        <w:t xml:space="preserve">与无锡市、江阴市、宜兴市公共资源交易中心招投标系统对接，获取所有项目的评标全过程数据（包含专家名称、专家身份证号码、专家评标时间、供应商投标信息、专家打分信息等），从专家共同参与评标次数、共同倾向性打分等维度进行深入分析。</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专家与投标人关系分析。</w:t>
      </w:r>
      <w:r>
        <w:rPr>
          <w:rFonts w:hint="eastAsia" w:ascii="仿宋" w:hAnsi="仿宋" w:eastAsia="仿宋"/>
          <w:color w:val="000000"/>
          <w:sz w:val="28"/>
          <w:szCs w:val="28"/>
          <w:highlight w:val="none"/>
        </w:rPr>
        <w:t xml:space="preserve">分析评标专家与投标人之间是否存在不公正的评标情况、专家与投标人之间是否存在不正常的交易行为。</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专家与招标人关系分析。</w:t>
      </w:r>
      <w:r>
        <w:rPr>
          <w:rFonts w:hint="eastAsia" w:ascii="仿宋" w:hAnsi="仿宋" w:eastAsia="仿宋"/>
          <w:color w:val="000000"/>
          <w:sz w:val="28"/>
          <w:szCs w:val="28"/>
          <w:highlight w:val="none"/>
        </w:rPr>
        <w:t xml:space="preserve">分析评标专家与招标人之间是否存在不公正的招标情况、专家与招标人之间是否存在不规范的交易行为，从而产生指定投标人中标的情况。</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专家与招标代理关系分析。</w:t>
      </w:r>
      <w:r>
        <w:rPr>
          <w:rFonts w:hint="eastAsia" w:ascii="仿宋" w:hAnsi="仿宋" w:eastAsia="仿宋"/>
          <w:color w:val="000000"/>
          <w:sz w:val="28"/>
          <w:szCs w:val="28"/>
          <w:highlight w:val="none"/>
        </w:rPr>
        <w:t xml:space="preserve">分析评标专家与招标代理之间是否存在不公正的招标情况、专家与招标代理之间是否存在不规范的交易行为。</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邀请招标单位亲密度分析。</w:t>
      </w:r>
      <w:r>
        <w:rPr>
          <w:rFonts w:ascii="仿宋" w:hAnsi="仿宋" w:eastAsia="仿宋"/>
          <w:color w:val="000000"/>
          <w:sz w:val="28"/>
          <w:szCs w:val="28"/>
          <w:highlight w:val="none"/>
        </w:rPr>
        <w:t xml:space="preserve">与无锡市、江阴市、宜兴市公共资源交易中心招投标系统对接，获取所有邀请招标项目信息。对当前招标人邀请招标次数占其总招标次数的占比率进行排序，同时对参与率较高单位的中标率进行分析。若参与率高且中标率远高于其正常中标率，则进行预警。根据当前招标人下邀请招标中标率由高到低排序，挖掘存在围串标风险的线索</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社团写真分析。</w:t>
      </w:r>
      <w:r>
        <w:rPr>
          <w:rFonts w:ascii="仿宋" w:hAnsi="仿宋" w:eastAsia="仿宋"/>
          <w:color w:val="000000"/>
          <w:sz w:val="28"/>
          <w:szCs w:val="28"/>
          <w:highlight w:val="none"/>
        </w:rPr>
        <w:t xml:space="preserve">构建基于投标人行为关系网络的风险分析模型</w:t>
      </w: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主体行为关系网络</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通过分析投标人之间的直接与间接关联，形成完整的关联图谱；</w:t>
      </w:r>
      <w:r>
        <w:rPr>
          <w:rFonts w:hint="eastAsia" w:ascii="仿宋" w:hAnsi="仿宋" w:eastAsia="仿宋"/>
          <w:color w:val="000000"/>
          <w:sz w:val="28"/>
          <w:szCs w:val="28"/>
          <w:highlight w:val="none"/>
        </w:rPr>
        <w:t xml:space="preserve">（2）</w:t>
      </w:r>
      <w:r>
        <w:rPr>
          <w:rFonts w:ascii="仿宋" w:hAnsi="仿宋" w:eastAsia="仿宋"/>
          <w:color w:val="000000"/>
          <w:sz w:val="28"/>
          <w:szCs w:val="28"/>
          <w:highlight w:val="none"/>
        </w:rPr>
        <w:t xml:space="preserve">风险量化机制</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对存在间接行为雷同的主体进行风险赋分。若投标人与多家单位存在间接雷同，则形成行为链，分数累计后形成较高的风险得分，成为主要分析节点；</w:t>
      </w:r>
      <w:r>
        <w:rPr>
          <w:rFonts w:hint="eastAsia" w:ascii="仿宋" w:hAnsi="仿宋" w:eastAsia="仿宋"/>
          <w:color w:val="000000"/>
          <w:sz w:val="28"/>
          <w:szCs w:val="28"/>
          <w:highlight w:val="none"/>
        </w:rPr>
        <w:t xml:space="preserve">（3）社团</w:t>
      </w:r>
      <w:r>
        <w:rPr>
          <w:rFonts w:ascii="仿宋" w:hAnsi="仿宋" w:eastAsia="仿宋"/>
          <w:color w:val="000000"/>
          <w:sz w:val="28"/>
          <w:szCs w:val="28"/>
          <w:highlight w:val="none"/>
        </w:rPr>
        <w:t xml:space="preserve">信息挖掘</w:t>
      </w:r>
      <w:r>
        <w:rPr>
          <w:rFonts w:hint="eastAsia" w:ascii="仿宋" w:hAnsi="仿宋" w:eastAsia="仿宋"/>
          <w:color w:val="000000"/>
          <w:sz w:val="28"/>
          <w:szCs w:val="28"/>
          <w:highlight w:val="none"/>
        </w:rPr>
        <w:t xml:space="preserve">：以当前单位为中心的社团好友关系网络，重点突出属于社团成员的标识，从投标人角度展现相关社团信息，挖掘是否存在投标人围标团伙。</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2.4.3智能辅助评标分析</w:t>
      </w:r>
      <w:r>
        <w:rPr>
          <w:rFonts w:hint="eastAsia" w:ascii="仿宋" w:hAnsi="仿宋" w:eastAsia="仿宋"/>
          <w:b/>
          <w:bCs/>
          <w:color w:val="000000"/>
          <w:sz w:val="28"/>
          <w:szCs w:val="36"/>
          <w:highlight w:val="none"/>
        </w:rPr>
      </w:r>
      <w:r/>
    </w:p>
    <w:p>
      <w:pPr>
        <w:pStyle w:val="668"/>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在公共资源交易中心招投标系统中建设智慧辅助评标分析子系统</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并将分析结果推送至招投标活动监管子系统统一展现。</w:t>
      </w:r>
      <w:r>
        <w:rPr>
          <w:rFonts w:ascii="仿宋" w:hAnsi="仿宋" w:eastAsia="仿宋"/>
          <w:color w:val="000000"/>
          <w:sz w:val="28"/>
          <w:szCs w:val="28"/>
          <w:highlight w:val="none"/>
        </w:rPr>
        <w:t xml:space="preserve">在评标阶段对投标文件中经济标的清单综合单价组成明细进行雷同性比对分析，对技术标的图片和PDF文档的文字进行识别、提取和雷同性比对分析。对不同投标人的投标文件异常一致的（如查重率大于阈值</w:t>
      </w:r>
      <w:r>
        <w:rPr>
          <w:rFonts w:hint="eastAsia" w:ascii="仿宋" w:hAnsi="仿宋" w:eastAsia="仿宋"/>
          <w:color w:val="000000"/>
          <w:sz w:val="28"/>
          <w:szCs w:val="28"/>
          <w:highlight w:val="none"/>
        </w:rPr>
        <w:t xml:space="preserve">，可配置</w:t>
      </w:r>
      <w:r>
        <w:rPr>
          <w:rFonts w:ascii="仿宋" w:hAnsi="仿宋" w:eastAsia="仿宋"/>
          <w:color w:val="000000"/>
          <w:sz w:val="28"/>
          <w:szCs w:val="28"/>
          <w:highlight w:val="none"/>
        </w:rPr>
        <w:t xml:space="preserve">），系统自动提醒评标委员会按无效标予以否决。具体功能要求如下</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技术标雷同性分析。</w:t>
      </w:r>
      <w:r>
        <w:rPr>
          <w:rFonts w:hint="eastAsia" w:ascii="仿宋" w:hAnsi="仿宋" w:eastAsia="仿宋" w:cs="仿宋"/>
          <w:color w:val="000000"/>
          <w:sz w:val="28"/>
          <w:szCs w:val="28"/>
          <w:highlight w:val="none"/>
        </w:rPr>
        <w:t xml:space="preserve">（1）技术标图片文字识别：支持对技术标文件中的图片（含扫描件、照片等）进行文字识别，识别内容包括中文、英文、数字及常见符号。（2）技术标PDF文字提取：支持从PDF文件中直接提取文本信息（非图片型PDF）以及通过OCR识别图片型PDF中的文字。（3）雷同性分析：采用文本相似度比对技术，分析同一个项目下所有投标人投标文件技术标内容描述的相似度。</w:t>
      </w:r>
      <w:r>
        <w:rPr>
          <w:rFonts w:hint="eastAsia" w:ascii="仿宋" w:hAnsi="仿宋" w:eastAsia="仿宋" w:cs="仿宋"/>
          <w:color w:val="000000"/>
          <w:sz w:val="28"/>
          <w:szCs w:val="28"/>
          <w:highlight w:val="none"/>
        </w:rPr>
      </w:r>
      <w:r/>
    </w:p>
    <w:p>
      <w:pPr>
        <w:pStyle w:val="668"/>
        <w:ind w:firstLine="562"/>
        <w:spacing w:line="52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商务标错误点雷同性分析。</w:t>
      </w:r>
      <w:r>
        <w:rPr>
          <w:rFonts w:hint="eastAsia" w:ascii="仿宋" w:hAnsi="仿宋" w:eastAsia="仿宋" w:cs="仿宋"/>
          <w:color w:val="000000"/>
          <w:sz w:val="28"/>
          <w:szCs w:val="28"/>
          <w:highlight w:val="none"/>
        </w:rPr>
        <w:t xml:space="preserve">对同一项目下所有投标文件商务标进行分析，分析所有投标文件商务标中出现的错误点（如计算错误、漏项、格式错误、逻辑错误等）是否存在雷同。</w:t>
      </w:r>
      <w:r>
        <w:rPr>
          <w:rFonts w:hint="eastAsia" w:ascii="仿宋" w:hAnsi="仿宋" w:eastAsia="仿宋" w:cs="仿宋"/>
          <w:color w:val="000000"/>
          <w:sz w:val="28"/>
          <w:szCs w:val="28"/>
          <w:highlight w:val="none"/>
        </w:rPr>
      </w:r>
      <w:r/>
    </w:p>
    <w:p>
      <w:pPr>
        <w:pStyle w:val="668"/>
        <w:ind w:firstLine="562"/>
        <w:spacing w:line="52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分项清单定额组成雷同分析。</w:t>
      </w:r>
      <w:r>
        <w:rPr>
          <w:rFonts w:hint="eastAsia" w:ascii="仿宋" w:hAnsi="仿宋" w:eastAsia="仿宋" w:cs="仿宋"/>
          <w:color w:val="000000"/>
          <w:sz w:val="28"/>
          <w:szCs w:val="28"/>
          <w:highlight w:val="none"/>
        </w:rPr>
        <w:t xml:space="preserve">通过分析标段内多家投标单位工程量清单所属定额组成一致性比例过高的异常情况，挖掘两家单位之间在制作标书时可能存在抄袭的问题。</w:t>
      </w:r>
      <w:r>
        <w:rPr>
          <w:rFonts w:hint="eastAsia" w:ascii="仿宋" w:hAnsi="仿宋" w:eastAsia="仿宋" w:cs="仿宋"/>
          <w:color w:val="000000"/>
          <w:sz w:val="28"/>
          <w:szCs w:val="28"/>
          <w:highlight w:val="none"/>
        </w:rPr>
      </w:r>
      <w:r/>
    </w:p>
    <w:p>
      <w:pPr>
        <w:pStyle w:val="668"/>
        <w:ind w:firstLine="562"/>
        <w:spacing w:line="52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单位工程不可竞争费雷同分析。</w:t>
      </w:r>
      <w:r>
        <w:rPr>
          <w:rFonts w:hint="eastAsia" w:ascii="仿宋" w:hAnsi="仿宋" w:eastAsia="仿宋" w:cs="仿宋"/>
          <w:color w:val="000000"/>
          <w:sz w:val="28"/>
          <w:szCs w:val="28"/>
          <w:highlight w:val="none"/>
        </w:rPr>
        <w:t xml:space="preserve">分析同标段情况下多家单位在某些相同单位工程的不可竞争费用合计值雷同的异常现象。</w:t>
      </w:r>
      <w:r>
        <w:rPr>
          <w:rFonts w:hint="eastAsia" w:ascii="仿宋" w:hAnsi="仿宋" w:eastAsia="仿宋" w:cs="仿宋"/>
          <w:color w:val="000000"/>
          <w:sz w:val="28"/>
          <w:szCs w:val="28"/>
          <w:highlight w:val="none"/>
        </w:rPr>
      </w:r>
      <w:r/>
    </w:p>
    <w:p>
      <w:pPr>
        <w:pStyle w:val="668"/>
        <w:ind w:firstLine="562"/>
        <w:spacing w:line="52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单位工程综合合价归零分析。</w:t>
      </w:r>
      <w:r>
        <w:rPr>
          <w:rFonts w:hint="eastAsia" w:ascii="仿宋" w:hAnsi="仿宋" w:eastAsia="仿宋" w:cs="仿宋"/>
          <w:color w:val="000000"/>
          <w:sz w:val="28"/>
          <w:szCs w:val="28"/>
          <w:highlight w:val="none"/>
        </w:rPr>
        <w:t xml:space="preserve">分析同标段情况下一家或者多家单位在某些相同单位工程的合价为零的异常现象。</w:t>
      </w:r>
      <w:r>
        <w:rPr>
          <w:rFonts w:hint="eastAsia" w:ascii="仿宋" w:hAnsi="仿宋" w:eastAsia="仿宋" w:cs="仿宋"/>
          <w:color w:val="000000"/>
          <w:sz w:val="28"/>
          <w:szCs w:val="28"/>
          <w:highlight w:val="none"/>
        </w:rPr>
      </w:r>
      <w:r/>
    </w:p>
    <w:p>
      <w:pPr>
        <w:pStyle w:val="668"/>
        <w:ind w:firstLine="562"/>
        <w:spacing w:line="52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分项清单综合合价归零分析。</w:t>
      </w:r>
      <w:r>
        <w:rPr>
          <w:rFonts w:hint="eastAsia" w:ascii="仿宋" w:hAnsi="仿宋" w:eastAsia="仿宋" w:cs="仿宋"/>
          <w:color w:val="000000"/>
          <w:sz w:val="28"/>
          <w:szCs w:val="28"/>
          <w:highlight w:val="none"/>
        </w:rPr>
        <w:t xml:space="preserve">分析同标段情况下多家单位在某些相同分部分项清单的综合合价为零的异常现象。</w:t>
      </w:r>
      <w:r>
        <w:rPr>
          <w:rFonts w:hint="eastAsia" w:ascii="仿宋" w:hAnsi="仿宋" w:eastAsia="仿宋" w:cs="仿宋"/>
          <w:color w:val="000000"/>
          <w:sz w:val="28"/>
          <w:szCs w:val="28"/>
          <w:highlight w:val="none"/>
        </w:rPr>
      </w:r>
      <w:r/>
    </w:p>
    <w:p>
      <w:pPr>
        <w:pStyle w:val="668"/>
        <w:ind w:firstLine="562"/>
        <w:spacing w:line="52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分项清单综合单价不平衡分析。</w:t>
      </w:r>
      <w:r>
        <w:rPr>
          <w:rFonts w:hint="eastAsia" w:ascii="仿宋" w:hAnsi="仿宋" w:eastAsia="仿宋" w:cs="仿宋"/>
          <w:color w:val="000000"/>
          <w:sz w:val="28"/>
          <w:szCs w:val="28"/>
          <w:highlight w:val="none"/>
        </w:rPr>
        <w:t xml:space="preserve">分析同标段情况下出现某分项清单综合单价相比同组报价中位值偏离度过大或者过小的异常现象。</w:t>
      </w:r>
      <w:r>
        <w:rPr>
          <w:rFonts w:hint="eastAsia" w:ascii="仿宋" w:hAnsi="仿宋" w:eastAsia="仿宋" w:cs="仿宋"/>
          <w:color w:val="000000"/>
          <w:sz w:val="28"/>
          <w:szCs w:val="28"/>
          <w:highlight w:val="none"/>
        </w:rPr>
      </w:r>
      <w:r/>
    </w:p>
    <w:p>
      <w:pPr>
        <w:pStyle w:val="668"/>
        <w:ind w:firstLine="562"/>
        <w:spacing w:line="52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投标文件编制异常分析。</w:t>
      </w:r>
      <w:r>
        <w:rPr>
          <w:rFonts w:hint="eastAsia" w:ascii="仿宋" w:hAnsi="仿宋" w:eastAsia="仿宋" w:cs="仿宋"/>
          <w:color w:val="000000"/>
          <w:sz w:val="28"/>
          <w:szCs w:val="28"/>
          <w:highlight w:val="none"/>
        </w:rPr>
        <w:t xml:space="preserve">对标段内所有投标文件的页数进行对比分析，检查是否存在投标文件内容过于简单的异常情况。页数偏离率计算公式：（平均页数 - 投标文件页数）/ 平均页数。系统支持设置页数偏离率阈值（可配置），当某投标文件的页数偏离率低于阈值（即页数明显偏少）时进行预警。按标段中出现的异常单位数由多到少排序，展示本标段中投标文件平均页数、最少页数、异常单位数、异常单位名称、页数偏离率等信息。</w:t>
      </w:r>
      <w:r>
        <w:rPr>
          <w:rFonts w:hint="eastAsia" w:ascii="仿宋" w:hAnsi="仿宋" w:eastAsia="仿宋" w:cs="仿宋"/>
          <w:color w:val="000000"/>
          <w:sz w:val="28"/>
          <w:szCs w:val="28"/>
          <w:highlight w:val="none"/>
        </w:rPr>
      </w:r>
      <w:r/>
    </w:p>
    <w:p>
      <w:pPr>
        <w:pStyle w:val="668"/>
        <w:ind w:firstLine="562"/>
        <w:spacing w:line="52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暗标异常内容分析。</w:t>
      </w:r>
      <w:r>
        <w:rPr>
          <w:rFonts w:hint="eastAsia" w:ascii="仿宋" w:hAnsi="仿宋" w:eastAsia="仿宋" w:cs="仿宋"/>
          <w:color w:val="000000"/>
          <w:sz w:val="28"/>
          <w:szCs w:val="28"/>
          <w:highlight w:val="none"/>
        </w:rPr>
        <w:t xml:space="preserve">分析PDF文本内容是否存在特殊字符、敏感词、不合理空格、非正常换行等异常内容。针对存在暗标异常内容的标段进行预警，按标段中出现的异常单位数由多到少进行排序，展示异常单位名称、异常内容类型及具体异常内容。</w:t>
      </w:r>
      <w:r>
        <w:rPr>
          <w:rFonts w:hint="eastAsia" w:ascii="仿宋" w:hAnsi="仿宋" w:eastAsia="仿宋" w:cs="仿宋"/>
          <w:color w:val="000000"/>
          <w:sz w:val="28"/>
          <w:szCs w:val="28"/>
          <w:highlight w:val="none"/>
        </w:rPr>
      </w:r>
      <w:r/>
    </w:p>
    <w:p>
      <w:pPr>
        <w:pStyle w:val="668"/>
        <w:ind w:firstLine="562"/>
        <w:spacing w:line="52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公司名称异常分析。</w:t>
      </w:r>
      <w:r>
        <w:rPr>
          <w:rFonts w:hint="eastAsia" w:ascii="仿宋" w:hAnsi="仿宋" w:eastAsia="仿宋" w:cs="仿宋"/>
          <w:color w:val="000000"/>
          <w:sz w:val="28"/>
          <w:szCs w:val="28"/>
          <w:highlight w:val="none"/>
        </w:rPr>
        <w:t xml:space="preserve">分析标段内所有投标文件内容，检查是否存在投标文件中出现其他投标人公司名称的异常情况。通过以投标人为分析单位展现投标文件中出现其他投标人公司的异常单位，分析出现过的投标文件异常次数、异常投标文件名称、投标文件中出现其他公司名称的次数以及其他公司的名称等。</w:t>
      </w:r>
      <w:r>
        <w:rPr>
          <w:rFonts w:hint="eastAsia" w:ascii="仿宋" w:hAnsi="仿宋" w:eastAsia="仿宋" w:cs="仿宋"/>
          <w:color w:val="000000"/>
          <w:sz w:val="28"/>
          <w:szCs w:val="28"/>
          <w:highlight w:val="none"/>
        </w:rPr>
      </w:r>
      <w:r/>
    </w:p>
    <w:p>
      <w:pPr>
        <w:pStyle w:val="668"/>
        <w:ind w:firstLine="562"/>
        <w:spacing w:line="520" w:lineRule="exact"/>
        <w:rPr>
          <w:rFonts w:hint="eastAsia" w:ascii="仿宋" w:hAnsi="仿宋" w:eastAsia="仿宋" w:cs="仿宋"/>
          <w:b/>
          <w:bCs/>
          <w:color w:val="000000"/>
          <w:sz w:val="28"/>
          <w:szCs w:val="36"/>
          <w:highlight w:val="none"/>
        </w:rPr>
      </w:pPr>
      <w:r>
        <w:rPr>
          <w:rFonts w:hint="eastAsia" w:ascii="仿宋" w:hAnsi="仿宋" w:eastAsia="仿宋" w:cs="仿宋"/>
          <w:b/>
          <w:bCs/>
          <w:color w:val="000000"/>
          <w:sz w:val="28"/>
          <w:szCs w:val="36"/>
          <w:highlight w:val="none"/>
        </w:rPr>
        <w:t xml:space="preserve">2.4.4 转包违法分包大数据分析</w:t>
      </w:r>
      <w:r>
        <w:rPr>
          <w:rFonts w:hint="eastAsia" w:ascii="仿宋" w:hAnsi="仿宋" w:eastAsia="仿宋" w:cs="仿宋"/>
          <w:b/>
          <w:bCs/>
          <w:color w:val="000000"/>
          <w:sz w:val="28"/>
          <w:szCs w:val="36"/>
          <w:highlight w:val="none"/>
        </w:rPr>
      </w:r>
      <w:r/>
    </w:p>
    <w:p>
      <w:pPr>
        <w:pStyle w:val="668"/>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汇集招投标系统信息、质安监一体化平台信息、实名制系统、四库一平台等信息，对企业投标情况、中标情况、管理人员到岗考勤情况和投标项目经理、项目管理人员一定时期内频繁变更情况进行大数据分析，排查转包和违法分包线索。具体功能要求如下：</w:t>
      </w:r>
      <w:r>
        <w:rPr>
          <w:rFonts w:hint="eastAsia" w:ascii="仿宋" w:hAnsi="仿宋" w:eastAsia="仿宋" w:cs="仿宋"/>
          <w:color w:val="000000"/>
          <w:sz w:val="28"/>
          <w:szCs w:val="28"/>
          <w:highlight w:val="none"/>
        </w:rPr>
      </w:r>
      <w:r/>
    </w:p>
    <w:p>
      <w:pPr>
        <w:pStyle w:val="668"/>
        <w:ind w:firstLine="562"/>
        <w:spacing w:line="52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投标价格分析。</w:t>
      </w:r>
      <w:r>
        <w:rPr>
          <w:rFonts w:hint="eastAsia" w:ascii="仿宋" w:hAnsi="仿宋" w:eastAsia="仿宋" w:cs="仿宋"/>
          <w:color w:val="000000"/>
          <w:sz w:val="28"/>
          <w:szCs w:val="28"/>
          <w:highlight w:val="none"/>
        </w:rPr>
        <w:t xml:space="preserve">（1）投标总价偏离度分析：识别多家单位报价集中在最高限价浮动区域的异常情况；（2）主体偏离度分析：以投标单位为分析对象，采用离散度分析法，分析在离散度区间内该投标单位投标报价的异常情况；（3）投标总价等比浮动异常分析：分析同标段若干家投标单位报价出现有规律性等比浮动的异常现象；（4）异常低价中标：针对项目的中标价格进行分析，以中标价和控制价计算下浮率。系统支持设定下浮率阈值，项目的中标价下浮率超过阈值时触发预警通知，告知相关监管人员。</w:t>
      </w:r>
      <w:r>
        <w:rPr>
          <w:rFonts w:hint="eastAsia" w:ascii="仿宋" w:hAnsi="仿宋" w:eastAsia="仿宋" w:cs="仿宋"/>
          <w:color w:val="000000"/>
          <w:sz w:val="28"/>
          <w:szCs w:val="28"/>
          <w:highlight w:val="none"/>
        </w:rPr>
      </w:r>
      <w:r/>
    </w:p>
    <w:p>
      <w:pPr>
        <w:pStyle w:val="668"/>
        <w:ind w:firstLine="562"/>
        <w:spacing w:line="52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专家指标分析</w:t>
      </w:r>
      <w:r>
        <w:rPr>
          <w:rFonts w:hint="eastAsia" w:ascii="仿宋" w:hAnsi="仿宋" w:eastAsia="仿宋" w:cs="仿宋"/>
          <w:color w:val="000000"/>
          <w:sz w:val="28"/>
          <w:szCs w:val="28"/>
          <w:highlight w:val="none"/>
        </w:rPr>
        <w:t xml:space="preserve">。（1）专家打分倾向性分析：通过对每一位专家参与的评标项目打分倾向性进行分析，打击专家与投标人由于利益关联发生的串通行为；（2）投标人得分异常分析：分析中标单位通过组织围标使自己在最终得分或商务得分中处于高得分状态的异常情况，包含投标人最终得分异常和投标人商务标得分异常，由此筛选出重点需要监控的单位与标段对象。</w:t>
      </w:r>
      <w:r>
        <w:rPr>
          <w:rFonts w:hint="eastAsia" w:ascii="仿宋" w:hAnsi="仿宋" w:eastAsia="仿宋" w:cs="仿宋"/>
          <w:color w:val="000000"/>
          <w:sz w:val="28"/>
          <w:szCs w:val="28"/>
          <w:highlight w:val="none"/>
        </w:rPr>
      </w:r>
      <w:r/>
    </w:p>
    <w:p>
      <w:pPr>
        <w:pStyle w:val="668"/>
        <w:ind w:firstLine="562"/>
        <w:spacing w:line="52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投标人指标分析</w:t>
      </w:r>
      <w:r>
        <w:rPr>
          <w:rFonts w:hint="eastAsia" w:ascii="仿宋" w:hAnsi="仿宋" w:eastAsia="仿宋" w:cs="仿宋"/>
          <w:color w:val="000000"/>
          <w:sz w:val="28"/>
          <w:szCs w:val="28"/>
          <w:highlight w:val="none"/>
        </w:rPr>
        <w:t xml:space="preserve">。（1）全主体IP雷同分析：以全主体IP地址为分析对象，展示所有雷同的IP地址、触发的IP地址雷同类型（登录IP、投标IP、解密IP、下载标书IP地址等）、雷同IP地址的使用单位名称以及操作时间。（2）全主体联系电话雷同分析：以联系电话为分析对象，展示该联系号码联系人的类型（专家、招标代理、投标人联系号码等）、联系人姓名、联系电话雷同数量、雷同单位名称等，挖掘存在围串标风险的线索。</w:t>
      </w:r>
      <w:r>
        <w:rPr>
          <w:rFonts w:hint="eastAsia" w:ascii="仿宋" w:hAnsi="仿宋" w:eastAsia="仿宋" w:cs="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hint="eastAsia" w:ascii="仿宋" w:hAnsi="仿宋" w:eastAsia="仿宋" w:cs="仿宋"/>
          <w:b/>
          <w:bCs/>
          <w:color w:val="000000"/>
          <w:sz w:val="28"/>
          <w:szCs w:val="28"/>
          <w:highlight w:val="none"/>
        </w:rPr>
        <w:t xml:space="preserve">异常流程分析</w:t>
      </w:r>
      <w:r>
        <w:rPr>
          <w:rFonts w:hint="eastAsia" w:ascii="仿宋" w:hAnsi="仿宋" w:eastAsia="仿宋" w:cs="仿宋"/>
          <w:color w:val="000000"/>
          <w:sz w:val="28"/>
          <w:szCs w:val="28"/>
          <w:highlight w:val="none"/>
        </w:rPr>
        <w:t xml:space="preserve">：分析投诉质疑内容，发现潜在违法违规；分析投标单位数异常偏少、招标失败后重新招标、单位废标率异常、招标流程超期延</w:t>
      </w:r>
      <w:r>
        <w:rPr>
          <w:rFonts w:ascii="仿宋" w:hAnsi="仿宋" w:eastAsia="仿宋"/>
          <w:color w:val="000000"/>
          <w:sz w:val="28"/>
          <w:szCs w:val="28"/>
          <w:highlight w:val="none"/>
        </w:rPr>
        <w:t xml:space="preserve">期、项目异常重置后最高得分单位变更等情况，识别围串标高风险行为。</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异常人员分析</w:t>
      </w:r>
      <w:r>
        <w:rPr>
          <w:rFonts w:ascii="仿宋" w:hAnsi="仿宋" w:eastAsia="仿宋"/>
          <w:color w:val="000000"/>
          <w:sz w:val="28"/>
          <w:szCs w:val="28"/>
          <w:highlight w:val="none"/>
        </w:rPr>
        <w:t xml:space="preserve">：分析投标（询标）联系人雷同的标段，挖掘同一联系人被多家单位共同使用、或两个单位在不同标段多次使用相同联系人的情况，发现围串标团伙。</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异常行为分析</w:t>
      </w:r>
      <w:r>
        <w:rPr>
          <w:rFonts w:ascii="仿宋" w:hAnsi="仿宋" w:eastAsia="仿宋"/>
          <w:color w:val="000000"/>
          <w:sz w:val="28"/>
          <w:szCs w:val="28"/>
          <w:highlight w:val="none"/>
        </w:rPr>
        <w:t xml:space="preserve">：挖掘投标次数多且中标率远高于平均值的潜在围标人，以及中标率极低但注册地中标率高的潜在陪标人；分析第一顺位中标候选人主动弃标、中标结果公示与候选人公示不一致等异常；分析企业注册地与上传IP地址不一致的标书上传行为；分析已上传标书但刻意不参与解密、下载标书后大量弃标等异常行为。</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转包及违法分包分析</w:t>
      </w:r>
      <w:r>
        <w:rPr>
          <w:rFonts w:ascii="仿宋" w:hAnsi="仿宋" w:eastAsia="仿宋"/>
          <w:color w:val="000000"/>
          <w:sz w:val="28"/>
          <w:szCs w:val="28"/>
          <w:highlight w:val="none"/>
        </w:rPr>
        <w:t xml:space="preserve">：通过实时监控、异常识别与智能告警，监测资金流动、合同执行等异常；结合历史案例建立风险评估模型，综合承包商及分包商的财务、业绩、信誉等多维数据进行动态评估；运用图数据库挖掘项目参与方之间的关联关系，识别利益输送；建立分级预警机制；分析关键岗位人员（技术负责人、安全员等）变更频率及跨单位频繁变更情况，与实名制系统对接，自动合规检查并预警。</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2.4.5招标投标统计报表</w:t>
      </w:r>
      <w:r>
        <w:rPr>
          <w:rFonts w:hint="eastAsia" w:ascii="仿宋" w:hAnsi="仿宋" w:eastAsia="仿宋"/>
          <w:b/>
          <w:bCs/>
          <w:color w:val="000000"/>
          <w:sz w:val="28"/>
          <w:szCs w:val="36"/>
          <w:highlight w:val="none"/>
        </w:rPr>
      </w:r>
      <w:r/>
    </w:p>
    <w:p>
      <w:pPr>
        <w:pStyle w:val="668"/>
        <w:ind w:firstLine="560"/>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获取全市房屋建筑和市政基础工程招标投标过程</w:t>
      </w:r>
      <w:r>
        <w:rPr>
          <w:rFonts w:hint="eastAsia" w:ascii="仿宋" w:hAnsi="仿宋" w:eastAsia="仿宋"/>
          <w:color w:val="000000"/>
          <w:sz w:val="28"/>
          <w:szCs w:val="28"/>
          <w:highlight w:val="none"/>
        </w:rPr>
        <w:t xml:space="preserve">中各类</w:t>
      </w:r>
      <w:r>
        <w:rPr>
          <w:rFonts w:ascii="仿宋" w:hAnsi="仿宋" w:eastAsia="仿宋"/>
          <w:color w:val="000000"/>
          <w:sz w:val="28"/>
          <w:szCs w:val="28"/>
          <w:highlight w:val="none"/>
        </w:rPr>
        <w:t xml:space="preserve">数据，生成涵盖项目数量、招标金额、投标单位数量、中标金额等关键指标的统计报表，支持按月度、季度、年度等周期生成，并支持导出为Excel、PDF等格式。具体功能要求如下</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中标候选人技术经济信用得分分析：</w:t>
      </w:r>
      <w:r>
        <w:rPr>
          <w:rFonts w:ascii="仿宋" w:hAnsi="仿宋" w:eastAsia="仿宋"/>
          <w:color w:val="000000"/>
          <w:sz w:val="28"/>
          <w:szCs w:val="28"/>
          <w:highlight w:val="none"/>
        </w:rPr>
        <w:t xml:space="preserve">针对施工及工程总承包项目，收集中标候选人在技术方案、经济报价、信用记录等方面的得分，通过柱状图、折线图、雷达图等可视化手段展示得分分布与变化趋势，支持同一项目内不同候选人的横向对比及不同项目间同类候选人的纵向对比。</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本外地企业中标率分析：</w:t>
      </w:r>
      <w:r>
        <w:rPr>
          <w:rFonts w:ascii="仿宋" w:hAnsi="仿宋" w:eastAsia="仿宋"/>
          <w:color w:val="000000"/>
          <w:sz w:val="28"/>
          <w:szCs w:val="28"/>
          <w:highlight w:val="none"/>
        </w:rPr>
        <w:t xml:space="preserve">按房屋建筑工程、市政基础设施工程等类型，分别统计本地企业与外地企业的中标数量及中标率，生成对比报表，清晰展示不同工程类型中本外地企业中标率的差异。</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民营国有企业中标率分析：</w:t>
      </w:r>
      <w:r>
        <w:rPr>
          <w:rFonts w:ascii="仿宋" w:hAnsi="仿宋" w:eastAsia="仿宋"/>
          <w:color w:val="000000"/>
          <w:sz w:val="28"/>
          <w:szCs w:val="28"/>
          <w:highlight w:val="none"/>
        </w:rPr>
        <w:t xml:space="preserve">基于民营企业和国有企业类别信息，统计各类工程中两类企业的中标数量及中标率，呈现市场竞争表现差异，并支持按时间维度分析中标率变化趋势。</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大中小型企业中标率分析：</w:t>
      </w:r>
      <w:r>
        <w:rPr>
          <w:rFonts w:ascii="仿宋" w:hAnsi="仿宋" w:eastAsia="仿宋"/>
          <w:color w:val="000000"/>
          <w:sz w:val="28"/>
          <w:szCs w:val="28"/>
          <w:highlight w:val="none"/>
        </w:rPr>
        <w:t xml:space="preserve">借助大中小型企业类别数据，按工程类型分别统计大型、中型、小型企业的中标数量及中标率，通过图表展示不同规模企业在各类工程中的中标率分布。</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企业主体库数据治理：</w:t>
      </w:r>
      <w:r>
        <w:rPr>
          <w:rFonts w:ascii="仿宋" w:hAnsi="仿宋" w:eastAsia="仿宋"/>
          <w:color w:val="000000"/>
          <w:sz w:val="28"/>
          <w:szCs w:val="28"/>
          <w:highlight w:val="none"/>
        </w:rPr>
        <w:t xml:space="preserve">为支撑上述分析功能，对企业库数据进行治理，获取本地、外地、民营、国有、大中小型企业的类别数据，确保分类准确、数据可用。</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2.4.6分析结果展现</w:t>
      </w:r>
      <w:r>
        <w:rPr>
          <w:rFonts w:hint="eastAsia" w:ascii="仿宋" w:hAnsi="仿宋" w:eastAsia="仿宋"/>
          <w:b/>
          <w:bCs/>
          <w:color w:val="000000"/>
          <w:sz w:val="28"/>
          <w:szCs w:val="36"/>
          <w:highlight w:val="none"/>
        </w:rPr>
      </w:r>
      <w:r/>
    </w:p>
    <w:p>
      <w:pPr>
        <w:pStyle w:val="668"/>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将以上分析结果，整合到无锡市建筑市场信用监管平台统一展现。</w:t>
      </w:r>
      <w:r>
        <w:rPr>
          <w:rFonts w:ascii="仿宋" w:hAnsi="仿宋" w:eastAsia="仿宋"/>
          <w:color w:val="000000"/>
          <w:sz w:val="28"/>
          <w:szCs w:val="28"/>
          <w:highlight w:val="none"/>
        </w:rPr>
        <w:t xml:space="preserve">具体功能要求如下</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68"/>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投标文件特征码雷同性分析结果数据展现。包含</w:t>
      </w:r>
      <w:r>
        <w:rPr>
          <w:rFonts w:ascii="仿宋" w:hAnsi="仿宋" w:eastAsia="仿宋"/>
          <w:color w:val="000000"/>
          <w:sz w:val="28"/>
          <w:szCs w:val="28"/>
          <w:highlight w:val="none"/>
        </w:rPr>
        <w:t xml:space="preserve">文件制作机器码雷同性分析</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文件创建标识码雷同性分析</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标书上传IP雷同性分析</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远程解密IP雷同性分析</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文件下载IP雷同性分析</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文件下载机器码雷同</w:t>
      </w:r>
      <w:r>
        <w:rPr>
          <w:rFonts w:hint="eastAsia" w:ascii="仿宋" w:hAnsi="仿宋" w:eastAsia="仿宋"/>
          <w:color w:val="000000"/>
          <w:sz w:val="28"/>
          <w:szCs w:val="28"/>
          <w:highlight w:val="none"/>
        </w:rPr>
        <w:t xml:space="preserve">性分析、</w:t>
      </w:r>
      <w:r>
        <w:rPr>
          <w:rFonts w:ascii="仿宋" w:hAnsi="仿宋" w:eastAsia="仿宋"/>
          <w:color w:val="000000"/>
          <w:sz w:val="28"/>
          <w:szCs w:val="28"/>
          <w:highlight w:val="none"/>
        </w:rPr>
        <w:t xml:space="preserve">预警信息</w:t>
      </w:r>
      <w:r>
        <w:rPr>
          <w:rFonts w:hint="eastAsia" w:ascii="仿宋" w:hAnsi="仿宋" w:eastAsia="仿宋"/>
          <w:color w:val="000000"/>
          <w:sz w:val="28"/>
          <w:szCs w:val="28"/>
          <w:highlight w:val="none"/>
        </w:rPr>
        <w:t xml:space="preserve">等7类页面展现。</w:t>
      </w:r>
      <w:r>
        <w:rPr>
          <w:rFonts w:hint="eastAsia" w:ascii="仿宋" w:hAnsi="仿宋" w:eastAsia="仿宋"/>
          <w:color w:val="000000"/>
          <w:sz w:val="28"/>
          <w:szCs w:val="28"/>
          <w:highlight w:val="none"/>
        </w:rPr>
      </w:r>
      <w:r/>
    </w:p>
    <w:p>
      <w:pPr>
        <w:pStyle w:val="668"/>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社团分析结果展现。</w:t>
      </w:r>
      <w:r>
        <w:rPr>
          <w:rFonts w:ascii="仿宋" w:hAnsi="仿宋" w:eastAsia="仿宋"/>
          <w:color w:val="000000"/>
          <w:sz w:val="28"/>
          <w:szCs w:val="28"/>
          <w:highlight w:val="none"/>
        </w:rPr>
        <w:t xml:space="preserve">提供可视化的展示页面，根据抱团行为分析的结果，</w:t>
      </w:r>
      <w:r>
        <w:rPr>
          <w:rFonts w:hint="eastAsia" w:ascii="仿宋" w:hAnsi="仿宋" w:eastAsia="仿宋"/>
          <w:color w:val="000000"/>
          <w:sz w:val="28"/>
          <w:szCs w:val="28"/>
          <w:highlight w:val="none"/>
        </w:rPr>
        <w:t xml:space="preserve">直观</w:t>
      </w:r>
      <w:r>
        <w:rPr>
          <w:rFonts w:ascii="仿宋" w:hAnsi="仿宋" w:eastAsia="仿宋"/>
          <w:color w:val="000000"/>
          <w:sz w:val="28"/>
          <w:szCs w:val="28"/>
          <w:highlight w:val="none"/>
        </w:rPr>
        <w:t xml:space="preserve">的展示各投标单位之间的抱团亲密情况</w:t>
      </w:r>
      <w:r>
        <w:rPr>
          <w:rFonts w:hint="eastAsia" w:ascii="仿宋" w:hAnsi="仿宋" w:eastAsia="仿宋"/>
          <w:color w:val="000000"/>
          <w:sz w:val="28"/>
          <w:szCs w:val="28"/>
          <w:highlight w:val="none"/>
        </w:rPr>
        <w:t xml:space="preserve">。包含</w:t>
      </w:r>
      <w:r>
        <w:rPr>
          <w:rFonts w:ascii="仿宋" w:hAnsi="仿宋" w:eastAsia="仿宋"/>
          <w:color w:val="000000"/>
          <w:sz w:val="28"/>
          <w:szCs w:val="28"/>
          <w:highlight w:val="none"/>
        </w:rPr>
        <w:t xml:space="preserve">招标人与中标人关系分析</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招标人与投标人关系分析</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招标人与招标代理关系分析</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招标代理与中标人关系分析</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专家与专家抱团关系分析</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专家和投标人关系</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专家和招标人关系</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专家和招标代理关系</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邀请招标单位亲密度分析</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社团写真分析</w:t>
      </w:r>
      <w:r>
        <w:rPr>
          <w:rFonts w:hint="eastAsia" w:ascii="仿宋" w:hAnsi="仿宋" w:eastAsia="仿宋"/>
          <w:color w:val="000000"/>
          <w:sz w:val="28"/>
          <w:szCs w:val="28"/>
          <w:highlight w:val="none"/>
        </w:rPr>
        <w:t xml:space="preserve">等10类页面展现。</w:t>
      </w:r>
      <w:r>
        <w:rPr>
          <w:rFonts w:hint="eastAsia" w:ascii="仿宋" w:hAnsi="仿宋" w:eastAsia="仿宋"/>
          <w:color w:val="000000"/>
          <w:sz w:val="28"/>
          <w:szCs w:val="28"/>
          <w:highlight w:val="none"/>
        </w:rPr>
      </w:r>
      <w:r/>
    </w:p>
    <w:p>
      <w:pPr>
        <w:pStyle w:val="668"/>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智能辅助评标分析结果展现。包含</w:t>
      </w:r>
      <w:r>
        <w:rPr>
          <w:rFonts w:ascii="仿宋" w:hAnsi="仿宋" w:eastAsia="仿宋"/>
          <w:color w:val="000000"/>
          <w:sz w:val="28"/>
          <w:szCs w:val="28"/>
          <w:highlight w:val="none"/>
        </w:rPr>
        <w:t xml:space="preserve">技术标雷同性分析、商务标错误雷同性分析、分项清单定额组成雷同分析、单位工程不可竞争费雷同分析、单位工程综合合价归零分析、分项清单综合合价归零分析、分项清单综合单价不平衡分析、投标文件编制异常分析、暗标异常内容分析、公司名称异常分析</w:t>
      </w:r>
      <w:r>
        <w:rPr>
          <w:rFonts w:hint="eastAsia" w:ascii="仿宋" w:hAnsi="仿宋" w:eastAsia="仿宋"/>
          <w:color w:val="000000"/>
          <w:sz w:val="28"/>
          <w:szCs w:val="28"/>
          <w:highlight w:val="none"/>
        </w:rPr>
        <w:t xml:space="preserve">等10类页面展现。</w:t>
      </w:r>
      <w:r>
        <w:rPr>
          <w:rFonts w:hint="eastAsia" w:ascii="仿宋" w:hAnsi="仿宋" w:eastAsia="仿宋"/>
          <w:color w:val="000000"/>
          <w:sz w:val="28"/>
          <w:szCs w:val="28"/>
          <w:highlight w:val="none"/>
        </w:rPr>
      </w:r>
      <w:r/>
    </w:p>
    <w:p>
      <w:pPr>
        <w:pStyle w:val="668"/>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转包违法分包大数据分析结果展现。包含</w:t>
      </w:r>
      <w:r>
        <w:rPr>
          <w:rFonts w:ascii="仿宋" w:hAnsi="仿宋" w:eastAsia="仿宋"/>
          <w:color w:val="000000"/>
          <w:sz w:val="28"/>
          <w:szCs w:val="28"/>
          <w:highlight w:val="none"/>
        </w:rPr>
        <w:t xml:space="preserve">投标价格分析</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专家指标分析</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投标人指标分析</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异常流程分析</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异常人员分析</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异常行为分析</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转包及违法分包分析</w:t>
      </w:r>
      <w:r>
        <w:rPr>
          <w:rFonts w:hint="eastAsia" w:ascii="仿宋" w:hAnsi="仿宋" w:eastAsia="仿宋"/>
          <w:color w:val="000000"/>
          <w:sz w:val="28"/>
          <w:szCs w:val="28"/>
          <w:highlight w:val="none"/>
        </w:rPr>
        <w:t xml:space="preserve">等7类页面展现。</w:t>
      </w:r>
      <w:r>
        <w:rPr>
          <w:rFonts w:hint="eastAsia" w:ascii="仿宋" w:hAnsi="仿宋" w:eastAsia="仿宋"/>
          <w:color w:val="000000"/>
          <w:sz w:val="28"/>
          <w:szCs w:val="28"/>
          <w:highlight w:val="none"/>
        </w:rPr>
      </w:r>
      <w:r/>
    </w:p>
    <w:p>
      <w:pPr>
        <w:pStyle w:val="668"/>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招标投标统计分析结果展现。包含</w:t>
      </w:r>
      <w:r>
        <w:rPr>
          <w:rFonts w:ascii="仿宋" w:hAnsi="仿宋" w:eastAsia="仿宋"/>
          <w:color w:val="000000"/>
          <w:sz w:val="28"/>
          <w:szCs w:val="28"/>
          <w:highlight w:val="none"/>
        </w:rPr>
        <w:t xml:space="preserve">中标候选人技术经济信用得分分析</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本外地企业中标率分析</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民营国有企业中标率分析</w:t>
      </w:r>
      <w:r>
        <w:rPr>
          <w:rFonts w:hint="eastAsia" w:ascii="仿宋" w:hAnsi="仿宋" w:eastAsia="仿宋"/>
          <w:color w:val="000000"/>
          <w:sz w:val="28"/>
          <w:szCs w:val="28"/>
          <w:highlight w:val="none"/>
        </w:rPr>
        <w:t xml:space="preserve">、大中小型企业中标率分析等4类页面展现。</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2.5升级BIM施工图智能审查子系统</w:t>
      </w:r>
      <w:r>
        <w:rPr>
          <w:rFonts w:hint="eastAsia" w:ascii="仿宋" w:hAnsi="仿宋" w:eastAsia="仿宋"/>
          <w:b/>
          <w:bCs/>
          <w:color w:val="000000"/>
          <w:sz w:val="28"/>
          <w:szCs w:val="36"/>
          <w:highlight w:val="none"/>
        </w:rPr>
      </w:r>
      <w:r/>
    </w:p>
    <w:p>
      <w:pPr>
        <w:pStyle w:val="668"/>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基于现有BIM施工图智能审查系统源代码，对相关功能模块进行升级优化。</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2.5.1审图业务工单管理</w:t>
      </w:r>
      <w:r>
        <w:rPr>
          <w:rFonts w:hint="eastAsia" w:ascii="仿宋" w:hAnsi="仿宋" w:eastAsia="仿宋"/>
          <w:b/>
          <w:bCs/>
          <w:color w:val="000000"/>
          <w:sz w:val="28"/>
          <w:szCs w:val="36"/>
          <w:highlight w:val="none"/>
        </w:rPr>
      </w:r>
      <w:r/>
    </w:p>
    <w:p>
      <w:pPr>
        <w:pStyle w:val="785"/>
        <w:ind w:firstLine="560"/>
        <w:spacing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新增工单申请功能（包含字段工单标题、工单类型、紧急程度、申请</w:t>
      </w:r>
      <w:r>
        <w:rPr>
          <w:rFonts w:ascii="仿宋" w:hAnsi="仿宋" w:eastAsia="仿宋" w:cs="Times New Roman"/>
          <w:color w:val="000000"/>
          <w:sz w:val="28"/>
          <w:szCs w:val="28"/>
          <w:highlight w:val="none"/>
        </w:rPr>
        <w:t xml:space="preserve">部门/申请人</w:t>
      </w:r>
      <w:r>
        <w:rPr>
          <w:rFonts w:hint="eastAsia" w:ascii="仿宋" w:hAnsi="仿宋" w:eastAsia="仿宋" w:cs="Times New Roman"/>
          <w:color w:val="000000"/>
          <w:sz w:val="28"/>
          <w:szCs w:val="28"/>
          <w:highlight w:val="none"/>
        </w:rPr>
        <w:t xml:space="preserve">、</w:t>
      </w:r>
      <w:r>
        <w:rPr>
          <w:rFonts w:ascii="仿宋" w:hAnsi="仿宋" w:eastAsia="仿宋" w:cs="Times New Roman"/>
          <w:color w:val="000000"/>
          <w:sz w:val="28"/>
          <w:szCs w:val="28"/>
          <w:highlight w:val="none"/>
        </w:rPr>
        <w:t xml:space="preserve">详细描述</w:t>
      </w:r>
      <w:r>
        <w:rPr>
          <w:rFonts w:hint="eastAsia" w:ascii="仿宋" w:hAnsi="仿宋" w:eastAsia="仿宋" w:cs="Times New Roman"/>
          <w:color w:val="000000"/>
          <w:sz w:val="28"/>
          <w:szCs w:val="28"/>
          <w:highlight w:val="none"/>
        </w:rPr>
        <w:t xml:space="preserve">、</w:t>
      </w:r>
      <w:r>
        <w:rPr>
          <w:rFonts w:ascii="仿宋" w:hAnsi="仿宋" w:eastAsia="仿宋" w:cs="Times New Roman"/>
          <w:color w:val="000000"/>
          <w:sz w:val="28"/>
          <w:szCs w:val="28"/>
          <w:highlight w:val="none"/>
        </w:rPr>
        <w:t xml:space="preserve">关联客户/项目</w:t>
      </w:r>
      <w:r>
        <w:rPr>
          <w:rFonts w:hint="eastAsia" w:ascii="仿宋" w:hAnsi="仿宋" w:eastAsia="仿宋" w:cs="Times New Roman"/>
          <w:color w:val="000000"/>
          <w:sz w:val="28"/>
          <w:szCs w:val="28"/>
          <w:highlight w:val="none"/>
        </w:rPr>
        <w:t xml:space="preserve">、</w:t>
      </w:r>
      <w:r>
        <w:rPr>
          <w:rFonts w:ascii="仿宋" w:hAnsi="仿宋" w:eastAsia="仿宋" w:cs="Times New Roman"/>
          <w:color w:val="000000"/>
          <w:sz w:val="28"/>
          <w:szCs w:val="28"/>
          <w:highlight w:val="none"/>
        </w:rPr>
        <w:t xml:space="preserve">期望完成日期</w:t>
      </w:r>
      <w:r>
        <w:rPr>
          <w:rFonts w:hint="eastAsia" w:ascii="仿宋" w:hAnsi="仿宋" w:eastAsia="仿宋" w:cs="Times New Roman"/>
          <w:color w:val="000000"/>
          <w:sz w:val="28"/>
          <w:szCs w:val="28"/>
          <w:highlight w:val="none"/>
        </w:rPr>
        <w:t xml:space="preserve">等</w:t>
      </w:r>
      <w:r>
        <w:rPr>
          <w:rFonts w:hint="eastAsia" w:ascii="仿宋" w:hAnsi="仿宋" w:eastAsia="仿宋" w:cs="Times New Roman"/>
          <w:color w:val="000000"/>
          <w:sz w:val="28"/>
          <w:szCs w:val="28"/>
          <w:highlight w:val="none"/>
        </w:rPr>
        <w:t xml:space="preserve">）、新增工单附件上传功能（支持PDF、word、Excel、JPG等常见格式）、新增工单审批功能（支持按顺序串行审批和多人并行审批）、新增工单附件查看功能（可在线查看PDF等常见格式，可下载）、新增工单归档功能（对已完成的工单进行规范化管理，将其移出活跃工单列表，移至独立的“归档库”或通过高级筛选器中的“已归档”状态进行查询，所有数据仅供查阅，不允许再编辑）、新增工单检索功能（支持对工单标题和工单内容等进行模糊查询，高亮显示匹配的关键字）、新增权限控制功能（主任室可查看所有工单、科室负责人查看本科室工单）。</w:t>
      </w:r>
      <w:r>
        <w:rPr>
          <w:rFonts w:hint="eastAsia" w:ascii="仿宋" w:hAnsi="仿宋" w:eastAsia="仿宋" w:cs="Times New Roman"/>
          <w:color w:val="000000"/>
          <w:sz w:val="28"/>
          <w:szCs w:val="28"/>
          <w:highlight w:val="none"/>
        </w:rPr>
      </w:r>
      <w:r/>
    </w:p>
    <w:p>
      <w:pPr>
        <w:pStyle w:val="668"/>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2.5.2工改3.0数据标准改造</w:t>
      </w:r>
      <w:r>
        <w:rPr>
          <w:rFonts w:hint="eastAsia" w:ascii="仿宋" w:hAnsi="仿宋" w:eastAsia="仿宋"/>
          <w:b/>
          <w:bCs/>
          <w:color w:val="000000"/>
          <w:sz w:val="28"/>
          <w:szCs w:val="36"/>
          <w:highlight w:val="none"/>
        </w:rPr>
      </w:r>
      <w:r/>
    </w:p>
    <w:p>
      <w:pPr>
        <w:pStyle w:val="668"/>
        <w:ind w:firstLine="560"/>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对照《工程建设项目审批管理系统数据共享交换标准3.0》要求，梳理并制定BIM审图系统与工程审批系统的对接接口标准，实现施工图审查与第三阶段审批事项的融合办理。本项目建设方负责开发BIM审图系统与外部系统的对接适配，外部系统（一站式申报系统、一体化平台等）需提供相应接口，具体对接要求如下</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业务流程对接</w:t>
      </w:r>
      <w:r>
        <w:rPr>
          <w:rFonts w:ascii="仿宋" w:hAnsi="仿宋" w:eastAsia="仿宋"/>
          <w:color w:val="000000"/>
          <w:sz w:val="28"/>
          <w:szCs w:val="28"/>
          <w:highlight w:val="none"/>
        </w:rPr>
        <w:t xml:space="preserve">：一站式申报系统在第三阶段申请时，将项目基本信息、单体工程信息、勘察设计合同信息、规划许可证扫描件及申请编号推送至审图系统，并单点登录至审图系统完成资料上传。审图系统及时反馈提交与受理状态。</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审查过程反馈</w:t>
      </w:r>
      <w:r>
        <w:rPr>
          <w:rFonts w:ascii="仿宋" w:hAnsi="仿宋" w:eastAsia="仿宋"/>
          <w:color w:val="000000"/>
          <w:sz w:val="28"/>
          <w:szCs w:val="28"/>
          <w:highlight w:val="none"/>
        </w:rPr>
        <w:t xml:space="preserve">：程序性审查发现问题时，调用消息反馈接口告知建设单位；技术性审查及复审阶段，待审查全部结束后，一次性将问题反馈至建设单位。</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审图结果推送</w:t>
      </w:r>
      <w:r>
        <w:rPr>
          <w:rFonts w:ascii="仿宋" w:hAnsi="仿宋" w:eastAsia="仿宋"/>
          <w:color w:val="000000"/>
          <w:sz w:val="28"/>
          <w:szCs w:val="28"/>
          <w:highlight w:val="none"/>
        </w:rPr>
        <w:t xml:space="preserve">：审查合格书办结后，向一体化平台推送合格书信息、专业技术人员明细表、违反强制性标准情况，并按单体工程反馈审图合格书编号及技术参数，同时通过消息接口告知建设单位及审批系统。</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接口技术</w:t>
      </w:r>
      <w:r>
        <w:rPr>
          <w:rFonts w:ascii="仿宋" w:hAnsi="仿宋" w:eastAsia="仿宋"/>
          <w:b/>
          <w:bCs/>
          <w:color w:val="000000"/>
          <w:sz w:val="28"/>
          <w:szCs w:val="28"/>
          <w:highlight w:val="none"/>
        </w:rPr>
        <w:t xml:space="preserve">要求</w:t>
      </w:r>
      <w:r>
        <w:rPr>
          <w:rFonts w:ascii="仿宋" w:hAnsi="仿宋" w:eastAsia="仿宋"/>
          <w:color w:val="000000"/>
          <w:sz w:val="28"/>
          <w:szCs w:val="28"/>
          <w:highlight w:val="none"/>
        </w:rPr>
        <w:t xml:space="preserve">：提供基础数据推送、单点登录审图系统、数据传送、数据获取、消息反馈、单体工程参数更新</w:t>
      </w:r>
      <w:r>
        <w:rPr>
          <w:rFonts w:hint="eastAsia" w:ascii="仿宋" w:hAnsi="仿宋" w:eastAsia="仿宋"/>
          <w:color w:val="000000"/>
          <w:sz w:val="28"/>
          <w:szCs w:val="28"/>
          <w:highlight w:val="none"/>
        </w:rPr>
        <w:t xml:space="preserve">等相关接口</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2.5.3电子发票管理</w:t>
      </w:r>
      <w:r>
        <w:rPr>
          <w:rFonts w:hint="eastAsia" w:ascii="仿宋" w:hAnsi="仿宋" w:eastAsia="仿宋"/>
          <w:b/>
          <w:bCs/>
          <w:color w:val="000000"/>
          <w:sz w:val="28"/>
          <w:szCs w:val="36"/>
          <w:highlight w:val="none"/>
        </w:rPr>
      </w:r>
      <w:r/>
    </w:p>
    <w:p>
      <w:pPr>
        <w:pStyle w:val="668"/>
        <w:ind w:firstLine="560"/>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实现施工图审查业务中电子发票的自动开具、推送、查看、下载及归档管理，覆盖建设单位与审查机构两端。</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建设单位开票信息管理</w:t>
      </w:r>
      <w:r>
        <w:rPr>
          <w:rFonts w:ascii="仿宋" w:hAnsi="仿宋" w:eastAsia="仿宋"/>
          <w:color w:val="000000"/>
          <w:sz w:val="28"/>
          <w:szCs w:val="28"/>
          <w:highlight w:val="none"/>
        </w:rPr>
        <w:t xml:space="preserve">：提供标准化表单供建设单位录入/编辑单位名称、纳税人识别号、地址电话、开户银行及账号等信息，前端对纳税人识别号格式进行校验，提交时通过第三方接口（如工商信息API）核验关键信息真实性，或支持手动审核流程。</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审查机构自动开票</w:t>
      </w:r>
      <w:r>
        <w:rPr>
          <w:rFonts w:ascii="仿宋" w:hAnsi="仿宋" w:eastAsia="仿宋"/>
          <w:color w:val="000000"/>
          <w:sz w:val="28"/>
          <w:szCs w:val="28"/>
          <w:highlight w:val="none"/>
        </w:rPr>
        <w:t xml:space="preserve">：在业务完成后，支持一键或按规则自动触发开票流程，调用第三方发票系统接口完成电子发票开具，并自动记录发票号码、开票日期、金额、税率等明细信息。</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电子发票自动推送</w:t>
      </w:r>
      <w:r>
        <w:rPr>
          <w:rFonts w:ascii="仿宋" w:hAnsi="仿宋" w:eastAsia="仿宋"/>
          <w:color w:val="000000"/>
          <w:sz w:val="28"/>
          <w:szCs w:val="28"/>
          <w:highlight w:val="none"/>
        </w:rPr>
        <w:t xml:space="preserve">：发票开具成功后，系统自动将电子发票推送至建设单位（通过邮箱、短信等方式），确保建设单位及时获取。</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建设单位发票中心</w:t>
      </w:r>
      <w:r>
        <w:rPr>
          <w:rFonts w:ascii="仿宋" w:hAnsi="仿宋" w:eastAsia="仿宋"/>
          <w:color w:val="000000"/>
          <w:sz w:val="28"/>
          <w:szCs w:val="28"/>
          <w:highlight w:val="none"/>
        </w:rPr>
        <w:t xml:space="preserve">：为建设单位提供统一的“我的发票”功能模块，支持在线预览已开具的电子发票。</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电子发票下载</w:t>
      </w:r>
      <w:r>
        <w:rPr>
          <w:rFonts w:ascii="仿宋" w:hAnsi="仿宋" w:eastAsia="仿宋"/>
          <w:color w:val="000000"/>
          <w:sz w:val="28"/>
          <w:szCs w:val="28"/>
          <w:highlight w:val="none"/>
        </w:rPr>
        <w:t xml:space="preserve">：支持建设单位在线下载电子发票PDF文件，文件命名规则为“{单位名称}{发票号码}{开票日期}.pdf”，便于本地保存与管理。</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审查机构发票归档</w:t>
      </w:r>
      <w:r>
        <w:rPr>
          <w:rFonts w:ascii="仿宋" w:hAnsi="仿宋" w:eastAsia="仿宋"/>
          <w:color w:val="000000"/>
          <w:sz w:val="28"/>
          <w:szCs w:val="28"/>
          <w:highlight w:val="none"/>
        </w:rPr>
        <w:t xml:space="preserve">：为审查机构提供发票数据的归档、查询及统计功能，支持手动或按规则（如开票超过1年）将发票标记为“已归档”状态，对不同状态的发票设置差异化管理策略（如归档后仅支持查看，不支持修改），满足内部财务管理与审计要求。</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2.5.4城市更新改造项目审查管理</w:t>
      </w:r>
      <w:r>
        <w:rPr>
          <w:rFonts w:hint="eastAsia" w:ascii="仿宋" w:hAnsi="仿宋" w:eastAsia="仿宋"/>
          <w:b/>
          <w:bCs/>
          <w:color w:val="000000"/>
          <w:sz w:val="28"/>
          <w:szCs w:val="36"/>
          <w:highlight w:val="none"/>
        </w:rPr>
      </w:r>
      <w:r/>
    </w:p>
    <w:p>
      <w:pPr>
        <w:pStyle w:val="668"/>
        <w:ind w:firstLine="560"/>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实现城市更新改造项目全流程在线管理，涵盖项目登记、图纸上传、报审、受理、收费、任务分派、技术审查、意见管理、告知书办理及图纸盖章归档等环节。</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项目登记</w:t>
      </w:r>
      <w:r>
        <w:rPr>
          <w:rFonts w:ascii="仿宋" w:hAnsi="仿宋" w:eastAsia="仿宋"/>
          <w:color w:val="000000"/>
          <w:sz w:val="28"/>
          <w:szCs w:val="28"/>
          <w:highlight w:val="none"/>
        </w:rPr>
        <w:t xml:space="preserve">：提供城市更新改造项目登记功能，建设单位选择“设计-南京既有建筑改造工程”类别，填报项目基本信息（项目名称、代码、所属地区等）、项目概况（工程类别、改造类别、设计等级、建筑面积等）及单体工程信息，提交至设计单位。</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图纸上传</w:t>
      </w:r>
      <w:r>
        <w:rPr>
          <w:rFonts w:ascii="仿宋" w:hAnsi="仿宋" w:eastAsia="仿宋"/>
          <w:color w:val="000000"/>
          <w:sz w:val="28"/>
          <w:szCs w:val="28"/>
          <w:highlight w:val="none"/>
        </w:rPr>
        <w:t xml:space="preserve">：设计单位按照技术材料清单上传设计文件后，提交返回建设单位。</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项目报审</w:t>
      </w:r>
      <w:r>
        <w:rPr>
          <w:rFonts w:ascii="仿宋" w:hAnsi="仿宋" w:eastAsia="仿宋"/>
          <w:color w:val="000000"/>
          <w:sz w:val="28"/>
          <w:szCs w:val="28"/>
          <w:highlight w:val="none"/>
        </w:rPr>
        <w:t xml:space="preserve">：建设单位补充确认材料无误后，将项目送审至中心窗口。</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项目受理</w:t>
      </w:r>
      <w:r>
        <w:rPr>
          <w:rFonts w:ascii="仿宋" w:hAnsi="仿宋" w:eastAsia="仿宋"/>
          <w:color w:val="000000"/>
          <w:sz w:val="28"/>
          <w:szCs w:val="28"/>
          <w:highlight w:val="none"/>
        </w:rPr>
        <w:t xml:space="preserve">：对政策性材料和技术性材料进行收件核查，材料齐全且符合要求的及时受理；材料不全或不符合要求的一次性告知并反馈。技术服务不通过的项目，提交整改文件后及时受理回复。</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技术服务收费</w:t>
      </w:r>
      <w:r>
        <w:rPr>
          <w:rFonts w:ascii="仿宋" w:hAnsi="仿宋" w:eastAsia="仿宋"/>
          <w:color w:val="000000"/>
          <w:sz w:val="28"/>
          <w:szCs w:val="28"/>
          <w:highlight w:val="none"/>
        </w:rPr>
        <w:t xml:space="preserve">：项目受理后，在规定时限内出具《技术服务收费单》，受理一次回复前完成收费确认。</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任务分派</w:t>
      </w:r>
      <w:r>
        <w:rPr>
          <w:rFonts w:ascii="仿宋" w:hAnsi="仿宋" w:eastAsia="仿宋"/>
          <w:color w:val="000000"/>
          <w:sz w:val="28"/>
          <w:szCs w:val="28"/>
          <w:highlight w:val="none"/>
        </w:rPr>
        <w:t xml:space="preserve">：从中心全职专家或“市既有建筑维修改造项目施工图设计论证专家库”中为项目选取审查专家，明确技术审查时限。</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技术审查</w:t>
      </w:r>
      <w:r>
        <w:rPr>
          <w:rFonts w:ascii="仿宋" w:hAnsi="仿宋" w:eastAsia="仿宋"/>
          <w:color w:val="000000"/>
          <w:sz w:val="28"/>
          <w:szCs w:val="28"/>
          <w:highlight w:val="none"/>
        </w:rPr>
        <w:t xml:space="preserve">：收到图纸等材料后，按要求开展技术性审查，在8个工作日内提交技术服务意见。</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意见管理</w:t>
      </w:r>
      <w:r>
        <w:rPr>
          <w:rFonts w:ascii="仿宋" w:hAnsi="仿宋" w:eastAsia="仿宋"/>
          <w:color w:val="000000"/>
          <w:sz w:val="28"/>
          <w:szCs w:val="28"/>
          <w:highlight w:val="none"/>
        </w:rPr>
        <w:t xml:space="preserve">：各专业技术服务意见提交后，对《意见书》进行校核、审核和审定，并加盖技术服务专用章。</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告知书办理</w:t>
      </w:r>
      <w:r>
        <w:rPr>
          <w:rFonts w:ascii="仿宋" w:hAnsi="仿宋" w:eastAsia="仿宋"/>
          <w:color w:val="000000"/>
          <w:sz w:val="28"/>
          <w:szCs w:val="28"/>
          <w:highlight w:val="none"/>
        </w:rPr>
        <w:t xml:space="preserve">：技术性审查通过且政策性材料审核通过后，办理《施工图设计文件技术审查通过告知书》，审批后加盖公章。</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图纸盖章及归档</w:t>
      </w:r>
      <w:r>
        <w:rPr>
          <w:rFonts w:ascii="仿宋" w:hAnsi="仿宋" w:eastAsia="仿宋"/>
          <w:color w:val="000000"/>
          <w:sz w:val="28"/>
          <w:szCs w:val="28"/>
          <w:highlight w:val="none"/>
        </w:rPr>
        <w:t xml:space="preserve">：对通过技术性审查的项目，图纸加盖技术服务专用章（长条章）并按规定归档。</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2.5.5一对一整改回复</w:t>
      </w:r>
      <w:r>
        <w:rPr>
          <w:rFonts w:hint="eastAsia" w:ascii="仿宋" w:hAnsi="仿宋" w:eastAsia="仿宋"/>
          <w:b/>
          <w:bCs/>
          <w:color w:val="000000"/>
          <w:sz w:val="28"/>
          <w:szCs w:val="36"/>
          <w:highlight w:val="none"/>
        </w:rPr>
      </w:r>
      <w:r/>
    </w:p>
    <w:p>
      <w:pPr>
        <w:pStyle w:val="668"/>
        <w:ind w:firstLine="560"/>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实现审查意见的结构化逐条在线回复，支持设计单位精准整改、审查人员高效复核，提升审查意见回复的完整性与准确性。</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一对一在线回复</w:t>
      </w:r>
      <w:r>
        <w:rPr>
          <w:rFonts w:ascii="仿宋" w:hAnsi="仿宋" w:eastAsia="仿宋"/>
          <w:color w:val="000000"/>
          <w:sz w:val="28"/>
          <w:szCs w:val="28"/>
          <w:highlight w:val="none"/>
        </w:rPr>
        <w:t xml:space="preserve">：审查机构完成图纸审查并发放审查意见书后，设计单位需对审查人员提出的每条意见逐项在线回复，进行详细说明。系统提供结构化回复界面，确保意见无遗漏。</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自动生成审查回复意见书</w:t>
      </w:r>
      <w:r>
        <w:rPr>
          <w:rFonts w:ascii="仿宋" w:hAnsi="仿宋" w:eastAsia="仿宋"/>
          <w:color w:val="000000"/>
          <w:sz w:val="28"/>
          <w:szCs w:val="28"/>
          <w:highlight w:val="none"/>
        </w:rPr>
        <w:t xml:space="preserve">：系统根据设计单位填写的结构化回复数据，自动生成审查回复意见书，由设计单位盖章后上传，有效规避遗漏回复，提高回复准确性。</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精准定位图纸变更部位</w:t>
      </w:r>
      <w:r>
        <w:rPr>
          <w:rFonts w:ascii="仿宋" w:hAnsi="仿宋" w:eastAsia="仿宋"/>
          <w:color w:val="000000"/>
          <w:sz w:val="28"/>
          <w:szCs w:val="28"/>
          <w:highlight w:val="none"/>
        </w:rPr>
        <w:t xml:space="preserve">：支持两种查看方式——审查人员打开图纸后双击批注标识，在批注旁弹出意见明细及回复内容；或双击审查意见列表，快速打开对应图纸并精准定位批注部位，便于确认整改是否到位，提高审查效率。</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批量替换图纸</w:t>
      </w:r>
      <w:r>
        <w:rPr>
          <w:rFonts w:ascii="仿宋" w:hAnsi="仿宋" w:eastAsia="仿宋"/>
          <w:color w:val="000000"/>
          <w:sz w:val="28"/>
          <w:szCs w:val="28"/>
          <w:highlight w:val="none"/>
        </w:rPr>
        <w:t xml:space="preserve">：设计单位可按专业批量选取需整改的图纸文件，系统根据图纸名称属性自动匹配上一轮图纸并建立关联关系，对匹配存在问题的图纸进行预警提示，实现批量整改替换。</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2.5.6跨专业关联图纸协同管理</w:t>
      </w:r>
      <w:r>
        <w:rPr>
          <w:rFonts w:hint="eastAsia" w:ascii="仿宋" w:hAnsi="仿宋" w:eastAsia="仿宋"/>
          <w:b/>
          <w:bCs/>
          <w:color w:val="000000"/>
          <w:sz w:val="28"/>
          <w:szCs w:val="36"/>
          <w:highlight w:val="none"/>
        </w:rPr>
      </w:r>
      <w:r/>
    </w:p>
    <w:p>
      <w:pPr>
        <w:pStyle w:val="668"/>
        <w:ind w:firstLine="560"/>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实现跨专业图纸变更的协同管理，支持变更申请、专业审核、轮次更新、图纸整改、版本追溯等功能，保障多专业间图纸变更的协调一致。</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发起关联图纸变更申请</w:t>
      </w:r>
      <w:r>
        <w:rPr>
          <w:rFonts w:ascii="仿宋" w:hAnsi="仿宋" w:eastAsia="仿宋"/>
          <w:color w:val="000000"/>
          <w:sz w:val="28"/>
          <w:szCs w:val="28"/>
          <w:highlight w:val="none"/>
        </w:rPr>
        <w:t xml:space="preserve">：项目管理人可在项目详情页、图纸库或具体图纸详情页发起关联变更，填写变更申请单，包含项目信息、变更所涉专业、图纸编号及名称、当前轮次、变更原因等内容。</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专业总工审核</w:t>
      </w:r>
      <w:r>
        <w:rPr>
          <w:rFonts w:ascii="仿宋" w:hAnsi="仿宋" w:eastAsia="仿宋"/>
          <w:color w:val="000000"/>
          <w:sz w:val="28"/>
          <w:szCs w:val="28"/>
          <w:highlight w:val="none"/>
        </w:rPr>
        <w:t xml:space="preserve">：专业总工在待办任务中查看变更申请，进入审核详情页进行审核。</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系统自动轮次更新与状态流转</w:t>
      </w:r>
      <w:r>
        <w:rPr>
          <w:rFonts w:ascii="仿宋" w:hAnsi="仿宋" w:eastAsia="仿宋"/>
          <w:color w:val="000000"/>
          <w:sz w:val="28"/>
          <w:szCs w:val="28"/>
          <w:highlight w:val="none"/>
        </w:rPr>
        <w:t xml:space="preserve">：所有关联专业总工审批通过后，系统自动为所有关联图纸创建新的协同轮次（与变更申请单号绑定），并将变更单状态更新为“待整改”，自动通知关联专业设计人员进入整改环节。</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设计院替换关联图纸</w:t>
      </w:r>
      <w:r>
        <w:rPr>
          <w:rFonts w:ascii="仿宋" w:hAnsi="仿宋" w:eastAsia="仿宋"/>
          <w:color w:val="000000"/>
          <w:sz w:val="28"/>
          <w:szCs w:val="28"/>
          <w:highlight w:val="none"/>
        </w:rPr>
        <w:t xml:space="preserve">：设计院在“待整改”任务列表中查看需整改图纸，通过上传新版本功能替换图纸，系统自动继承原图纸元数据并附上新的协同轮次号，保留所有历史版本以确保可追溯。</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提交整改进入审查</w:t>
      </w:r>
      <w:r>
        <w:rPr>
          <w:rFonts w:ascii="仿宋" w:hAnsi="仿宋" w:eastAsia="仿宋"/>
          <w:color w:val="000000"/>
          <w:sz w:val="28"/>
          <w:szCs w:val="28"/>
          <w:highlight w:val="none"/>
        </w:rPr>
        <w:t xml:space="preserve">：设计院上传整改图纸及回复意见书后，提交整改，任务状态变更为“已整改”，重新进入审查环节。</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操作日志记录</w:t>
      </w:r>
      <w:r>
        <w:rPr>
          <w:rFonts w:ascii="仿宋" w:hAnsi="仿宋" w:eastAsia="仿宋"/>
          <w:color w:val="000000"/>
          <w:sz w:val="28"/>
          <w:szCs w:val="28"/>
          <w:highlight w:val="none"/>
        </w:rPr>
        <w:t xml:space="preserve">：为每一条关联图纸变更申请建立独立完整的操作日志，记录从创建到关闭的关键操作，包括操作时间、操作人、操作内容及备注意见，确保全过程可追溯。</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2.5.7全过程图纸版本更替管理</w:t>
      </w:r>
      <w:r>
        <w:rPr>
          <w:rFonts w:hint="eastAsia" w:ascii="仿宋" w:hAnsi="仿宋" w:eastAsia="仿宋"/>
          <w:b/>
          <w:bCs/>
          <w:color w:val="000000"/>
          <w:sz w:val="28"/>
          <w:szCs w:val="36"/>
          <w:highlight w:val="none"/>
        </w:rPr>
      </w:r>
      <w:r/>
    </w:p>
    <w:p>
      <w:pPr>
        <w:pStyle w:val="668"/>
        <w:ind w:firstLine="560"/>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实现图纸版本更替的全流程闭环管理，涵盖换图申请、审核审批、图纸替换、项目提交及历史追溯，确保图纸版本变更过程规范、可追溯。</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审查人员发起换图申请</w:t>
      </w:r>
      <w:r>
        <w:rPr>
          <w:rFonts w:ascii="仿宋" w:hAnsi="仿宋" w:eastAsia="仿宋"/>
          <w:color w:val="000000"/>
          <w:sz w:val="28"/>
          <w:szCs w:val="28"/>
          <w:highlight w:val="none"/>
        </w:rPr>
        <w:t xml:space="preserve">：审查人员在图纸列表或图纸详情页发起换图申请，系统自动带入项目名称、编号、图纸编号及版本、申请人等基础信息，提交后申请状态变更为“待审核”。</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审查机构端换图申请审核</w:t>
      </w:r>
      <w:r>
        <w:rPr>
          <w:rFonts w:ascii="仿宋" w:hAnsi="仿宋" w:eastAsia="仿宋"/>
          <w:color w:val="000000"/>
          <w:sz w:val="28"/>
          <w:szCs w:val="28"/>
          <w:highlight w:val="none"/>
        </w:rPr>
        <w:t xml:space="preserve">：审核人在“待我审核”列表中查看申请，进入详情页进行审核。审核通过则流转至下一环节（待审批）；驳回须填写具体理由，申请状态变更为“已驳回”，退回申请人。</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审查机构端换图申请审批</w:t>
      </w:r>
      <w:r>
        <w:rPr>
          <w:rFonts w:ascii="仿宋" w:hAnsi="仿宋" w:eastAsia="仿宋"/>
          <w:color w:val="000000"/>
          <w:sz w:val="28"/>
          <w:szCs w:val="28"/>
          <w:highlight w:val="none"/>
        </w:rPr>
        <w:t xml:space="preserve">：审批人在“待我审批”列表中查看申请，集中展示申请信息及审核意见。批准则状态变更为“已批准，待替换”，系统自动通知设计单位；拒绝须填写专业审批意见，状态变更为“已拒绝”，流程终止并通知相关方。</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设计单位端图纸替换</w:t>
      </w:r>
      <w:r>
        <w:rPr>
          <w:rFonts w:ascii="仿宋" w:hAnsi="仿宋" w:eastAsia="仿宋"/>
          <w:color w:val="000000"/>
          <w:sz w:val="28"/>
          <w:szCs w:val="28"/>
          <w:highlight w:val="none"/>
        </w:rPr>
        <w:t xml:space="preserve">：设计单位收到替换待办通知后，进入替换确认页面查看申请详情及审批意见，点击“确认替换”后系统自动执行：将当前版本移至历史版本库并标注替换标签，新图纸文件设置为当前有效版本，申请状态更新为“已替换完成”，并建立新版本与换图流程的关联记录。</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换图项目提交</w:t>
      </w:r>
      <w:r>
        <w:rPr>
          <w:rFonts w:ascii="仿宋" w:hAnsi="仿宋" w:eastAsia="仿宋"/>
          <w:color w:val="000000"/>
          <w:sz w:val="28"/>
          <w:szCs w:val="28"/>
          <w:highlight w:val="none"/>
        </w:rPr>
        <w:t xml:space="preserve">：图纸替换完成后，将此次变更作为正式项目节点提交，触发后续工作流（如重新审查、归档等）。</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换图项目历史追溯查询</w:t>
      </w:r>
      <w:r>
        <w:rPr>
          <w:rFonts w:ascii="仿宋" w:hAnsi="仿宋" w:eastAsia="仿宋"/>
          <w:color w:val="000000"/>
          <w:sz w:val="28"/>
          <w:szCs w:val="28"/>
          <w:highlight w:val="none"/>
        </w:rPr>
        <w:t xml:space="preserve">：提供独立的“变更历史”查询模块，支持按条件查询换图流程记录，展示项目名称、图纸编号、变更版本、申请人、申请时间、最终状态等信息。</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2.6“卖旧买新”契税补贴资格管理功能模块</w:t>
      </w:r>
      <w:r>
        <w:rPr>
          <w:rFonts w:hint="eastAsia" w:ascii="仿宋" w:hAnsi="仿宋" w:eastAsia="仿宋"/>
          <w:b/>
          <w:bCs/>
          <w:color w:val="000000"/>
          <w:sz w:val="28"/>
          <w:szCs w:val="36"/>
          <w:highlight w:val="none"/>
        </w:rPr>
      </w:r>
      <w:r/>
    </w:p>
    <w:p>
      <w:pPr>
        <w:pStyle w:val="668"/>
        <w:ind w:firstLine="560"/>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在商品房备案系统中扩建“卖旧买新”契税补贴资格管理功能模块，实现存量房信息管理、商品房信息管理、不动产登记信息管理、家庭成员信息管理、契税补贴业务管理、商品房合同变更注销接口、权限管理及表格打印导出等功能，支撑契税补贴资格审核、业务办理与发放全过程。</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存量房信息管理</w:t>
      </w:r>
      <w:r>
        <w:rPr>
          <w:rFonts w:ascii="仿宋" w:hAnsi="仿宋" w:eastAsia="仿宋"/>
          <w:color w:val="000000"/>
          <w:sz w:val="28"/>
          <w:szCs w:val="28"/>
          <w:highlight w:val="none"/>
        </w:rPr>
        <w:t xml:space="preserve">：支持录入存量房买卖合同编号及出卖方姓名，通过网签备案验证接口核验合同真实性，验证成功后展示房屋坐落、面积、买卖双方、网签备案时间及合同状态；通过转移登记核验接口查询不动产登记状态，对2023年1月1日后完成转移登记的，展示转移登记时间及原产权人、现产权人信息。</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商品房信息管理</w:t>
      </w:r>
      <w:r>
        <w:rPr>
          <w:rFonts w:ascii="仿宋" w:hAnsi="仿宋" w:eastAsia="仿宋"/>
          <w:color w:val="000000"/>
          <w:sz w:val="28"/>
          <w:szCs w:val="28"/>
          <w:highlight w:val="none"/>
        </w:rPr>
        <w:t xml:space="preserve">：支持录入商品房买卖合同备案号及买受方姓名，通过网签备案验证接口核验合同真实性，对2024年5月1日后网签备案的，展示房屋坐落、面积、买卖双方、网签备案时间及合同状态。</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不动产登记信息管理</w:t>
      </w:r>
      <w:r>
        <w:rPr>
          <w:rFonts w:ascii="仿宋" w:hAnsi="仿宋" w:eastAsia="仿宋"/>
          <w:color w:val="000000"/>
          <w:sz w:val="28"/>
          <w:szCs w:val="28"/>
          <w:highlight w:val="none"/>
        </w:rPr>
        <w:t xml:space="preserve">：通过转移登记核验接口查询不动产登记状态，对已登记的展示转移登记时间及房屋产权人信息。</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家庭成员信息管理</w:t>
      </w:r>
      <w:r>
        <w:rPr>
          <w:rFonts w:ascii="仿宋" w:hAnsi="仿宋" w:eastAsia="仿宋"/>
          <w:color w:val="000000"/>
          <w:sz w:val="28"/>
          <w:szCs w:val="28"/>
          <w:highlight w:val="none"/>
        </w:rPr>
        <w:t xml:space="preserve">：支持补充录入申请人家庭成员信息，通过家庭成员姓名及证件号码查询同一新建商品住房项目下2024年5月1日后的商品房合同网签注销记录并展示。</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契税补贴业务管理</w:t>
      </w:r>
      <w:r>
        <w:rPr>
          <w:rFonts w:ascii="仿宋" w:hAnsi="仿宋" w:eastAsia="仿宋"/>
          <w:color w:val="000000"/>
          <w:sz w:val="28"/>
          <w:szCs w:val="28"/>
          <w:highlight w:val="none"/>
        </w:rPr>
        <w:t xml:space="preserve">：包含银行账户信息管理（增删改）、契税补贴业务撤销管理（审核并撤销）、契税补贴业务审核管理、契税补贴发放管理（审核通过后公示）、申请表打印管理。进入资格审核确认页面后，汇总展示查验获取的关键信息，审核人员选择“通过”或“不通过”，审核通过的系统自动生成业务编号，支持后续查询。</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商品房合同变更注销信息接口</w:t>
      </w:r>
      <w:r>
        <w:rPr>
          <w:rFonts w:ascii="仿宋" w:hAnsi="仿宋" w:eastAsia="仿宋"/>
          <w:color w:val="000000"/>
          <w:sz w:val="28"/>
          <w:szCs w:val="28"/>
          <w:highlight w:val="none"/>
        </w:rPr>
        <w:t xml:space="preserve">：提供查询商品房合同变更和注销记录的功能接口。</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权限管理</w:t>
      </w:r>
      <w:r>
        <w:rPr>
          <w:rFonts w:ascii="仿宋" w:hAnsi="仿宋" w:eastAsia="仿宋"/>
          <w:color w:val="000000"/>
          <w:sz w:val="28"/>
          <w:szCs w:val="28"/>
          <w:highlight w:val="none"/>
        </w:rPr>
        <w:t xml:space="preserve">：增加菜单权限管理功能，支持对各区住建局工作人员进行权限分配管理。</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表格打印及导出</w:t>
      </w:r>
      <w:r>
        <w:rPr>
          <w:rFonts w:ascii="仿宋" w:hAnsi="仿宋" w:eastAsia="仿宋"/>
          <w:color w:val="000000"/>
          <w:sz w:val="28"/>
          <w:szCs w:val="28"/>
          <w:highlight w:val="none"/>
        </w:rPr>
        <w:t xml:space="preserve">：支持各类表格的打印与导出功能，提供标准模板。</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color w:val="000000"/>
          <w:sz w:val="28"/>
          <w:szCs w:val="28"/>
          <w:highlight w:val="none"/>
        </w:rPr>
      </w:pPr>
      <w:r>
        <w:rPr>
          <w:rFonts w:ascii="仿宋" w:hAnsi="仿宋" w:eastAsia="仿宋"/>
          <w:b/>
          <w:bCs/>
          <w:color w:val="000000"/>
          <w:sz w:val="28"/>
          <w:szCs w:val="28"/>
          <w:highlight w:val="none"/>
        </w:rPr>
        <w:t xml:space="preserve">政策补贴标准</w:t>
      </w:r>
      <w:r>
        <w:rPr>
          <w:rFonts w:ascii="仿宋" w:hAnsi="仿宋" w:eastAsia="仿宋"/>
          <w:color w:val="000000"/>
          <w:sz w:val="28"/>
          <w:szCs w:val="28"/>
          <w:highlight w:val="none"/>
        </w:rPr>
        <w:t xml:space="preserve">：系统需内嵌政策规则——出售自有住房时间须在2023年1月1日后，购买新建商品住房时间须在2024年5月1日后；2024年5月1日至8月31日购买新房的，给予契税50%补贴（144平方米及以上再给予50%）；2024年9月1日至12月31日购买新房的，给予契税40%补贴（144平方米及以上再给予40%）；单套补贴总额最高不超过10万元。系统自动根据购房时间、建筑面积计算补贴金额，并支持取得不动产权证未满2年的商品住房转让情形。</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三、系统性能需求</w:t>
      </w:r>
      <w:r>
        <w:rPr>
          <w:rFonts w:hint="eastAsia" w:ascii="仿宋" w:hAnsi="仿宋" w:eastAsia="仿宋"/>
          <w:b/>
          <w:bCs/>
          <w:color w:val="000000"/>
          <w:sz w:val="28"/>
          <w:szCs w:val="36"/>
          <w:highlight w:val="none"/>
        </w:rPr>
      </w:r>
      <w:r/>
    </w:p>
    <w:p>
      <w:pPr>
        <w:pStyle w:val="673"/>
        <w:ind w:firstLine="420"/>
        <w:spacing w:line="520" w:lineRule="exact"/>
        <w:rPr>
          <w:rFonts w:hint="eastAsia" w:ascii="仿宋" w:hAnsi="仿宋" w:eastAsia="仿宋"/>
          <w:color w:val="000000"/>
          <w:highlight w:val="none"/>
        </w:rPr>
      </w:pPr>
      <w:r>
        <w:rPr>
          <w:rFonts w:hint="eastAsia" w:ascii="仿宋" w:hAnsi="仿宋" w:eastAsia="仿宋"/>
          <w:color w:val="000000"/>
          <w:highlight w:val="none"/>
        </w:rPr>
        <w:t xml:space="preserve">智慧住建业务平台性能需求如下：</w:t>
      </w:r>
      <w:r>
        <w:rPr>
          <w:rFonts w:hint="eastAsia" w:ascii="仿宋" w:hAnsi="仿宋" w:eastAsia="仿宋"/>
          <w:color w:val="000000"/>
          <w:highlight w:val="none"/>
        </w:rPr>
      </w:r>
      <w:r/>
    </w:p>
    <w:tbl>
      <w:tblPr>
        <w:tblW w:w="8730" w:type="dxa"/>
        <w:tblInd w:w="-60" w:type="dxa"/>
        <w:tblLayout w:type="autofit"/>
        <w:tblCellMar>
          <w:left w:w="60" w:type="dxa"/>
          <w:top w:w="60" w:type="dxa"/>
          <w:right w:w="60" w:type="dxa"/>
          <w:bottom w:w="45" w:type="dxa"/>
        </w:tblCellMar>
        <w:tblLook w:val="04A0" w:firstRow="1" w:lastRow="0" w:firstColumn="1" w:lastColumn="0" w:noHBand="0" w:noVBand="1"/>
      </w:tblPr>
      <w:tblGrid>
        <w:gridCol w:w="2656"/>
        <w:gridCol w:w="6074"/>
      </w:tblGrid>
      <w:tr>
        <w:trPr>
          <w:trHeight w:val="405"/>
        </w:trPr>
        <w:tc>
          <w:tcPr>
            <w:shd w:val="clear" w:color="auto" w:fill="d9d9d9"/>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56" w:type="dxa"/>
            <w:vAlign w:val="top"/>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b/>
                <w:bCs/>
                <w:color w:val="000000"/>
                <w:sz w:val="24"/>
                <w:szCs w:val="24"/>
                <w:highlight w:val="none"/>
              </w:rPr>
              <w:t xml:space="preserve">项目</w:t>
            </w:r>
            <w:r>
              <w:rPr>
                <w:rFonts w:hint="eastAsia" w:ascii="仿宋" w:hAnsi="仿宋" w:eastAsia="仿宋" w:cs="宋体"/>
                <w:color w:val="000000"/>
                <w:sz w:val="24"/>
                <w:szCs w:val="24"/>
                <w:highlight w:val="none"/>
              </w:rPr>
            </w:r>
            <w:r/>
          </w:p>
        </w:tc>
        <w:tc>
          <w:tcPr>
            <w:shd w:val="clear" w:color="auto" w:fill="d9d9d9"/>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74" w:type="dxa"/>
            <w:vAlign w:val="top"/>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b/>
                <w:bCs/>
                <w:color w:val="000000"/>
                <w:sz w:val="24"/>
                <w:szCs w:val="24"/>
                <w:highlight w:val="none"/>
              </w:rPr>
              <w:t xml:space="preserve">指标</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56" w:type="dxa"/>
            <w:vAlign w:val="top"/>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并发用户数</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74" w:type="dxa"/>
            <w:vAlign w:val="top"/>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200个，各类企业用户</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56" w:type="dxa"/>
            <w:vAlign w:val="top"/>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峰值并发用户数</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74" w:type="dxa"/>
            <w:vAlign w:val="top"/>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500个</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56" w:type="dxa"/>
            <w:vAlign w:val="top"/>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页面加载时间</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74" w:type="dxa"/>
            <w:vAlign w:val="top"/>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&lt;5秒</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56" w:type="dxa"/>
            <w:vAlign w:val="top"/>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页面加载最大时间</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74" w:type="dxa"/>
            <w:vAlign w:val="top"/>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&lt;10秒</w:t>
            </w:r>
            <w:r>
              <w:rPr>
                <w:rFonts w:hint="eastAsia" w:ascii="仿宋" w:hAnsi="仿宋" w:eastAsia="仿宋" w:cs="宋体"/>
                <w:color w:val="000000"/>
                <w:sz w:val="24"/>
                <w:szCs w:val="24"/>
                <w:highlight w:val="none"/>
              </w:rPr>
            </w:r>
            <w:r/>
          </w:p>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复杂报表&lt;30秒</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56" w:type="dxa"/>
            <w:vAlign w:val="top"/>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系统可用率</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74" w:type="dxa"/>
            <w:vAlign w:val="top"/>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&gt;95%</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56" w:type="dxa"/>
            <w:vAlign w:val="top"/>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浏览器支持</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74" w:type="dxa"/>
            <w:vAlign w:val="top"/>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支持Edge，Chrome，Firefox，</w:t>
            </w:r>
            <w:r>
              <w:rPr>
                <w:rFonts w:ascii="仿宋" w:hAnsi="仿宋" w:eastAsia="仿宋" w:cs="宋体"/>
                <w:color w:val="000000"/>
                <w:sz w:val="24"/>
                <w:szCs w:val="24"/>
                <w:highlight w:val="none"/>
              </w:rPr>
              <w:t xml:space="preserve">奇安信</w:t>
            </w:r>
            <w:r>
              <w:rPr>
                <w:rFonts w:hint="eastAsia" w:ascii="仿宋" w:hAnsi="仿宋" w:eastAsia="仿宋" w:cs="宋体"/>
                <w:color w:val="000000"/>
                <w:sz w:val="24"/>
                <w:szCs w:val="24"/>
                <w:highlight w:val="none"/>
              </w:rPr>
              <w:t xml:space="preserve">，360等主流浏览器较新版本</w:t>
            </w:r>
            <w:r>
              <w:rPr>
                <w:rFonts w:hint="eastAsia" w:ascii="仿宋" w:hAnsi="仿宋" w:eastAsia="仿宋" w:cs="宋体"/>
                <w:color w:val="000000"/>
                <w:sz w:val="24"/>
                <w:szCs w:val="24"/>
                <w:highlight w:val="none"/>
              </w:rPr>
            </w:r>
            <w:r/>
          </w:p>
        </w:tc>
      </w:tr>
    </w:tbl>
    <w:p>
      <w:pPr>
        <w:pStyle w:val="673"/>
        <w:ind w:firstLine="420"/>
        <w:spacing w:line="520" w:lineRule="exact"/>
        <w:rPr>
          <w:rFonts w:hint="eastAsia" w:ascii="仿宋" w:hAnsi="仿宋" w:eastAsia="仿宋"/>
          <w:color w:val="000000"/>
          <w:highlight w:val="none"/>
        </w:rPr>
      </w:pPr>
      <w:r>
        <w:rPr>
          <w:rFonts w:hint="eastAsia" w:ascii="仿宋" w:hAnsi="仿宋" w:eastAsia="仿宋"/>
          <w:color w:val="000000"/>
          <w:highlight w:val="none"/>
        </w:rPr>
        <w:t xml:space="preserve">建筑工地智慧监管子系统性能需求如下：</w:t>
      </w:r>
      <w:r>
        <w:rPr>
          <w:rFonts w:hint="eastAsia" w:ascii="仿宋" w:hAnsi="仿宋" w:eastAsia="仿宋"/>
          <w:color w:val="000000"/>
          <w:highlight w:val="none"/>
        </w:rPr>
      </w:r>
      <w:r/>
    </w:p>
    <w:tbl>
      <w:tblPr>
        <w:tblW w:w="8730" w:type="dxa"/>
        <w:tblInd w:w="-60" w:type="dxa"/>
        <w:tblLayout w:type="autofit"/>
        <w:tblCellMar>
          <w:left w:w="60" w:type="dxa"/>
          <w:top w:w="60" w:type="dxa"/>
          <w:right w:w="60" w:type="dxa"/>
          <w:bottom w:w="45" w:type="dxa"/>
        </w:tblCellMar>
        <w:tblLook w:val="04A0" w:firstRow="1" w:lastRow="0" w:firstColumn="1" w:lastColumn="0" w:noHBand="0" w:noVBand="1"/>
      </w:tblPr>
      <w:tblGrid>
        <w:gridCol w:w="2656"/>
        <w:gridCol w:w="6074"/>
      </w:tblGrid>
      <w:tr>
        <w:trPr>
          <w:trHeight w:val="405"/>
        </w:trPr>
        <w:tc>
          <w:tcPr>
            <w:shd w:val="clear" w:color="auto" w:fill="d9d9d9"/>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56" w:type="dxa"/>
            <w:vAlign w:val="top"/>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b/>
                <w:bCs/>
                <w:color w:val="000000"/>
                <w:sz w:val="24"/>
                <w:szCs w:val="24"/>
                <w:highlight w:val="none"/>
              </w:rPr>
              <w:t xml:space="preserve">项目</w:t>
            </w:r>
            <w:r>
              <w:rPr>
                <w:rFonts w:hint="eastAsia" w:ascii="仿宋" w:hAnsi="仿宋" w:eastAsia="仿宋" w:cs="宋体"/>
                <w:color w:val="000000"/>
                <w:sz w:val="24"/>
                <w:szCs w:val="24"/>
                <w:highlight w:val="none"/>
              </w:rPr>
            </w:r>
            <w:r/>
          </w:p>
        </w:tc>
        <w:tc>
          <w:tcPr>
            <w:shd w:val="clear" w:color="auto" w:fill="d9d9d9"/>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74" w:type="dxa"/>
            <w:vAlign w:val="top"/>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b/>
                <w:bCs/>
                <w:color w:val="000000"/>
                <w:sz w:val="24"/>
                <w:szCs w:val="24"/>
                <w:highlight w:val="none"/>
              </w:rPr>
              <w:t xml:space="preserve">指标</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56" w:type="dxa"/>
            <w:vAlign w:val="top"/>
            <w:textDirection w:val="lrTb"/>
            <w:noWrap w:val="false"/>
          </w:tcPr>
          <w:p>
            <w:pPr>
              <w:pStyle w:val="668"/>
              <w:jc w:val="center"/>
              <w:spacing w:line="520" w:lineRule="exac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并发用户数</w:t>
            </w:r>
            <w:r>
              <w:rPr>
                <w:rFonts w:hint="eastAsia" w:ascii="仿宋" w:hAnsi="仿宋" w:eastAsia="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74" w:type="dxa"/>
            <w:vAlign w:val="top"/>
            <w:textDirection w:val="lrTb"/>
            <w:noWrap w:val="false"/>
          </w:tcPr>
          <w:p>
            <w:pPr>
              <w:pStyle w:val="668"/>
              <w:jc w:val="center"/>
              <w:spacing w:line="520" w:lineRule="exac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10个，主要是内部用户使用</w:t>
            </w:r>
            <w:r>
              <w:rPr>
                <w:rFonts w:hint="eastAsia" w:ascii="仿宋" w:hAnsi="仿宋" w:eastAsia="仿宋"/>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56" w:type="dxa"/>
            <w:vAlign w:val="top"/>
            <w:textDirection w:val="lrTb"/>
            <w:noWrap w:val="false"/>
          </w:tcPr>
          <w:p>
            <w:pPr>
              <w:pStyle w:val="668"/>
              <w:jc w:val="center"/>
              <w:spacing w:line="520" w:lineRule="exac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峰值并发用户数</w:t>
            </w:r>
            <w:r>
              <w:rPr>
                <w:rFonts w:hint="eastAsia" w:ascii="仿宋" w:hAnsi="仿宋" w:eastAsia="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74" w:type="dxa"/>
            <w:vAlign w:val="top"/>
            <w:textDirection w:val="lrTb"/>
            <w:noWrap w:val="false"/>
          </w:tcPr>
          <w:p>
            <w:pPr>
              <w:pStyle w:val="668"/>
              <w:jc w:val="center"/>
              <w:spacing w:line="520" w:lineRule="exac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20个</w:t>
            </w:r>
            <w:r>
              <w:rPr>
                <w:rFonts w:hint="eastAsia" w:ascii="仿宋" w:hAnsi="仿宋" w:eastAsia="仿宋"/>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56" w:type="dxa"/>
            <w:vAlign w:val="top"/>
            <w:textDirection w:val="lrTb"/>
            <w:noWrap w:val="false"/>
          </w:tcPr>
          <w:p>
            <w:pPr>
              <w:pStyle w:val="668"/>
              <w:jc w:val="center"/>
              <w:spacing w:line="520" w:lineRule="exac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页面加载时间</w:t>
            </w:r>
            <w:r>
              <w:rPr>
                <w:rFonts w:hint="eastAsia" w:ascii="仿宋" w:hAnsi="仿宋" w:eastAsia="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74" w:type="dxa"/>
            <w:vAlign w:val="top"/>
            <w:textDirection w:val="lrTb"/>
            <w:noWrap w:val="false"/>
          </w:tcPr>
          <w:p>
            <w:pPr>
              <w:pStyle w:val="668"/>
              <w:jc w:val="center"/>
              <w:spacing w:line="520" w:lineRule="exac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&lt;5秒</w:t>
            </w:r>
            <w:r>
              <w:rPr>
                <w:rFonts w:hint="eastAsia" w:ascii="仿宋" w:hAnsi="仿宋" w:eastAsia="仿宋"/>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56" w:type="dxa"/>
            <w:vAlign w:val="top"/>
            <w:textDirection w:val="lrTb"/>
            <w:noWrap w:val="false"/>
          </w:tcPr>
          <w:p>
            <w:pPr>
              <w:pStyle w:val="668"/>
              <w:jc w:val="center"/>
              <w:spacing w:line="520" w:lineRule="exac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页面加载最大时间</w:t>
            </w:r>
            <w:r>
              <w:rPr>
                <w:rFonts w:hint="eastAsia" w:ascii="仿宋" w:hAnsi="仿宋" w:eastAsia="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74" w:type="dxa"/>
            <w:vAlign w:val="top"/>
            <w:textDirection w:val="lrTb"/>
            <w:noWrap w:val="false"/>
          </w:tcPr>
          <w:p>
            <w:pPr>
              <w:pStyle w:val="668"/>
              <w:jc w:val="center"/>
              <w:spacing w:line="520" w:lineRule="exac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&lt;10秒</w:t>
            </w:r>
            <w:r>
              <w:rPr>
                <w:rFonts w:hint="eastAsia" w:ascii="仿宋" w:hAnsi="仿宋" w:eastAsia="仿宋"/>
                <w:color w:val="000000"/>
                <w:sz w:val="24"/>
                <w:szCs w:val="24"/>
                <w:highlight w:val="none"/>
              </w:rPr>
            </w:r>
            <w:r/>
          </w:p>
          <w:p>
            <w:pPr>
              <w:pStyle w:val="668"/>
              <w:jc w:val="center"/>
              <w:spacing w:line="520" w:lineRule="exac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复杂报表&lt;30秒</w:t>
            </w:r>
            <w:r>
              <w:rPr>
                <w:rFonts w:hint="eastAsia" w:ascii="仿宋" w:hAnsi="仿宋" w:eastAsia="仿宋"/>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56" w:type="dxa"/>
            <w:vAlign w:val="top"/>
            <w:textDirection w:val="lrTb"/>
            <w:noWrap w:val="false"/>
          </w:tcPr>
          <w:p>
            <w:pPr>
              <w:pStyle w:val="668"/>
              <w:jc w:val="center"/>
              <w:spacing w:line="520" w:lineRule="exact"/>
              <w:rPr>
                <w:rFonts w:hint="eastAsia" w:ascii="仿宋" w:hAnsi="仿宋" w:eastAsia="仿宋"/>
                <w:color w:val="000000"/>
                <w:sz w:val="24"/>
                <w:szCs w:val="24"/>
                <w:highlight w:val="none"/>
              </w:rPr>
            </w:pPr>
            <w:r>
              <w:rPr>
                <w:rFonts w:ascii="仿宋" w:hAnsi="仿宋" w:eastAsia="仿宋"/>
                <w:color w:val="000000"/>
                <w:sz w:val="24"/>
                <w:szCs w:val="24"/>
                <w:highlight w:val="none"/>
              </w:rPr>
              <w:t xml:space="preserve">系统可用率</w:t>
            </w:r>
            <w:r>
              <w:rPr>
                <w:rFonts w:hint="eastAsia" w:ascii="仿宋" w:hAnsi="仿宋" w:eastAsia="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74" w:type="dxa"/>
            <w:vAlign w:val="top"/>
            <w:textDirection w:val="lrTb"/>
            <w:noWrap w:val="false"/>
          </w:tcPr>
          <w:p>
            <w:pPr>
              <w:pStyle w:val="668"/>
              <w:jc w:val="center"/>
              <w:spacing w:line="520" w:lineRule="exac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&gt;95%</w:t>
            </w:r>
            <w:r>
              <w:rPr>
                <w:rFonts w:hint="eastAsia" w:ascii="仿宋" w:hAnsi="仿宋" w:eastAsia="仿宋"/>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56" w:type="dxa"/>
            <w:vAlign w:val="top"/>
            <w:textDirection w:val="lrTb"/>
            <w:noWrap w:val="false"/>
          </w:tcPr>
          <w:p>
            <w:pPr>
              <w:pStyle w:val="668"/>
              <w:jc w:val="center"/>
              <w:spacing w:line="520" w:lineRule="exac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浏览器支持</w:t>
            </w:r>
            <w:r>
              <w:rPr>
                <w:rFonts w:hint="eastAsia" w:ascii="仿宋" w:hAnsi="仿宋" w:eastAsia="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74" w:type="dxa"/>
            <w:vAlign w:val="top"/>
            <w:textDirection w:val="lrTb"/>
            <w:noWrap w:val="false"/>
          </w:tcPr>
          <w:p>
            <w:pPr>
              <w:pStyle w:val="668"/>
              <w:jc w:val="center"/>
              <w:spacing w:line="520" w:lineRule="exact"/>
              <w:rPr>
                <w:rFonts w:hint="eastAsia" w:ascii="仿宋" w:hAnsi="仿宋" w:eastAsia="仿宋"/>
                <w:color w:val="000000"/>
                <w:sz w:val="24"/>
                <w:szCs w:val="24"/>
                <w:highlight w:val="none"/>
              </w:rPr>
            </w:pPr>
            <w:r>
              <w:rPr>
                <w:rFonts w:hint="eastAsia" w:ascii="仿宋" w:hAnsi="仿宋" w:eastAsia="仿宋" w:cs="宋体"/>
                <w:color w:val="000000"/>
                <w:sz w:val="24"/>
                <w:szCs w:val="24"/>
                <w:highlight w:val="none"/>
              </w:rPr>
              <w:t xml:space="preserve">支持Edge，Chrome，Firefox，</w:t>
            </w:r>
            <w:r>
              <w:rPr>
                <w:rFonts w:ascii="仿宋" w:hAnsi="仿宋" w:eastAsia="仿宋" w:cs="宋体"/>
                <w:color w:val="000000"/>
                <w:sz w:val="24"/>
                <w:szCs w:val="24"/>
                <w:highlight w:val="none"/>
              </w:rPr>
              <w:t xml:space="preserve">奇安信</w:t>
            </w:r>
            <w:r>
              <w:rPr>
                <w:rFonts w:hint="eastAsia" w:ascii="仿宋" w:hAnsi="仿宋" w:eastAsia="仿宋" w:cs="宋体"/>
                <w:color w:val="000000"/>
                <w:sz w:val="24"/>
                <w:szCs w:val="24"/>
                <w:highlight w:val="none"/>
              </w:rPr>
              <w:t xml:space="preserve">，360等主流浏览器较新版本</w:t>
            </w:r>
            <w:r>
              <w:rPr>
                <w:rFonts w:hint="eastAsia" w:ascii="仿宋" w:hAnsi="仿宋" w:eastAsia="仿宋"/>
                <w:color w:val="000000"/>
                <w:sz w:val="24"/>
                <w:szCs w:val="24"/>
                <w:highlight w:val="none"/>
              </w:rPr>
            </w:r>
            <w:r/>
          </w:p>
        </w:tc>
      </w:tr>
    </w:tbl>
    <w:p>
      <w:pPr>
        <w:pStyle w:val="673"/>
        <w:ind w:firstLine="420"/>
        <w:spacing w:line="520" w:lineRule="exact"/>
        <w:rPr>
          <w:rFonts w:hint="eastAsia" w:ascii="仿宋" w:hAnsi="仿宋" w:eastAsia="仿宋"/>
          <w:color w:val="000000"/>
          <w:highlight w:val="none"/>
        </w:rPr>
      </w:pPr>
      <w:r>
        <w:rPr>
          <w:rFonts w:hint="eastAsia" w:ascii="仿宋" w:hAnsi="仿宋" w:eastAsia="仿宋"/>
          <w:color w:val="000000"/>
          <w:highlight w:val="none"/>
        </w:rPr>
        <w:t xml:space="preserve">城市基础设施配套费征收系统性能需求如下：</w:t>
      </w:r>
      <w:r>
        <w:rPr>
          <w:rFonts w:hint="eastAsia" w:ascii="仿宋" w:hAnsi="仿宋" w:eastAsia="仿宋"/>
          <w:color w:val="000000"/>
          <w:highlight w:val="none"/>
        </w:rPr>
      </w:r>
      <w:r/>
    </w:p>
    <w:tbl>
      <w:tblPr>
        <w:tblW w:w="8730" w:type="dxa"/>
        <w:jc w:val="center"/>
        <w:tblInd w:w="-60" w:type="dxa"/>
        <w:tblLayout w:type="autofit"/>
        <w:tblCellMar>
          <w:left w:w="60" w:type="dxa"/>
          <w:top w:w="60" w:type="dxa"/>
          <w:right w:w="60" w:type="dxa"/>
          <w:bottom w:w="45" w:type="dxa"/>
        </w:tblCellMar>
        <w:tblLook w:val="04A0" w:firstRow="1" w:lastRow="0" w:firstColumn="1" w:lastColumn="0" w:noHBand="0" w:noVBand="1"/>
      </w:tblPr>
      <w:tblGrid>
        <w:gridCol w:w="2656"/>
        <w:gridCol w:w="6074"/>
      </w:tblGrid>
      <w:tr>
        <w:trPr>
          <w:trHeight w:val="405"/>
        </w:trPr>
        <w:tc>
          <w:tcPr>
            <w:shd w:val="clear" w:color="auto" w:fill="d9d9d9"/>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56"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b/>
                <w:bCs/>
                <w:color w:val="000000"/>
                <w:sz w:val="24"/>
                <w:szCs w:val="24"/>
                <w:highlight w:val="none"/>
              </w:rPr>
              <w:t xml:space="preserve">项目</w:t>
            </w:r>
            <w:r>
              <w:rPr>
                <w:rFonts w:hint="eastAsia" w:ascii="仿宋" w:hAnsi="仿宋" w:eastAsia="仿宋" w:cs="宋体"/>
                <w:color w:val="000000"/>
                <w:sz w:val="24"/>
                <w:szCs w:val="24"/>
                <w:highlight w:val="none"/>
              </w:rPr>
            </w:r>
            <w:r/>
          </w:p>
        </w:tc>
        <w:tc>
          <w:tcPr>
            <w:shd w:val="clear" w:color="auto" w:fill="d9d9d9"/>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74"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b/>
                <w:bCs/>
                <w:color w:val="000000"/>
                <w:sz w:val="24"/>
                <w:szCs w:val="24"/>
                <w:highlight w:val="none"/>
              </w:rPr>
              <w:t xml:space="preserve">指标</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56"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并发用户数</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74"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10个，主要是内部用户使用</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56"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峰值并发用户数</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74"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20个</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56"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页面加载时间</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74"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&lt;5秒</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56"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页面加载最大时间</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74"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&lt;10秒</w:t>
            </w:r>
            <w:r>
              <w:rPr>
                <w:rFonts w:hint="eastAsia" w:ascii="仿宋" w:hAnsi="仿宋" w:eastAsia="仿宋" w:cs="宋体"/>
                <w:color w:val="000000"/>
                <w:sz w:val="24"/>
                <w:szCs w:val="24"/>
                <w:highlight w:val="none"/>
              </w:rPr>
            </w:r>
            <w:r/>
          </w:p>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复杂报表&lt;30秒</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56"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系统可用率</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74"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&gt;95%</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56"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浏览器支持</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74"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支持Edge，Chrome，Firefox，</w:t>
            </w:r>
            <w:r>
              <w:rPr>
                <w:rFonts w:ascii="仿宋" w:hAnsi="仿宋" w:eastAsia="仿宋" w:cs="宋体"/>
                <w:color w:val="000000"/>
                <w:sz w:val="24"/>
                <w:szCs w:val="24"/>
                <w:highlight w:val="none"/>
              </w:rPr>
              <w:t xml:space="preserve">奇安信</w:t>
            </w:r>
            <w:r>
              <w:rPr>
                <w:rFonts w:hint="eastAsia" w:ascii="仿宋" w:hAnsi="仿宋" w:eastAsia="仿宋" w:cs="宋体"/>
                <w:color w:val="000000"/>
                <w:sz w:val="24"/>
                <w:szCs w:val="24"/>
                <w:highlight w:val="none"/>
              </w:rPr>
              <w:t xml:space="preserve">，360等主流浏览器较新版本</w:t>
            </w:r>
            <w:r>
              <w:rPr>
                <w:rFonts w:hint="eastAsia" w:ascii="仿宋" w:hAnsi="仿宋" w:eastAsia="仿宋" w:cs="宋体"/>
                <w:color w:val="000000"/>
                <w:sz w:val="24"/>
                <w:szCs w:val="24"/>
                <w:highlight w:val="none"/>
              </w:rPr>
            </w:r>
            <w:r/>
          </w:p>
        </w:tc>
      </w:tr>
    </w:tbl>
    <w:p>
      <w:pPr>
        <w:pStyle w:val="672"/>
        <w:ind w:left="480"/>
        <w:spacing w:line="520" w:lineRule="exact"/>
        <w:rPr>
          <w:rFonts w:hint="eastAsia" w:ascii="仿宋" w:hAnsi="仿宋" w:eastAsia="仿宋"/>
          <w:b w:val="0"/>
          <w:bCs w:val="0"/>
          <w:color w:val="000000"/>
          <w:highlight w:val="none"/>
        </w:rPr>
      </w:pPr>
      <w:r/>
      <w:bookmarkStart w:id="193" w:name="_Toc197530852"/>
      <w:r>
        <w:rPr>
          <w:rFonts w:hint="eastAsia" w:ascii="仿宋" w:hAnsi="仿宋" w:eastAsia="仿宋"/>
          <w:b w:val="0"/>
          <w:bCs w:val="0"/>
          <w:color w:val="000000"/>
          <w:highlight w:val="none"/>
        </w:rPr>
        <w:t xml:space="preserve">招投标活动监管</w:t>
      </w:r>
      <w:bookmarkEnd w:id="193"/>
      <w:r>
        <w:rPr>
          <w:rFonts w:hint="eastAsia" w:ascii="仿宋" w:hAnsi="仿宋" w:eastAsia="仿宋"/>
          <w:b w:val="0"/>
          <w:bCs w:val="0"/>
          <w:color w:val="000000"/>
          <w:highlight w:val="none"/>
        </w:rPr>
        <w:t xml:space="preserve">子系统性能需求如下：</w:t>
      </w:r>
      <w:r>
        <w:rPr>
          <w:rFonts w:hint="eastAsia" w:ascii="仿宋" w:hAnsi="仿宋" w:eastAsia="仿宋"/>
          <w:b w:val="0"/>
          <w:bCs w:val="0"/>
          <w:color w:val="000000"/>
          <w:highlight w:val="none"/>
        </w:rPr>
      </w:r>
      <w:r/>
    </w:p>
    <w:tbl>
      <w:tblPr>
        <w:tblW w:w="8730" w:type="dxa"/>
        <w:tblInd w:w="-60" w:type="dxa"/>
        <w:tblLayout w:type="autofit"/>
        <w:tblCellMar>
          <w:left w:w="60" w:type="dxa"/>
          <w:top w:w="60" w:type="dxa"/>
          <w:right w:w="60" w:type="dxa"/>
          <w:bottom w:w="45" w:type="dxa"/>
        </w:tblCellMar>
        <w:tblLook w:val="04A0" w:firstRow="1" w:lastRow="0" w:firstColumn="1" w:lastColumn="0" w:noHBand="0" w:noVBand="1"/>
      </w:tblPr>
      <w:tblGrid>
        <w:gridCol w:w="2806"/>
        <w:gridCol w:w="5924"/>
      </w:tblGrid>
      <w:tr>
        <w:trPr>
          <w:trHeight w:val="405"/>
        </w:trPr>
        <w:tc>
          <w:tcPr>
            <w:shd w:val="clear" w:color="auto" w:fill="d9d9d9"/>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806"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b/>
                <w:bCs/>
                <w:color w:val="000000"/>
                <w:sz w:val="24"/>
                <w:szCs w:val="24"/>
                <w:highlight w:val="none"/>
              </w:rPr>
              <w:t xml:space="preserve">项目</w:t>
            </w:r>
            <w:r>
              <w:rPr>
                <w:rFonts w:hint="eastAsia" w:ascii="仿宋" w:hAnsi="仿宋" w:eastAsia="仿宋" w:cs="宋体"/>
                <w:color w:val="000000"/>
                <w:sz w:val="24"/>
                <w:szCs w:val="24"/>
                <w:highlight w:val="none"/>
              </w:rPr>
            </w:r>
            <w:r/>
          </w:p>
        </w:tc>
        <w:tc>
          <w:tcPr>
            <w:shd w:val="clear" w:color="auto" w:fill="d9d9d9"/>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5924"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b/>
                <w:bCs/>
                <w:color w:val="000000"/>
                <w:sz w:val="24"/>
                <w:szCs w:val="24"/>
                <w:highlight w:val="none"/>
              </w:rPr>
              <w:t xml:space="preserve">指标</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806"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并发用户数</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5924"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10个，主要是内部用户使用</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806"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峰值并发用户数</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5924"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20个</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806"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页面加载时间</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5924"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&lt;5秒</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806"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页面加载最大时间</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5924"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&lt;10秒</w:t>
            </w:r>
            <w:r>
              <w:rPr>
                <w:rFonts w:hint="eastAsia" w:ascii="仿宋" w:hAnsi="仿宋" w:eastAsia="仿宋" w:cs="宋体"/>
                <w:color w:val="000000"/>
                <w:sz w:val="24"/>
                <w:szCs w:val="24"/>
                <w:highlight w:val="none"/>
              </w:rPr>
            </w:r>
            <w:r/>
          </w:p>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复杂报表&lt;30秒</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806"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系统可用率</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5924"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&gt;95%</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806"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浏览器支持</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5924"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支持Edge，Chrome，Firefox，</w:t>
            </w:r>
            <w:r>
              <w:rPr>
                <w:rFonts w:ascii="仿宋" w:hAnsi="仿宋" w:eastAsia="仿宋" w:cs="宋体"/>
                <w:color w:val="000000"/>
                <w:sz w:val="24"/>
                <w:szCs w:val="24"/>
                <w:highlight w:val="none"/>
              </w:rPr>
              <w:t xml:space="preserve">奇安信</w:t>
            </w:r>
            <w:r>
              <w:rPr>
                <w:rFonts w:hint="eastAsia" w:ascii="仿宋" w:hAnsi="仿宋" w:eastAsia="仿宋" w:cs="宋体"/>
                <w:color w:val="000000"/>
                <w:sz w:val="24"/>
                <w:szCs w:val="24"/>
                <w:highlight w:val="none"/>
              </w:rPr>
              <w:t xml:space="preserve">，360等主流浏览器较新版本</w:t>
            </w:r>
            <w:r>
              <w:rPr>
                <w:rFonts w:hint="eastAsia" w:ascii="仿宋" w:hAnsi="仿宋" w:eastAsia="仿宋" w:cs="宋体"/>
                <w:color w:val="000000"/>
                <w:sz w:val="24"/>
                <w:szCs w:val="24"/>
                <w:highlight w:val="none"/>
              </w:rPr>
            </w:r>
            <w:r/>
          </w:p>
        </w:tc>
      </w:tr>
    </w:tbl>
    <w:p>
      <w:pPr>
        <w:pStyle w:val="672"/>
        <w:ind w:left="480"/>
        <w:spacing w:line="520" w:lineRule="exact"/>
        <w:rPr>
          <w:rFonts w:hint="eastAsia" w:ascii="仿宋" w:hAnsi="仿宋" w:eastAsia="仿宋"/>
          <w:b w:val="0"/>
          <w:bCs w:val="0"/>
          <w:color w:val="000000"/>
          <w:highlight w:val="none"/>
        </w:rPr>
      </w:pPr>
      <w:r/>
      <w:bookmarkStart w:id="194" w:name="_Toc197530853"/>
      <w:r>
        <w:rPr>
          <w:rFonts w:hint="eastAsia" w:ascii="仿宋" w:hAnsi="仿宋" w:eastAsia="仿宋"/>
          <w:b w:val="0"/>
          <w:bCs w:val="0"/>
          <w:color w:val="000000"/>
          <w:highlight w:val="none"/>
        </w:rPr>
        <w:t xml:space="preserve">升级BIM施工图智能审查子系统</w:t>
      </w:r>
      <w:bookmarkEnd w:id="194"/>
      <w:r>
        <w:rPr>
          <w:rFonts w:hint="eastAsia" w:ascii="仿宋" w:hAnsi="仿宋" w:eastAsia="仿宋"/>
          <w:b w:val="0"/>
          <w:bCs w:val="0"/>
          <w:color w:val="000000"/>
          <w:highlight w:val="none"/>
        </w:rPr>
        <w:t xml:space="preserve">性能需求如下：</w:t>
      </w:r>
      <w:r>
        <w:rPr>
          <w:rFonts w:hint="eastAsia" w:ascii="仿宋" w:hAnsi="仿宋" w:eastAsia="仿宋"/>
          <w:b w:val="0"/>
          <w:bCs w:val="0"/>
          <w:color w:val="000000"/>
          <w:highlight w:val="none"/>
        </w:rPr>
      </w:r>
      <w:r/>
    </w:p>
    <w:tbl>
      <w:tblPr>
        <w:tblW w:w="8730" w:type="dxa"/>
        <w:jc w:val="center"/>
        <w:tblInd w:w="-60" w:type="dxa"/>
        <w:tblLayout w:type="autofit"/>
        <w:tblCellMar>
          <w:left w:w="60" w:type="dxa"/>
          <w:top w:w="60" w:type="dxa"/>
          <w:right w:w="60" w:type="dxa"/>
          <w:bottom w:w="45" w:type="dxa"/>
        </w:tblCellMar>
        <w:tblLook w:val="04A0" w:firstRow="1" w:lastRow="0" w:firstColumn="1" w:lastColumn="0" w:noHBand="0" w:noVBand="1"/>
      </w:tblPr>
      <w:tblGrid>
        <w:gridCol w:w="2665"/>
        <w:gridCol w:w="6065"/>
      </w:tblGrid>
      <w:tr>
        <w:trPr>
          <w:trHeight w:val="405"/>
        </w:trPr>
        <w:tc>
          <w:tcPr>
            <w:shd w:val="clear" w:color="auto" w:fill="d9d9d9"/>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65"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b/>
                <w:bCs/>
                <w:color w:val="000000"/>
                <w:sz w:val="24"/>
                <w:szCs w:val="24"/>
                <w:highlight w:val="none"/>
              </w:rPr>
              <w:t xml:space="preserve">项目</w:t>
            </w:r>
            <w:r>
              <w:rPr>
                <w:rFonts w:hint="eastAsia" w:ascii="仿宋" w:hAnsi="仿宋" w:eastAsia="仿宋" w:cs="宋体"/>
                <w:color w:val="000000"/>
                <w:sz w:val="24"/>
                <w:szCs w:val="24"/>
                <w:highlight w:val="none"/>
              </w:rPr>
            </w:r>
            <w:r/>
          </w:p>
        </w:tc>
        <w:tc>
          <w:tcPr>
            <w:shd w:val="clear" w:color="auto" w:fill="d9d9d9"/>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65"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b/>
                <w:bCs/>
                <w:color w:val="000000"/>
                <w:sz w:val="24"/>
                <w:szCs w:val="24"/>
                <w:highlight w:val="none"/>
              </w:rPr>
              <w:t xml:space="preserve">指标</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65"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并发用户数</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65"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50个</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65"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峰值并发用户数</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65"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200个</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65"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页面加载时间</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65"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&lt;5秒</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65"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页面加载最大时间</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65"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&lt;10秒</w:t>
            </w:r>
            <w:r>
              <w:rPr>
                <w:rFonts w:hint="eastAsia" w:ascii="仿宋" w:hAnsi="仿宋" w:eastAsia="仿宋" w:cs="宋体"/>
                <w:color w:val="000000"/>
                <w:sz w:val="24"/>
                <w:szCs w:val="24"/>
                <w:highlight w:val="none"/>
              </w:rPr>
            </w:r>
            <w:r/>
          </w:p>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复杂报表&lt;30秒</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65"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事务处理时间</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65"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业务操作&lt;10秒</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65"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系统可用率</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65"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&gt;95%</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65"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浏览器支持</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65"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支持Edge，Chrome，Firefox，</w:t>
            </w:r>
            <w:r>
              <w:rPr>
                <w:rFonts w:ascii="仿宋" w:hAnsi="仿宋" w:eastAsia="仿宋" w:cs="宋体"/>
                <w:color w:val="000000"/>
                <w:sz w:val="24"/>
                <w:szCs w:val="24"/>
                <w:highlight w:val="none"/>
              </w:rPr>
              <w:t xml:space="preserve">奇安信</w:t>
            </w:r>
            <w:r>
              <w:rPr>
                <w:rFonts w:hint="eastAsia" w:ascii="仿宋" w:hAnsi="仿宋" w:eastAsia="仿宋" w:cs="宋体"/>
                <w:color w:val="000000"/>
                <w:sz w:val="24"/>
                <w:szCs w:val="24"/>
                <w:highlight w:val="none"/>
              </w:rPr>
              <w:t xml:space="preserve">，360等主流浏览器较新版本</w:t>
            </w:r>
            <w:r>
              <w:rPr>
                <w:rFonts w:hint="eastAsia" w:ascii="仿宋" w:hAnsi="仿宋" w:eastAsia="仿宋" w:cs="宋体"/>
                <w:color w:val="000000"/>
                <w:sz w:val="24"/>
                <w:szCs w:val="24"/>
                <w:highlight w:val="none"/>
              </w:rPr>
            </w:r>
            <w:r/>
          </w:p>
        </w:tc>
      </w:tr>
    </w:tbl>
    <w:p>
      <w:pPr>
        <w:pStyle w:val="672"/>
        <w:ind w:left="480"/>
        <w:spacing w:line="520" w:lineRule="exact"/>
        <w:rPr>
          <w:rFonts w:hint="eastAsia" w:ascii="仿宋" w:hAnsi="仿宋" w:eastAsia="仿宋"/>
          <w:color w:val="000000"/>
          <w:highlight w:val="none"/>
        </w:rPr>
      </w:pPr>
      <w:r/>
      <w:bookmarkStart w:id="195" w:name="_Toc197530854"/>
      <w:r>
        <w:rPr>
          <w:rFonts w:hint="eastAsia" w:ascii="仿宋" w:hAnsi="仿宋" w:eastAsia="仿宋"/>
          <w:b w:val="0"/>
          <w:bCs w:val="0"/>
          <w:color w:val="000000"/>
          <w:highlight w:val="none"/>
        </w:rPr>
        <w:t xml:space="preserve">“卖旧买新</w:t>
      </w:r>
      <w:r>
        <w:rPr>
          <w:rFonts w:ascii="仿宋" w:hAnsi="仿宋" w:eastAsia="仿宋"/>
          <w:b w:val="0"/>
          <w:bCs w:val="0"/>
          <w:color w:val="000000"/>
          <w:highlight w:val="none"/>
        </w:rPr>
        <w:t xml:space="preserve">”</w:t>
      </w:r>
      <w:r>
        <w:rPr>
          <w:rFonts w:hint="eastAsia" w:ascii="仿宋" w:hAnsi="仿宋" w:eastAsia="仿宋"/>
          <w:b w:val="0"/>
          <w:bCs w:val="0"/>
          <w:color w:val="000000"/>
          <w:highlight w:val="none"/>
        </w:rPr>
        <w:t xml:space="preserve">契税补贴资格管理功能模块</w:t>
      </w:r>
      <w:bookmarkEnd w:id="195"/>
      <w:r>
        <w:rPr>
          <w:rFonts w:hint="eastAsia" w:ascii="仿宋" w:hAnsi="仿宋" w:eastAsia="仿宋"/>
          <w:b w:val="0"/>
          <w:bCs w:val="0"/>
          <w:color w:val="000000"/>
          <w:highlight w:val="none"/>
        </w:rPr>
        <w:t xml:space="preserve">性能需求如下：</w:t>
      </w:r>
      <w:r>
        <w:rPr>
          <w:rFonts w:hint="eastAsia" w:ascii="仿宋" w:hAnsi="仿宋" w:eastAsia="仿宋"/>
          <w:color w:val="000000"/>
          <w:highlight w:val="none"/>
        </w:rPr>
      </w:r>
      <w:r/>
    </w:p>
    <w:tbl>
      <w:tblPr>
        <w:tblW w:w="8730" w:type="dxa"/>
        <w:jc w:val="center"/>
        <w:tblInd w:w="-60" w:type="dxa"/>
        <w:tblLayout w:type="autofit"/>
        <w:tblCellMar>
          <w:left w:w="60" w:type="dxa"/>
          <w:top w:w="60" w:type="dxa"/>
          <w:right w:w="60" w:type="dxa"/>
          <w:bottom w:w="45" w:type="dxa"/>
        </w:tblCellMar>
        <w:tblLook w:val="04A0" w:firstRow="1" w:lastRow="0" w:firstColumn="1" w:lastColumn="0" w:noHBand="0" w:noVBand="1"/>
      </w:tblPr>
      <w:tblGrid>
        <w:gridCol w:w="2665"/>
        <w:gridCol w:w="6065"/>
      </w:tblGrid>
      <w:tr>
        <w:trPr>
          <w:trHeight w:val="475"/>
        </w:trPr>
        <w:tc>
          <w:tcPr>
            <w:shd w:val="clear" w:color="auto" w:fill="d9d9d9"/>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65"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b/>
                <w:bCs/>
                <w:color w:val="000000"/>
                <w:sz w:val="24"/>
                <w:szCs w:val="24"/>
                <w:highlight w:val="none"/>
              </w:rPr>
              <w:t xml:space="preserve">项目</w:t>
            </w:r>
            <w:r>
              <w:rPr>
                <w:rFonts w:hint="eastAsia" w:ascii="仿宋" w:hAnsi="仿宋" w:eastAsia="仿宋" w:cs="宋体"/>
                <w:color w:val="000000"/>
                <w:sz w:val="24"/>
                <w:szCs w:val="24"/>
                <w:highlight w:val="none"/>
              </w:rPr>
            </w:r>
            <w:r/>
          </w:p>
        </w:tc>
        <w:tc>
          <w:tcPr>
            <w:shd w:val="clear" w:color="auto" w:fill="d9d9d9"/>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65"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b/>
                <w:bCs/>
                <w:color w:val="000000"/>
                <w:sz w:val="24"/>
                <w:szCs w:val="24"/>
                <w:highlight w:val="none"/>
              </w:rPr>
              <w:t xml:space="preserve">指标</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65"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并发用户数</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65"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50个</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65"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峰值并发用户数</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65"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200个</w:t>
            </w:r>
            <w:r>
              <w:rPr>
                <w:rFonts w:hint="eastAsia" w:ascii="仿宋" w:hAnsi="仿宋" w:eastAsia="仿宋" w:cs="宋体"/>
                <w:color w:val="000000"/>
                <w:sz w:val="24"/>
                <w:szCs w:val="24"/>
                <w:highlight w:val="none"/>
              </w:rPr>
            </w:r>
            <w:r/>
          </w:p>
        </w:tc>
      </w:tr>
      <w:tr>
        <w:trPr>
          <w:trHeight w:val="35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65"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页面加载时间</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65"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&lt;5秒</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65"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页面加载最大时间</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65"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&lt;10秒</w:t>
            </w:r>
            <w:r>
              <w:rPr>
                <w:rFonts w:hint="eastAsia" w:ascii="仿宋" w:hAnsi="仿宋" w:eastAsia="仿宋" w:cs="宋体"/>
                <w:color w:val="000000"/>
                <w:sz w:val="24"/>
                <w:szCs w:val="24"/>
                <w:highlight w:val="none"/>
              </w:rPr>
            </w:r>
            <w:r/>
          </w:p>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复杂报表&lt;30秒</w:t>
            </w:r>
            <w:r>
              <w:rPr>
                <w:rFonts w:hint="eastAsia" w:ascii="仿宋" w:hAnsi="仿宋" w:eastAsia="仿宋" w:cs="宋体"/>
                <w:color w:val="000000"/>
                <w:sz w:val="24"/>
                <w:szCs w:val="24"/>
                <w:highlight w:val="none"/>
              </w:rPr>
            </w:r>
            <w:r/>
          </w:p>
        </w:tc>
      </w:tr>
      <w:tr>
        <w:trPr>
          <w:trHeight w:val="400"/>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65"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事务处理时间</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65"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业务操作&lt;10秒</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65"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系统可用率</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65"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&gt;95%</w:t>
            </w:r>
            <w:r>
              <w:rPr>
                <w:rFonts w:hint="eastAsia" w:ascii="仿宋" w:hAnsi="仿宋" w:eastAsia="仿宋" w:cs="宋体"/>
                <w:color w:val="000000"/>
                <w:sz w:val="24"/>
                <w:szCs w:val="24"/>
                <w:highlight w:val="none"/>
              </w:rPr>
            </w:r>
            <w:r/>
          </w:p>
        </w:tc>
      </w:tr>
      <w:tr>
        <w:trPr>
          <w:trHeight w:val="405"/>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2665"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浏览器支持</w:t>
            </w:r>
            <w:r>
              <w:rPr>
                <w:rFonts w:hint="eastAsia" w:ascii="仿宋" w:hAnsi="仿宋" w:eastAsia="仿宋"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065" w:type="dxa"/>
            <w:vAlign w:val="center"/>
            <w:textDirection w:val="lrTb"/>
            <w:noWrap w:val="false"/>
          </w:tcPr>
          <w:p>
            <w:pPr>
              <w:pStyle w:val="668"/>
              <w:jc w:val="center"/>
              <w:spacing w:line="520" w:lineRule="exac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支持Edge，Chrome，Firefox，</w:t>
            </w:r>
            <w:r>
              <w:rPr>
                <w:rFonts w:ascii="仿宋" w:hAnsi="仿宋" w:eastAsia="仿宋" w:cs="宋体"/>
                <w:color w:val="000000"/>
                <w:sz w:val="24"/>
                <w:szCs w:val="24"/>
                <w:highlight w:val="none"/>
              </w:rPr>
              <w:t xml:space="preserve">奇安信</w:t>
            </w:r>
            <w:r>
              <w:rPr>
                <w:rFonts w:hint="eastAsia" w:ascii="仿宋" w:hAnsi="仿宋" w:eastAsia="仿宋" w:cs="宋体"/>
                <w:color w:val="000000"/>
                <w:sz w:val="24"/>
                <w:szCs w:val="24"/>
                <w:highlight w:val="none"/>
              </w:rPr>
              <w:t xml:space="preserve">，360等主流浏览器较新版本</w:t>
            </w:r>
            <w:r>
              <w:rPr>
                <w:rFonts w:hint="eastAsia" w:ascii="仿宋" w:hAnsi="仿宋" w:eastAsia="仿宋" w:cs="宋体"/>
                <w:color w:val="000000"/>
                <w:sz w:val="24"/>
                <w:szCs w:val="24"/>
                <w:highlight w:val="none"/>
              </w:rPr>
            </w:r>
            <w:r/>
          </w:p>
        </w:tc>
      </w:tr>
    </w:tbl>
    <w:p>
      <w:pPr>
        <w:pStyle w:val="668"/>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四、网络和数据安全要求</w:t>
      </w:r>
      <w:r>
        <w:rPr>
          <w:rFonts w:hint="eastAsia" w:ascii="仿宋" w:hAnsi="仿宋" w:eastAsia="仿宋"/>
          <w:b/>
          <w:bCs/>
          <w:color w:val="000000"/>
          <w:sz w:val="28"/>
          <w:szCs w:val="36"/>
          <w:highlight w:val="none"/>
        </w:rPr>
      </w:r>
      <w:r/>
    </w:p>
    <w:p>
      <w:pPr>
        <w:pStyle w:val="668"/>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应采用成熟的技术架构，符合国家信创体系建设要求。依据《信息安全技术网络安全等级保护基本要求》等技术标准，本项目安全等级设定为三级。系统开发过程中应当采取必要措施确保应用安全、数据库安全，建成后应当能确保通过等级保护测评、密码测评和软件测评</w:t>
      </w:r>
      <w:r>
        <w:rPr>
          <w:rFonts w:hint="eastAsia" w:ascii="仿宋" w:hAnsi="仿宋" w:eastAsia="仿宋"/>
          <w:b/>
          <w:bCs/>
          <w:color w:val="000000"/>
          <w:sz w:val="28"/>
          <w:szCs w:val="28"/>
          <w:highlight w:val="none"/>
        </w:rPr>
        <w:t xml:space="preserve">（测评费用不包含在本项目报价中）</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68"/>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中标供应商必须保证项目相关技术和数据的秘密，未经采购人许可，不得转存或拷贝平台数据，不得披露平台相关技术和信息。中标供应商未遵守保密要求而引发的一切后果，均由中标供应商自行承担。</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五、商务要求</w:t>
      </w:r>
      <w:r>
        <w:rPr>
          <w:rFonts w:hint="eastAsia" w:ascii="仿宋" w:hAnsi="仿宋" w:eastAsia="仿宋"/>
          <w:b/>
          <w:bCs/>
          <w:color w:val="000000"/>
          <w:sz w:val="28"/>
          <w:szCs w:val="36"/>
          <w:highlight w:val="none"/>
        </w:rPr>
      </w:r>
      <w:r/>
    </w:p>
    <w:p>
      <w:pPr>
        <w:pStyle w:val="668"/>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中标单位应在合同签订生效后3个月内完成项目建设、通过初步验收。试运行3个月后完成项目竣工验收。自通过竣工验收日起，中标单位应在3年内免费运维服务。</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六、知识产权要求</w:t>
      </w:r>
      <w:r>
        <w:rPr>
          <w:rFonts w:hint="eastAsia" w:ascii="仿宋" w:hAnsi="仿宋" w:eastAsia="仿宋"/>
          <w:b/>
          <w:bCs/>
          <w:color w:val="000000"/>
          <w:sz w:val="28"/>
          <w:szCs w:val="36"/>
          <w:highlight w:val="none"/>
        </w:rPr>
      </w:r>
      <w:r/>
    </w:p>
    <w:p>
      <w:pPr>
        <w:pStyle w:val="668"/>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本项目相关的文档、定制开发源代码等知识产权归采购人所有。</w:t>
      </w:r>
      <w:r>
        <w:rPr>
          <w:rFonts w:hint="eastAsia" w:ascii="仿宋" w:hAnsi="仿宋" w:eastAsia="仿宋"/>
          <w:color w:val="000000"/>
          <w:sz w:val="28"/>
          <w:szCs w:val="28"/>
          <w:highlight w:val="none"/>
        </w:rPr>
      </w:r>
      <w:r/>
    </w:p>
    <w:p>
      <w:pPr>
        <w:pStyle w:val="668"/>
        <w:ind w:firstLine="562"/>
        <w:spacing w:line="520" w:lineRule="exact"/>
        <w:rPr>
          <w:rFonts w:hint="eastAsia" w:ascii="仿宋" w:hAnsi="仿宋" w:eastAsia="仿宋"/>
          <w:b/>
          <w:bCs/>
          <w:color w:val="000000"/>
          <w:sz w:val="28"/>
          <w:szCs w:val="36"/>
          <w:highlight w:val="none"/>
        </w:rPr>
      </w:pPr>
      <w:r>
        <w:rPr>
          <w:rFonts w:hint="eastAsia" w:ascii="仿宋" w:hAnsi="仿宋" w:eastAsia="仿宋"/>
          <w:b/>
          <w:bCs/>
          <w:color w:val="000000"/>
          <w:sz w:val="28"/>
          <w:szCs w:val="36"/>
          <w:highlight w:val="none"/>
        </w:rPr>
        <w:t xml:space="preserve">七、履约验收要求</w:t>
      </w:r>
      <w:r>
        <w:rPr>
          <w:rFonts w:hint="eastAsia" w:ascii="仿宋" w:hAnsi="仿宋" w:eastAsia="仿宋"/>
          <w:b/>
          <w:bCs/>
          <w:color w:val="000000"/>
          <w:sz w:val="28"/>
          <w:szCs w:val="36"/>
          <w:highlight w:val="none"/>
        </w:rPr>
      </w:r>
      <w:r/>
    </w:p>
    <w:p>
      <w:pPr>
        <w:pStyle w:val="668"/>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7.1履约验收主体：无锡市住房和城乡建设局</w:t>
      </w:r>
      <w:r>
        <w:rPr>
          <w:rFonts w:hint="eastAsia" w:ascii="仿宋" w:hAnsi="仿宋" w:eastAsia="仿宋"/>
          <w:color w:val="000000"/>
          <w:sz w:val="28"/>
          <w:szCs w:val="28"/>
          <w:highlight w:val="none"/>
        </w:rPr>
      </w:r>
      <w:r/>
    </w:p>
    <w:p>
      <w:pPr>
        <w:pStyle w:val="668"/>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7.2履约验收时间：合同签订生效后3个月内完成初验，6个月内完成竣工验收。</w:t>
      </w:r>
      <w:r>
        <w:rPr>
          <w:rFonts w:hint="eastAsia" w:ascii="仿宋" w:hAnsi="仿宋" w:eastAsia="仿宋"/>
          <w:color w:val="000000"/>
          <w:sz w:val="28"/>
          <w:szCs w:val="28"/>
          <w:highlight w:val="none"/>
        </w:rPr>
      </w:r>
      <w:r/>
    </w:p>
    <w:p>
      <w:pPr>
        <w:pStyle w:val="668"/>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7.3履约验收方式：组织专家验收。</w:t>
      </w:r>
      <w:r>
        <w:rPr>
          <w:rFonts w:hint="eastAsia" w:ascii="仿宋" w:hAnsi="仿宋" w:eastAsia="仿宋"/>
          <w:color w:val="000000"/>
          <w:sz w:val="28"/>
          <w:szCs w:val="28"/>
          <w:highlight w:val="none"/>
        </w:rPr>
      </w:r>
      <w:r/>
    </w:p>
    <w:p>
      <w:pPr>
        <w:pStyle w:val="668"/>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7.4履约验收程序：</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按照《</w:t>
      </w:r>
      <w:r>
        <w:rPr>
          <w:rFonts w:ascii="仿宋" w:hAnsi="仿宋" w:eastAsia="仿宋"/>
          <w:color w:val="000000"/>
          <w:sz w:val="28"/>
          <w:szCs w:val="28"/>
          <w:highlight w:val="none"/>
        </w:rPr>
        <w:t xml:space="preserve">无锡市市级政务信息化项目验收管理办法</w:t>
      </w:r>
      <w:r>
        <w:rPr>
          <w:rFonts w:hint="eastAsia" w:ascii="仿宋" w:hAnsi="仿宋" w:eastAsia="仿宋"/>
          <w:color w:val="000000"/>
          <w:sz w:val="28"/>
          <w:szCs w:val="28"/>
          <w:highlight w:val="none"/>
        </w:rPr>
        <w:t xml:space="preserve">》（以下简称验收管理办法）开展项目验收，主要包括初步验收、档案验收、竣工验收等环节。</w:t>
      </w:r>
      <w:r>
        <w:rPr>
          <w:rFonts w:hint="eastAsia" w:ascii="仿宋" w:hAnsi="仿宋" w:eastAsia="仿宋"/>
          <w:color w:val="000000"/>
          <w:sz w:val="28"/>
          <w:szCs w:val="28"/>
          <w:highlight w:val="none"/>
        </w:rPr>
      </w:r>
      <w:r/>
    </w:p>
    <w:p>
      <w:pPr>
        <w:pStyle w:val="668"/>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初步验收：完成本项目立项批复、招标文件、合同约定的各项建设内容并完成项目自测；按照验收管理办法要求准备</w:t>
      </w:r>
      <w:r>
        <w:rPr>
          <w:rFonts w:ascii="仿宋" w:hAnsi="仿宋" w:eastAsia="仿宋"/>
          <w:color w:val="000000"/>
          <w:sz w:val="28"/>
          <w:szCs w:val="28"/>
          <w:highlight w:val="none"/>
        </w:rPr>
        <w:t xml:space="preserve">项目技术文档和管理资料</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系统建设和数据处理符合信息安全的要求</w:t>
      </w:r>
      <w:r>
        <w:rPr>
          <w:rFonts w:hint="eastAsia" w:ascii="仿宋" w:hAnsi="仿宋" w:eastAsia="仿宋"/>
          <w:color w:val="000000"/>
          <w:sz w:val="28"/>
          <w:szCs w:val="28"/>
          <w:highlight w:val="none"/>
        </w:rPr>
        <w:t xml:space="preserve">。满足以上要求采购人可组织初步验收，初步验收通过后进入试运行阶段。</w:t>
      </w:r>
      <w:r>
        <w:rPr>
          <w:rFonts w:hint="eastAsia" w:ascii="仿宋" w:hAnsi="仿宋" w:eastAsia="仿宋"/>
          <w:color w:val="000000"/>
          <w:sz w:val="28"/>
          <w:szCs w:val="28"/>
          <w:highlight w:val="none"/>
        </w:rPr>
      </w:r>
      <w:r/>
    </w:p>
    <w:p>
      <w:pPr>
        <w:pStyle w:val="668"/>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档案验收：按照《</w:t>
      </w:r>
      <w:r>
        <w:rPr>
          <w:rFonts w:ascii="仿宋" w:hAnsi="仿宋" w:eastAsia="仿宋"/>
          <w:color w:val="000000"/>
          <w:sz w:val="28"/>
          <w:szCs w:val="28"/>
          <w:highlight w:val="none"/>
        </w:rPr>
        <w:t xml:space="preserve">无锡市市级政务信息化项目档案管理和验收办法</w:t>
      </w:r>
      <w:r>
        <w:rPr>
          <w:rFonts w:hint="eastAsia" w:ascii="仿宋" w:hAnsi="仿宋" w:eastAsia="仿宋"/>
          <w:color w:val="000000"/>
          <w:sz w:val="28"/>
          <w:szCs w:val="28"/>
          <w:highlight w:val="none"/>
        </w:rPr>
        <w:t xml:space="preserve">》要求开展档案验收，档案整理及档案专家验收等相关费用由中标单位承担。</w:t>
      </w:r>
      <w:r>
        <w:rPr>
          <w:rFonts w:ascii="仿宋" w:hAnsi="仿宋" w:eastAsia="仿宋"/>
          <w:color w:val="000000"/>
          <w:sz w:val="28"/>
          <w:szCs w:val="28"/>
          <w:highlight w:val="none"/>
        </w:rPr>
      </w:r>
      <w:r/>
    </w:p>
    <w:p>
      <w:pPr>
        <w:pStyle w:val="668"/>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竣工验收：试运行满3个月后，完成试运行期间问题处理及系统优化，并配合完成各项测评（软测、等保、密码应用安全性评估等），采购人按照验收管理办法要求组织竣工验收。</w:t>
      </w:r>
      <w:r>
        <w:rPr>
          <w:rFonts w:hint="eastAsia" w:ascii="仿宋" w:hAnsi="仿宋" w:eastAsia="仿宋"/>
          <w:color w:val="000000"/>
          <w:sz w:val="28"/>
          <w:szCs w:val="28"/>
          <w:highlight w:val="none"/>
        </w:rPr>
      </w:r>
      <w:r/>
    </w:p>
    <w:p>
      <w:pPr>
        <w:pStyle w:val="668"/>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7.5履约验收内容和标准：根据无锡市政务信息系统验收管理办法要求完成项目验收，主要内容包括：智慧住建、建筑工地智慧监管子系统、无锡市城市基础设施配套费征收管理子系统完成信创改造；完成招标投标活动监管子系统建设；完成BIM施工图智能审查子系统升级；完成商品房备份系统的“卖旧买新”契税补贴资格管理功能模块建设，确保功能测试通过率100%、性能达标、安全测评通过、文档完整移交。</w:t>
      </w:r>
      <w:r>
        <w:rPr>
          <w:rFonts w:hint="eastAsia" w:ascii="仿宋" w:hAnsi="仿宋" w:eastAsia="仿宋"/>
          <w:color w:val="000000"/>
          <w:sz w:val="28"/>
          <w:szCs w:val="28"/>
          <w:highlight w:val="none"/>
        </w:rPr>
      </w:r>
      <w:r/>
    </w:p>
    <w:p>
      <w:pPr>
        <w:pStyle w:val="668"/>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68"/>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68"/>
        <w:ind w:firstLine="480"/>
        <w:spacing w:line="360" w:lineRule="auto"/>
        <w:rPr>
          <w:rFonts w:ascii="宋体" w:hAnsi="宋体"/>
          <w:b/>
          <w:color w:val="000000"/>
          <w:sz w:val="30"/>
          <w:szCs w:val="30"/>
          <w:highlight w:val="none"/>
        </w:rPr>
      </w:pPr>
      <w:r>
        <w:rPr>
          <w:rFonts w:ascii="宋体" w:hAnsi="宋体"/>
          <w:bCs/>
          <w:color w:val="000000"/>
          <w:sz w:val="24"/>
          <w:szCs w:val="24"/>
          <w:highlight w:val="none"/>
        </w:rPr>
        <w:br w:type="page" w:clear="all"/>
      </w:r>
      <w:r>
        <w:rPr>
          <w:rFonts w:hint="eastAsia" w:ascii="宋体" w:hAnsi="宋体"/>
          <w:b/>
          <w:color w:val="000000"/>
          <w:sz w:val="30"/>
          <w:szCs w:val="30"/>
          <w:highlight w:val="none"/>
        </w:rPr>
        <w:t xml:space="preserve">第二部分  有关说明</w:t>
      </w:r>
      <w:r>
        <w:rPr>
          <w:rFonts w:ascii="宋体" w:hAnsi="宋体"/>
          <w:b/>
          <w:color w:val="000000"/>
          <w:sz w:val="30"/>
          <w:szCs w:val="30"/>
          <w:highlight w:val="none"/>
        </w:rPr>
      </w:r>
      <w:r/>
    </w:p>
    <w:p>
      <w:pPr>
        <w:pStyle w:val="668"/>
        <w:numPr>
          <w:ilvl w:val="1"/>
          <w:numId w:val="5"/>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投标总报价包括满足本项目服务要求的从项目中标起到项目正式交付以及服务期内所发生的一切费用。</w:t>
      </w:r>
      <w:r>
        <w:rPr>
          <w:rFonts w:ascii="宋体"/>
          <w:bCs/>
          <w:color w:val="000000"/>
          <w:sz w:val="24"/>
          <w:szCs w:val="24"/>
          <w:highlight w:val="none"/>
        </w:rPr>
      </w:r>
      <w:r/>
    </w:p>
    <w:p>
      <w:pPr>
        <w:pStyle w:val="668"/>
        <w:numPr>
          <w:ilvl w:val="1"/>
          <w:numId w:val="5"/>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进口产品是指通过中国海关报关验放进入中国境内且产自关境外的产品。</w:t>
      </w:r>
      <w:r>
        <w:rPr>
          <w:rFonts w:ascii="宋体"/>
          <w:bCs/>
          <w:color w:val="000000"/>
          <w:sz w:val="24"/>
          <w:szCs w:val="24"/>
          <w:highlight w:val="none"/>
        </w:rPr>
      </w:r>
      <w:r/>
    </w:p>
    <w:p>
      <w:pPr>
        <w:pStyle w:val="668"/>
        <w:numPr>
          <w:ilvl w:val="1"/>
          <w:numId w:val="5"/>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highlight w:val="none"/>
        </w:rPr>
      </w:r>
      <w:r/>
    </w:p>
    <w:p>
      <w:pPr>
        <w:pStyle w:val="668"/>
        <w:numPr>
          <w:ilvl w:val="1"/>
          <w:numId w:val="5"/>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投标人必须在满足招标文件要求的基础上进行报价，如有技术偏离请于投标偏离表中说明。</w:t>
      </w:r>
      <w:r>
        <w:rPr>
          <w:rFonts w:ascii="宋体"/>
          <w:bCs/>
          <w:color w:val="000000"/>
          <w:sz w:val="24"/>
          <w:szCs w:val="24"/>
          <w:highlight w:val="none"/>
        </w:rPr>
      </w:r>
      <w:r/>
    </w:p>
    <w:p>
      <w:pPr>
        <w:pStyle w:val="668"/>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ascii="宋体" w:hAnsi="宋体"/>
          <w:bCs/>
          <w:color w:val="000000"/>
          <w:sz w:val="24"/>
          <w:szCs w:val="24"/>
          <w:highlight w:val="none"/>
        </w:rPr>
        <w:t xml:space="preserve">服务期</w:t>
      </w:r>
      <w:r>
        <w:rPr>
          <w:rFonts w:hint="eastAsia" w:ascii="宋体" w:hAnsi="宋体"/>
          <w:bCs/>
          <w:color w:val="000000"/>
          <w:sz w:val="24"/>
          <w:szCs w:val="24"/>
          <w:highlight w:val="none"/>
        </w:rPr>
        <w:t xml:space="preserve">/完工期：合同签订生效后3个月内完成初验，6个月内完成竣工验收。</w:t>
      </w:r>
      <w:r>
        <w:rPr>
          <w:rFonts w:ascii="宋体"/>
          <w:bCs/>
          <w:color w:val="000000"/>
          <w:sz w:val="24"/>
          <w:szCs w:val="24"/>
          <w:highlight w:val="none"/>
        </w:rPr>
      </w:r>
      <w:r/>
    </w:p>
    <w:p>
      <w:pPr>
        <w:pStyle w:val="668"/>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项目整体质保期：自项目验收合格之日起3年。</w:t>
      </w:r>
      <w:r>
        <w:rPr>
          <w:rFonts w:ascii="宋体"/>
          <w:bCs/>
          <w:color w:val="000000"/>
          <w:sz w:val="24"/>
          <w:szCs w:val="24"/>
          <w:highlight w:val="none"/>
        </w:rPr>
      </w:r>
      <w:r/>
    </w:p>
    <w:p>
      <w:pPr>
        <w:pStyle w:val="668"/>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付款方式：合同签订生效后一个月内支付30%，完成竣工验收后支付</w:t>
      </w:r>
      <w:r>
        <w:rPr>
          <w:rFonts w:hint="eastAsia" w:ascii="宋体" w:hAnsi="宋体"/>
          <w:bCs/>
          <w:color w:val="000000"/>
          <w:sz w:val="24"/>
          <w:szCs w:val="24"/>
          <w:highlight w:val="none"/>
        </w:rPr>
        <w:t xml:space="preserve">70%</w:t>
      </w:r>
      <w:r>
        <w:rPr>
          <w:rFonts w:hint="eastAsia" w:ascii="宋体" w:hAnsi="宋体"/>
          <w:bCs/>
          <w:color w:val="000000"/>
          <w:sz w:val="24"/>
          <w:szCs w:val="24"/>
          <w:highlight w:val="none"/>
        </w:rPr>
        <w:t xml:space="preserve">，自竣工验收合格之日起，中标供应商提供3年免费运维服务。</w:t>
      </w:r>
      <w:r>
        <w:rPr>
          <w:rFonts w:hint="eastAsia" w:ascii="宋体"/>
          <w:bCs/>
          <w:color w:val="000000"/>
          <w:sz w:val="24"/>
          <w:szCs w:val="24"/>
          <w:highlight w:val="none"/>
        </w:rPr>
      </w:r>
      <w:r/>
    </w:p>
    <w:p>
      <w:pPr>
        <w:pStyle w:val="668"/>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本项目合同履行地点：无锡市住房和城乡建设局，具体地点以合同书约定为准。中标方必须按采购人要求将本项目中货物送到指定地点（包括可能的分布范围），并分地实施安装调试。</w:t>
      </w:r>
      <w:r>
        <w:rPr>
          <w:rFonts w:ascii="宋体"/>
          <w:bCs/>
          <w:color w:val="000000"/>
          <w:sz w:val="24"/>
          <w:szCs w:val="24"/>
          <w:highlight w:val="none"/>
        </w:rPr>
      </w:r>
      <w:r/>
    </w:p>
    <w:p>
      <w:pPr>
        <w:pStyle w:val="668"/>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color w:val="000000"/>
          <w:sz w:val="24"/>
          <w:szCs w:val="24"/>
          <w:highlight w:val="none"/>
        </w:rPr>
        <w:t xml:space="preserve">担。政府向社会公众提供的公共服务项目，验收时应当邀请服务对象参与并出具意见，验收结果应当向社会公告。</w:t>
      </w:r>
      <w:r>
        <w:rPr>
          <w:rFonts w:hint="eastAsia"/>
          <w:color w:val="000000"/>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rPr>
          <w:rFonts w:hint="eastAsia" w:ascii="宋体"/>
          <w:bCs/>
          <w:color w:val="000000"/>
          <w:sz w:val="24"/>
          <w:szCs w:val="24"/>
          <w:highlight w:val="none"/>
        </w:rPr>
      </w:r>
      <w:r/>
    </w:p>
    <w:p>
      <w:pPr>
        <w:pStyle w:val="668"/>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ascii="宋体"/>
          <w:bCs/>
          <w:color w:val="000000"/>
          <w:sz w:val="24"/>
          <w:szCs w:val="24"/>
          <w:highlight w:val="none"/>
        </w:rPr>
      </w:r>
      <w:r/>
    </w:p>
    <w:p>
      <w:pPr>
        <w:pStyle w:val="668"/>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color w:val="000000"/>
          <w:sz w:val="24"/>
          <w:szCs w:val="24"/>
          <w:highlight w:val="none"/>
        </w:rPr>
      </w:r>
      <w:r/>
    </w:p>
    <w:p>
      <w:pPr>
        <w:pStyle w:val="668"/>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color w:val="000000"/>
          <w:sz w:val="24"/>
          <w:szCs w:val="24"/>
          <w:highlight w:val="none"/>
        </w:rPr>
      </w:r>
      <w:r/>
    </w:p>
    <w:p>
      <w:pPr>
        <w:pStyle w:val="668"/>
        <w:numPr>
          <w:ilvl w:val="1"/>
          <w:numId w:val="5"/>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highlight w:val="none"/>
        </w:rPr>
      </w:r>
      <w:r/>
    </w:p>
    <w:p>
      <w:pPr>
        <w:pStyle w:val="668"/>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highlight w:val="none"/>
        </w:rPr>
      </w:pPr>
      <w:r>
        <w:rPr>
          <w:rFonts w:ascii="宋体" w:hAnsi="宋体"/>
          <w:bCs/>
          <w:color w:val="000000"/>
          <w:sz w:val="24"/>
          <w:highlight w:val="none"/>
        </w:rPr>
        <w:br w:type="page" w:clear="all"/>
      </w:r>
      <w:r>
        <w:rPr>
          <w:rFonts w:hint="eastAsia" w:ascii="宋体" w:hAnsi="宋体"/>
          <w:b/>
          <w:color w:val="000000"/>
          <w:sz w:val="30"/>
          <w:szCs w:val="30"/>
          <w:highlight w:val="none"/>
        </w:rPr>
        <w:t xml:space="preserve">第三部分  政府采购政策（包括但不限于下列具体政策要求）</w:t>
      </w:r>
      <w:r>
        <w:rPr>
          <w:rFonts w:hint="eastAsia" w:ascii="宋体" w:hAnsi="宋体"/>
          <w:b/>
          <w:bCs/>
          <w:color w:val="000000"/>
          <w:sz w:val="30"/>
          <w:szCs w:val="30"/>
          <w:highlight w:val="none"/>
        </w:rPr>
      </w:r>
      <w:r/>
    </w:p>
    <w:p>
      <w:pPr>
        <w:pStyle w:val="668"/>
        <w:numPr>
          <w:ilvl w:val="1"/>
          <w:numId w:val="6"/>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color w:val="000000"/>
          <w:sz w:val="24"/>
          <w:szCs w:val="24"/>
          <w:highlight w:val="none"/>
        </w:rPr>
      </w:r>
      <w:r/>
    </w:p>
    <w:p>
      <w:pPr>
        <w:pStyle w:val="668"/>
        <w:numPr>
          <w:ilvl w:val="1"/>
          <w:numId w:val="6"/>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color w:val="000000"/>
          <w:sz w:val="24"/>
          <w:szCs w:val="24"/>
          <w:highlight w:val="none"/>
        </w:rPr>
      </w:r>
      <w:r/>
    </w:p>
    <w:p>
      <w:pPr>
        <w:pStyle w:val="66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color w:val="000000"/>
          <w:sz w:val="24"/>
          <w:szCs w:val="24"/>
          <w:highlight w:val="none"/>
        </w:rPr>
      </w:r>
      <w:r/>
    </w:p>
    <w:p>
      <w:pPr>
        <w:pStyle w:val="66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认证机构详见市场监管总局发布的《参与实施政府采购节能产品认证机构名录》和《参与实施政府采购环境标志产品认证机构名录》。</w:t>
      </w:r>
      <w:r>
        <w:rPr>
          <w:rFonts w:hint="eastAsia" w:ascii="宋体"/>
          <w:bCs/>
          <w:color w:val="000000"/>
          <w:sz w:val="24"/>
          <w:szCs w:val="24"/>
          <w:highlight w:val="none"/>
        </w:rPr>
      </w:r>
      <w:r/>
    </w:p>
    <w:p>
      <w:pPr>
        <w:pStyle w:val="668"/>
        <w:numPr>
          <w:ilvl w:val="1"/>
          <w:numId w:val="6"/>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highlight w:val="none"/>
        </w:rPr>
      </w:r>
      <w:r/>
    </w:p>
    <w:p>
      <w:pPr>
        <w:pStyle w:val="668"/>
        <w:numPr>
          <w:ilvl w:val="1"/>
          <w:numId w:val="6"/>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rPr>
          <w:rFonts w:hint="eastAsia" w:ascii="宋体" w:hAnsi="宋体" w:cs="宋体"/>
          <w:color w:val="000000"/>
          <w:sz w:val="24"/>
          <w:szCs w:val="24"/>
          <w:highlight w:val="none"/>
        </w:rPr>
      </w:r>
      <w:r/>
    </w:p>
    <w:p>
      <w:pPr>
        <w:pStyle w:val="668"/>
        <w:numPr>
          <w:ilvl w:val="1"/>
          <w:numId w:val="6"/>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中标、成交供应商可采用合同融资形式，中标人可凭政府采购合同办理融资贷款，详见政府采购网“政采贷”专栏。</w:t>
      </w:r>
      <w:r>
        <w:rPr>
          <w:rFonts w:hint="eastAsia" w:ascii="宋体" w:hAnsi="宋体" w:cs="宋体"/>
          <w:color w:val="000000"/>
          <w:sz w:val="24"/>
          <w:szCs w:val="24"/>
          <w:highlight w:val="none"/>
        </w:rPr>
      </w:r>
      <w:r/>
    </w:p>
    <w:p>
      <w:pPr>
        <w:pStyle w:val="668"/>
        <w:numPr>
          <w:ilvl w:val="1"/>
          <w:numId w:val="6"/>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hint="eastAsia" w:ascii="宋体" w:hAnsi="宋体" w:cs="宋体"/>
          <w:color w:val="000000"/>
          <w:sz w:val="24"/>
          <w:szCs w:val="24"/>
          <w:highlight w:val="none"/>
        </w:rPr>
      </w:r>
      <w:r/>
    </w:p>
    <w:p>
      <w:pPr>
        <w:pStyle w:val="66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rPr>
          <w:rFonts w:hint="eastAsia" w:ascii="宋体"/>
          <w:bCs/>
          <w:color w:val="000000"/>
          <w:sz w:val="24"/>
          <w:szCs w:val="24"/>
          <w:highlight w:val="none"/>
        </w:rPr>
      </w:r>
      <w:r/>
    </w:p>
    <w:p>
      <w:pPr>
        <w:pStyle w:val="668"/>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hAnsi="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color w:val="000000"/>
          <w:sz w:val="24"/>
          <w:szCs w:val="24"/>
          <w:highlight w:val="none"/>
        </w:rPr>
        <w:t xml:space="preserve">《需求标准》详见财库〔2023〕29号、30号、31号、32号、33号、34号、35号。在满足《需求标准》的前提下，如招标文件中有其他要求的，投标人应满足招标文件要求。</w:t>
      </w:r>
      <w:r>
        <w:rPr>
          <w:rFonts w:hint="eastAsia" w:ascii="宋体"/>
          <w:bCs/>
          <w:color w:val="000000"/>
          <w:sz w:val="24"/>
          <w:szCs w:val="24"/>
          <w:highlight w:val="none"/>
        </w:rPr>
        <w:t xml:space="preserve">采购人可在合同中约定，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履约验收管理时，可对所提供的七种软硬件进行验收，必要时可以委托依法取得检测、认证资质的机构进行检测、认证。</w:t>
      </w:r>
      <w:r>
        <w:rPr>
          <w:rFonts w:hint="eastAsia" w:ascii="宋体"/>
          <w:bCs/>
          <w:color w:val="000000"/>
          <w:sz w:val="24"/>
          <w:szCs w:val="24"/>
          <w:highlight w:val="none"/>
        </w:rPr>
      </w:r>
      <w:r/>
    </w:p>
    <w:p>
      <w:pPr>
        <w:pStyle w:val="668"/>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color w:val="000000"/>
          <w:sz w:val="24"/>
          <w:szCs w:val="24"/>
          <w:highlight w:val="none"/>
        </w:rPr>
      </w:r>
      <w:r/>
    </w:p>
    <w:p>
      <w:pPr>
        <w:pStyle w:val="66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000000"/>
          <w:sz w:val="24"/>
          <w:szCs w:val="24"/>
          <w:highlight w:val="none"/>
          <w:lang w:val="en"/>
        </w:rPr>
      </w:r>
      <w:r/>
    </w:p>
    <w:p>
      <w:pPr>
        <w:pStyle w:val="66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采购人原则上应当自收到发票后10个工作日内将资金支付到合同约定的供应商账户。</w:t>
      </w:r>
      <w:r>
        <w:rPr>
          <w:rFonts w:hint="eastAsia" w:ascii="宋体"/>
          <w:bCs/>
          <w:color w:val="000000"/>
          <w:sz w:val="24"/>
          <w:szCs w:val="24"/>
          <w:highlight w:val="none"/>
          <w:lang w:val="en"/>
        </w:rPr>
      </w:r>
      <w:r/>
    </w:p>
    <w:p>
      <w:pPr>
        <w:pStyle w:val="668"/>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lang w:val="en"/>
        </w:rPr>
      </w:pPr>
      <w:r>
        <w:rPr>
          <w:rFonts w:hint="eastAsia" w:ascii="宋体"/>
          <w:bCs/>
          <w:color w:val="000000"/>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color w:val="000000"/>
          <w:sz w:val="24"/>
          <w:szCs w:val="24"/>
          <w:highlight w:val="none"/>
          <w:lang w:val="en"/>
        </w:rPr>
      </w:r>
      <w:r/>
    </w:p>
    <w:p>
      <w:pPr>
        <w:pStyle w:val="668"/>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w:t>
      </w:r>
      <w:bookmarkStart w:id="196" w:name="OLE_LINK1"/>
      <w:r/>
      <w:bookmarkStart w:id="197" w:name="OLE_LINK2"/>
      <w:r>
        <w:rPr>
          <w:rFonts w:hint="eastAsia" w:ascii="宋体"/>
          <w:bCs/>
          <w:color w:val="000000"/>
          <w:sz w:val="24"/>
          <w:szCs w:val="24"/>
          <w:highlight w:val="none"/>
        </w:rPr>
        <w:t xml:space="preserve">《保障中小企业款项支付条例》（中华人民共和国国务院令第802号）</w:t>
      </w:r>
      <w:bookmarkEnd w:id="196"/>
      <w:r/>
      <w:bookmarkEnd w:id="197"/>
      <w:r>
        <w:rPr>
          <w:rFonts w:hint="eastAsia" w:ascii="宋体"/>
          <w:bCs/>
          <w:color w:val="000000"/>
          <w:sz w:val="24"/>
          <w:szCs w:val="24"/>
          <w:highlight w:val="none"/>
        </w:rPr>
        <w:t xml:space="preserve">，机关、事业单位和大型企业不得要求中小企业接受不合理的付款期限、方式、条件和违约责任等交易条件，不得拖欠中小企业的货物、工程、服务款项。</w:t>
      </w:r>
      <w:r>
        <w:rPr>
          <w:rFonts w:hint="eastAsia" w:ascii="宋体"/>
          <w:bCs/>
          <w:color w:val="000000"/>
          <w:sz w:val="24"/>
          <w:szCs w:val="24"/>
          <w:highlight w:val="none"/>
        </w:rPr>
      </w:r>
      <w:r/>
    </w:p>
    <w:p>
      <w:pPr>
        <w:pStyle w:val="66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color w:val="000000"/>
          <w:sz w:val="24"/>
          <w:szCs w:val="24"/>
          <w:highlight w:val="none"/>
          <w:lang w:val="en"/>
        </w:rPr>
      </w:r>
      <w:r/>
    </w:p>
    <w:p>
      <w:pPr>
        <w:pStyle w:val="66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中小企业应当依法经营，诚实守信，按照合同约定提供合格的货物、工程和服务。</w:t>
      </w:r>
      <w:r>
        <w:rPr>
          <w:rFonts w:hint="eastAsia" w:ascii="宋体"/>
          <w:bCs/>
          <w:color w:val="000000"/>
          <w:sz w:val="24"/>
          <w:szCs w:val="24"/>
          <w:highlight w:val="none"/>
          <w:lang w:val="en"/>
        </w:rPr>
      </w:r>
      <w:r/>
    </w:p>
    <w:p>
      <w:pPr>
        <w:pStyle w:val="66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机关、事业单位和大型企业采购货物、工程、服务支付中小企业款项，应当遵守《保障中小企业款项支付条例》（中华人民共和国国务院令第802号）。</w:t>
      </w:r>
      <w:r>
        <w:rPr>
          <w:rFonts w:hint="eastAsia" w:ascii="宋体"/>
          <w:bCs/>
          <w:color w:val="000000"/>
          <w:sz w:val="24"/>
          <w:szCs w:val="24"/>
          <w:highlight w:val="none"/>
          <w:lang w:val="en"/>
        </w:rPr>
      </w:r>
      <w:r/>
    </w:p>
    <w:p>
      <w:pPr>
        <w:pStyle w:val="668"/>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lang w:val="en"/>
        </w:rPr>
      </w:pP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lang w:val="en"/>
        </w:rPr>
      </w:r>
      <w:r/>
    </w:p>
    <w:p>
      <w:pPr>
        <w:pStyle w:val="668"/>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lang w:val="en"/>
        </w:rPr>
      </w:r>
      <w:r/>
    </w:p>
    <w:p>
      <w:pPr>
        <w:pStyle w:val="66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r>
      <w:r/>
    </w:p>
    <w:p>
      <w:pPr>
        <w:pStyle w:val="668"/>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bCs/>
          <w:color w:val="000000"/>
          <w:sz w:val="24"/>
          <w:szCs w:val="24"/>
          <w:highlight w:val="none"/>
        </w:rPr>
        <w:br w:type="page" w:clear="all"/>
      </w:r>
      <w:bookmarkStart w:id="198" w:name="_Toc120614281"/>
      <w:r>
        <w:rPr>
          <w:rFonts w:hint="eastAsia" w:ascii="黑体" w:hAnsi="黑体" w:eastAsia="黑体"/>
          <w:color w:val="000000"/>
          <w:sz w:val="36"/>
          <w:szCs w:val="36"/>
          <w:highlight w:val="none"/>
        </w:rPr>
        <w:t xml:space="preserve">第五章  评标方法与评标标准</w:t>
      </w:r>
      <w:r>
        <w:rPr>
          <w:rFonts w:hint="eastAsia" w:ascii="黑体" w:hAnsi="黑体" w:eastAsia="黑体"/>
          <w:color w:val="000000"/>
          <w:sz w:val="36"/>
          <w:szCs w:val="36"/>
          <w:highlight w:val="none"/>
        </w:rPr>
      </w:r>
      <w:r/>
    </w:p>
    <w:p>
      <w:pPr>
        <w:pStyle w:val="757"/>
        <w:ind w:firstLine="602"/>
        <w:spacing w:before="0" w:after="0" w:line="500" w:lineRule="exact"/>
        <w:rPr>
          <w:rFonts w:hint="eastAsia" w:cs="Arial"/>
          <w:b/>
          <w:color w:val="000000"/>
          <w:sz w:val="30"/>
          <w:szCs w:val="30"/>
          <w:highlight w:val="none"/>
        </w:rPr>
      </w:pPr>
      <w:r>
        <w:rPr>
          <w:rFonts w:hint="eastAsia" w:cs="Arial"/>
          <w:b/>
          <w:color w:val="000000"/>
          <w:sz w:val="30"/>
          <w:szCs w:val="30"/>
          <w:highlight w:val="none"/>
        </w:rPr>
        <w:t xml:space="preserve">第一部分  评标方法</w:t>
      </w:r>
      <w:r>
        <w:rPr>
          <w:rFonts w:hint="eastAsia" w:cs="Arial"/>
          <w:b/>
          <w:color w:val="000000"/>
          <w:sz w:val="30"/>
          <w:szCs w:val="30"/>
          <w:highlight w:val="none"/>
        </w:rPr>
      </w:r>
      <w:r/>
    </w:p>
    <w:p>
      <w:pPr>
        <w:pStyle w:val="757"/>
        <w:spacing w:before="0" w:after="0" w:line="500" w:lineRule="exact"/>
        <w:rPr>
          <w:rFonts w:hint="eastAsia" w:cs="Arial"/>
          <w:color w:val="000000"/>
          <w:highlight w:val="none"/>
        </w:rPr>
      </w:pPr>
      <w:r>
        <w:rPr>
          <w:rFonts w:hint="eastAsia" w:cs="Arial"/>
          <w:color w:val="000000"/>
          <w:highlight w:val="none"/>
        </w:rPr>
        <w:t xml:space="preserve">投标人通过初审的，方可进入比较与评价程序。</w:t>
      </w:r>
      <w:r>
        <w:rPr>
          <w:rFonts w:hint="eastAsia" w:cs="Arial"/>
          <w:color w:val="000000"/>
          <w:highlight w:val="none"/>
        </w:rPr>
      </w:r>
      <w:r/>
    </w:p>
    <w:p>
      <w:pPr>
        <w:pStyle w:val="757"/>
        <w:spacing w:before="0" w:after="0" w:line="500" w:lineRule="exact"/>
        <w:rPr>
          <w:rFonts w:hint="eastAsia" w:cs="Arial"/>
          <w:color w:val="000000"/>
          <w:highlight w:val="none"/>
        </w:rPr>
      </w:pPr>
      <w:r>
        <w:rPr>
          <w:rFonts w:hint="eastAsia" w:cs="Arial"/>
          <w:color w:val="000000"/>
          <w:highlight w:val="none"/>
        </w:rPr>
        <w:t xml:space="preserve">比较与评价采用综合评分法。</w:t>
      </w:r>
      <w:r>
        <w:rPr>
          <w:rFonts w:hint="eastAsia" w:cs="Arial"/>
          <w:color w:val="000000"/>
          <w:highlight w:val="none"/>
        </w:rPr>
      </w:r>
      <w:r/>
    </w:p>
    <w:p>
      <w:pPr>
        <w:pStyle w:val="757"/>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color w:val="000000"/>
          <w:highlight w:val="none"/>
        </w:rPr>
      </w:r>
      <w:r/>
    </w:p>
    <w:p>
      <w:pPr>
        <w:pStyle w:val="757"/>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color w:val="000000"/>
          <w:highlight w:val="none"/>
        </w:rPr>
      </w:r>
      <w:r/>
    </w:p>
    <w:p>
      <w:pPr>
        <w:pStyle w:val="757"/>
        <w:spacing w:before="0" w:after="0" w:line="500" w:lineRule="exact"/>
        <w:rPr>
          <w:rFonts w:hint="eastAsia" w:cs="Arial"/>
          <w:b/>
          <w:color w:val="000000"/>
          <w:sz w:val="30"/>
          <w:szCs w:val="30"/>
          <w:highlight w:val="none"/>
        </w:rPr>
      </w:pPr>
      <w:r>
        <w:rPr>
          <w:rFonts w:cs="Arial"/>
          <w:color w:val="000000"/>
          <w:highlight w:val="none"/>
          <w:shd w:val="clear" w:color="ffffff" w:fill="d9d9d9"/>
        </w:rPr>
        <w:br w:type="page" w:clear="all"/>
      </w:r>
      <w:r>
        <w:rPr>
          <w:rFonts w:hint="eastAsia" w:cs="Arial"/>
          <w:b/>
          <w:color w:val="000000"/>
          <w:sz w:val="30"/>
          <w:szCs w:val="30"/>
          <w:highlight w:val="none"/>
        </w:rPr>
        <w:t xml:space="preserve">第二部分  评标标准</w:t>
      </w:r>
      <w:r>
        <w:rPr>
          <w:rFonts w:hint="eastAsia" w:cs="Arial"/>
          <w:b/>
          <w:color w:val="000000"/>
          <w:sz w:val="30"/>
          <w:szCs w:val="30"/>
          <w:highlight w:val="none"/>
        </w:rPr>
      </w:r>
      <w:r/>
    </w:p>
    <w:p>
      <w:pPr>
        <w:pStyle w:val="757"/>
        <w:ind w:firstLine="562"/>
        <w:spacing w:before="0" w:after="0"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rPr>
          <w:rFonts w:hint="eastAsia" w:ascii="宋体" w:hAnsi="宋体"/>
          <w:b/>
          <w:color w:val="000000"/>
          <w:sz w:val="28"/>
          <w:szCs w:val="28"/>
          <w:highlight w:val="none"/>
        </w:rPr>
      </w:r>
      <w:r/>
    </w:p>
    <w:p>
      <w:pPr>
        <w:pStyle w:val="668"/>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1.小微型企业价格扣除：本项目或采购包“落实政府采购政策需满足的资格要求”中的“中小企业政策”如为专门面向中小企业的，本项目或采购包不再享受小微型企业价格扣除政策。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none"/>
        </w:rPr>
      </w:r>
      <w:r/>
    </w:p>
    <w:p>
      <w:pPr>
        <w:pStyle w:val="668"/>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1.1对小型和微型企业产品的价格给予10</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的扣除，用扣除后的价格参与评审。参加投标的中小企业，应当按照《政府采购促进中小企业发展管理办法》</w:t>
      </w:r>
      <w:r>
        <w:rPr>
          <w:rFonts w:ascii="宋体" w:hAnsi="宋体"/>
          <w:bCs/>
          <w:color w:val="000000"/>
          <w:sz w:val="24"/>
          <w:szCs w:val="24"/>
          <w:highlight w:val="none"/>
        </w:rPr>
        <w:t xml:space="preserve">（财库﹝2020﹞46 号）</w:t>
      </w:r>
      <w:r>
        <w:rPr>
          <w:rFonts w:hint="eastAsia" w:ascii="宋体" w:hAnsi="宋体"/>
          <w:bCs/>
          <w:color w:val="000000"/>
          <w:sz w:val="24"/>
          <w:szCs w:val="24"/>
          <w:highlight w:val="none"/>
        </w:rPr>
        <w:t xml:space="preserve">的规定提供《中小企业声明函》（中小企业划型标准详见《关于印发中小企业划型标准规定的通知》工信部联企业〔</w:t>
      </w:r>
      <w:r>
        <w:rPr>
          <w:rFonts w:ascii="宋体" w:hAnsi="宋体"/>
          <w:bCs/>
          <w:color w:val="000000"/>
          <w:sz w:val="24"/>
          <w:szCs w:val="24"/>
          <w:highlight w:val="none"/>
        </w:rPr>
        <w:t xml:space="preserve">2011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300</w:t>
      </w:r>
      <w:r>
        <w:rPr>
          <w:rFonts w:hint="eastAsia" w:ascii="宋体" w:hAnsi="宋体"/>
          <w:bCs/>
          <w:color w:val="000000"/>
          <w:sz w:val="24"/>
          <w:szCs w:val="24"/>
          <w:highlight w:val="none"/>
        </w:rPr>
        <w:t xml:space="preserve">号）。</w:t>
      </w:r>
      <w:r>
        <w:rPr>
          <w:rFonts w:ascii="宋体" w:hAnsi="宋体"/>
          <w:bCs/>
          <w:color w:val="000000"/>
          <w:sz w:val="24"/>
          <w:szCs w:val="24"/>
          <w:highlight w:val="none"/>
        </w:rPr>
      </w:r>
      <w:r/>
    </w:p>
    <w:p>
      <w:pPr>
        <w:pStyle w:val="668"/>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1.2监狱企业视同小型、微型企业，对其产品价格给予10%的扣除，用扣除后的价格参与评审。参加投标的监狱企业，应当按照《关于政府采购支持监狱企业发展有关问题的通知》（财库〔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sz w:val="24"/>
          <w:szCs w:val="24"/>
          <w:highlight w:val="none"/>
        </w:rPr>
        <w:t xml:space="preserve">201</w:t>
      </w:r>
      <w:r>
        <w:rPr>
          <w:rFonts w:hint="eastAsia" w:ascii="宋体" w:hAnsi="宋体"/>
          <w:bCs/>
          <w:color w:val="000000"/>
          <w:sz w:val="24"/>
          <w:szCs w:val="24"/>
          <w:highlight w:val="none"/>
        </w:rPr>
        <w:t xml:space="preserve">4〕68号）的规定提供由省级以上监狱管理局、戒毒管理局（含新疆生产建设兵团）出具的属于监狱企业的证明文件复印件。</w:t>
      </w:r>
      <w:r>
        <w:rPr>
          <w:rFonts w:ascii="宋体" w:hAnsi="宋体"/>
          <w:bCs/>
          <w:color w:val="000000"/>
          <w:sz w:val="24"/>
          <w:szCs w:val="24"/>
          <w:highlight w:val="none"/>
        </w:rPr>
      </w:r>
      <w:r/>
    </w:p>
    <w:p>
      <w:pPr>
        <w:pStyle w:val="668"/>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highlight w:val="none"/>
        </w:rPr>
      </w:r>
      <w:r/>
    </w:p>
    <w:p>
      <w:pPr>
        <w:pStyle w:val="66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1.4残疾人福利单位、监狱企业属于小型、微型企业的，不重复享受政策。</w:t>
      </w:r>
      <w:r>
        <w:rPr>
          <w:rFonts w:hint="eastAsia" w:ascii="宋体" w:hAnsi="宋体"/>
          <w:bCs/>
          <w:color w:val="000000"/>
          <w:sz w:val="24"/>
          <w:szCs w:val="24"/>
          <w:highlight w:val="none"/>
        </w:rPr>
      </w:r>
      <w:r/>
    </w:p>
    <w:p>
      <w:pPr>
        <w:pStyle w:val="668"/>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1.5如允许联合体投标的项目，且存在联合投标的</w:t>
      </w:r>
      <w:r>
        <w:rPr>
          <w:rFonts w:ascii="宋体" w:hAnsi="宋体"/>
          <w:bCs/>
          <w:color w:val="000000"/>
          <w:sz w:val="24"/>
          <w:szCs w:val="24"/>
          <w:highlight w:val="none"/>
        </w:rPr>
        <w:t xml:space="preserve">，联合协议中约定，小型、微型企业（</w:t>
      </w:r>
      <w:r>
        <w:rPr>
          <w:rFonts w:hint="eastAsia" w:ascii="宋体" w:hAnsi="宋体"/>
          <w:bCs/>
          <w:color w:val="000000"/>
          <w:sz w:val="24"/>
          <w:szCs w:val="24"/>
          <w:highlight w:val="none"/>
        </w:rPr>
        <w:t xml:space="preserve">监狱</w:t>
      </w:r>
      <w:r>
        <w:rPr>
          <w:rFonts w:ascii="宋体" w:hAnsi="宋体"/>
          <w:bCs/>
          <w:color w:val="000000"/>
          <w:sz w:val="24"/>
          <w:szCs w:val="24"/>
          <w:highlight w:val="none"/>
        </w:rPr>
        <w:t xml:space="preserve">企业、残疾人福利性单位视同小型、微型企业，下同）</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合同</w:t>
      </w:r>
      <w:r>
        <w:rPr>
          <w:rFonts w:ascii="宋体" w:hAnsi="宋体"/>
          <w:bCs/>
          <w:color w:val="000000"/>
          <w:sz w:val="24"/>
          <w:szCs w:val="24"/>
          <w:highlight w:val="none"/>
        </w:rPr>
        <w:t xml:space="preserve">金额占到联合体协议合同总金额</w:t>
      </w:r>
      <w:r>
        <w:rPr>
          <w:rFonts w:hint="eastAsia" w:ascii="宋体" w:hAnsi="宋体"/>
          <w:bCs/>
          <w:color w:val="000000"/>
          <w:sz w:val="24"/>
          <w:szCs w:val="24"/>
          <w:highlight w:val="none"/>
        </w:rPr>
        <w:t xml:space="preserve">30</w:t>
      </w:r>
      <w:r>
        <w:rPr>
          <w:rFonts w:ascii="宋体" w:hAnsi="宋体"/>
          <w:bCs/>
          <w:color w:val="000000"/>
          <w:sz w:val="24"/>
          <w:szCs w:val="24"/>
          <w:highlight w:val="none"/>
        </w:rPr>
        <w:t xml:space="preserve">%以上的，可给予联合体</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%的价格扣除，</w:t>
      </w:r>
      <w:r>
        <w:rPr>
          <w:rFonts w:hint="eastAsia" w:ascii="宋体" w:hAnsi="宋体"/>
          <w:bCs/>
          <w:color w:val="000000"/>
          <w:sz w:val="24"/>
          <w:szCs w:val="24"/>
          <w:highlight w:val="none"/>
        </w:rPr>
        <w:t xml:space="preserve">用扣除后的价格参与评审。投标人须在《联合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》中明确，否则不得享受价格扣除。</w:t>
      </w:r>
      <w:r>
        <w:rPr>
          <w:rFonts w:ascii="宋体" w:hAnsi="宋体"/>
          <w:bCs/>
          <w:color w:val="000000"/>
          <w:sz w:val="24"/>
          <w:szCs w:val="24"/>
          <w:highlight w:val="none"/>
        </w:rPr>
      </w:r>
      <w:r/>
    </w:p>
    <w:p>
      <w:pPr>
        <w:pStyle w:val="668"/>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联合体</w:t>
      </w:r>
      <w:r>
        <w:rPr>
          <w:rFonts w:ascii="宋体" w:hAnsi="宋体"/>
          <w:bCs/>
          <w:color w:val="000000"/>
          <w:sz w:val="24"/>
          <w:szCs w:val="24"/>
          <w:highlight w:val="none"/>
        </w:rPr>
        <w:t xml:space="preserve">各方均为小型、微型企业的，联合体视同为小型、微型企业按规定享受价格扣除</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66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组成联合体的小微企业与联合体内其他企业之间存在直接控股、管理关系的，不享受价格扣除。组成</w:t>
      </w:r>
      <w:r>
        <w:rPr>
          <w:rFonts w:ascii="宋体" w:hAnsi="宋体"/>
          <w:bCs/>
          <w:color w:val="000000"/>
          <w:sz w:val="24"/>
          <w:szCs w:val="24"/>
          <w:highlight w:val="none"/>
        </w:rPr>
        <w:t xml:space="preserve">联合体的法人与参加联合体的小型、微型企业之间存在投资关系的，不得享受价格扣除</w:t>
      </w:r>
      <w:r>
        <w:rPr>
          <w:rFonts w:hint="eastAsia" w:ascii="宋体" w:hAnsi="宋体"/>
          <w:bCs/>
          <w:color w:val="000000"/>
          <w:sz w:val="24"/>
          <w:szCs w:val="24"/>
          <w:highlight w:val="none"/>
        </w:rPr>
        <w:t xml:space="preserve">。投标人</w:t>
      </w:r>
      <w:r>
        <w:rPr>
          <w:rFonts w:ascii="宋体" w:hAnsi="宋体"/>
          <w:bCs/>
          <w:color w:val="000000"/>
          <w:sz w:val="24"/>
          <w:szCs w:val="24"/>
          <w:highlight w:val="none"/>
        </w:rPr>
        <w:t xml:space="preserve">须在</w:t>
      </w:r>
      <w:r>
        <w:rPr>
          <w:rFonts w:hint="eastAsia" w:ascii="宋体" w:hAnsi="宋体"/>
          <w:bCs/>
          <w:color w:val="000000"/>
          <w:sz w:val="24"/>
          <w:szCs w:val="24"/>
          <w:highlight w:val="none"/>
        </w:rPr>
        <w:t xml:space="preserve">《联合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w:t>
      </w:r>
      <w:r>
        <w:rPr>
          <w:rFonts w:ascii="宋体" w:hAnsi="宋体"/>
          <w:bCs/>
          <w:color w:val="000000"/>
          <w:sz w:val="24"/>
          <w:szCs w:val="24"/>
          <w:highlight w:val="none"/>
        </w:rPr>
        <w:t xml:space="preserve">明确联合体各方是否存在</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关系，如未进行明确的亦不得享受价格扣除</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757"/>
        <w:ind w:firstLine="422"/>
        <w:spacing w:before="0" w:after="0" w:line="500" w:lineRule="exact"/>
        <w:rPr>
          <w:rFonts w:hint="eastAsia" w:ascii="宋体" w:hAnsi="宋体"/>
          <w:color w:val="000000"/>
          <w:highlight w:val="none"/>
          <w:shd w:val="clear" w:color="ffffff" w:fill="d9d9d9"/>
        </w:rPr>
      </w:pPr>
      <w:r>
        <w:rPr>
          <w:rFonts w:hint="eastAsia" w:ascii="宋体" w:hAnsi="宋体"/>
          <w:b/>
          <w:color w:val="000000"/>
          <w:sz w:val="28"/>
          <w:szCs w:val="28"/>
          <w:highlight w:val="none"/>
        </w:rPr>
        <w:t xml:space="preserve">二、评分标准</w:t>
      </w:r>
      <w:r>
        <w:rPr>
          <w:rFonts w:hint="eastAsia" w:ascii="宋体" w:hAnsi="宋体"/>
          <w:color w:val="000000"/>
          <w:highlight w:val="none"/>
          <w:shd w:val="clear" w:color="ffffff" w:fill="d9d9d9"/>
        </w:rPr>
      </w:r>
      <w:r/>
    </w:p>
    <w:p>
      <w:pPr>
        <w:pStyle w:val="668"/>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价格（</w:t>
      </w:r>
      <w:r>
        <w:rPr>
          <w:rFonts w:hint="eastAsia" w:ascii="宋体" w:hAnsi="宋体"/>
          <w:b/>
          <w:bCs/>
          <w:color w:val="000000"/>
          <w:sz w:val="24"/>
          <w:szCs w:val="24"/>
          <w:highlight w:val="none"/>
        </w:rPr>
        <w:t xml:space="preserve">10</w:t>
      </w:r>
      <w:r>
        <w:rPr>
          <w:rFonts w:hint="eastAsia" w:ascii="宋体" w:hAnsi="宋体"/>
          <w:b/>
          <w:bCs/>
          <w:color w:val="000000"/>
          <w:sz w:val="24"/>
          <w:szCs w:val="24"/>
          <w:highlight w:val="none"/>
        </w:rPr>
        <w:t xml:space="preserve">分）：</w:t>
      </w:r>
      <w:r>
        <w:rPr>
          <w:rFonts w:ascii="宋体" w:hAnsi="宋体"/>
          <w:b/>
          <w:bCs/>
          <w:color w:val="000000"/>
          <w:sz w:val="24"/>
          <w:szCs w:val="24"/>
          <w:highlight w:val="none"/>
        </w:rPr>
      </w:r>
      <w:r/>
    </w:p>
    <w:p>
      <w:pPr>
        <w:pStyle w:val="668"/>
        <w:ind w:firstLine="480"/>
        <w:spacing w:line="500" w:lineRule="exact"/>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highlight w:val="none"/>
        </w:rPr>
      </w:r>
      <w:r/>
    </w:p>
    <w:p>
      <w:pPr>
        <w:pStyle w:val="668"/>
        <w:ind w:firstLine="480"/>
        <w:spacing w:line="500" w:lineRule="exact"/>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投标报价得分</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（评标基准价／投标报价）×价格权值×</w:t>
      </w:r>
      <w:r>
        <w:rPr>
          <w:rFonts w:ascii="宋体" w:hAnsi="宋体"/>
          <w:bCs/>
          <w:color w:val="000000"/>
          <w:sz w:val="24"/>
          <w:szCs w:val="24"/>
          <w:highlight w:val="none"/>
        </w:rPr>
        <w:t xml:space="preserve">100</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6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因落实政府采购政策进行价格调整的，以调整后的价格计算评标基准价和投标报价。关于价格扣除详见本章第二部分“一、落实政府采购政策的价格调整”。</w:t>
      </w:r>
      <w:r>
        <w:rPr>
          <w:rFonts w:hint="eastAsia" w:ascii="宋体" w:hAnsi="宋体"/>
          <w:bCs/>
          <w:color w:val="000000"/>
          <w:sz w:val="24"/>
          <w:szCs w:val="24"/>
          <w:highlight w:val="none"/>
        </w:rPr>
      </w:r>
      <w:r/>
    </w:p>
    <w:p>
      <w:pPr>
        <w:pStyle w:val="668"/>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项目人员配置情况（9分）：</w:t>
      </w:r>
      <w:r>
        <w:rPr>
          <w:rFonts w:hint="eastAsia" w:ascii="宋体" w:hAnsi="宋体"/>
          <w:bCs/>
          <w:color w:val="000000"/>
          <w:sz w:val="24"/>
          <w:szCs w:val="24"/>
          <w:highlight w:val="none"/>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000000"/>
          <w:sz w:val="24"/>
          <w:szCs w:val="24"/>
          <w:highlight w:val="none"/>
        </w:rPr>
      </w:r>
      <w:r/>
    </w:p>
    <w:p>
      <w:pPr>
        <w:pStyle w:val="668"/>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 项目经理（2分）：投标人为本项目配备项目经理一名，该项目经理具有国家软件资格考试信息系统项目管理师、系统分析师、系统架构设计师证书</w:t>
      </w:r>
      <w:r>
        <w:rPr>
          <w:rFonts w:hint="eastAsia" w:ascii="宋体" w:hAnsi="宋体"/>
          <w:color w:val="000000"/>
          <w:sz w:val="24"/>
          <w:highlight w:val="none"/>
        </w:rPr>
        <w:t xml:space="preserve">或</w:t>
      </w:r>
      <w:r>
        <w:rPr>
          <w:rFonts w:ascii="宋体" w:hAnsi="宋体"/>
          <w:color w:val="000000"/>
          <w:sz w:val="24"/>
          <w:highlight w:val="none"/>
        </w:rPr>
        <w:t xml:space="preserve">计算机、软件工程、电子信息或信息系统相关专业</w:t>
      </w:r>
      <w:r>
        <w:rPr>
          <w:rFonts w:hint="eastAsia" w:ascii="宋体" w:hAnsi="宋体"/>
          <w:color w:val="000000"/>
          <w:sz w:val="24"/>
          <w:highlight w:val="none"/>
        </w:rPr>
        <w:t xml:space="preserve">副高及以上职称证的，</w:t>
      </w:r>
      <w:r>
        <w:rPr>
          <w:rFonts w:ascii="宋体" w:hAnsi="宋体"/>
          <w:color w:val="000000"/>
          <w:sz w:val="24"/>
          <w:highlight w:val="none"/>
        </w:rPr>
        <w:t xml:space="preserve">每有上述一种证书得1分，最高2分，得满为止。须提供相应有效证书扫描件</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68"/>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2.2 项目组成员（7分）：除项目经理外，其他项目组成员具有国家软件资格考试如信息系统项目管理师、系统分析师、系统架构设计师、信息安全工程师、网络工程师证书</w:t>
      </w:r>
      <w:r>
        <w:rPr>
          <w:rFonts w:hint="eastAsia" w:ascii="宋体" w:hAnsi="宋体"/>
          <w:color w:val="000000"/>
          <w:sz w:val="24"/>
          <w:highlight w:val="none"/>
        </w:rPr>
        <w:t xml:space="preserve">或</w:t>
      </w:r>
      <w:r>
        <w:rPr>
          <w:rFonts w:ascii="宋体" w:hAnsi="宋体"/>
          <w:color w:val="000000"/>
          <w:sz w:val="24"/>
          <w:highlight w:val="none"/>
        </w:rPr>
        <w:t xml:space="preserve">计算机、软件工程、电子信息或信息系统相关专业</w:t>
      </w:r>
      <w:r>
        <w:rPr>
          <w:rFonts w:hint="eastAsia" w:ascii="宋体" w:hAnsi="宋体"/>
          <w:color w:val="000000"/>
          <w:sz w:val="24"/>
          <w:highlight w:val="none"/>
        </w:rPr>
        <w:t xml:space="preserve">副高及以上职称证的</w:t>
      </w:r>
      <w:r>
        <w:rPr>
          <w:rFonts w:hint="eastAsia" w:ascii="宋体" w:hAnsi="宋体"/>
          <w:color w:val="000000"/>
          <w:sz w:val="24"/>
          <w:highlight w:val="none"/>
        </w:rPr>
        <w:t xml:space="preserve">，每提供一张证书得1分，最高7分。（同一个人具有多种证书的只计算一次，</w:t>
      </w:r>
      <w:r>
        <w:rPr>
          <w:rFonts w:hint="eastAsia" w:ascii="宋体" w:hAnsi="宋体"/>
          <w:color w:val="000000"/>
          <w:sz w:val="24"/>
          <w:highlight w:val="none"/>
        </w:rPr>
        <w:t xml:space="preserve">不同的人提供同一种证书均可得分</w:t>
      </w:r>
      <w:r>
        <w:rPr>
          <w:rFonts w:hint="eastAsia" w:ascii="宋体" w:hAnsi="宋体"/>
          <w:color w:val="000000"/>
          <w:sz w:val="24"/>
          <w:highlight w:val="none"/>
        </w:rPr>
        <w:t xml:space="preserve">） </w:t>
      </w:r>
      <w:r>
        <w:rPr>
          <w:rFonts w:ascii="宋体" w:hAnsi="宋体"/>
          <w:color w:val="000000"/>
          <w:sz w:val="24"/>
          <w:highlight w:val="none"/>
        </w:rPr>
      </w:r>
      <w:r/>
    </w:p>
    <w:p>
      <w:pPr>
        <w:pStyle w:val="668"/>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投标人综合情况（12分）：</w:t>
      </w:r>
      <w:r>
        <w:rPr>
          <w:rFonts w:ascii="宋体" w:hAnsi="宋体"/>
          <w:b/>
          <w:bCs/>
          <w:color w:val="000000"/>
          <w:sz w:val="24"/>
          <w:szCs w:val="24"/>
          <w:highlight w:val="none"/>
        </w:rPr>
      </w:r>
      <w:r/>
    </w:p>
    <w:p>
      <w:pPr>
        <w:pStyle w:val="668"/>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3.1 业绩（6分）：投标人具有2023年1月1日以来（以合同签订日期为准）与本项目类似的成功案例，每提供一个得2分，最高6分。（同一项目只计算一次，不重复得分。投标时须提交合同扫描件，否则不得分）</w:t>
      </w:r>
      <w:r>
        <w:rPr>
          <w:rFonts w:hint="eastAsia" w:ascii="宋体" w:hAnsi="宋体"/>
          <w:color w:val="000000"/>
          <w:sz w:val="24"/>
          <w:highlight w:val="none"/>
        </w:rPr>
      </w:r>
      <w:r/>
    </w:p>
    <w:p>
      <w:pPr>
        <w:pStyle w:val="668"/>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3.2 </w:t>
      </w:r>
      <w:r>
        <w:rPr>
          <w:rFonts w:hint="eastAsia" w:ascii="宋体" w:hAnsi="宋体"/>
          <w:color w:val="000000"/>
          <w:sz w:val="24"/>
          <w:highlight w:val="none"/>
        </w:rPr>
        <w:t xml:space="preserve">体系认证（3分）：投标人具有质量管理体系认证、信息安全管理体系认证证书、</w:t>
      </w:r>
      <w:r>
        <w:rPr>
          <w:rFonts w:ascii="宋体" w:hAnsi="宋体"/>
          <w:color w:val="000000"/>
          <w:sz w:val="24"/>
          <w:highlight w:val="none"/>
        </w:rPr>
        <w:t xml:space="preserve">信息技术服务管理体系认证</w:t>
      </w:r>
      <w:r>
        <w:rPr>
          <w:rFonts w:hint="eastAsia" w:ascii="宋体" w:hAnsi="宋体"/>
          <w:color w:val="000000"/>
          <w:sz w:val="24"/>
          <w:highlight w:val="none"/>
        </w:rPr>
        <w:t xml:space="preserve">证书的；每提供一个得1分；最高3分</w:t>
      </w:r>
      <w:r>
        <w:rPr>
          <w:rFonts w:hint="eastAsia" w:ascii="宋体" w:hAnsi="宋体"/>
          <w:color w:val="000000"/>
          <w:sz w:val="24"/>
          <w:highlight w:val="none"/>
        </w:rPr>
        <w:t xml:space="preserve">。（投标时须提供有效证书扫描件加盖投标人公章，未按要求提供不得分）</w:t>
      </w:r>
      <w:r>
        <w:rPr>
          <w:rFonts w:hint="eastAsia" w:ascii="宋体" w:hAnsi="宋体"/>
          <w:color w:val="000000"/>
          <w:sz w:val="24"/>
          <w:highlight w:val="none"/>
        </w:rPr>
      </w:r>
      <w:r/>
    </w:p>
    <w:p>
      <w:pPr>
        <w:pStyle w:val="668"/>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3.3 软件著作权（3分）：</w:t>
      </w:r>
      <w:r>
        <w:rPr>
          <w:rFonts w:hint="eastAsia" w:ascii="宋体" w:hAnsi="宋体"/>
          <w:color w:val="000000"/>
          <w:sz w:val="24"/>
          <w:highlight w:val="none"/>
        </w:rPr>
        <w:t xml:space="preserve">投标人具有软件自主开发能力，提供与 “工程项目招投标监管”“智慧（数字）住建” “BIM施工图智能审查”“智慧监管”“人工智能”“数据安全”相关的软件著作权证书；每提供1个证书得0.5分，同类别不重复计分，最高3分</w:t>
      </w:r>
      <w:r>
        <w:rPr>
          <w:rFonts w:hint="eastAsia" w:ascii="宋体" w:hAnsi="宋体"/>
          <w:color w:val="000000"/>
          <w:sz w:val="24"/>
          <w:highlight w:val="none"/>
        </w:rPr>
        <w:t xml:space="preserve">。须提供软件著作权登记证书扫描件并加盖投标人公章，否则不得分，著作权证书名称与上述所列有所不同，但实质内容相关或功能类同的，可视为等同。</w:t>
      </w:r>
      <w:r>
        <w:rPr>
          <w:rFonts w:hint="eastAsia" w:ascii="宋体" w:hAnsi="宋体"/>
          <w:color w:val="000000"/>
          <w:sz w:val="24"/>
          <w:highlight w:val="none"/>
        </w:rPr>
      </w:r>
      <w:r/>
    </w:p>
    <w:p>
      <w:pPr>
        <w:pStyle w:val="668"/>
        <w:numPr>
          <w:ilvl w:val="4"/>
          <w:numId w:val="7"/>
        </w:numPr>
        <w:ind w:left="0" w:firstLine="482"/>
        <w:spacing w:line="500" w:lineRule="exact"/>
        <w:tabs>
          <w:tab w:val="left" w:pos="525" w:leader="none"/>
          <w:tab w:val="left" w:pos="945" w:leader="none"/>
          <w:tab w:val="left" w:pos="1155" w:leader="none"/>
        </w:tabs>
        <w:rPr>
          <w:rFonts w:ascii="宋体"/>
          <w:b/>
          <w:bCs/>
          <w:color w:val="000000"/>
          <w:sz w:val="24"/>
          <w:szCs w:val="24"/>
          <w:highlight w:val="none"/>
        </w:rPr>
      </w:pPr>
      <w:r>
        <w:rPr>
          <w:rFonts w:hint="eastAsia" w:ascii="宋体" w:hAnsi="宋体"/>
          <w:b/>
          <w:bCs/>
          <w:color w:val="000000"/>
          <w:sz w:val="24"/>
          <w:szCs w:val="24"/>
          <w:highlight w:val="none"/>
        </w:rPr>
        <w:t xml:space="preserve">演示（15分）：</w:t>
      </w:r>
      <w:r>
        <w:rPr>
          <w:rFonts w:hint="eastAsia" w:ascii="宋体" w:hAnsi="宋体"/>
          <w:bCs/>
          <w:color w:val="000000"/>
          <w:sz w:val="24"/>
          <w:szCs w:val="24"/>
          <w:highlight w:val="none"/>
        </w:rPr>
        <w:t xml:space="preserve">演示必须是目前正在运行的真实环境或模拟环境，不得使用PPT演示稿或录屏、截图等其他方式演示。演示时间不超过15分钟，无演示不得分。本项目演示为投标人在线提供演示，投标人无需到现场，关于在线演示操作，详见《操作手册》。投标人提供演示的须自行配备好演示所需设备（包括：电脑、摄像头、耳机、麦克风、网络环境等），并确保有人随时响应演示请求以及演示时网络的通畅，不能按时响应演示请求的视为无演示，不得分。</w:t>
      </w:r>
      <w:r>
        <w:rPr>
          <w:rFonts w:ascii="宋体"/>
          <w:b/>
          <w:bCs/>
          <w:color w:val="000000"/>
          <w:sz w:val="24"/>
          <w:szCs w:val="24"/>
          <w:highlight w:val="none"/>
        </w:rPr>
      </w:r>
      <w:r/>
    </w:p>
    <w:p>
      <w:pPr>
        <w:pStyle w:val="668"/>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投标人针对招标投标活动监管子系统功能点进行演示，演示得分点如下</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668"/>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4.1 投标文件特征码雷同性分析（3分）</w:t>
      </w:r>
      <w:r>
        <w:rPr>
          <w:rFonts w:hint="eastAsia" w:ascii="宋体" w:hAnsi="宋体"/>
          <w:color w:val="000000"/>
          <w:sz w:val="24"/>
          <w:highlight w:val="none"/>
        </w:rPr>
      </w:r>
      <w:r/>
    </w:p>
    <w:p>
      <w:pPr>
        <w:pStyle w:val="668"/>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演示文件制作机器码、文件创建标识码、标书上传IP、远程解密IP、文件下载IP及机器码的智能比对与异常聚类分析功能</w:t>
      </w:r>
      <w:r>
        <w:rPr>
          <w:rFonts w:hint="eastAsia" w:ascii="宋体" w:hAnsi="宋体"/>
          <w:color w:val="000000"/>
          <w:sz w:val="24"/>
          <w:highlight w:val="none"/>
        </w:rPr>
        <w:t xml:space="preserve">以及人工智能技术应用能力</w:t>
      </w:r>
      <w:r>
        <w:rPr>
          <w:rFonts w:hint="eastAsia" w:ascii="宋体" w:hAnsi="宋体"/>
          <w:color w:val="000000"/>
          <w:sz w:val="24"/>
          <w:highlight w:val="none"/>
        </w:rPr>
        <w:t xml:space="preserve">。具备文件制作机器码雷同性分析功能得0.5分，未演示不得分；具备文件创建标识码雷同性分析功能得0.5分，未演示不得分；具备标书上传IP雷同性分析功能得0.5分，未演示不得分；具备远程解密IP雷同性分析功能得0.5分，未演示不得分；具备文件下载IP及机器码雷同性分析功能得0.5分，未演示不得分；本部分功能如</w:t>
      </w:r>
      <w:r>
        <w:rPr>
          <w:rFonts w:ascii="宋体" w:hAnsi="宋体"/>
          <w:color w:val="000000"/>
          <w:sz w:val="24"/>
          <w:highlight w:val="none"/>
        </w:rPr>
        <w:t xml:space="preserve">使用AI/机器学习技术（包括但不限于大语言模型、深度学习、知识图谱等）实现</w:t>
      </w:r>
      <w:r>
        <w:rPr>
          <w:rFonts w:hint="eastAsia" w:ascii="宋体" w:hAnsi="宋体"/>
          <w:color w:val="000000"/>
          <w:sz w:val="24"/>
          <w:highlight w:val="none"/>
        </w:rPr>
        <w:t xml:space="preserve">的得0.5分，未演示不得分。</w:t>
      </w:r>
      <w:r>
        <w:rPr>
          <w:rFonts w:hint="eastAsia" w:ascii="宋体" w:hAnsi="宋体"/>
          <w:color w:val="000000"/>
          <w:sz w:val="24"/>
          <w:highlight w:val="none"/>
        </w:rPr>
      </w:r>
      <w:r/>
    </w:p>
    <w:p>
      <w:pPr>
        <w:pStyle w:val="668"/>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4.2 市场主体社团分析（3分）</w:t>
      </w:r>
      <w:r>
        <w:rPr>
          <w:rFonts w:hint="eastAsia" w:ascii="宋体" w:hAnsi="宋体"/>
          <w:color w:val="000000"/>
          <w:sz w:val="24"/>
          <w:highlight w:val="none"/>
        </w:rPr>
      </w:r>
      <w:r/>
    </w:p>
    <w:p>
      <w:pPr>
        <w:pStyle w:val="668"/>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演示投标人抱团亲密度分析、招标人与投标人关系分析、中标人与招标代理关系分析、邀请招标单位亲密度分析、社团写真分析等功能</w:t>
      </w:r>
      <w:r>
        <w:rPr>
          <w:rFonts w:hint="eastAsia" w:ascii="宋体" w:hAnsi="宋体"/>
          <w:color w:val="000000"/>
          <w:sz w:val="24"/>
          <w:highlight w:val="none"/>
        </w:rPr>
        <w:t xml:space="preserve">以及人工智能技术应用能力</w:t>
      </w:r>
      <w:r>
        <w:rPr>
          <w:rFonts w:hint="eastAsia" w:ascii="宋体" w:hAnsi="宋体"/>
          <w:color w:val="000000"/>
          <w:sz w:val="24"/>
          <w:highlight w:val="none"/>
        </w:rPr>
        <w:t xml:space="preserve">。</w:t>
      </w:r>
      <w:r>
        <w:rPr>
          <w:rFonts w:hint="eastAsia" w:ascii="宋体" w:hAnsi="宋体"/>
          <w:color w:val="000000"/>
          <w:sz w:val="24"/>
          <w:highlight w:val="none"/>
        </w:rPr>
        <w:t xml:space="preserve">具备投标人抱团亲密度分析、能够通过智能算法识别隐性关联企业功能得0.5分，未演示不得分；具备招标人与投标人关系分析功能得0.5分，未演示不得分；具备中标人与招标代理关系分析功能得0.5分，未演示不得分；具备邀请招标单位亲密度分析功能得0.5分，未演示不得分；具备社团写真分析功能得0.5分，未演示不得分；</w:t>
      </w:r>
      <w:r>
        <w:rPr>
          <w:rFonts w:hint="eastAsia" w:ascii="宋体" w:hAnsi="宋体"/>
          <w:color w:val="000000"/>
          <w:sz w:val="24"/>
          <w:highlight w:val="none"/>
        </w:rPr>
        <w:t xml:space="preserve">本部分功能如</w:t>
      </w:r>
      <w:r>
        <w:rPr>
          <w:rFonts w:ascii="宋体" w:hAnsi="宋体"/>
          <w:color w:val="000000"/>
          <w:sz w:val="24"/>
          <w:highlight w:val="none"/>
        </w:rPr>
        <w:t xml:space="preserve">使用AI/机器学习技术（包括但不限于大语言模型、深度学习、知识图谱等）实现</w:t>
      </w:r>
      <w:r>
        <w:rPr>
          <w:rFonts w:hint="eastAsia" w:ascii="宋体" w:hAnsi="宋体"/>
          <w:color w:val="000000"/>
          <w:sz w:val="24"/>
          <w:highlight w:val="none"/>
        </w:rPr>
        <w:t xml:space="preserve">的</w:t>
      </w:r>
      <w:r>
        <w:rPr>
          <w:rFonts w:hint="eastAsia" w:ascii="宋体" w:hAnsi="宋体"/>
          <w:color w:val="000000"/>
          <w:sz w:val="24"/>
          <w:highlight w:val="none"/>
        </w:rPr>
        <w:t xml:space="preserve">得0.5分，未演示不得分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68"/>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4.3 智能辅助评标分析（3分）</w:t>
      </w:r>
      <w:r>
        <w:rPr>
          <w:rFonts w:hint="eastAsia" w:ascii="宋体" w:hAnsi="宋体"/>
          <w:color w:val="000000"/>
          <w:sz w:val="24"/>
          <w:highlight w:val="none"/>
        </w:rPr>
      </w:r>
      <w:r/>
    </w:p>
    <w:p>
      <w:pPr>
        <w:pStyle w:val="668"/>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演示技术标雷同性分析（含图片OCR、PDF文字提取、相似度比对）、商务标错误雷同性分析、分项清单定额组成雷同性分析、投标文件编制异常分析、公司名称异常分析等功能</w:t>
      </w:r>
      <w:r>
        <w:rPr>
          <w:rFonts w:hint="eastAsia" w:ascii="宋体" w:hAnsi="宋体"/>
          <w:color w:val="000000"/>
          <w:sz w:val="24"/>
          <w:highlight w:val="none"/>
        </w:rPr>
        <w:t xml:space="preserve">以及人工智能技术应用能力</w:t>
      </w:r>
      <w:r>
        <w:rPr>
          <w:rFonts w:hint="eastAsia" w:ascii="宋体" w:hAnsi="宋体"/>
          <w:color w:val="000000"/>
          <w:sz w:val="24"/>
          <w:highlight w:val="none"/>
        </w:rPr>
        <w:t xml:space="preserve">。要求运用自然语言处理（NLP）技术进行语义相似度计算与异常模式识别，OCR识别准确、查重算法有效。具备技术标雷同性分析（必须包含图片或PDF文档OCR识别以及语义相似度比对）功能得0.5分，未演示不得分；具备商务标错误雷同性分析功能得0.5分，未演示不得分；具备分项清单定额组成雷同性分析功能得0.5分，未演示不得分；具备投标文件编制异常分析功能得0.5分，未演示不得分；具备公司名称异常分析功能得0.5分，未演示不得分；</w:t>
      </w:r>
      <w:r>
        <w:rPr>
          <w:rFonts w:hint="eastAsia" w:ascii="宋体" w:hAnsi="宋体"/>
          <w:color w:val="000000"/>
          <w:sz w:val="24"/>
          <w:highlight w:val="none"/>
        </w:rPr>
        <w:t xml:space="preserve">本部分功能如</w:t>
      </w:r>
      <w:r>
        <w:rPr>
          <w:rFonts w:ascii="宋体" w:hAnsi="宋体"/>
          <w:color w:val="000000"/>
          <w:sz w:val="24"/>
          <w:highlight w:val="none"/>
        </w:rPr>
        <w:t xml:space="preserve">使用AI/机器学习技术（包括但不限于大语言模型、深度学习、知识图谱等）实现</w:t>
      </w:r>
      <w:r>
        <w:rPr>
          <w:rFonts w:hint="eastAsia" w:ascii="宋体" w:hAnsi="宋体"/>
          <w:color w:val="000000"/>
          <w:sz w:val="24"/>
          <w:highlight w:val="none"/>
        </w:rPr>
        <w:t xml:space="preserve">的得0.5分，未演示不得分。</w:t>
      </w:r>
      <w:r>
        <w:rPr>
          <w:rFonts w:hint="eastAsia" w:ascii="宋体" w:hAnsi="宋体"/>
          <w:color w:val="000000"/>
          <w:sz w:val="24"/>
          <w:highlight w:val="none"/>
        </w:rPr>
      </w:r>
      <w:r/>
    </w:p>
    <w:p>
      <w:pPr>
        <w:pStyle w:val="668"/>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4.4 转包违法分包大数据分析（3分）</w:t>
      </w:r>
      <w:r>
        <w:rPr>
          <w:rFonts w:hint="eastAsia" w:ascii="宋体" w:hAnsi="宋体"/>
          <w:color w:val="000000"/>
          <w:sz w:val="24"/>
          <w:highlight w:val="none"/>
        </w:rPr>
      </w:r>
      <w:r/>
    </w:p>
    <w:p>
      <w:pPr>
        <w:pStyle w:val="668"/>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演示投标价格分析、专家打分倾向性分析、异常流程分析、异常人员分析、转包及违法分包分析等功能以及人工智能技术应用能力。具备投标价格分析功能得0.5分，未演示不得分；具备专家打分倾向性分析功能得0.5分，未演示不得分；具备异常流程分析功能得0.5分，未演示不得分；具备异常人员分析功能得0.5分，未演示不得分；具备转包及违法分包分析功能得0.5分，未演示不得分；本部分功能如</w:t>
      </w:r>
      <w:r>
        <w:rPr>
          <w:rFonts w:ascii="宋体" w:hAnsi="宋体"/>
          <w:color w:val="000000"/>
          <w:sz w:val="24"/>
          <w:highlight w:val="none"/>
        </w:rPr>
        <w:t xml:space="preserve">使用AI/机器学习技术（包括但不限于大语言模型、深度学习、知识图谱等）实现</w:t>
      </w:r>
      <w:r>
        <w:rPr>
          <w:rFonts w:hint="eastAsia" w:ascii="宋体" w:hAnsi="宋体"/>
          <w:color w:val="000000"/>
          <w:sz w:val="24"/>
          <w:highlight w:val="none"/>
        </w:rPr>
        <w:t xml:space="preserve">的得0.5分，未演示不得分。</w:t>
      </w:r>
      <w:r>
        <w:rPr>
          <w:rFonts w:hint="eastAsia" w:ascii="宋体" w:hAnsi="宋体"/>
          <w:color w:val="000000"/>
          <w:sz w:val="24"/>
          <w:highlight w:val="none"/>
        </w:rPr>
      </w:r>
      <w:r/>
    </w:p>
    <w:p>
      <w:pPr>
        <w:pStyle w:val="668"/>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4.5 招标投标统计报表（3分）</w:t>
      </w:r>
      <w:r>
        <w:rPr>
          <w:rFonts w:hint="eastAsia" w:ascii="宋体" w:hAnsi="宋体"/>
          <w:color w:val="000000"/>
          <w:sz w:val="24"/>
          <w:highlight w:val="none"/>
        </w:rPr>
      </w:r>
      <w:r/>
    </w:p>
    <w:p>
      <w:pPr>
        <w:pStyle w:val="668"/>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演示中标候选人技术经济信用得分分析、本外地企业中标率分析、民营国有企业中标率分析、大中小型企业中标率分析等功能以及人工智能技术应用能力。具备中标候选人技术经济信用得分分析功能得0.5分，未演示不得分；具备本外地企业中标率分析功能得0.5分，未演示不得分；具备民营国有企业中标率分析功能得0.5分，未演示不得分；具备大中小型企业中标率分析功能得0.5分，未演示不得分；本部分功能如</w:t>
      </w:r>
      <w:r>
        <w:rPr>
          <w:rFonts w:ascii="宋体" w:hAnsi="宋体"/>
          <w:color w:val="000000"/>
          <w:sz w:val="24"/>
          <w:highlight w:val="none"/>
        </w:rPr>
        <w:t xml:space="preserve">使用AI/机器学习技术（包括但不限于大语言模型、深度学习、知识图谱等）实现</w:t>
      </w:r>
      <w:r>
        <w:rPr>
          <w:rFonts w:hint="eastAsia" w:ascii="宋体" w:hAnsi="宋体"/>
          <w:color w:val="000000"/>
          <w:sz w:val="24"/>
          <w:highlight w:val="none"/>
        </w:rPr>
        <w:t xml:space="preserve">的得1分，未演示不得分。</w:t>
      </w:r>
      <w:r>
        <w:rPr>
          <w:rFonts w:hint="eastAsia" w:ascii="宋体" w:hAnsi="宋体"/>
          <w:color w:val="000000"/>
          <w:sz w:val="24"/>
          <w:highlight w:val="none"/>
        </w:rPr>
      </w:r>
      <w:r/>
    </w:p>
    <w:p>
      <w:pPr>
        <w:pStyle w:val="668"/>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项目方案（</w:t>
      </w:r>
      <w:r>
        <w:rPr>
          <w:rFonts w:hint="eastAsia" w:ascii="宋体" w:hAnsi="宋体"/>
          <w:b/>
          <w:bCs/>
          <w:color w:val="000000"/>
          <w:sz w:val="24"/>
          <w:szCs w:val="24"/>
          <w:highlight w:val="none"/>
        </w:rPr>
        <w:t xml:space="preserve">54</w:t>
      </w:r>
      <w:r>
        <w:rPr>
          <w:rFonts w:hint="eastAsia" w:ascii="宋体" w:hAnsi="宋体"/>
          <w:b/>
          <w:bCs/>
          <w:color w:val="000000"/>
          <w:sz w:val="24"/>
          <w:szCs w:val="24"/>
          <w:highlight w:val="none"/>
        </w:rPr>
        <w:t xml:space="preserve">分）</w:t>
      </w:r>
      <w:r>
        <w:rPr>
          <w:rFonts w:ascii="宋体" w:hAnsi="宋体"/>
          <w:b/>
          <w:bCs/>
          <w:color w:val="000000"/>
          <w:sz w:val="24"/>
          <w:szCs w:val="24"/>
          <w:highlight w:val="none"/>
        </w:rPr>
      </w:r>
      <w:r/>
    </w:p>
    <w:p>
      <w:pPr>
        <w:pStyle w:val="668"/>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5.1 项目需求分析（10分）：主要考察投标人对本项目需求的理解程度，包括①现有系统理解、②功能需求、③非功能需求、④技术路线、⑤安全架构设计等。</w:t>
      </w:r>
      <w:r>
        <w:rPr>
          <w:rFonts w:hint="eastAsia" w:ascii="宋体" w:hAnsi="宋体"/>
          <w:color w:val="000000"/>
          <w:sz w:val="24"/>
          <w:highlight w:val="none"/>
        </w:rPr>
      </w:r>
      <w:r/>
    </w:p>
    <w:p>
      <w:pPr>
        <w:pStyle w:val="668"/>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方案完整，科学合理，设计清晰详细，完全符合本项目需求，且能够提供上述5项全部方案的得10分；方案较完整，科学合理性较强，设计较清晰详细，能够符合本项目需求，能够提供上述3-5项方案得7分；方案完整性、科学合理性、设计的清晰详细程度等只能基本满足要求，能够提供上述1-5项方案得5分；</w:t>
      </w:r>
      <w:r>
        <w:rPr>
          <w:rFonts w:ascii="宋体" w:hAnsi="宋体"/>
          <w:bCs/>
          <w:color w:val="000000"/>
          <w:sz w:val="24"/>
          <w:szCs w:val="24"/>
          <w:highlight w:val="none"/>
        </w:rPr>
        <w:t xml:space="preserve">未按要求提供方案内容或无方案的，均不得分</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68"/>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5.2 系统详细设计（</w:t>
      </w:r>
      <w:r>
        <w:rPr>
          <w:rFonts w:hint="eastAsia" w:ascii="宋体" w:hAnsi="宋体"/>
          <w:color w:val="000000"/>
          <w:sz w:val="24"/>
          <w:highlight w:val="none"/>
        </w:rPr>
        <w:t xml:space="preserve">21</w:t>
      </w:r>
      <w:r>
        <w:rPr>
          <w:rFonts w:hint="eastAsia" w:ascii="宋体" w:hAnsi="宋体"/>
          <w:color w:val="000000"/>
          <w:sz w:val="24"/>
          <w:highlight w:val="none"/>
        </w:rPr>
        <w:t xml:space="preserve">分）：考察投标人将采购需求转化为可执行技术方案的能力，设计方案应对照采购需求一一对应。其中应包含人工智能技术方案（如自然语言处理、图神经网络、机器学习等）在招投标监管中的具体应用设计。</w:t>
      </w:r>
      <w:r>
        <w:rPr>
          <w:rFonts w:ascii="宋体" w:hAnsi="宋体"/>
          <w:color w:val="000000"/>
          <w:sz w:val="24"/>
          <w:highlight w:val="none"/>
        </w:rPr>
      </w:r>
      <w:r/>
    </w:p>
    <w:p>
      <w:pPr>
        <w:pStyle w:val="668"/>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5.2.1智慧住建业务平台信创改造详细设计方案（6分）：</w:t>
      </w:r>
      <w:r>
        <w:rPr>
          <w:rFonts w:hint="eastAsia" w:ascii="宋体" w:hAnsi="宋体"/>
          <w:color w:val="000000"/>
          <w:sz w:val="24"/>
          <w:highlight w:val="none"/>
        </w:rPr>
        <w:t xml:space="preserve">主要考察投标人对该系统信创改造需求的设计是否合理，包括①信创操作系统适配、②信创数据库迁移、③应用系统适配、④API网关管控、⑤身份认证与访问控制强化、⑥密码应用安全性评估改造、⑦Web应用高可用性设计等。</w:t>
      </w:r>
      <w:r>
        <w:rPr>
          <w:rFonts w:ascii="宋体" w:hAnsi="宋体"/>
          <w:color w:val="000000"/>
          <w:sz w:val="24"/>
          <w:highlight w:val="none"/>
        </w:rPr>
      </w:r>
      <w:r/>
    </w:p>
    <w:p>
      <w:pPr>
        <w:pStyle w:val="668"/>
        <w:ind w:firstLine="480"/>
        <w:spacing w:line="500" w:lineRule="exact"/>
        <w:tabs>
          <w:tab w:val="left" w:pos="945" w:leader="none"/>
          <w:tab w:val="left" w:pos="1155" w:leader="none"/>
          <w:tab w:val="left" w:pos="3823" w:leader="none"/>
        </w:tabs>
        <w:rPr>
          <w:rFonts w:hint="eastAsia" w:ascii="宋体" w:hAnsi="宋体"/>
          <w:color w:val="000000"/>
          <w:sz w:val="24"/>
          <w:highlight w:val="none"/>
        </w:rPr>
      </w:pPr>
      <w:r>
        <w:rPr>
          <w:rFonts w:hint="eastAsia" w:ascii="宋体" w:hAnsi="宋体"/>
          <w:bCs/>
          <w:color w:val="000000"/>
          <w:sz w:val="24"/>
          <w:szCs w:val="24"/>
          <w:highlight w:val="none"/>
        </w:rPr>
        <w:t xml:space="preserve">方案完整，科学合理，设计清晰详细，完全符合本项目需求，且能够提供上述7项全部方案的得6分；方案较完整，科学合理性较强，设计较清晰详细，能够符合本项目需求，能够提供上述5-7项方案得4分；方案完整性、科学合理性、设计的清晰详细程度等只能基本满足要求，能够提供上述1-7项方案得2分；</w:t>
      </w:r>
      <w:r>
        <w:rPr>
          <w:rFonts w:ascii="宋体" w:hAnsi="宋体"/>
          <w:bCs/>
          <w:color w:val="000000"/>
          <w:sz w:val="24"/>
          <w:szCs w:val="24"/>
          <w:highlight w:val="none"/>
        </w:rPr>
        <w:t xml:space="preserve">未按要求提供方案内容或无方案的，均不得分</w:t>
      </w:r>
      <w:r>
        <w:rPr>
          <w:rFonts w:hint="eastAsia" w:ascii="宋体" w:hAnsi="宋体"/>
          <w:bCs/>
          <w:color w:val="000000"/>
          <w:sz w:val="24"/>
          <w:szCs w:val="24"/>
          <w:highlight w:val="none"/>
        </w:rPr>
        <w:t xml:space="preserve">。</w:t>
      </w:r>
      <w:r>
        <w:rPr>
          <w:rFonts w:hint="eastAsia" w:ascii="宋体" w:hAnsi="宋体"/>
          <w:color w:val="000000"/>
          <w:sz w:val="24"/>
          <w:highlight w:val="none"/>
        </w:rPr>
      </w:r>
      <w:r/>
    </w:p>
    <w:p>
      <w:pPr>
        <w:pStyle w:val="668"/>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5.2.2建筑工地智慧监管子系统信创改造详细设计方案（2分）：</w:t>
      </w:r>
      <w:r>
        <w:rPr>
          <w:rFonts w:hint="eastAsia" w:ascii="宋体" w:hAnsi="宋体"/>
          <w:color w:val="000000"/>
          <w:sz w:val="24"/>
          <w:highlight w:val="none"/>
        </w:rPr>
        <w:t xml:space="preserve">主要考察投标人对该系统信创改造需求的设计是否合理，包括①信创操作系统适配、②信创数据库迁移、③应用系统适配、④密码应用安全性评估改造等。</w:t>
      </w:r>
      <w:r>
        <w:rPr>
          <w:rFonts w:ascii="宋体" w:hAnsi="宋体"/>
          <w:color w:val="000000"/>
          <w:sz w:val="24"/>
          <w:highlight w:val="none"/>
        </w:rPr>
      </w:r>
      <w:r/>
    </w:p>
    <w:p>
      <w:pPr>
        <w:pStyle w:val="668"/>
        <w:ind w:firstLine="480"/>
        <w:spacing w:line="500" w:lineRule="exact"/>
        <w:tabs>
          <w:tab w:val="left" w:pos="945" w:leader="none"/>
          <w:tab w:val="left" w:pos="1155" w:leader="none"/>
          <w:tab w:val="left" w:pos="3823" w:leader="none"/>
        </w:tabs>
        <w:rPr>
          <w:rFonts w:ascii="宋体" w:hAnsi="宋体"/>
          <w:color w:val="000000"/>
          <w:sz w:val="24"/>
          <w:highlight w:val="none"/>
        </w:rPr>
      </w:pPr>
      <w:r>
        <w:rPr>
          <w:rFonts w:hint="eastAsia" w:ascii="宋体" w:hAnsi="宋体"/>
          <w:bCs/>
          <w:color w:val="000000"/>
          <w:sz w:val="24"/>
          <w:szCs w:val="24"/>
          <w:highlight w:val="none"/>
        </w:rPr>
        <w:t xml:space="preserve">方案完整，科学合理，设计清晰详细，完全符合本项目需求，且能够提供上述4项全部方案的得2分；方案较完整，科学合理性较强，设计较清晰详细，能够符合本项目需求，能够提供上述1-4项方案得1分；</w:t>
      </w:r>
      <w:r>
        <w:rPr>
          <w:rFonts w:ascii="宋体" w:hAnsi="宋体"/>
          <w:bCs/>
          <w:color w:val="000000"/>
          <w:sz w:val="24"/>
          <w:szCs w:val="24"/>
          <w:highlight w:val="none"/>
        </w:rPr>
        <w:t xml:space="preserve">未按要求提供方案内容或无方案的，均不得分</w:t>
      </w:r>
      <w:r>
        <w:rPr>
          <w:rFonts w:hint="eastAsia" w:ascii="宋体" w:hAnsi="宋体"/>
          <w:bCs/>
          <w:color w:val="000000"/>
          <w:sz w:val="24"/>
          <w:szCs w:val="24"/>
          <w:highlight w:val="none"/>
        </w:rPr>
        <w:t xml:space="preserve">。</w:t>
      </w:r>
      <w:r>
        <w:rPr>
          <w:rFonts w:ascii="宋体" w:hAnsi="宋体"/>
          <w:color w:val="000000"/>
          <w:sz w:val="24"/>
          <w:highlight w:val="none"/>
        </w:rPr>
      </w:r>
      <w:r/>
    </w:p>
    <w:p>
      <w:pPr>
        <w:pStyle w:val="668"/>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5.2.3城市基础设施配套费征收系统信创改造详细设计方案（2分）：</w:t>
      </w:r>
      <w:r>
        <w:rPr>
          <w:rFonts w:hint="eastAsia" w:ascii="宋体" w:hAnsi="宋体"/>
          <w:color w:val="000000"/>
          <w:sz w:val="24"/>
          <w:highlight w:val="none"/>
        </w:rPr>
        <w:t xml:space="preserve">主要考察投标人对该系统信创改造需求的设计是否合理，包括①信创操作系统适配、②信创数据库迁移、③应用系统适配、④密码应用安全性评估改造等。</w:t>
      </w:r>
      <w:r>
        <w:rPr>
          <w:rFonts w:ascii="宋体" w:hAnsi="宋体"/>
          <w:color w:val="000000"/>
          <w:sz w:val="24"/>
          <w:highlight w:val="none"/>
        </w:rPr>
      </w:r>
      <w:r/>
    </w:p>
    <w:p>
      <w:pPr>
        <w:pStyle w:val="668"/>
        <w:ind w:firstLine="480"/>
        <w:spacing w:line="500" w:lineRule="exact"/>
        <w:tabs>
          <w:tab w:val="left" w:pos="945" w:leader="none"/>
          <w:tab w:val="left" w:pos="1155" w:leader="none"/>
          <w:tab w:val="left" w:pos="3823" w:leader="none"/>
        </w:tabs>
        <w:rPr>
          <w:rFonts w:hint="eastAsia" w:ascii="宋体" w:hAnsi="宋体"/>
          <w:color w:val="000000"/>
          <w:sz w:val="24"/>
          <w:highlight w:val="none"/>
        </w:rPr>
      </w:pPr>
      <w:r>
        <w:rPr>
          <w:rFonts w:hint="eastAsia" w:ascii="宋体" w:hAnsi="宋体"/>
          <w:bCs/>
          <w:color w:val="000000"/>
          <w:sz w:val="24"/>
          <w:szCs w:val="24"/>
          <w:highlight w:val="none"/>
        </w:rPr>
        <w:t xml:space="preserve">方案完整，科学合理，设计清晰详细，完全符合本项目需求，且能够提供上述4项全部方案的得2分；方案较完整，科学合理性较强，设计较清晰详细，能够符合本项目需求，能够提供上述1-4项方案得1分；</w:t>
      </w:r>
      <w:r>
        <w:rPr>
          <w:rFonts w:ascii="宋体" w:hAnsi="宋体"/>
          <w:bCs/>
          <w:color w:val="000000"/>
          <w:sz w:val="24"/>
          <w:szCs w:val="24"/>
          <w:highlight w:val="none"/>
        </w:rPr>
        <w:t xml:space="preserve">未按要求提供方案内容或无方案的，均不得分</w:t>
      </w:r>
      <w:r>
        <w:rPr>
          <w:rFonts w:hint="eastAsia" w:ascii="宋体" w:hAnsi="宋体"/>
          <w:bCs/>
          <w:color w:val="000000"/>
          <w:sz w:val="24"/>
          <w:szCs w:val="24"/>
          <w:highlight w:val="none"/>
        </w:rPr>
        <w:t xml:space="preserve">。</w:t>
      </w:r>
      <w:r>
        <w:rPr>
          <w:rFonts w:hint="eastAsia" w:ascii="宋体" w:hAnsi="宋体"/>
          <w:color w:val="000000"/>
          <w:sz w:val="24"/>
          <w:highlight w:val="none"/>
        </w:rPr>
      </w:r>
      <w:r/>
    </w:p>
    <w:p>
      <w:pPr>
        <w:pStyle w:val="668"/>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5.2.4招投标活动监管子系统详细设计方案（6分）：</w:t>
      </w:r>
      <w:r>
        <w:rPr>
          <w:rFonts w:hint="eastAsia" w:ascii="宋体" w:hAnsi="宋体"/>
          <w:color w:val="000000"/>
          <w:sz w:val="24"/>
          <w:highlight w:val="none"/>
        </w:rPr>
        <w:t xml:space="preserve">主要考察投标人对该子系统的功能设计是否合理，包括①投标文件特征码雷同性分析、②市场主体社团分析、③智能辅助评标分析、④转包违法分包大数据分析、⑤</w:t>
      </w:r>
      <w:r>
        <w:rPr>
          <w:rFonts w:ascii="宋体" w:hAnsi="宋体"/>
          <w:color w:val="000000"/>
          <w:sz w:val="24"/>
          <w:highlight w:val="none"/>
        </w:rPr>
        <w:t xml:space="preserve">招标投标统计报表</w:t>
      </w:r>
      <w:r>
        <w:rPr>
          <w:rFonts w:hint="eastAsia" w:ascii="宋体" w:hAnsi="宋体"/>
          <w:color w:val="000000"/>
          <w:sz w:val="24"/>
          <w:highlight w:val="none"/>
        </w:rPr>
        <w:t xml:space="preserve">、⑥分析结果展现等。</w:t>
      </w:r>
      <w:r>
        <w:rPr>
          <w:rFonts w:ascii="宋体" w:hAnsi="宋体"/>
          <w:color w:val="000000"/>
          <w:sz w:val="24"/>
          <w:highlight w:val="none"/>
        </w:rPr>
      </w:r>
      <w:r/>
    </w:p>
    <w:p>
      <w:pPr>
        <w:pStyle w:val="668"/>
        <w:ind w:firstLine="480"/>
        <w:spacing w:line="500" w:lineRule="exact"/>
        <w:tabs>
          <w:tab w:val="left" w:pos="945" w:leader="none"/>
          <w:tab w:val="left" w:pos="1155" w:leader="none"/>
          <w:tab w:val="left" w:pos="3823" w:leader="none"/>
        </w:tabs>
        <w:rPr>
          <w:rFonts w:hint="eastAsia" w:ascii="宋体" w:hAnsi="宋体"/>
          <w:color w:val="000000"/>
          <w:sz w:val="24"/>
          <w:highlight w:val="none"/>
        </w:rPr>
      </w:pPr>
      <w:r>
        <w:rPr>
          <w:rFonts w:hint="eastAsia" w:ascii="宋体" w:hAnsi="宋体"/>
          <w:bCs/>
          <w:color w:val="000000"/>
          <w:sz w:val="24"/>
          <w:szCs w:val="24"/>
          <w:highlight w:val="none"/>
        </w:rPr>
        <w:t xml:space="preserve">方案完整，科学合理，设计清晰详细，完全符合本项目需求，上述</w:t>
      </w:r>
      <w:r>
        <w:rPr>
          <w:rFonts w:ascii="宋体" w:hAnsi="宋体"/>
          <w:bCs/>
          <w:color w:val="000000"/>
          <w:sz w:val="24"/>
          <w:szCs w:val="24"/>
          <w:highlight w:val="none"/>
        </w:rPr>
        <w:t xml:space="preserve"> 6项方案均完整提供，且其中</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项及以上采用AI/机器学习技术</w:t>
      </w:r>
      <w:r>
        <w:rPr>
          <w:rFonts w:ascii="宋体" w:hAnsi="宋体"/>
          <w:color w:val="000000"/>
          <w:sz w:val="24"/>
          <w:highlight w:val="none"/>
        </w:rPr>
        <w:t xml:space="preserve">包括但不限于大语言模型、深度学习、知识图谱等）</w:t>
      </w:r>
      <w:r>
        <w:rPr>
          <w:rFonts w:ascii="宋体" w:hAnsi="宋体"/>
          <w:bCs/>
          <w:color w:val="000000"/>
          <w:sz w:val="24"/>
          <w:szCs w:val="24"/>
          <w:highlight w:val="none"/>
        </w:rPr>
        <w:t xml:space="preserve">实现的，得6分</w:t>
      </w:r>
      <w:r>
        <w:rPr>
          <w:rFonts w:hint="eastAsia" w:ascii="宋体" w:hAnsi="宋体"/>
          <w:bCs/>
          <w:color w:val="000000"/>
          <w:sz w:val="24"/>
          <w:szCs w:val="24"/>
          <w:highlight w:val="none"/>
        </w:rPr>
        <w:t xml:space="preserve">；方案完整，科学合理，设计清晰详细，完全符合本项目需求，上述</w:t>
      </w:r>
      <w:r>
        <w:rPr>
          <w:rFonts w:ascii="宋体" w:hAnsi="宋体"/>
          <w:bCs/>
          <w:color w:val="000000"/>
          <w:sz w:val="24"/>
          <w:szCs w:val="24"/>
          <w:highlight w:val="none"/>
        </w:rPr>
        <w:t xml:space="preserve"> 6项方案均完整提供的，得</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分</w:t>
      </w:r>
      <w:r>
        <w:rPr>
          <w:rFonts w:hint="eastAsia" w:ascii="宋体" w:hAnsi="宋体"/>
          <w:bCs/>
          <w:color w:val="000000"/>
          <w:sz w:val="24"/>
          <w:szCs w:val="24"/>
          <w:highlight w:val="none"/>
        </w:rPr>
        <w:t xml:space="preserve">；方案较完整，科学合理性较强，设计较清晰详细，能够符合本项目需求，能够提供上述5-6项方案得4分；方案完整性、科学合理性、设计的清晰详细程度等只能基本满足要求，能够提供上述1-6项方案得2分；</w:t>
      </w:r>
      <w:r>
        <w:rPr>
          <w:rFonts w:ascii="宋体" w:hAnsi="宋体"/>
          <w:bCs/>
          <w:color w:val="000000"/>
          <w:sz w:val="24"/>
          <w:szCs w:val="24"/>
          <w:highlight w:val="none"/>
        </w:rPr>
        <w:t xml:space="preserve">未按要求提供方案内容或无方案的，均不得分</w:t>
      </w:r>
      <w:r>
        <w:rPr>
          <w:rFonts w:hint="eastAsia" w:ascii="宋体" w:hAnsi="宋体"/>
          <w:bCs/>
          <w:color w:val="000000"/>
          <w:sz w:val="24"/>
          <w:szCs w:val="24"/>
          <w:highlight w:val="none"/>
        </w:rPr>
        <w:t xml:space="preserve">。</w:t>
      </w:r>
      <w:r>
        <w:rPr>
          <w:rFonts w:hint="eastAsia" w:ascii="宋体" w:hAnsi="宋体"/>
          <w:color w:val="000000"/>
          <w:sz w:val="24"/>
          <w:highlight w:val="none"/>
        </w:rPr>
      </w:r>
      <w:r/>
    </w:p>
    <w:p>
      <w:pPr>
        <w:pStyle w:val="668"/>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5.2.5升级BIM施工图智能审查子系统详细设计方案（3分）：主要考察投标人对该子系统的功能设计是否合理，包括①审图业务工单管理、②工改3.0改造、③电子发票管理、④城市更新改造项目审查管理、⑤一对一整改回复、⑥跨专业关联图纸协同管理、⑦全过程图纸版本更替管理等。</w:t>
      </w:r>
      <w:r>
        <w:rPr>
          <w:rFonts w:ascii="宋体" w:hAnsi="宋体"/>
          <w:color w:val="000000"/>
          <w:sz w:val="24"/>
          <w:highlight w:val="none"/>
        </w:rPr>
      </w:r>
      <w:r/>
    </w:p>
    <w:p>
      <w:pPr>
        <w:pStyle w:val="668"/>
        <w:ind w:firstLine="480"/>
        <w:spacing w:line="500" w:lineRule="exact"/>
        <w:tabs>
          <w:tab w:val="left" w:pos="945" w:leader="none"/>
          <w:tab w:val="left" w:pos="1155" w:leader="none"/>
          <w:tab w:val="left" w:pos="3823" w:leader="none"/>
        </w:tabs>
        <w:rPr>
          <w:rFonts w:ascii="宋体" w:hAnsi="宋体"/>
          <w:color w:val="000000"/>
          <w:sz w:val="24"/>
          <w:highlight w:val="none"/>
        </w:rPr>
      </w:pPr>
      <w:r>
        <w:rPr>
          <w:rFonts w:hint="eastAsia" w:ascii="宋体" w:hAnsi="宋体"/>
          <w:bCs/>
          <w:color w:val="000000"/>
          <w:sz w:val="24"/>
          <w:szCs w:val="24"/>
          <w:highlight w:val="none"/>
        </w:rPr>
        <w:t xml:space="preserve">方案完整，科学合理，设计清晰详细，完全符合本项目需求，且能够提供上述7项全部方案的得3分；方案较完整，科学合理性较强，设计较清晰详细，能够符合本项目需求，能够提供上述5-7项方案得2分；方案完整性、科学合理性、设计的清晰详细程度等只能基本满足要求，能够提供上述1-7项方案得1分；</w:t>
      </w:r>
      <w:r>
        <w:rPr>
          <w:rFonts w:ascii="宋体" w:hAnsi="宋体"/>
          <w:bCs/>
          <w:color w:val="000000"/>
          <w:sz w:val="24"/>
          <w:szCs w:val="24"/>
          <w:highlight w:val="none"/>
        </w:rPr>
        <w:t xml:space="preserve">未按要求提供方案内容或无方案的，均不得分</w:t>
      </w:r>
      <w:r>
        <w:rPr>
          <w:rFonts w:hint="eastAsia" w:ascii="宋体" w:hAnsi="宋体"/>
          <w:bCs/>
          <w:color w:val="000000"/>
          <w:sz w:val="24"/>
          <w:szCs w:val="24"/>
          <w:highlight w:val="none"/>
        </w:rPr>
        <w:t xml:space="preserve">。</w:t>
      </w:r>
      <w:r>
        <w:rPr>
          <w:rFonts w:ascii="宋体" w:hAnsi="宋体"/>
          <w:color w:val="000000"/>
          <w:sz w:val="24"/>
          <w:highlight w:val="none"/>
        </w:rPr>
      </w:r>
      <w:r/>
    </w:p>
    <w:p>
      <w:pPr>
        <w:pStyle w:val="668"/>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5.2.6“卖旧买新”契税补贴资格管理模块详细设计方案（2分）：主要考察投标人对该子系统的功能设计是否合理，包括①存量房信息管理、②商品房信息管理、③不动产登记信息管理、④契税补贴业务管理、⑤契税补贴资格申请表打印及导出。</w:t>
      </w:r>
      <w:r>
        <w:rPr>
          <w:rFonts w:ascii="宋体" w:hAnsi="宋体"/>
          <w:color w:val="000000"/>
          <w:sz w:val="24"/>
          <w:highlight w:val="none"/>
        </w:rPr>
      </w:r>
      <w:r/>
    </w:p>
    <w:p>
      <w:pPr>
        <w:pStyle w:val="668"/>
        <w:ind w:firstLine="480"/>
        <w:spacing w:line="500" w:lineRule="exact"/>
        <w:rPr>
          <w:rFonts w:hint="eastAsia" w:ascii="宋体" w:hAnsi="宋体"/>
          <w:color w:val="000000"/>
          <w:sz w:val="24"/>
          <w:highlight w:val="none"/>
        </w:rPr>
      </w:pPr>
      <w:r>
        <w:rPr>
          <w:rFonts w:hint="eastAsia" w:ascii="宋体" w:hAnsi="宋体"/>
          <w:bCs/>
          <w:color w:val="000000"/>
          <w:sz w:val="24"/>
          <w:szCs w:val="24"/>
          <w:highlight w:val="none"/>
        </w:rPr>
        <w:t xml:space="preserve">方案完整，科学合理，设计清晰详细，完全符合本项目需求，且能够提供上述5项全部方案的得2分；方案较完整，科学合理性较强，设计较清晰详细，能够符合本项目需求，能够提供上述1-5项方案得1分；</w:t>
      </w:r>
      <w:r>
        <w:rPr>
          <w:rFonts w:ascii="宋体" w:hAnsi="宋体"/>
          <w:bCs/>
          <w:color w:val="000000"/>
          <w:sz w:val="24"/>
          <w:szCs w:val="24"/>
          <w:highlight w:val="none"/>
        </w:rPr>
        <w:t xml:space="preserve">未按要求提供方案内容或无方案的，均不得分</w:t>
      </w:r>
      <w:r>
        <w:rPr>
          <w:rFonts w:hint="eastAsia" w:ascii="宋体" w:hAnsi="宋体"/>
          <w:bCs/>
          <w:color w:val="000000"/>
          <w:sz w:val="24"/>
          <w:szCs w:val="24"/>
          <w:highlight w:val="none"/>
        </w:rPr>
        <w:t xml:space="preserve">。</w:t>
      </w:r>
      <w:r>
        <w:rPr>
          <w:rFonts w:hint="eastAsia" w:ascii="宋体" w:hAnsi="宋体"/>
          <w:color w:val="000000"/>
          <w:sz w:val="24"/>
          <w:highlight w:val="none"/>
        </w:rPr>
      </w:r>
      <w:r/>
    </w:p>
    <w:p>
      <w:pPr>
        <w:pStyle w:val="668"/>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5.3 项目组织实施方案（10分）：考察①本项目开发实施的管理制度、②项目实施计划、③进度控制、④质量保证、⑤风险管理、⑥资源配置等措施的可行性。</w:t>
      </w:r>
      <w:r>
        <w:rPr>
          <w:rFonts w:hint="eastAsia" w:ascii="宋体" w:hAnsi="宋体"/>
          <w:color w:val="000000"/>
          <w:sz w:val="24"/>
          <w:highlight w:val="none"/>
        </w:rPr>
      </w:r>
      <w:r/>
    </w:p>
    <w:p>
      <w:pPr>
        <w:pStyle w:val="668"/>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方案完整，科学合理，设计清晰详细，完全符合本项目需求，且能够提供上述6项全部方案的得10分；方案较完整，科学合理性较强，设计较清晰详细，能够符合本项目需求，能够提供上述3-6项方案得7分；方案完整性、科学合理性、设计的清晰详细程度等只能基本满足要求，能够提供上述1-6项方案得5分；方案不符合本项目需求或无方案的，不得分。</w:t>
      </w:r>
      <w:r>
        <w:rPr>
          <w:rFonts w:hint="eastAsia" w:ascii="宋体" w:hAnsi="宋体"/>
          <w:bCs/>
          <w:color w:val="000000"/>
          <w:sz w:val="24"/>
          <w:szCs w:val="24"/>
          <w:highlight w:val="none"/>
        </w:rPr>
      </w:r>
      <w:r/>
    </w:p>
    <w:p>
      <w:pPr>
        <w:pStyle w:val="668"/>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5.4 售后服务方案（6分）：考察投标人面向用户的技术支持与保障能力，包括但不限于：①培训方案、②售后服务人员服务能力、③故障响应机制（响应时间、解决时间）、④技术支持方式（电话、远程、现场）、⑤服务团队配置、⑥问题闭环流程等。</w:t>
      </w:r>
      <w:r>
        <w:rPr>
          <w:rFonts w:hint="eastAsia" w:ascii="宋体" w:hAnsi="宋体"/>
          <w:color w:val="000000"/>
          <w:sz w:val="24"/>
          <w:highlight w:val="none"/>
        </w:rPr>
      </w:r>
      <w:r/>
    </w:p>
    <w:p>
      <w:pPr>
        <w:pStyle w:val="668"/>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方案完整，科学合理，设计清晰详细，完全符合本项目需求，且能够提供上述6项全部方案的得6分；方案较完整，科学合理性较强，设计较清晰详细，能够符合本项目需求，能够提供上述3-6项方案得4分；方案完整性、科学合理性、设计的清晰详细程度等只能基本满足要求，能够提供上述1-6项方案得3分；方案不符合本项目需求或无方案的，不得分。</w:t>
      </w:r>
      <w:r>
        <w:rPr>
          <w:rFonts w:hint="eastAsia" w:ascii="宋体" w:hAnsi="宋体"/>
          <w:bCs/>
          <w:color w:val="000000"/>
          <w:sz w:val="24"/>
          <w:szCs w:val="24"/>
          <w:highlight w:val="none"/>
        </w:rPr>
      </w:r>
      <w:r/>
    </w:p>
    <w:p>
      <w:pPr>
        <w:pStyle w:val="668"/>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5.5 运维服务方案（7分）：考察投标人对系统日常运行的技术维护能力，包括但不限于：①数据备份与恢复、②网络与数据安全服务（安全巡检、漏洞修复等）、③版本升级与补丁管理、④性能优化、⑤应急预案等。</w:t>
      </w:r>
      <w:r>
        <w:rPr>
          <w:rFonts w:hint="eastAsia" w:ascii="宋体" w:hAnsi="宋体"/>
          <w:color w:val="000000"/>
          <w:sz w:val="24"/>
          <w:highlight w:val="none"/>
        </w:rPr>
      </w:r>
      <w:r/>
    </w:p>
    <w:p>
      <w:pPr>
        <w:pStyle w:val="668"/>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方案完整，科学合理，设计清晰详细，完全符合本项目需求，且能够提供上述5项全部方案的得7分；方案较完整，科学合理性较强，设计较清晰详细，能够符合本项目需求，能够提供上述3-5项方案得4分；方案完整性、科学合理性、设计的清晰详细程度等只能基本满足要求，能够提供上述1-5项方案得3分；方案不符合本项目需求或无方案的，不得分。</w:t>
      </w:r>
      <w:r>
        <w:rPr>
          <w:rFonts w:hint="eastAsia" w:ascii="宋体" w:hAnsi="宋体"/>
          <w:bCs/>
          <w:color w:val="000000"/>
          <w:sz w:val="24"/>
          <w:szCs w:val="24"/>
          <w:highlight w:val="none"/>
        </w:rPr>
      </w:r>
      <w:r/>
    </w:p>
    <w:p>
      <w:pPr>
        <w:pStyle w:val="757"/>
        <w:ind w:firstLine="0"/>
        <w:spacing w:before="0" w:after="0" w:line="500" w:lineRule="exact"/>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668"/>
        <w:jc w:val="center"/>
        <w:spacing w:line="500" w:lineRule="exact"/>
        <w:tabs>
          <w:tab w:val="left" w:pos="1440" w:leader="none"/>
        </w:tabs>
        <w:rPr>
          <w:rFonts w:hint="eastAsia" w:ascii="黑体" w:hAnsi="黑体" w:eastAsia="黑体"/>
          <w:color w:val="000000"/>
          <w:sz w:val="36"/>
          <w:szCs w:val="36"/>
          <w:highlight w:val="none"/>
        </w:rPr>
        <w:outlineLvl w:val="0"/>
      </w:pPr>
      <w:r>
        <w:rPr>
          <w:rFonts w:hint="eastAsia" w:ascii="黑体" w:hAnsi="黑体" w:eastAsia="黑体"/>
          <w:color w:val="000000"/>
          <w:sz w:val="36"/>
          <w:szCs w:val="36"/>
          <w:highlight w:val="none"/>
        </w:rPr>
        <w:br w:type="page" w:clear="all"/>
      </w:r>
      <w:r>
        <w:rPr>
          <w:rFonts w:hint="eastAsia" w:ascii="黑体" w:hAnsi="黑体" w:eastAsia="黑体"/>
          <w:color w:val="000000"/>
          <w:sz w:val="36"/>
          <w:szCs w:val="36"/>
          <w:highlight w:val="none"/>
        </w:rPr>
        <w:t xml:space="preserve">第六章  </w:t>
      </w:r>
      <w:bookmarkEnd w:id="191"/>
      <w:r/>
      <w:bookmarkEnd w:id="192"/>
      <w:r/>
      <w:bookmarkEnd w:id="198"/>
      <w:r>
        <w:rPr>
          <w:rFonts w:hint="eastAsia" w:ascii="黑体" w:hAnsi="黑体" w:eastAsia="黑体"/>
          <w:color w:val="000000"/>
          <w:sz w:val="36"/>
          <w:szCs w:val="36"/>
          <w:highlight w:val="none"/>
        </w:rPr>
        <w:t xml:space="preserve">投标文件内容与格式</w:t>
      </w:r>
      <w:r>
        <w:rPr>
          <w:rFonts w:hint="eastAsia" w:ascii="黑体" w:hAnsi="黑体" w:eastAsia="黑体"/>
          <w:color w:val="000000"/>
          <w:sz w:val="36"/>
          <w:szCs w:val="36"/>
          <w:highlight w:val="none"/>
        </w:rPr>
      </w:r>
      <w:r/>
    </w:p>
    <w:p>
      <w:pPr>
        <w:pStyle w:val="757"/>
        <w:ind w:firstLine="602"/>
        <w:spacing w:before="0" w:after="0" w:line="500" w:lineRule="exact"/>
        <w:rPr>
          <w:rFonts w:hint="eastAsia" w:cs="Arial"/>
          <w:b/>
          <w:color w:val="000000"/>
          <w:sz w:val="30"/>
          <w:szCs w:val="30"/>
          <w:highlight w:val="none"/>
        </w:rPr>
      </w:pPr>
      <w:r/>
      <w:bookmarkStart w:id="199" w:name="_Hlt26955039"/>
      <w:r/>
      <w:bookmarkEnd w:id="199"/>
      <w:r/>
      <w:bookmarkStart w:id="200" w:name="_Toc49090576"/>
      <w:r/>
      <w:bookmarkStart w:id="201" w:name="_Toc26554094"/>
      <w:r/>
      <w:bookmarkStart w:id="202" w:name="_Toc120614282"/>
      <w:r/>
      <w:bookmarkStart w:id="203" w:name="_Hlt26671244"/>
      <w:r/>
      <w:bookmarkEnd w:id="203"/>
      <w:r>
        <w:rPr>
          <w:rFonts w:hint="eastAsia" w:cs="Arial"/>
          <w:b/>
          <w:color w:val="000000"/>
          <w:sz w:val="30"/>
          <w:szCs w:val="30"/>
          <w:highlight w:val="none"/>
        </w:rPr>
        <w:t xml:space="preserve">第一部分  投标文件内容</w:t>
      </w:r>
      <w:r>
        <w:rPr>
          <w:rFonts w:hint="eastAsia" w:cs="Arial"/>
          <w:b/>
          <w:color w:val="000000"/>
          <w:sz w:val="30"/>
          <w:szCs w:val="30"/>
          <w:highlight w:val="none"/>
        </w:rPr>
      </w:r>
      <w:r/>
    </w:p>
    <w:p>
      <w:pPr>
        <w:pStyle w:val="757"/>
        <w:ind w:firstLine="0"/>
        <w:spacing w:before="0" w:after="0" w:line="500" w:lineRule="exact"/>
        <w:rPr>
          <w:rFonts w:hint="eastAsia"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rPr>
          <w:rFonts w:hint="eastAsia" w:cs="Arial"/>
          <w:b/>
          <w:color w:val="000000"/>
          <w:sz w:val="28"/>
          <w:szCs w:val="28"/>
          <w:highlight w:val="none"/>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757"/>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序号</w:t>
            </w:r>
            <w:r>
              <w:rPr>
                <w:rFonts w:hint="eastAsia" w:ascii="宋体" w:hAnsi="宋体" w:cs="宋体"/>
                <w:b/>
                <w:color w:val="000000"/>
                <w:highlight w:val="none"/>
              </w:rPr>
            </w:r>
            <w:r/>
          </w:p>
        </w:tc>
        <w:tc>
          <w:tcPr>
            <w:tcW w:w="6104" w:type="dxa"/>
            <w:vAlign w:val="center"/>
            <w:textDirection w:val="lrTb"/>
            <w:noWrap w:val="false"/>
          </w:tcPr>
          <w:p>
            <w:pPr>
              <w:pStyle w:val="757"/>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评审项目及评审要求</w:t>
            </w:r>
            <w:r>
              <w:rPr>
                <w:rFonts w:hint="eastAsia" w:ascii="宋体" w:hAnsi="宋体" w:cs="宋体"/>
                <w:b/>
                <w:color w:val="000000"/>
                <w:highlight w:val="none"/>
              </w:rPr>
            </w:r>
            <w:r/>
          </w:p>
        </w:tc>
        <w:tc>
          <w:tcPr>
            <w:tcW w:w="2449" w:type="dxa"/>
            <w:vAlign w:val="center"/>
            <w:textDirection w:val="lrTb"/>
            <w:noWrap w:val="false"/>
          </w:tcPr>
          <w:p>
            <w:pPr>
              <w:pStyle w:val="757"/>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审查因素</w:t>
            </w:r>
            <w:r>
              <w:rPr>
                <w:rFonts w:hint="eastAsia" w:ascii="宋体" w:hAnsi="宋体" w:cs="宋体"/>
                <w:b/>
                <w:color w:val="000000"/>
                <w:highlight w:val="none"/>
              </w:rPr>
            </w:r>
            <w:r/>
          </w:p>
        </w:tc>
      </w:tr>
      <w:tr>
        <w:trPr>
          <w:trHeight w:val="1335"/>
        </w:trPr>
        <w:tc>
          <w:tcPr>
            <w:tcW w:w="719" w:type="dxa"/>
            <w:vAlign w:val="center"/>
            <w:textDirection w:val="lrTb"/>
            <w:noWrap w:val="false"/>
          </w:tcPr>
          <w:p>
            <w:pPr>
              <w:pStyle w:val="757"/>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W w:w="6104" w:type="dxa"/>
            <w:vAlign w:val="center"/>
            <w:textDirection w:val="lrTb"/>
            <w:noWrap w:val="false"/>
          </w:tcPr>
          <w:p>
            <w:pPr>
              <w:pStyle w:val="757"/>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rPr>
                <w:rFonts w:hint="eastAsia" w:ascii="宋体" w:hAnsi="宋体" w:cs="宋体"/>
                <w:color w:val="000000"/>
                <w:highlight w:val="none"/>
              </w:rPr>
            </w:r>
            <w:r/>
          </w:p>
        </w:tc>
        <w:tc>
          <w:tcPr>
            <w:tcW w:w="2449" w:type="dxa"/>
            <w:vAlign w:val="center"/>
            <w:vMerge w:val="restart"/>
            <w:textDirection w:val="lrTb"/>
            <w:noWrap w:val="false"/>
          </w:tcPr>
          <w:p>
            <w:pPr>
              <w:pStyle w:val="757"/>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满足《中华人民共和国政府采购法》第二十二条规定</w:t>
            </w:r>
            <w:r>
              <w:rPr>
                <w:rFonts w:hint="eastAsia" w:ascii="宋体" w:hAnsi="宋体" w:cs="宋体"/>
                <w:color w:val="000000"/>
                <w:highlight w:val="none"/>
              </w:rPr>
            </w:r>
            <w:r/>
          </w:p>
        </w:tc>
      </w:tr>
      <w:tr>
        <w:trPr>
          <w:trHeight w:val="812"/>
        </w:trPr>
        <w:tc>
          <w:tcPr>
            <w:tcW w:w="719" w:type="dxa"/>
            <w:vAlign w:val="center"/>
            <w:textDirection w:val="lrTb"/>
            <w:noWrap w:val="false"/>
          </w:tcPr>
          <w:p>
            <w:pPr>
              <w:pStyle w:val="757"/>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6104" w:type="dxa"/>
            <w:vAlign w:val="center"/>
            <w:textDirection w:val="lrTb"/>
            <w:noWrap w:val="false"/>
          </w:tcPr>
          <w:p>
            <w:pPr>
              <w:pStyle w:val="757"/>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《授权委托书》（给定格式；投标人如是自然人情形的，可不提供）。</w:t>
            </w:r>
            <w:r>
              <w:rPr>
                <w:rFonts w:hint="eastAsia" w:ascii="宋体" w:hAnsi="宋体" w:cs="宋体"/>
                <w:color w:val="000000"/>
                <w:highlight w:val="none"/>
              </w:rPr>
            </w:r>
            <w:r/>
          </w:p>
        </w:tc>
        <w:tc>
          <w:tcPr>
            <w:tcW w:w="2449" w:type="dxa"/>
            <w:vAlign w:val="center"/>
            <w:vMerge w:val="continue"/>
            <w:textDirection w:val="lrTb"/>
            <w:noWrap w:val="false"/>
          </w:tcPr>
          <w:p>
            <w:pPr>
              <w:pStyle w:val="757"/>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1684"/>
        </w:trPr>
        <w:tc>
          <w:tcPr>
            <w:tcW w:w="719" w:type="dxa"/>
            <w:vAlign w:val="center"/>
            <w:textDirection w:val="lrTb"/>
            <w:noWrap w:val="false"/>
          </w:tcPr>
          <w:p>
            <w:pPr>
              <w:pStyle w:val="757"/>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6104" w:type="dxa"/>
            <w:vAlign w:val="center"/>
            <w:textDirection w:val="lrTb"/>
            <w:noWrap w:val="false"/>
          </w:tcPr>
          <w:p>
            <w:pPr>
              <w:pStyle w:val="757"/>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46"/>
                <w:rFonts w:hint="eastAsia" w:ascii="宋体" w:hAnsi="宋体" w:cs="宋体"/>
                <w:color w:val="000000"/>
                <w:sz w:val="24"/>
                <w:szCs w:val="24"/>
                <w:highlight w:val="none"/>
              </w:rPr>
              <w:t xml:space="preserve">。</w:t>
            </w:r>
            <w:r>
              <w:rPr>
                <w:rFonts w:hint="eastAsia" w:ascii="宋体" w:hAnsi="宋体" w:cs="宋体"/>
                <w:color w:val="000000"/>
                <w:highlight w:val="none"/>
              </w:rPr>
            </w:r>
            <w:r/>
          </w:p>
        </w:tc>
        <w:tc>
          <w:tcPr>
            <w:tcW w:w="2449" w:type="dxa"/>
            <w:vAlign w:val="center"/>
            <w:vMerge w:val="continue"/>
            <w:textDirection w:val="lrTb"/>
            <w:noWrap w:val="false"/>
          </w:tcPr>
          <w:p>
            <w:pPr>
              <w:pStyle w:val="757"/>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963"/>
        </w:trPr>
        <w:tc>
          <w:tcPr>
            <w:tcW w:w="719" w:type="dxa"/>
            <w:vAlign w:val="center"/>
            <w:textDirection w:val="lrTb"/>
            <w:noWrap w:val="false"/>
          </w:tcPr>
          <w:p>
            <w:pPr>
              <w:pStyle w:val="757"/>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6104" w:type="dxa"/>
            <w:vAlign w:val="center"/>
            <w:textDirection w:val="lrTb"/>
            <w:noWrap w:val="false"/>
          </w:tcPr>
          <w:p>
            <w:pPr>
              <w:pStyle w:val="757"/>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投标人近一年中任意一个月份（不含投标当月）的依法缴纳税收的相关材料（提供相关主管部门证明或银行代扣证明）。</w:t>
            </w:r>
            <w:r>
              <w:rPr>
                <w:rFonts w:hint="eastAsia" w:ascii="宋体" w:hAnsi="宋体" w:cs="宋体"/>
                <w:color w:val="000000"/>
                <w:highlight w:val="none"/>
              </w:rPr>
            </w:r>
            <w:r/>
          </w:p>
        </w:tc>
        <w:tc>
          <w:tcPr>
            <w:tcW w:w="2449" w:type="dxa"/>
            <w:vAlign w:val="center"/>
            <w:vMerge w:val="continue"/>
            <w:textDirection w:val="lrTb"/>
            <w:noWrap w:val="false"/>
          </w:tcPr>
          <w:p>
            <w:pPr>
              <w:pStyle w:val="757"/>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1023"/>
        </w:trPr>
        <w:tc>
          <w:tcPr>
            <w:tcW w:w="719" w:type="dxa"/>
            <w:vAlign w:val="center"/>
            <w:textDirection w:val="lrTb"/>
            <w:noWrap w:val="false"/>
          </w:tcPr>
          <w:p>
            <w:pPr>
              <w:pStyle w:val="757"/>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6104" w:type="dxa"/>
            <w:vAlign w:val="center"/>
            <w:textDirection w:val="lrTb"/>
            <w:noWrap w:val="false"/>
          </w:tcPr>
          <w:p>
            <w:pPr>
              <w:pStyle w:val="757"/>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投标人近一年中任意一个月份（不含投标当月）的依法缴纳社会保障资金的相关材料（提供相关主管部门证明或银行代扣证明）。</w:t>
            </w:r>
            <w:r>
              <w:rPr>
                <w:rFonts w:hint="eastAsia" w:ascii="宋体" w:hAnsi="宋体" w:cs="宋体"/>
                <w:color w:val="000000"/>
                <w:highlight w:val="none"/>
              </w:rPr>
            </w:r>
            <w:r/>
          </w:p>
        </w:tc>
        <w:tc>
          <w:tcPr>
            <w:tcW w:w="2449" w:type="dxa"/>
            <w:vAlign w:val="center"/>
            <w:vMerge w:val="continue"/>
            <w:textDirection w:val="lrTb"/>
            <w:noWrap w:val="false"/>
          </w:tcPr>
          <w:p>
            <w:pPr>
              <w:pStyle w:val="757"/>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705"/>
        </w:trPr>
        <w:tc>
          <w:tcPr>
            <w:tcW w:w="719" w:type="dxa"/>
            <w:vAlign w:val="center"/>
            <w:textDirection w:val="lrTb"/>
            <w:noWrap w:val="false"/>
          </w:tcPr>
          <w:p>
            <w:pPr>
              <w:pStyle w:val="757"/>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rPr>
            </w:r>
            <w:r/>
          </w:p>
        </w:tc>
        <w:tc>
          <w:tcPr>
            <w:tcW w:w="6104" w:type="dxa"/>
            <w:vAlign w:val="center"/>
            <w:textDirection w:val="lrTb"/>
            <w:noWrap w:val="false"/>
          </w:tcPr>
          <w:p>
            <w:pPr>
              <w:pStyle w:val="757"/>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《资格声明函》（给定格式）。</w:t>
            </w:r>
            <w:r>
              <w:rPr>
                <w:rFonts w:hint="eastAsia" w:ascii="宋体" w:hAnsi="宋体" w:cs="宋体"/>
                <w:color w:val="000000"/>
                <w:highlight w:val="none"/>
              </w:rPr>
            </w:r>
            <w:r/>
          </w:p>
        </w:tc>
        <w:tc>
          <w:tcPr>
            <w:tcW w:w="2449" w:type="dxa"/>
            <w:vAlign w:val="center"/>
            <w:vMerge w:val="continue"/>
            <w:textDirection w:val="lrTb"/>
            <w:noWrap w:val="false"/>
          </w:tcPr>
          <w:p>
            <w:pPr>
              <w:pStyle w:val="757"/>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700"/>
        </w:trPr>
        <w:tc>
          <w:tcPr>
            <w:tcW w:w="719" w:type="dxa"/>
            <w:vAlign w:val="center"/>
            <w:textDirection w:val="lrTb"/>
            <w:noWrap w:val="false"/>
          </w:tcPr>
          <w:p>
            <w:pPr>
              <w:pStyle w:val="757"/>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7</w:t>
            </w:r>
            <w:r>
              <w:rPr>
                <w:rFonts w:hint="eastAsia" w:ascii="宋体" w:hAnsi="宋体" w:cs="宋体"/>
                <w:color w:val="000000"/>
                <w:highlight w:val="none"/>
              </w:rPr>
            </w:r>
            <w:r/>
          </w:p>
        </w:tc>
        <w:tc>
          <w:tcPr>
            <w:tcW w:w="6104" w:type="dxa"/>
            <w:vAlign w:val="center"/>
            <w:textDirection w:val="lrTb"/>
            <w:noWrap w:val="false"/>
          </w:tcPr>
          <w:p>
            <w:pPr>
              <w:pStyle w:val="757"/>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满足中小企业政策的证明文件（如有中小企业政策要求的）。</w:t>
            </w:r>
            <w:r>
              <w:rPr>
                <w:rFonts w:hint="eastAsia" w:ascii="宋体" w:hAnsi="宋体" w:cs="宋体"/>
                <w:color w:val="000000"/>
                <w:highlight w:val="none"/>
              </w:rPr>
            </w:r>
            <w:r/>
          </w:p>
        </w:tc>
        <w:tc>
          <w:tcPr>
            <w:tcW w:w="2449" w:type="dxa"/>
            <w:vAlign w:val="center"/>
            <w:textDirection w:val="lrTb"/>
            <w:noWrap w:val="false"/>
          </w:tcPr>
          <w:p>
            <w:pPr>
              <w:pStyle w:val="757"/>
              <w:ind w:firstLine="0"/>
              <w:spacing w:before="0" w:after="0" w:line="240" w:lineRule="auto"/>
              <w:rPr>
                <w:rFonts w:ascii="宋体" w:hAnsi="宋体" w:cs="宋体"/>
                <w:color w:val="000000"/>
                <w:highlight w:val="none"/>
              </w:rPr>
            </w:pPr>
            <w:r>
              <w:rPr>
                <w:rFonts w:hint="eastAsia" w:ascii="宋体" w:hAnsi="宋体" w:cs="宋体"/>
                <w:color w:val="000000"/>
                <w:highlight w:val="none"/>
              </w:rPr>
              <w:t xml:space="preserve">落实政府采购政策需满足的资格要求，详见第一章《投标邀请》</w:t>
            </w:r>
            <w:r>
              <w:rPr>
                <w:rFonts w:ascii="宋体" w:hAnsi="宋体" w:cs="宋体"/>
                <w:color w:val="000000"/>
                <w:highlight w:val="none"/>
              </w:rPr>
            </w:r>
            <w:r/>
          </w:p>
        </w:tc>
      </w:tr>
      <w:tr>
        <w:trPr>
          <w:trHeight w:val="726"/>
        </w:trPr>
        <w:tc>
          <w:tcPr>
            <w:tcW w:w="719" w:type="dxa"/>
            <w:vAlign w:val="center"/>
            <w:textDirection w:val="lrTb"/>
            <w:noWrap w:val="false"/>
          </w:tcPr>
          <w:p>
            <w:pPr>
              <w:pStyle w:val="757"/>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8</w:t>
            </w:r>
            <w:r>
              <w:rPr>
                <w:rFonts w:hint="eastAsia" w:ascii="宋体" w:hAnsi="宋体" w:cs="宋体"/>
                <w:bCs/>
                <w:color w:val="000000"/>
                <w:highlight w:val="none"/>
              </w:rPr>
            </w:r>
            <w:r/>
          </w:p>
        </w:tc>
        <w:tc>
          <w:tcPr>
            <w:tcW w:w="6104" w:type="dxa"/>
            <w:vAlign w:val="center"/>
            <w:textDirection w:val="lrTb"/>
            <w:noWrap w:val="false"/>
          </w:tcPr>
          <w:p>
            <w:pPr>
              <w:pStyle w:val="757"/>
              <w:ind w:firstLine="0"/>
              <w:jc w:val="both"/>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w:t>
            </w:r>
            <w:r>
              <w:rPr>
                <w:rFonts w:hint="eastAsia" w:ascii="宋体" w:hAnsi="宋体" w:cs="宋体"/>
                <w:bCs/>
                <w:color w:val="000000"/>
                <w:highlight w:val="none"/>
              </w:rPr>
              <w:t xml:space="preserve">如有</w:t>
            </w:r>
            <w:r>
              <w:rPr>
                <w:rFonts w:hint="eastAsia" w:ascii="宋体" w:hAnsi="宋体" w:cs="宋体"/>
                <w:color w:val="000000"/>
                <w:highlight w:val="none"/>
              </w:rPr>
              <w:t xml:space="preserve">特定资格要求的）。</w:t>
            </w:r>
            <w:r>
              <w:rPr>
                <w:rFonts w:hint="eastAsia" w:ascii="宋体" w:hAnsi="宋体" w:cs="宋体"/>
                <w:bCs/>
                <w:color w:val="000000"/>
                <w:highlight w:val="none"/>
              </w:rPr>
            </w:r>
            <w:r/>
          </w:p>
        </w:tc>
        <w:tc>
          <w:tcPr>
            <w:tcW w:w="2449" w:type="dxa"/>
            <w:vAlign w:val="center"/>
            <w:textDirection w:val="lrTb"/>
            <w:noWrap w:val="false"/>
          </w:tcPr>
          <w:p>
            <w:pPr>
              <w:pStyle w:val="757"/>
              <w:ind w:firstLine="0"/>
              <w:spacing w:before="0" w:after="0" w:line="240" w:lineRule="auto"/>
              <w:rPr>
                <w:rFonts w:hint="eastAsia" w:ascii="宋体" w:hAnsi="宋体" w:cs="宋体"/>
                <w:bCs/>
                <w:color w:val="000000"/>
                <w:highlight w:val="none"/>
              </w:rPr>
            </w:pPr>
            <w:r>
              <w:rPr>
                <w:rFonts w:hint="eastAsia" w:ascii="宋体" w:hAnsi="宋体" w:cs="宋体"/>
                <w:color w:val="000000"/>
                <w:highlight w:val="none"/>
              </w:rPr>
              <w:t xml:space="preserve">特定资格要求，详见第一章《投标邀请》</w:t>
            </w:r>
            <w:r>
              <w:rPr>
                <w:rFonts w:hint="eastAsia" w:ascii="宋体" w:hAnsi="宋体" w:cs="宋体"/>
                <w:bCs/>
                <w:color w:val="000000"/>
                <w:highlight w:val="none"/>
              </w:rPr>
            </w:r>
            <w:r/>
          </w:p>
        </w:tc>
      </w:tr>
      <w:tr>
        <w:trPr>
          <w:trHeight w:val="632"/>
        </w:trPr>
        <w:tc>
          <w:tcPr>
            <w:tcW w:w="719" w:type="dxa"/>
            <w:vAlign w:val="center"/>
            <w:textDirection w:val="lrTb"/>
            <w:noWrap w:val="false"/>
          </w:tcPr>
          <w:p>
            <w:pPr>
              <w:pStyle w:val="757"/>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9</w:t>
            </w:r>
            <w:r>
              <w:rPr>
                <w:rFonts w:hint="eastAsia" w:ascii="宋体" w:hAnsi="宋体" w:cs="宋体"/>
                <w:bCs/>
                <w:color w:val="000000"/>
                <w:highlight w:val="none"/>
              </w:rPr>
            </w:r>
            <w:r/>
          </w:p>
        </w:tc>
        <w:tc>
          <w:tcPr>
            <w:gridSpan w:val="2"/>
            <w:tcW w:w="8553" w:type="dxa"/>
            <w:vAlign w:val="center"/>
            <w:textDirection w:val="lrTb"/>
            <w:noWrap w:val="false"/>
          </w:tcPr>
          <w:p>
            <w:pPr>
              <w:pStyle w:val="757"/>
              <w:ind w:firstLine="0"/>
              <w:spacing w:before="0" w:after="0" w:line="240" w:lineRule="auto"/>
              <w:rPr>
                <w:rFonts w:hint="eastAsia" w:ascii="宋体" w:hAnsi="宋体" w:cs="宋体"/>
                <w:color w:val="000000"/>
                <w:highlight w:val="none"/>
              </w:rPr>
            </w:pPr>
            <w:r>
              <w:rPr>
                <w:rFonts w:hint="eastAsia" w:ascii="宋体" w:hAnsi="宋体" w:cs="宋体"/>
                <w:bCs/>
                <w:color w:val="000000"/>
                <w:highlight w:val="none"/>
              </w:rPr>
              <w:t xml:space="preserve">《联合体协议》（</w:t>
            </w:r>
            <w:r>
              <w:rPr>
                <w:rFonts w:hint="eastAsia" w:ascii="宋体" w:hAnsi="宋体"/>
                <w:color w:val="000000"/>
                <w:highlight w:val="none"/>
              </w:rPr>
              <w:t xml:space="preserve">如接受联合体投标且投标人为联合体时须提供</w:t>
            </w:r>
            <w:r>
              <w:rPr>
                <w:rFonts w:hint="eastAsia" w:ascii="宋体" w:hAnsi="宋体" w:cs="宋体"/>
                <w:bCs/>
                <w:color w:val="000000"/>
                <w:highlight w:val="none"/>
              </w:rPr>
              <w:t xml:space="preserve">，格式自拟）。</w:t>
            </w:r>
            <w:r>
              <w:rPr>
                <w:rFonts w:hint="eastAsia" w:ascii="宋体" w:hAnsi="宋体" w:cs="宋体"/>
                <w:color w:val="000000"/>
                <w:highlight w:val="none"/>
              </w:rPr>
            </w:r>
            <w:r/>
          </w:p>
        </w:tc>
      </w:tr>
    </w:tbl>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rPr>
          <w:rFonts w:hint="eastAsia" w:ascii="宋体" w:hAnsi="宋体"/>
          <w:color w:val="000000"/>
          <w:sz w:val="24"/>
          <w:szCs w:val="24"/>
          <w:highlight w:val="none"/>
        </w:rPr>
      </w:r>
      <w:r/>
    </w:p>
    <w:p>
      <w:pPr>
        <w:pStyle w:val="668"/>
        <w:numPr>
          <w:ilvl w:val="0"/>
          <w:numId w:val="8"/>
        </w:numPr>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w:t>
      </w:r>
      <w:r>
        <w:rPr>
          <w:rFonts w:hint="eastAsia" w:ascii="宋体" w:hAnsi="宋体"/>
          <w:color w:val="000000"/>
          <w:sz w:val="24"/>
          <w:szCs w:val="24"/>
          <w:highlight w:val="none"/>
        </w:rPr>
        <w:t xml:space="preserve">材料</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w:t>
      </w:r>
      <w:r>
        <w:rPr>
          <w:rFonts w:hint="eastAsia" w:ascii="宋体" w:hAnsi="宋体"/>
          <w:color w:val="000000"/>
          <w:sz w:val="24"/>
          <w:szCs w:val="24"/>
          <w:highlight w:val="none"/>
        </w:rPr>
        <w:t xml:space="preserve">材料</w:t>
      </w:r>
      <w:r>
        <w:rPr>
          <w:rFonts w:ascii="宋体" w:hAnsi="宋体"/>
          <w:color w:val="000000"/>
          <w:sz w:val="24"/>
          <w:szCs w:val="24"/>
          <w:highlight w:val="none"/>
        </w:rPr>
        <w:t xml:space="preserve">；如因新成立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rPr>
          <w:rFonts w:hint="eastAsia" w:ascii="宋体" w:hAnsi="宋体"/>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olor w:val="000000"/>
          <w:sz w:val="24"/>
          <w:szCs w:val="24"/>
          <w:highlight w:val="none"/>
        </w:rPr>
      </w:r>
      <w:r/>
    </w:p>
    <w:p>
      <w:pPr>
        <w:pStyle w:val="668"/>
        <w:numPr>
          <w:ilvl w:val="0"/>
          <w:numId w:val="8"/>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7项，如本项目落实政府采购政策需满足的资格要求中有中小企业政策要求的（详见第一章《投标邀请》），必须提供相应证明文件，否则投标文件无效。</w:t>
      </w:r>
      <w:r>
        <w:rPr>
          <w:rFonts w:hint="eastAsia" w:ascii="宋体" w:hAnsi="宋体"/>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000000"/>
          <w:sz w:val="24"/>
          <w:szCs w:val="24"/>
          <w:highlight w:val="none"/>
        </w:rPr>
      </w:r>
      <w:r/>
    </w:p>
    <w:p>
      <w:pPr>
        <w:pStyle w:val="668"/>
        <w:numPr>
          <w:ilvl w:val="0"/>
          <w:numId w:val="8"/>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8项，如本项目有特定资格要求的（详见第一章《投标邀请》），须提供相应的特定资格证明文件。</w:t>
      </w:r>
      <w:r>
        <w:rPr>
          <w:rFonts w:hint="eastAsia" w:ascii="宋体" w:hAnsi="宋体"/>
          <w:color w:val="000000"/>
          <w:sz w:val="24"/>
          <w:szCs w:val="24"/>
          <w:highlight w:val="none"/>
        </w:rPr>
      </w:r>
      <w:r/>
    </w:p>
    <w:p>
      <w:pPr>
        <w:pStyle w:val="668"/>
        <w:numPr>
          <w:ilvl w:val="0"/>
          <w:numId w:val="8"/>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color w:val="000000"/>
          <w:sz w:val="24"/>
          <w:szCs w:val="24"/>
          <w:highlight w:val="none"/>
        </w:rPr>
      </w:r>
      <w:r/>
    </w:p>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中：第2、6项可由联合体主体单位（即联合体牵头人）代表联合体提供；第1、3、4、5、7（如有要求）、8（如有要求）项，联合体各方均须提供。</w:t>
      </w:r>
      <w:r>
        <w:rPr>
          <w:rFonts w:hint="eastAsia" w:ascii="宋体" w:hAnsi="宋体"/>
          <w:color w:val="000000"/>
          <w:sz w:val="24"/>
          <w:szCs w:val="24"/>
          <w:highlight w:val="none"/>
        </w:rPr>
      </w:r>
      <w:r/>
    </w:p>
    <w:p>
      <w:pPr>
        <w:pStyle w:val="668"/>
        <w:rPr>
          <w:rFonts w:hint="eastAsia"/>
          <w:b/>
          <w:color w:val="000000"/>
          <w:sz w:val="28"/>
          <w:szCs w:val="28"/>
          <w:highlight w:val="none"/>
        </w:rPr>
      </w:pPr>
      <w:r>
        <w:rPr>
          <w:rFonts w:hint="eastAsia" w:ascii="宋体" w:hAnsi="宋体"/>
          <w:color w:val="000000"/>
          <w:highlight w:val="none"/>
        </w:rPr>
        <w:br w:type="page" w:clear="all"/>
      </w:r>
      <w:r>
        <w:rPr>
          <w:rFonts w:hint="eastAsia"/>
          <w:b/>
          <w:color w:val="000000"/>
          <w:sz w:val="28"/>
          <w:szCs w:val="28"/>
          <w:highlight w:val="none"/>
        </w:rPr>
        <w:t xml:space="preserve">二、符合性证明文件及其他证明文件</w:t>
      </w:r>
      <w:r>
        <w:rPr>
          <w:rFonts w:hint="eastAsia"/>
          <w:b/>
          <w:color w:val="000000"/>
          <w:sz w:val="28"/>
          <w:szCs w:val="28"/>
          <w:highlight w:val="none"/>
        </w:rPr>
      </w:r>
      <w:r/>
    </w:p>
    <w:p>
      <w:pPr>
        <w:pStyle w:val="668"/>
        <w:rPr>
          <w:b/>
          <w:color w:val="000000"/>
          <w:sz w:val="28"/>
          <w:szCs w:val="28"/>
          <w:highlight w:val="none"/>
        </w:rPr>
      </w:pPr>
      <w:r>
        <w:rPr>
          <w:rFonts w:hint="eastAsia"/>
          <w:b/>
          <w:color w:val="000000"/>
          <w:sz w:val="28"/>
          <w:szCs w:val="28"/>
          <w:highlight w:val="none"/>
        </w:rPr>
        <w:t xml:space="preserve">（一）符合性证明文件</w:t>
      </w:r>
      <w:r>
        <w:rPr>
          <w:b/>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757"/>
              <w:ind w:firstLine="0"/>
              <w:jc w:val="center"/>
              <w:spacing w:before="0" w:after="0" w:line="240" w:lineRule="auto"/>
              <w:rPr>
                <w:rFonts w:hint="eastAsia" w:cs="Arial"/>
                <w:b/>
                <w:color w:val="000000"/>
                <w:highlight w:val="none"/>
              </w:rPr>
            </w:pPr>
            <w:r>
              <w:rPr>
                <w:rFonts w:hint="eastAsia" w:cs="Arial"/>
                <w:b/>
                <w:color w:val="000000"/>
                <w:highlight w:val="none"/>
              </w:rPr>
              <w:t xml:space="preserve">序号</w:t>
            </w:r>
            <w:r>
              <w:rPr>
                <w:rFonts w:hint="eastAsia" w:cs="Arial"/>
                <w:b/>
                <w:color w:val="000000"/>
                <w:highlight w:val="none"/>
              </w:rPr>
            </w:r>
            <w:r/>
          </w:p>
        </w:tc>
        <w:tc>
          <w:tcPr>
            <w:tcW w:w="6095" w:type="dxa"/>
            <w:vAlign w:val="center"/>
            <w:textDirection w:val="lrTb"/>
            <w:noWrap w:val="false"/>
          </w:tcPr>
          <w:p>
            <w:pPr>
              <w:pStyle w:val="757"/>
              <w:ind w:firstLine="0"/>
              <w:jc w:val="center"/>
              <w:spacing w:before="0" w:after="0" w:line="240" w:lineRule="auto"/>
              <w:rPr>
                <w:rFonts w:hint="eastAsia" w:cs="Arial"/>
                <w:b/>
                <w:color w:val="000000"/>
                <w:highlight w:val="none"/>
              </w:rPr>
            </w:pPr>
            <w:r>
              <w:rPr>
                <w:rFonts w:hint="eastAsia" w:ascii="宋体" w:hAnsi="宋体" w:cs="宋体"/>
                <w:b/>
                <w:color w:val="000000"/>
                <w:highlight w:val="none"/>
              </w:rPr>
              <w:t xml:space="preserve">评审项目及评审要求</w:t>
            </w:r>
            <w:r>
              <w:rPr>
                <w:rFonts w:hint="eastAsia" w:cs="Arial"/>
                <w:b/>
                <w:color w:val="000000"/>
                <w:highlight w:val="none"/>
              </w:rPr>
            </w:r>
            <w:r/>
          </w:p>
        </w:tc>
        <w:tc>
          <w:tcPr>
            <w:tcW w:w="1979" w:type="dxa"/>
            <w:vAlign w:val="center"/>
            <w:textDirection w:val="lrTb"/>
            <w:noWrap w:val="false"/>
          </w:tcPr>
          <w:p>
            <w:pPr>
              <w:pStyle w:val="757"/>
              <w:ind w:firstLine="0"/>
              <w:jc w:val="center"/>
              <w:spacing w:before="0" w:after="0" w:line="240" w:lineRule="auto"/>
              <w:rPr>
                <w:rFonts w:hint="eastAsia" w:cs="Arial"/>
                <w:b/>
                <w:color w:val="000000"/>
                <w:highlight w:val="none"/>
              </w:rPr>
            </w:pPr>
            <w:r>
              <w:rPr>
                <w:rFonts w:hint="eastAsia" w:cs="Arial"/>
                <w:b/>
                <w:color w:val="000000"/>
                <w:highlight w:val="none"/>
              </w:rPr>
              <w:t xml:space="preserve">审查因素</w:t>
            </w:r>
            <w:r>
              <w:rPr>
                <w:rFonts w:hint="eastAsia" w:cs="Arial"/>
                <w:b/>
                <w:color w:val="000000"/>
                <w:highlight w:val="none"/>
              </w:rPr>
            </w:r>
            <w:r/>
          </w:p>
        </w:tc>
      </w:tr>
      <w:tr>
        <w:trPr>
          <w:trHeight w:val="567"/>
        </w:trPr>
        <w:tc>
          <w:tcPr>
            <w:tcW w:w="823" w:type="dxa"/>
            <w:vAlign w:val="center"/>
            <w:textDirection w:val="lrTb"/>
            <w:noWrap w:val="false"/>
          </w:tcPr>
          <w:p>
            <w:pPr>
              <w:pStyle w:val="757"/>
              <w:ind w:firstLine="0"/>
              <w:jc w:val="center"/>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1</w:t>
            </w:r>
            <w:r>
              <w:rPr>
                <w:rFonts w:hint="eastAsia" w:ascii="宋体" w:hAnsi="宋体" w:cs="Arial"/>
                <w:color w:val="000000"/>
                <w:highlight w:val="none"/>
              </w:rPr>
            </w:r>
            <w:r/>
          </w:p>
        </w:tc>
        <w:tc>
          <w:tcPr>
            <w:tcW w:w="6095" w:type="dxa"/>
            <w:vAlign w:val="center"/>
            <w:textDirection w:val="lrTb"/>
            <w:noWrap w:val="false"/>
          </w:tcPr>
          <w:p>
            <w:pPr>
              <w:pStyle w:val="757"/>
              <w:ind w:firstLine="0"/>
              <w:jc w:val="both"/>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投标函（给定格式）</w:t>
            </w:r>
            <w:r>
              <w:rPr>
                <w:rFonts w:hint="eastAsia" w:ascii="宋体" w:hAnsi="宋体" w:cs="Arial"/>
                <w:color w:val="000000"/>
                <w:highlight w:val="none"/>
              </w:rPr>
            </w:r>
            <w:r/>
          </w:p>
        </w:tc>
        <w:tc>
          <w:tcPr>
            <w:tcW w:w="1979" w:type="dxa"/>
            <w:vAlign w:val="center"/>
            <w:vMerge w:val="restart"/>
            <w:textDirection w:val="lrTb"/>
            <w:noWrap w:val="false"/>
          </w:tcPr>
          <w:p>
            <w:pPr>
              <w:pStyle w:val="757"/>
              <w:ind w:firstLine="0"/>
              <w:jc w:val="center"/>
              <w:spacing w:before="0" w:after="0" w:line="240" w:lineRule="auto"/>
              <w:rPr>
                <w:rFonts w:hint="eastAsia" w:cs="Arial"/>
                <w:color w:val="000000"/>
                <w:highlight w:val="none"/>
              </w:rPr>
            </w:pPr>
            <w:r>
              <w:rPr>
                <w:rFonts w:hint="eastAsia" w:cs="Arial"/>
                <w:color w:val="000000"/>
                <w:highlight w:val="none"/>
              </w:rPr>
              <w:t xml:space="preserve">商务符合性</w:t>
            </w:r>
            <w:r>
              <w:rPr>
                <w:rFonts w:hint="eastAsia" w:cs="Arial"/>
                <w:color w:val="000000"/>
                <w:highlight w:val="none"/>
              </w:rPr>
            </w:r>
            <w:r/>
          </w:p>
        </w:tc>
      </w:tr>
      <w:tr>
        <w:trPr>
          <w:trHeight w:val="567"/>
        </w:trPr>
        <w:tc>
          <w:tcPr>
            <w:tcW w:w="823" w:type="dxa"/>
            <w:vAlign w:val="center"/>
            <w:textDirection w:val="lrTb"/>
            <w:noWrap w:val="false"/>
          </w:tcPr>
          <w:p>
            <w:pPr>
              <w:pStyle w:val="757"/>
              <w:ind w:firstLine="0"/>
              <w:jc w:val="center"/>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2</w:t>
            </w:r>
            <w:r>
              <w:rPr>
                <w:rFonts w:hint="eastAsia" w:ascii="宋体" w:hAnsi="宋体" w:cs="Arial"/>
                <w:color w:val="000000"/>
                <w:highlight w:val="none"/>
              </w:rPr>
            </w:r>
            <w:r/>
          </w:p>
        </w:tc>
        <w:tc>
          <w:tcPr>
            <w:tcW w:w="6095" w:type="dxa"/>
            <w:vAlign w:val="center"/>
            <w:textDirection w:val="lrTb"/>
            <w:noWrap w:val="false"/>
          </w:tcPr>
          <w:p>
            <w:pPr>
              <w:pStyle w:val="757"/>
              <w:ind w:firstLine="0"/>
              <w:jc w:val="both"/>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承诺书（给定格式）</w:t>
            </w:r>
            <w:r>
              <w:rPr>
                <w:rFonts w:hint="eastAsia" w:ascii="宋体" w:hAnsi="宋体" w:cs="Arial"/>
                <w:color w:val="000000"/>
                <w:highlight w:val="none"/>
              </w:rPr>
            </w:r>
            <w:r/>
          </w:p>
        </w:tc>
        <w:tc>
          <w:tcPr>
            <w:tcW w:w="1979" w:type="dxa"/>
            <w:vAlign w:val="center"/>
            <w:vMerge w:val="continue"/>
            <w:textDirection w:val="lrTb"/>
            <w:noWrap w:val="false"/>
          </w:tcPr>
          <w:p>
            <w:pPr>
              <w:pStyle w:val="757"/>
              <w:ind w:firstLine="0"/>
              <w:jc w:val="center"/>
              <w:spacing w:before="0" w:after="0" w:line="240" w:lineRule="auto"/>
              <w:rPr>
                <w:rFonts w:hint="eastAsia" w:cs="Arial"/>
                <w:color w:val="000000"/>
                <w:highlight w:val="none"/>
              </w:rPr>
            </w:pPr>
            <w:r>
              <w:rPr>
                <w:rFonts w:hint="eastAsia" w:cs="Arial"/>
                <w:color w:val="000000"/>
                <w:highlight w:val="none"/>
              </w:rPr>
            </w:r>
            <w:r/>
          </w:p>
        </w:tc>
      </w:tr>
      <w:tr>
        <w:trPr>
          <w:trHeight w:val="567"/>
        </w:trPr>
        <w:tc>
          <w:tcPr>
            <w:tcW w:w="823" w:type="dxa"/>
            <w:vAlign w:val="center"/>
            <w:textDirection w:val="lrTb"/>
            <w:noWrap w:val="false"/>
          </w:tcPr>
          <w:p>
            <w:pPr>
              <w:pStyle w:val="757"/>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3</w:t>
            </w:r>
            <w:r>
              <w:rPr>
                <w:rFonts w:hint="eastAsia" w:ascii="宋体" w:hAnsi="宋体"/>
                <w:color w:val="000000"/>
                <w:highlight w:val="none"/>
              </w:rPr>
            </w:r>
            <w:r/>
          </w:p>
        </w:tc>
        <w:tc>
          <w:tcPr>
            <w:tcW w:w="6095" w:type="dxa"/>
            <w:vAlign w:val="center"/>
            <w:textDirection w:val="lrTb"/>
            <w:noWrap w:val="false"/>
          </w:tcPr>
          <w:p>
            <w:pPr>
              <w:pStyle w:val="757"/>
              <w:ind w:firstLine="0"/>
              <w:jc w:val="both"/>
              <w:spacing w:before="0" w:after="0" w:line="240" w:lineRule="auto"/>
              <w:rPr>
                <w:rFonts w:hint="eastAsia" w:ascii="宋体" w:hAnsi="宋体" w:cs="Arial"/>
                <w:color w:val="000000"/>
                <w:highlight w:val="none"/>
              </w:rPr>
            </w:pPr>
            <w:r>
              <w:rPr>
                <w:rFonts w:hint="eastAsia" w:ascii="宋体" w:hAnsi="宋体"/>
                <w:color w:val="000000"/>
                <w:highlight w:val="none"/>
              </w:rPr>
              <w:t xml:space="preserve">开标一览表（“苏采云”系统中给定格式）</w:t>
            </w:r>
            <w:r>
              <w:rPr>
                <w:rFonts w:hint="eastAsia" w:ascii="宋体" w:hAnsi="宋体" w:cs="Arial"/>
                <w:color w:val="000000"/>
                <w:highlight w:val="none"/>
              </w:rPr>
            </w:r>
            <w:r/>
          </w:p>
        </w:tc>
        <w:tc>
          <w:tcPr>
            <w:tcW w:w="1979" w:type="dxa"/>
            <w:vAlign w:val="center"/>
            <w:vMerge w:val="restart"/>
            <w:textDirection w:val="lrTb"/>
            <w:noWrap w:val="false"/>
          </w:tcPr>
          <w:p>
            <w:pPr>
              <w:pStyle w:val="757"/>
              <w:ind w:firstLine="0"/>
              <w:jc w:val="center"/>
              <w:spacing w:before="0" w:after="0" w:line="240" w:lineRule="auto"/>
              <w:rPr>
                <w:rFonts w:hint="eastAsia" w:cs="Arial"/>
                <w:color w:val="000000"/>
                <w:highlight w:val="none"/>
              </w:rPr>
            </w:pPr>
            <w:r>
              <w:rPr>
                <w:rFonts w:hint="eastAsia" w:cs="Arial"/>
                <w:color w:val="000000"/>
                <w:highlight w:val="none"/>
              </w:rPr>
              <w:t xml:space="preserve">报价符合性</w:t>
            </w:r>
            <w:r>
              <w:rPr>
                <w:rFonts w:hint="eastAsia" w:cs="Arial"/>
                <w:color w:val="000000"/>
                <w:highlight w:val="none"/>
              </w:rPr>
            </w:r>
            <w:r/>
          </w:p>
        </w:tc>
      </w:tr>
      <w:tr>
        <w:trPr>
          <w:trHeight w:val="567"/>
        </w:trPr>
        <w:tc>
          <w:tcPr>
            <w:tcW w:w="823" w:type="dxa"/>
            <w:vAlign w:val="center"/>
            <w:textDirection w:val="lrTb"/>
            <w:noWrap w:val="false"/>
          </w:tcPr>
          <w:p>
            <w:pPr>
              <w:pStyle w:val="757"/>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4</w:t>
            </w:r>
            <w:r>
              <w:rPr>
                <w:rFonts w:hint="eastAsia" w:ascii="宋体" w:hAnsi="宋体"/>
                <w:color w:val="000000"/>
                <w:highlight w:val="none"/>
              </w:rPr>
            </w:r>
            <w:r/>
          </w:p>
        </w:tc>
        <w:tc>
          <w:tcPr>
            <w:tcW w:w="6095" w:type="dxa"/>
            <w:vAlign w:val="center"/>
            <w:textDirection w:val="lrTb"/>
            <w:noWrap w:val="false"/>
          </w:tcPr>
          <w:p>
            <w:pPr>
              <w:pStyle w:val="757"/>
              <w:ind w:firstLine="0"/>
              <w:jc w:val="both"/>
              <w:spacing w:before="0" w:after="0" w:line="240" w:lineRule="auto"/>
              <w:rPr>
                <w:rFonts w:hint="eastAsia" w:ascii="宋体" w:hAnsi="宋体" w:cs="Arial"/>
                <w:color w:val="000000"/>
                <w:highlight w:val="none"/>
              </w:rPr>
            </w:pPr>
            <w:r>
              <w:rPr>
                <w:rFonts w:hint="eastAsia" w:ascii="宋体" w:hAnsi="宋体"/>
                <w:color w:val="000000"/>
                <w:highlight w:val="none"/>
              </w:rPr>
              <w:t xml:space="preserve">分项报价表（给定格式）</w:t>
            </w:r>
            <w:r>
              <w:rPr>
                <w:rFonts w:hint="eastAsia" w:ascii="宋体" w:hAnsi="宋体" w:cs="Arial"/>
                <w:color w:val="000000"/>
                <w:highlight w:val="none"/>
              </w:rPr>
            </w:r>
            <w:r/>
          </w:p>
        </w:tc>
        <w:tc>
          <w:tcPr>
            <w:tcW w:w="1979" w:type="dxa"/>
            <w:vAlign w:val="center"/>
            <w:vMerge w:val="continue"/>
            <w:textDirection w:val="lrTb"/>
            <w:noWrap w:val="false"/>
          </w:tcPr>
          <w:p>
            <w:pPr>
              <w:pStyle w:val="757"/>
              <w:ind w:firstLine="0"/>
              <w:jc w:val="center"/>
              <w:spacing w:before="0" w:after="0" w:line="240" w:lineRule="auto"/>
              <w:rPr>
                <w:rFonts w:hint="eastAsia" w:cs="Arial"/>
                <w:color w:val="000000"/>
                <w:highlight w:val="none"/>
              </w:rPr>
            </w:pPr>
            <w:r>
              <w:rPr>
                <w:rFonts w:hint="eastAsia" w:cs="Arial"/>
                <w:color w:val="000000"/>
                <w:highlight w:val="none"/>
              </w:rPr>
            </w:r>
            <w:r/>
          </w:p>
        </w:tc>
      </w:tr>
      <w:tr>
        <w:trPr>
          <w:trHeight w:val="567"/>
        </w:trPr>
        <w:tc>
          <w:tcPr>
            <w:tcW w:w="823" w:type="dxa"/>
            <w:vAlign w:val="center"/>
            <w:textDirection w:val="lrTb"/>
            <w:noWrap w:val="false"/>
          </w:tcPr>
          <w:p>
            <w:pPr>
              <w:pStyle w:val="757"/>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5</w:t>
            </w:r>
            <w:r>
              <w:rPr>
                <w:rFonts w:hint="eastAsia" w:ascii="宋体" w:hAnsi="宋体"/>
                <w:color w:val="000000"/>
                <w:highlight w:val="none"/>
              </w:rPr>
            </w:r>
            <w:r/>
          </w:p>
        </w:tc>
        <w:tc>
          <w:tcPr>
            <w:tcW w:w="6095" w:type="dxa"/>
            <w:vAlign w:val="center"/>
            <w:textDirection w:val="lrTb"/>
            <w:noWrap w:val="false"/>
          </w:tcPr>
          <w:p>
            <w:pPr>
              <w:pStyle w:val="757"/>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投标偏离表（给定格式）</w:t>
            </w:r>
            <w:r>
              <w:rPr>
                <w:rFonts w:ascii="宋体" w:hAnsi="宋体" w:cs="Arial"/>
                <w:color w:val="000000"/>
                <w:highlight w:val="none"/>
              </w:rPr>
            </w:r>
            <w:r/>
          </w:p>
        </w:tc>
        <w:tc>
          <w:tcPr>
            <w:tcW w:w="1979" w:type="dxa"/>
            <w:vAlign w:val="center"/>
            <w:vMerge w:val="restart"/>
            <w:textDirection w:val="lrTb"/>
            <w:noWrap w:val="false"/>
          </w:tcPr>
          <w:p>
            <w:pPr>
              <w:pStyle w:val="757"/>
              <w:ind w:firstLine="0"/>
              <w:jc w:val="center"/>
              <w:spacing w:before="0" w:after="0" w:line="240" w:lineRule="auto"/>
              <w:rPr>
                <w:rFonts w:hint="eastAsia" w:cs="Arial"/>
                <w:color w:val="000000"/>
                <w:highlight w:val="none"/>
              </w:rPr>
            </w:pPr>
            <w:r>
              <w:rPr>
                <w:rFonts w:hint="eastAsia" w:cs="Arial"/>
                <w:color w:val="000000"/>
                <w:highlight w:val="none"/>
              </w:rPr>
              <w:t xml:space="preserve">技术符合性</w:t>
            </w:r>
            <w:r>
              <w:rPr>
                <w:rFonts w:hint="eastAsia" w:cs="Arial"/>
                <w:color w:val="000000"/>
                <w:highlight w:val="none"/>
              </w:rPr>
            </w:r>
            <w:r/>
          </w:p>
        </w:tc>
      </w:tr>
      <w:tr>
        <w:trPr>
          <w:trHeight w:val="567"/>
        </w:trPr>
        <w:tc>
          <w:tcPr>
            <w:tcW w:w="823" w:type="dxa"/>
            <w:vAlign w:val="center"/>
            <w:textDirection w:val="lrTb"/>
            <w:noWrap w:val="false"/>
          </w:tcPr>
          <w:p>
            <w:pPr>
              <w:pStyle w:val="757"/>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6</w:t>
            </w:r>
            <w:r>
              <w:rPr>
                <w:rFonts w:hint="eastAsia" w:ascii="宋体" w:hAnsi="宋体"/>
                <w:color w:val="000000"/>
                <w:highlight w:val="none"/>
              </w:rPr>
            </w:r>
            <w:r/>
          </w:p>
        </w:tc>
        <w:tc>
          <w:tcPr>
            <w:tcW w:w="6095" w:type="dxa"/>
            <w:vAlign w:val="center"/>
            <w:textDirection w:val="lrTb"/>
            <w:noWrap w:val="false"/>
          </w:tcPr>
          <w:p>
            <w:pPr>
              <w:pStyle w:val="757"/>
              <w:ind w:firstLine="0"/>
              <w:jc w:val="both"/>
              <w:spacing w:before="0" w:after="0" w:line="240" w:lineRule="auto"/>
              <w:rPr>
                <w:rFonts w:hint="eastAsia" w:ascii="宋体" w:hAnsi="宋体"/>
                <w:color w:val="000000"/>
                <w:highlight w:val="none"/>
              </w:rPr>
            </w:pPr>
            <w:r>
              <w:rPr>
                <w:rFonts w:hint="eastAsia" w:ascii="宋体" w:hAnsi="宋体"/>
                <w:color w:val="000000"/>
                <w:highlight w:val="none"/>
              </w:rPr>
              <w:t xml:space="preserve">《采购需求》中要求提供的证明材料（如有）</w:t>
            </w:r>
            <w:r>
              <w:rPr>
                <w:rFonts w:hint="eastAsia" w:ascii="宋体" w:hAnsi="宋体"/>
                <w:color w:val="000000"/>
                <w:highlight w:val="none"/>
              </w:rPr>
            </w:r>
            <w:r/>
          </w:p>
        </w:tc>
        <w:tc>
          <w:tcPr>
            <w:tcW w:w="1979" w:type="dxa"/>
            <w:vAlign w:val="center"/>
            <w:vMerge w:val="continue"/>
            <w:textDirection w:val="lrTb"/>
            <w:noWrap w:val="false"/>
          </w:tcPr>
          <w:p>
            <w:pPr>
              <w:pStyle w:val="757"/>
              <w:ind w:firstLine="0"/>
              <w:jc w:val="center"/>
              <w:spacing w:before="0" w:after="0" w:line="240" w:lineRule="auto"/>
              <w:rPr>
                <w:rFonts w:hint="eastAsia" w:cs="Arial"/>
                <w:color w:val="000000"/>
                <w:highlight w:val="none"/>
              </w:rPr>
            </w:pPr>
            <w:r>
              <w:rPr>
                <w:rFonts w:hint="eastAsia" w:cs="Arial"/>
                <w:color w:val="000000"/>
                <w:highlight w:val="none"/>
              </w:rPr>
            </w:r>
            <w:r/>
          </w:p>
        </w:tc>
      </w:tr>
    </w:tbl>
    <w:p>
      <w:pPr>
        <w:pStyle w:val="66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rPr>
          <w:rFonts w:hint="eastAsia" w:ascii="宋体" w:hAnsi="宋体"/>
          <w:color w:val="000000"/>
          <w:sz w:val="24"/>
          <w:szCs w:val="24"/>
          <w:highlight w:val="none"/>
        </w:rPr>
      </w:r>
      <w:r/>
    </w:p>
    <w:p>
      <w:pPr>
        <w:pStyle w:val="668"/>
        <w:numPr>
          <w:ilvl w:val="0"/>
          <w:numId w:val="9"/>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符合性证明文件第</w:t>
      </w:r>
      <w:r>
        <w:rPr>
          <w:rFonts w:hint="eastAsia" w:ascii="宋体" w:hAnsi="宋体"/>
          <w:color w:val="000000"/>
          <w:sz w:val="24"/>
          <w:szCs w:val="24"/>
          <w:highlight w:val="none"/>
        </w:rPr>
        <w:t xml:space="preserve">1～5项必须按要求全部提供（有给定格式的，必须按给定格式的要求正确填报并提供，相应格式见本章第二部分），否则投标文件无效。</w:t>
      </w:r>
      <w:r>
        <w:rPr>
          <w:rFonts w:hint="eastAsia" w:ascii="宋体" w:hAnsi="宋体"/>
          <w:color w:val="000000"/>
          <w:sz w:val="24"/>
          <w:szCs w:val="24"/>
          <w:highlight w:val="none"/>
        </w:rPr>
      </w:r>
      <w:r/>
    </w:p>
    <w:p>
      <w:pPr>
        <w:pStyle w:val="668"/>
        <w:numPr>
          <w:ilvl w:val="0"/>
          <w:numId w:val="9"/>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ascii="宋体" w:hAnsi="宋体" w:cs="Arial"/>
          <w:color w:val="000000"/>
          <w:sz w:val="24"/>
          <w:szCs w:val="24"/>
          <w:highlight w:val="none"/>
        </w:rPr>
        <w:t xml:space="preserve">符合性证明文件第6项，《采购需求》中如有要求提供证明材料的，须按要求提供，否则投标文件无效。</w:t>
      </w:r>
      <w:r>
        <w:rPr>
          <w:rFonts w:hint="eastAsia" w:ascii="宋体" w:hAnsi="宋体"/>
          <w:color w:val="000000"/>
          <w:sz w:val="24"/>
          <w:szCs w:val="24"/>
          <w:highlight w:val="none"/>
        </w:rPr>
      </w:r>
      <w:r/>
    </w:p>
    <w:p>
      <w:pPr>
        <w:pStyle w:val="668"/>
        <w:numPr>
          <w:ilvl w:val="0"/>
          <w:numId w:val="9"/>
        </w:num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如项目接受联合体投标，且投标人为联合体时，上述</w:t>
      </w:r>
      <w:r>
        <w:rPr>
          <w:rFonts w:hint="eastAsia" w:cs="Arial"/>
          <w:color w:val="000000"/>
          <w:sz w:val="24"/>
          <w:szCs w:val="24"/>
          <w:highlight w:val="none"/>
        </w:rPr>
        <w:t xml:space="preserve">符合性证明文件</w:t>
      </w:r>
      <w:r>
        <w:rPr>
          <w:rFonts w:hint="eastAsia" w:ascii="宋体" w:hAnsi="宋体" w:cs="宋体"/>
          <w:color w:val="000000"/>
          <w:sz w:val="24"/>
          <w:szCs w:val="24"/>
          <w:highlight w:val="none"/>
        </w:rPr>
        <w:t xml:space="preserve">第1～5项可由联合体主体单位（即联合体牵头人）代表联合体提供。第6项按《采购需求》中的相应要求（如有）进行提供。</w:t>
      </w:r>
      <w:r>
        <w:rPr>
          <w:rFonts w:hint="eastAsia" w:ascii="宋体" w:hAnsi="宋体" w:cs="宋体"/>
          <w:color w:val="000000"/>
          <w:sz w:val="24"/>
          <w:szCs w:val="24"/>
          <w:highlight w:val="none"/>
        </w:rPr>
      </w:r>
      <w:r/>
    </w:p>
    <w:p>
      <w:pPr>
        <w:pStyle w:val="668"/>
        <w:rPr>
          <w:rFonts w:hint="eastAsia"/>
          <w:b/>
          <w:color w:val="000000"/>
          <w:sz w:val="28"/>
          <w:szCs w:val="28"/>
          <w:highlight w:val="none"/>
        </w:rPr>
      </w:pPr>
      <w:r>
        <w:rPr>
          <w:rFonts w:hint="eastAsia"/>
          <w:b/>
          <w:color w:val="000000"/>
          <w:sz w:val="28"/>
          <w:szCs w:val="28"/>
          <w:highlight w:val="none"/>
        </w:rPr>
      </w:r>
      <w:r/>
    </w:p>
    <w:p>
      <w:pPr>
        <w:pStyle w:val="668"/>
        <w:rPr>
          <w:rFonts w:hint="eastAsia"/>
          <w:b/>
          <w:color w:val="000000"/>
          <w:sz w:val="28"/>
          <w:szCs w:val="28"/>
          <w:highlight w:val="none"/>
        </w:rPr>
      </w:pPr>
      <w:r>
        <w:rPr>
          <w:rFonts w:hint="eastAsia"/>
          <w:b/>
          <w:color w:val="000000"/>
          <w:sz w:val="28"/>
          <w:szCs w:val="28"/>
          <w:highlight w:val="none"/>
        </w:rPr>
        <w:t xml:space="preserve">（二）其他证明文件</w:t>
      </w:r>
      <w:r>
        <w:rPr>
          <w:rFonts w:hint="eastAsia"/>
          <w:b/>
          <w:color w:val="000000"/>
          <w:sz w:val="28"/>
          <w:szCs w:val="28"/>
          <w:highlight w:val="none"/>
        </w:rPr>
      </w:r>
      <w:r/>
    </w:p>
    <w:p>
      <w:pPr>
        <w:pStyle w:val="668"/>
        <w:ind w:left="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1.《评标方法与评标标准》中涉及的证明文件。</w:t>
      </w:r>
      <w:r>
        <w:rPr>
          <w:rFonts w:hint="eastAsia" w:ascii="宋体" w:hAnsi="宋体"/>
          <w:color w:val="000000"/>
          <w:sz w:val="24"/>
          <w:szCs w:val="24"/>
          <w:highlight w:val="none"/>
        </w:rPr>
      </w:r>
      <w:r/>
    </w:p>
    <w:p>
      <w:pPr>
        <w:pStyle w:val="668"/>
        <w:ind w:left="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2.投标人认为如有其他应附的文件可自拟并自行添加。</w:t>
      </w:r>
      <w:r>
        <w:rPr>
          <w:rFonts w:hint="eastAsia" w:ascii="宋体" w:hAnsi="宋体" w:cs="宋体"/>
          <w:color w:val="000000"/>
          <w:sz w:val="24"/>
          <w:szCs w:val="24"/>
          <w:highlight w:val="none"/>
        </w:rPr>
      </w:r>
      <w:r/>
    </w:p>
    <w:p>
      <w:pPr>
        <w:pStyle w:val="668"/>
        <w:rPr>
          <w:rFonts w:hint="eastAsia"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 xml:space="preserve">第二部分  投标文件格式</w:t>
      </w:r>
      <w:r>
        <w:rPr>
          <w:rFonts w:hint="eastAsia" w:cs="Arial"/>
          <w:b/>
          <w:color w:val="000000"/>
          <w:sz w:val="30"/>
          <w:szCs w:val="30"/>
          <w:highlight w:val="none"/>
        </w:rPr>
      </w:r>
      <w:r/>
    </w:p>
    <w:p>
      <w:pPr>
        <w:pStyle w:val="757"/>
        <w:ind w:firstLine="0"/>
        <w:spacing w:before="0" w:after="0"/>
        <w:rPr>
          <w:rFonts w:cs="Arial"/>
          <w:b/>
          <w:color w:val="000000"/>
          <w:sz w:val="28"/>
          <w:szCs w:val="28"/>
          <w:highlight w:val="none"/>
        </w:rPr>
      </w:pPr>
      <w:r>
        <w:rPr>
          <w:rFonts w:hint="eastAsia" w:cs="Arial"/>
          <w:b/>
          <w:color w:val="000000"/>
          <w:sz w:val="28"/>
          <w:szCs w:val="28"/>
          <w:highlight w:val="none"/>
        </w:rPr>
        <w:t xml:space="preserve">一、封面格式（参考格式）：</w:t>
      </w:r>
      <w:r>
        <w:rPr>
          <w:rFonts w:cs="Arial"/>
          <w:b/>
          <w:color w:val="000000"/>
          <w:sz w:val="28"/>
          <w:szCs w:val="28"/>
          <w:highlight w:val="none"/>
        </w:rPr>
      </w:r>
      <w:r/>
    </w:p>
    <w:p>
      <w:pPr>
        <w:pStyle w:val="668"/>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668"/>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668"/>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投  标  文  件</w:t>
      </w:r>
      <w:r>
        <w:rPr>
          <w:rFonts w:hint="eastAsia" w:ascii="黑体" w:hAnsi="华文中宋" w:eastAsia="黑体"/>
          <w:bCs/>
          <w:color w:val="000000"/>
          <w:spacing w:val="20"/>
          <w:sz w:val="84"/>
          <w:szCs w:val="84"/>
          <w:highlight w:val="none"/>
        </w:rPr>
      </w:r>
      <w:r/>
    </w:p>
    <w:p>
      <w:pPr>
        <w:pStyle w:val="668"/>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668"/>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668"/>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668"/>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668"/>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项目编号：JSZC-320200-JZCG-G2026-0042</w:t>
      </w:r>
      <w:r>
        <w:rPr>
          <w:rFonts w:hint="eastAsia" w:ascii="黑体" w:hAnsi="华文中宋" w:eastAsia="黑体"/>
          <w:bCs/>
          <w:color w:val="000000"/>
          <w:sz w:val="30"/>
          <w:szCs w:val="30"/>
          <w:highlight w:val="none"/>
        </w:rPr>
      </w:r>
      <w:r/>
    </w:p>
    <w:p>
      <w:pPr>
        <w:pStyle w:val="668"/>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项目名称：智慧住建（二期）信息化建设项目</w:t>
      </w:r>
      <w:r>
        <w:rPr>
          <w:rFonts w:hint="eastAsia" w:ascii="黑体" w:hAnsi="华文中宋" w:eastAsia="黑体"/>
          <w:bCs/>
          <w:color w:val="000000"/>
          <w:sz w:val="30"/>
          <w:szCs w:val="30"/>
          <w:highlight w:val="none"/>
        </w:rPr>
      </w:r>
      <w:r/>
    </w:p>
    <w:p>
      <w:pPr>
        <w:pStyle w:val="668"/>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投 标 人：</w:t>
      </w:r>
      <w:r>
        <w:rPr>
          <w:rFonts w:hint="eastAsia" w:ascii="黑体" w:hAnsi="华文中宋" w:eastAsia="黑体"/>
          <w:bCs/>
          <w:color w:val="000000"/>
          <w:sz w:val="30"/>
          <w:szCs w:val="30"/>
          <w:highlight w:val="none"/>
        </w:rPr>
      </w:r>
      <w:r/>
    </w:p>
    <w:p>
      <w:pPr>
        <w:pStyle w:val="668"/>
        <w:ind w:firstLine="18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rPr>
          <w:rFonts w:ascii="黑体" w:hAnsi="华文中宋" w:eastAsia="黑体"/>
          <w:bCs/>
          <w:color w:val="000000"/>
          <w:sz w:val="30"/>
          <w:szCs w:val="30"/>
          <w:highlight w:val="none"/>
        </w:rPr>
      </w:r>
      <w:r/>
    </w:p>
    <w:p>
      <w:pPr>
        <w:pStyle w:val="668"/>
        <w:spacing w:line="440" w:lineRule="exact"/>
        <w:rPr>
          <w:rFonts w:hint="eastAsia" w:ascii="Arial" w:hAnsi="Arial"/>
          <w:b/>
          <w:color w:val="000000"/>
          <w:sz w:val="28"/>
          <w:szCs w:val="28"/>
          <w:highlight w:val="none"/>
        </w:rPr>
      </w:pPr>
      <w:r>
        <w:rPr>
          <w:rFonts w:ascii="黑体" w:hAnsi="华文中宋" w:eastAsia="黑体"/>
          <w:bCs/>
          <w:color w:val="000000"/>
          <w:sz w:val="30"/>
          <w:szCs w:val="30"/>
          <w:highlight w:val="none"/>
        </w:rPr>
        <w:br w:type="page" w:clear="all"/>
      </w:r>
      <w:r>
        <w:rPr>
          <w:rFonts w:hint="eastAsia" w:ascii="宋体" w:hAnsi="宋体" w:cs="宋体"/>
          <w:b/>
          <w:color w:val="000000"/>
          <w:sz w:val="28"/>
          <w:szCs w:val="28"/>
          <w:highlight w:val="none"/>
        </w:rPr>
        <w:t xml:space="preserve">二、授权委托书（给定格式）：</w:t>
      </w:r>
      <w:r>
        <w:rPr>
          <w:rFonts w:hint="eastAsia" w:ascii="Arial" w:hAnsi="Arial"/>
          <w:b/>
          <w:color w:val="000000"/>
          <w:sz w:val="28"/>
          <w:szCs w:val="28"/>
          <w:highlight w:val="none"/>
        </w:rPr>
      </w:r>
      <w:r/>
    </w:p>
    <w:p>
      <w:pPr>
        <w:pStyle w:val="668"/>
        <w:jc w:val="center"/>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rPr>
          <w:rFonts w:ascii="宋体" w:hAnsi="宋体"/>
          <w:color w:val="000000"/>
          <w:sz w:val="24"/>
          <w:highlight w:val="none"/>
          <w:shd w:val="clear" w:color="ffffff" w:fill="d9d9d9"/>
        </w:rPr>
      </w:r>
      <w:r/>
    </w:p>
    <w:p>
      <w:pPr>
        <w:pStyle w:val="755"/>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我公司（单位、联合体）针对</w:t>
      </w:r>
      <w:r>
        <w:rPr>
          <w:rFonts w:hint="eastAsia" w:ascii="宋体" w:hAnsi="宋体"/>
          <w:bCs/>
          <w:color w:val="000000"/>
          <w:sz w:val="24"/>
          <w:szCs w:val="24"/>
          <w:highlight w:val="none"/>
        </w:rPr>
        <w:t xml:space="preserve">JSZC-320200-JZCG-G2026-0042项目，兹授权：</w:t>
      </w:r>
      <w:r>
        <w:rPr>
          <w:rFonts w:hint="eastAsia"/>
          <w:color w:val="000000"/>
          <w:sz w:val="24"/>
          <w:szCs w:val="24"/>
          <w:highlight w:val="none"/>
        </w:rPr>
      </w:r>
      <w:r/>
    </w:p>
    <w:p>
      <w:pPr>
        <w:pStyle w:val="755"/>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被授权人的姓名：</w:t>
      </w:r>
      <w:r>
        <w:rPr>
          <w:rFonts w:hint="eastAsia"/>
          <w:color w:val="000000"/>
          <w:sz w:val="24"/>
          <w:szCs w:val="24"/>
          <w:highlight w:val="none"/>
          <w:u w:val="single"/>
        </w:rPr>
        <w:t xml:space="preserve">      </w:t>
      </w:r>
      <w:r>
        <w:rPr>
          <w:rFonts w:hint="eastAsia"/>
          <w:color w:val="000000"/>
          <w:sz w:val="24"/>
          <w:szCs w:val="24"/>
          <w:highlight w:val="none"/>
        </w:rPr>
        <w:t xml:space="preserve">；性别：</w:t>
      </w:r>
      <w:r>
        <w:rPr>
          <w:rFonts w:hint="eastAsia"/>
          <w:color w:val="000000"/>
          <w:sz w:val="24"/>
          <w:szCs w:val="24"/>
          <w:highlight w:val="none"/>
          <w:u w:val="single"/>
        </w:rPr>
        <w:t xml:space="preserve">    </w:t>
      </w:r>
      <w:r>
        <w:rPr>
          <w:rFonts w:hint="eastAsia"/>
          <w:color w:val="000000"/>
          <w:sz w:val="24"/>
          <w:szCs w:val="24"/>
          <w:highlight w:val="none"/>
        </w:rPr>
        <w:t xml:space="preserve">；年龄：</w:t>
      </w:r>
      <w:r>
        <w:rPr>
          <w:rFonts w:hint="eastAsia"/>
          <w:color w:val="000000"/>
          <w:sz w:val="24"/>
          <w:szCs w:val="24"/>
          <w:highlight w:val="none"/>
          <w:u w:val="single"/>
        </w:rPr>
        <w:t xml:space="preserve">    </w:t>
      </w:r>
      <w:r>
        <w:rPr>
          <w:rFonts w:hint="eastAsia"/>
          <w:color w:val="000000"/>
          <w:sz w:val="24"/>
          <w:szCs w:val="24"/>
          <w:highlight w:val="none"/>
        </w:rPr>
        <w:t xml:space="preserve">；职务：</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755"/>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被授权人的身份证号码：</w:t>
      </w:r>
      <w:r>
        <w:rPr>
          <w:rFonts w:hint="eastAsia"/>
          <w:color w:val="000000"/>
          <w:sz w:val="24"/>
          <w:szCs w:val="24"/>
          <w:highlight w:val="none"/>
          <w:u w:val="single"/>
        </w:rPr>
        <w:t xml:space="preserve">                  </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755"/>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为我方合法代理人，以本单位名义全权处理</w:t>
      </w:r>
      <w:r>
        <w:rPr>
          <w:rFonts w:hint="eastAsia" w:ascii="宋体" w:hAnsi="宋体"/>
          <w:bCs/>
          <w:color w:val="000000"/>
          <w:sz w:val="24"/>
          <w:szCs w:val="24"/>
          <w:highlight w:val="none"/>
        </w:rPr>
        <w:t xml:space="preserve">针对本次项目的投标、参与开标、评标、签约等具体工作，并签署全部有关的文件、协议及合同以及其他</w:t>
      </w:r>
      <w:r>
        <w:rPr>
          <w:rFonts w:hint="eastAsia"/>
          <w:color w:val="000000"/>
          <w:sz w:val="24"/>
          <w:szCs w:val="24"/>
          <w:highlight w:val="none"/>
        </w:rPr>
        <w:t xml:space="preserve">一切与该项目采购有关的事务。</w:t>
      </w:r>
      <w:r>
        <w:rPr>
          <w:rFonts w:hint="eastAsia"/>
          <w:color w:val="000000"/>
          <w:sz w:val="24"/>
          <w:szCs w:val="24"/>
          <w:highlight w:val="none"/>
        </w:rPr>
      </w:r>
      <w:r/>
    </w:p>
    <w:p>
      <w:pPr>
        <w:pStyle w:val="755"/>
        <w:ind w:firstLine="480"/>
        <w:tabs>
          <w:tab w:val="left" w:pos="360" w:leader="none"/>
        </w:tabs>
        <w:rPr>
          <w:rFonts w:hint="eastAsia" w:ascii="宋体" w:hAnsi="宋体"/>
          <w:bCs/>
          <w:color w:val="000000"/>
          <w:sz w:val="24"/>
          <w:szCs w:val="24"/>
          <w:highlight w:val="none"/>
        </w:rPr>
      </w:pPr>
      <w:r>
        <w:rPr>
          <w:rFonts w:hint="eastAsia"/>
          <w:color w:val="000000"/>
          <w:sz w:val="24"/>
          <w:szCs w:val="24"/>
          <w:highlight w:val="none"/>
        </w:rPr>
        <w:t xml:space="preserve">本授权委托书自授权之日起生效，</w:t>
      </w:r>
      <w:r>
        <w:rPr>
          <w:rFonts w:hint="eastAsia" w:ascii="宋体" w:hAnsi="宋体"/>
          <w:bCs/>
          <w:color w:val="000000"/>
          <w:sz w:val="24"/>
          <w:szCs w:val="24"/>
          <w:highlight w:val="none"/>
        </w:rPr>
        <w:t xml:space="preserve">在撤销授权的书面通知送达你处以前，本授权书一直有效，被授权人签署的所有文件（在</w:t>
      </w:r>
      <w:r>
        <w:rPr>
          <w:rFonts w:hint="eastAsia"/>
          <w:color w:val="000000"/>
          <w:sz w:val="24"/>
          <w:szCs w:val="24"/>
          <w:highlight w:val="none"/>
        </w:rPr>
        <w:t xml:space="preserve">授权委托</w:t>
      </w:r>
      <w:r>
        <w:rPr>
          <w:rFonts w:hint="eastAsia" w:ascii="宋体" w:hAnsi="宋体"/>
          <w:bCs/>
          <w:color w:val="000000"/>
          <w:sz w:val="24"/>
          <w:szCs w:val="24"/>
          <w:highlight w:val="none"/>
        </w:rPr>
        <w:t xml:space="preserve">书有效期内签署的）不因授权的撤销而失效。</w:t>
      </w:r>
      <w:r>
        <w:rPr>
          <w:rFonts w:hint="eastAsia" w:ascii="宋体" w:hAnsi="宋体"/>
          <w:bCs/>
          <w:color w:val="000000"/>
          <w:sz w:val="24"/>
          <w:szCs w:val="24"/>
          <w:highlight w:val="none"/>
        </w:rPr>
      </w:r>
      <w:r/>
    </w:p>
    <w:p>
      <w:pPr>
        <w:pStyle w:val="755"/>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特此授权委托。</w:t>
      </w:r>
      <w:r>
        <w:rPr>
          <w:rFonts w:hint="eastAsia"/>
          <w:color w:val="000000"/>
          <w:sz w:val="24"/>
          <w:szCs w:val="24"/>
          <w:highlight w:val="none"/>
        </w:rPr>
      </w:r>
      <w:r/>
    </w:p>
    <w:p>
      <w:pPr>
        <w:pStyle w:val="755"/>
        <w:ind w:firstLine="0"/>
        <w:tabs>
          <w:tab w:val="left" w:pos="360" w:leader="none"/>
        </w:tabs>
        <w:rPr>
          <w:rFonts w:hint="eastAsia"/>
          <w:color w:val="000000"/>
          <w:sz w:val="24"/>
          <w:szCs w:val="24"/>
          <w:highlight w:val="none"/>
          <w:u w:val="single"/>
        </w:rPr>
      </w:pPr>
      <w:r>
        <w:rPr>
          <w:rFonts w:hint="eastAsia"/>
          <w:color w:val="000000"/>
          <w:sz w:val="24"/>
          <w:szCs w:val="24"/>
          <w:highlight w:val="none"/>
        </w:rPr>
        <w:t xml:space="preserve">授权日期：</w:t>
      </w:r>
      <w:r>
        <w:rPr>
          <w:rFonts w:hint="eastAsia"/>
          <w:color w:val="000000"/>
          <w:sz w:val="24"/>
          <w:szCs w:val="24"/>
          <w:highlight w:val="none"/>
          <w:u w:val="single"/>
        </w:rPr>
        <w:t xml:space="preserve">    </w:t>
      </w:r>
      <w:r>
        <w:rPr>
          <w:rFonts w:hint="eastAsia"/>
          <w:color w:val="000000"/>
          <w:sz w:val="24"/>
          <w:szCs w:val="24"/>
          <w:highlight w:val="none"/>
        </w:rPr>
        <w:t xml:space="preserve">年</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日                     投标人名称</w:t>
      </w:r>
      <w:r>
        <w:rPr>
          <w:rFonts w:hint="eastAsia" w:ascii="宋体" w:hAnsi="宋体"/>
          <w:bCs/>
          <w:color w:val="000000"/>
          <w:sz w:val="24"/>
          <w:szCs w:val="24"/>
          <w:highlight w:val="none"/>
        </w:rPr>
        <w:t xml:space="preserve">（盖章）</w:t>
      </w:r>
      <w:r>
        <w:rPr>
          <w:rFonts w:hint="eastAsia"/>
          <w:color w:val="000000"/>
          <w:sz w:val="24"/>
          <w:szCs w:val="24"/>
          <w:highlight w:val="none"/>
        </w:rPr>
        <w:t xml:space="preserve">：</w:t>
      </w:r>
      <w:r>
        <w:rPr>
          <w:rFonts w:hint="eastAsia"/>
          <w:color w:val="000000"/>
          <w:sz w:val="24"/>
          <w:szCs w:val="24"/>
          <w:highlight w:val="none"/>
          <w:u w:val="single"/>
        </w:rPr>
      </w:r>
      <w:r/>
    </w:p>
    <w:p>
      <w:pPr>
        <w:pStyle w:val="755"/>
        <w:ind w:firstLine="0"/>
        <w:tabs>
          <w:tab w:val="left" w:pos="360" w:leader="none"/>
        </w:tabs>
        <w:rPr>
          <w:rFonts w:hint="eastAsia"/>
          <w:color w:val="000000"/>
          <w:sz w:val="24"/>
          <w:szCs w:val="24"/>
          <w:highlight w:val="none"/>
        </w:rPr>
      </w:pPr>
      <w:r>
        <w:rPr>
          <w:rFonts w:hint="eastAsia"/>
          <w:color w:val="000000"/>
          <w:sz w:val="24"/>
          <w:szCs w:val="24"/>
          <w:highlight w:val="none"/>
        </w:rPr>
        <w:t xml:space="preserve">法定代表人签字或盖章：</w:t>
      </w:r>
      <w:r>
        <w:rPr>
          <w:rFonts w:hint="eastAsia"/>
          <w:color w:val="000000"/>
          <w:sz w:val="24"/>
          <w:szCs w:val="24"/>
          <w:highlight w:val="none"/>
          <w:u w:val="single"/>
        </w:rPr>
        <w:t xml:space="preserve">        </w:t>
      </w:r>
      <w:r>
        <w:rPr>
          <w:rFonts w:hint="eastAsia"/>
          <w:color w:val="000000"/>
          <w:sz w:val="24"/>
          <w:szCs w:val="24"/>
          <w:highlight w:val="none"/>
        </w:rPr>
        <w:t xml:space="preserve">             被授权人签字或盖章：</w:t>
      </w:r>
      <w:r>
        <w:rPr>
          <w:rFonts w:hint="eastAsia"/>
          <w:color w:val="000000"/>
          <w:sz w:val="24"/>
          <w:szCs w:val="24"/>
          <w:highlight w:val="none"/>
          <w:u w:val="single"/>
        </w:rPr>
        <w:t xml:space="preserve">        </w:t>
      </w:r>
      <w:r>
        <w:rPr>
          <w:rFonts w:hint="eastAsia"/>
          <w:color w:val="000000"/>
          <w:sz w:val="24"/>
          <w:szCs w:val="24"/>
          <w:highlight w:val="none"/>
        </w:rPr>
      </w:r>
      <w:r/>
    </w:p>
    <w:p>
      <w:pPr>
        <w:pStyle w:val="755"/>
        <w:ind w:firstLine="0"/>
        <w:tabs>
          <w:tab w:val="left" w:pos="360" w:leader="none"/>
        </w:tabs>
        <w:rPr>
          <w:rFonts w:hint="eastAsia"/>
          <w:color w:val="000000"/>
          <w:sz w:val="24"/>
          <w:szCs w:val="24"/>
          <w:highlight w:val="none"/>
        </w:rPr>
      </w:pPr>
      <w:r>
        <w:rPr>
          <w:rFonts w:hint="eastAsia" w:ascii="宋体" w:hAnsi="宋体" w:cs="宋体"/>
          <w:b/>
          <w:color w:val="000000"/>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color w:val="000000"/>
          <w:sz w:val="24"/>
          <w:szCs w:val="24"/>
          <w:highlight w:val="none"/>
        </w:rPr>
      </w:r>
      <w:r/>
    </w:p>
    <w:p>
      <w:pPr>
        <w:pStyle w:val="755"/>
        <w:ind w:firstLine="0"/>
        <w:tabs>
          <w:tab w:val="left" w:pos="360" w:leader="none"/>
        </w:tabs>
        <w:rPr>
          <w:rFonts w:hint="eastAsia"/>
          <w:color w:val="000000"/>
          <w:sz w:val="21"/>
          <w:szCs w:val="21"/>
          <w:highlight w:val="none"/>
        </w:rPr>
      </w:pPr>
      <w:r>
        <w:rPr>
          <w:rFonts w:hint="eastAsia"/>
          <w:color w:val="000000"/>
          <w:sz w:val="21"/>
          <w:szCs w:val="21"/>
          <w:highlight w:val="none"/>
        </w:rPr>
      </w:r>
      <w:r/>
    </w:p>
    <w:p>
      <w:pPr>
        <w:pStyle w:val="755"/>
        <w:ind w:firstLine="0"/>
        <w:spacing w:line="360" w:lineRule="auto"/>
        <w:tabs>
          <w:tab w:val="left" w:pos="360" w:leader="none"/>
        </w:tabs>
        <w:rPr>
          <w:rFonts w:hint="eastAsia"/>
          <w:color w:val="000000"/>
          <w:sz w:val="21"/>
          <w:szCs w:val="21"/>
          <w:highlight w:val="none"/>
        </w:rPr>
      </w:pPr>
      <w:r>
        <w:rPr>
          <w:rFonts w:hint="eastAsia"/>
          <w:color w:val="000000"/>
          <w:sz w:val="21"/>
          <w:szCs w:val="21"/>
          <w:highlight w:val="none"/>
        </w:rPr>
        <w:t xml:space="preserve">说明：</w:t>
      </w:r>
      <w:r>
        <w:rPr>
          <w:rFonts w:hint="eastAsia"/>
          <w:color w:val="000000"/>
          <w:sz w:val="21"/>
          <w:szCs w:val="21"/>
          <w:highlight w:val="none"/>
        </w:rPr>
      </w:r>
      <w:r/>
    </w:p>
    <w:p>
      <w:pPr>
        <w:pStyle w:val="755"/>
        <w:numPr>
          <w:ilvl w:val="0"/>
          <w:numId w:val="10"/>
        </w:numPr>
        <w:ind w:firstLine="420"/>
        <w:spacing w:line="360" w:lineRule="auto"/>
        <w:tabs>
          <w:tab w:val="left" w:pos="360" w:leader="none"/>
        </w:tabs>
        <w:rPr>
          <w:rFonts w:hint="eastAsia" w:ascii="宋体" w:hAnsi="宋体"/>
          <w:color w:val="000000"/>
          <w:sz w:val="21"/>
          <w:szCs w:val="21"/>
          <w:highlight w:val="none"/>
        </w:rPr>
      </w:pPr>
      <w:r>
        <w:rPr>
          <w:rFonts w:ascii="宋体" w:hAnsi="宋体"/>
          <w:color w:val="000000"/>
          <w:sz w:val="21"/>
          <w:szCs w:val="21"/>
          <w:highlight w:val="none"/>
        </w:rPr>
        <w:t xml:space="preserve">若</w:t>
      </w:r>
      <w:r>
        <w:rPr>
          <w:rFonts w:hint="eastAsia" w:ascii="宋体" w:hAnsi="宋体"/>
          <w:color w:val="000000"/>
          <w:sz w:val="21"/>
          <w:szCs w:val="21"/>
          <w:highlight w:val="none"/>
        </w:rPr>
        <w:t xml:space="preserve">投标人</w:t>
      </w:r>
      <w:r>
        <w:rPr>
          <w:rFonts w:ascii="宋体" w:hAnsi="宋体"/>
          <w:color w:val="000000"/>
          <w:sz w:val="21"/>
          <w:szCs w:val="21"/>
          <w:highlight w:val="none"/>
        </w:rPr>
        <w:t xml:space="preserve">为事业单位或其他组织或分支机构（仅</w:t>
      </w:r>
      <w:r>
        <w:rPr>
          <w:rFonts w:hint="eastAsia" w:ascii="宋体" w:hAnsi="宋体"/>
          <w:color w:val="000000"/>
          <w:sz w:val="21"/>
          <w:szCs w:val="21"/>
          <w:highlight w:val="none"/>
        </w:rPr>
        <w:t xml:space="preserve">限招标</w:t>
      </w:r>
      <w:r>
        <w:rPr>
          <w:rFonts w:ascii="宋体" w:hAnsi="宋体"/>
          <w:color w:val="000000"/>
          <w:sz w:val="21"/>
          <w:szCs w:val="21"/>
          <w:highlight w:val="none"/>
        </w:rPr>
        <w:t xml:space="preserve">文件注明允许分支机构</w:t>
      </w:r>
      <w:r>
        <w:rPr>
          <w:rFonts w:hint="eastAsia" w:ascii="宋体" w:hAnsi="宋体"/>
          <w:color w:val="000000"/>
          <w:sz w:val="21"/>
          <w:szCs w:val="21"/>
          <w:highlight w:val="none"/>
        </w:rPr>
        <w:t xml:space="preserve">投标情形</w:t>
      </w:r>
      <w:r>
        <w:rPr>
          <w:rFonts w:ascii="宋体" w:hAnsi="宋体"/>
          <w:color w:val="000000"/>
          <w:sz w:val="21"/>
          <w:szCs w:val="21"/>
          <w:highlight w:val="none"/>
        </w:rPr>
        <w:t xml:space="preserve">的），则法定代表人</w:t>
      </w:r>
      <w:r>
        <w:rPr>
          <w:rFonts w:hint="eastAsia" w:ascii="宋体" w:hAnsi="宋体"/>
          <w:color w:val="000000"/>
          <w:sz w:val="21"/>
          <w:szCs w:val="21"/>
          <w:highlight w:val="none"/>
        </w:rPr>
        <w:t xml:space="preserve">处</w:t>
      </w:r>
      <w:r>
        <w:rPr>
          <w:rFonts w:ascii="宋体" w:hAnsi="宋体"/>
          <w:color w:val="000000"/>
          <w:sz w:val="21"/>
          <w:szCs w:val="21"/>
          <w:highlight w:val="none"/>
        </w:rPr>
        <w:t xml:space="preserve">的签</w:t>
      </w:r>
      <w:r>
        <w:rPr>
          <w:rFonts w:hint="eastAsia" w:ascii="宋体" w:hAnsi="宋体"/>
          <w:color w:val="000000"/>
          <w:sz w:val="21"/>
          <w:szCs w:val="21"/>
          <w:highlight w:val="none"/>
        </w:rPr>
        <w:t xml:space="preserve">字</w:t>
      </w:r>
      <w:r>
        <w:rPr>
          <w:rFonts w:ascii="宋体" w:hAnsi="宋体"/>
          <w:color w:val="000000"/>
          <w:sz w:val="21"/>
          <w:szCs w:val="21"/>
          <w:highlight w:val="none"/>
        </w:rPr>
        <w:t xml:space="preserve">人可为单位负责人</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755"/>
        <w:numPr>
          <w:ilvl w:val="0"/>
          <w:numId w:val="10"/>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highlight w:val="none"/>
        </w:rPr>
      </w:r>
      <w:r/>
    </w:p>
    <w:p>
      <w:pPr>
        <w:pStyle w:val="755"/>
        <w:numPr>
          <w:ilvl w:val="0"/>
          <w:numId w:val="10"/>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供应商为自然人情形的，可不提供本</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授权委托书</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755"/>
        <w:numPr>
          <w:ilvl w:val="0"/>
          <w:numId w:val="10"/>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bCs/>
          <w:color w:val="000000"/>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highlight w:val="none"/>
        </w:rPr>
      </w:r>
      <w:r/>
    </w:p>
    <w:p>
      <w:pPr>
        <w:pStyle w:val="755"/>
        <w:ind w:firstLine="0"/>
        <w:tabs>
          <w:tab w:val="left" w:pos="360" w:leader="none"/>
        </w:tabs>
        <w:rPr>
          <w:rFonts w:hint="eastAsia"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rPr>
          <w:rFonts w:hint="eastAsia" w:ascii="宋体" w:hAnsi="宋体" w:cs="宋体"/>
          <w:b/>
          <w:color w:val="000000"/>
          <w:szCs w:val="28"/>
          <w:highlight w:val="none"/>
        </w:rPr>
      </w:r>
      <w:r/>
    </w:p>
    <w:p>
      <w:pPr>
        <w:pStyle w:val="668"/>
        <w:jc w:val="center"/>
        <w:rPr>
          <w:rFonts w:ascii="黑体" w:eastAsia="黑体"/>
          <w:bCs/>
          <w:color w:val="000000"/>
          <w:sz w:val="28"/>
          <w:szCs w:val="28"/>
          <w:highlight w:val="none"/>
        </w:rPr>
        <w:outlineLvl w:val="0"/>
      </w:pPr>
      <w:r/>
      <w:bookmarkStart w:id="204" w:name="报价方关于资格的声明函（格式）"/>
      <w:r/>
      <w:bookmarkEnd w:id="204"/>
      <w:r>
        <w:rPr>
          <w:rFonts w:hint="eastAsia" w:ascii="黑体" w:eastAsia="黑体"/>
          <w:bCs/>
          <w:color w:val="000000"/>
          <w:sz w:val="28"/>
          <w:szCs w:val="28"/>
          <w:highlight w:val="none"/>
        </w:rPr>
        <w:t xml:space="preserve">资格声明函</w:t>
      </w:r>
      <w:r>
        <w:rPr>
          <w:rFonts w:ascii="黑体" w:eastAsia="黑体"/>
          <w:bCs/>
          <w:color w:val="000000"/>
          <w:sz w:val="28"/>
          <w:szCs w:val="28"/>
          <w:highlight w:val="none"/>
        </w:rPr>
      </w:r>
      <w:r/>
    </w:p>
    <w:p>
      <w:pPr>
        <w:pStyle w:val="668"/>
        <w:jc w:val="center"/>
        <w:spacing w:line="480" w:lineRule="auto"/>
        <w:rPr>
          <w:rFonts w:ascii="宋体"/>
          <w:bCs/>
          <w:color w:val="000000"/>
          <w:sz w:val="24"/>
          <w:szCs w:val="24"/>
          <w:highlight w:val="none"/>
        </w:rPr>
      </w:pPr>
      <w:r>
        <w:rPr>
          <w:rFonts w:ascii="宋体"/>
          <w:bCs/>
          <w:color w:val="000000"/>
          <w:sz w:val="24"/>
          <w:szCs w:val="24"/>
          <w:highlight w:val="none"/>
        </w:rPr>
      </w:r>
      <w:r/>
    </w:p>
    <w:p>
      <w:pPr>
        <w:pStyle w:val="668"/>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无锡市公共资源交易中心：</w:t>
      </w:r>
      <w:r>
        <w:rPr>
          <w:rFonts w:ascii="宋体"/>
          <w:bCs/>
          <w:color w:val="000000"/>
          <w:sz w:val="24"/>
          <w:szCs w:val="24"/>
          <w:highlight w:val="none"/>
        </w:rPr>
      </w:r>
      <w:r/>
    </w:p>
    <w:p>
      <w:pPr>
        <w:pStyle w:val="668"/>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我公司（单位、联合体）针对本次项目JSZC-320200-JZCG-G2026-0042进行投标，并</w:t>
      </w:r>
      <w:r>
        <w:rPr>
          <w:rFonts w:hint="eastAsia" w:ascii="宋体" w:hAnsi="宋体"/>
          <w:bCs/>
          <w:color w:val="000000"/>
          <w:sz w:val="24"/>
          <w:szCs w:val="24"/>
          <w:highlight w:val="none"/>
        </w:rPr>
        <w:t xml:space="preserve">作如下声明</w:t>
      </w:r>
      <w:r>
        <w:rPr>
          <w:rFonts w:ascii="宋体" w:hAnsi="宋体"/>
          <w:bCs/>
          <w:color w:val="000000"/>
          <w:sz w:val="24"/>
          <w:szCs w:val="24"/>
          <w:highlight w:val="none"/>
        </w:rPr>
      </w:r>
      <w:r/>
    </w:p>
    <w:p>
      <w:pPr>
        <w:pStyle w:val="668"/>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highlight w:val="none"/>
        </w:rPr>
      </w:r>
      <w:r/>
    </w:p>
    <w:p>
      <w:pPr>
        <w:pStyle w:val="668"/>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rPr>
          <w:rFonts w:hint="eastAsia" w:ascii="宋体" w:hAnsi="宋体"/>
          <w:bCs/>
          <w:color w:val="000000"/>
          <w:sz w:val="24"/>
          <w:szCs w:val="24"/>
          <w:highlight w:val="none"/>
        </w:rPr>
      </w:r>
      <w:r/>
    </w:p>
    <w:p>
      <w:pPr>
        <w:pStyle w:val="668"/>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highlight w:val="none"/>
        </w:rPr>
      </w:r>
      <w:r/>
    </w:p>
    <w:p>
      <w:pPr>
        <w:pStyle w:val="668"/>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highlight w:val="none"/>
        </w:rPr>
      </w:r>
      <w:r/>
    </w:p>
    <w:p>
      <w:pPr>
        <w:pStyle w:val="668"/>
        <w:spacing w:line="480" w:lineRule="auto"/>
        <w:rPr>
          <w:rFonts w:ascii="宋体"/>
          <w:bCs/>
          <w:color w:val="000000"/>
          <w:sz w:val="24"/>
          <w:szCs w:val="24"/>
          <w:highlight w:val="none"/>
        </w:rPr>
      </w:pPr>
      <w:r>
        <w:rPr>
          <w:rFonts w:ascii="宋体"/>
          <w:bCs/>
          <w:color w:val="000000"/>
          <w:sz w:val="24"/>
          <w:szCs w:val="24"/>
          <w:highlight w:val="none"/>
        </w:rPr>
      </w:r>
      <w:r/>
    </w:p>
    <w:p>
      <w:pPr>
        <w:pStyle w:val="668"/>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bCs/>
          <w:color w:val="000000"/>
          <w:sz w:val="24"/>
          <w:szCs w:val="24"/>
          <w:highlight w:val="none"/>
        </w:rPr>
      </w:r>
      <w:r/>
    </w:p>
    <w:p>
      <w:pPr>
        <w:pStyle w:val="668"/>
        <w:spacing w:line="440" w:lineRule="exact"/>
        <w:rPr>
          <w:rFonts w:hint="eastAsia" w:ascii="宋体" w:hAnsi="宋体" w:cs="宋体"/>
          <w:b/>
          <w:color w:val="000000"/>
          <w:sz w:val="28"/>
          <w:szCs w:val="28"/>
          <w:highlight w:val="none"/>
        </w:rPr>
      </w:pP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四、政府采购政策相关声明函（给定格式）：</w:t>
      </w:r>
      <w:r>
        <w:rPr>
          <w:rFonts w:hint="eastAsia" w:ascii="宋体" w:hAnsi="宋体" w:cs="宋体"/>
          <w:b/>
          <w:color w:val="000000"/>
          <w:sz w:val="28"/>
          <w:szCs w:val="28"/>
          <w:highlight w:val="none"/>
        </w:rPr>
      </w:r>
      <w:r/>
    </w:p>
    <w:p>
      <w:pPr>
        <w:pStyle w:val="668"/>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rPr>
          <w:rFonts w:ascii="黑体" w:eastAsia="黑体"/>
          <w:bCs/>
          <w:color w:val="000000"/>
          <w:sz w:val="28"/>
          <w:szCs w:val="28"/>
          <w:highlight w:val="none"/>
        </w:rPr>
      </w:r>
      <w:r/>
    </w:p>
    <w:p>
      <w:pPr>
        <w:pStyle w:val="668"/>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color w:val="000000"/>
          <w:sz w:val="24"/>
          <w:szCs w:val="24"/>
          <w:highlight w:val="none"/>
        </w:rPr>
      </w:r>
      <w:r/>
    </w:p>
    <w:p>
      <w:pPr>
        <w:pStyle w:val="668"/>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668"/>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668"/>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668"/>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color w:val="000000"/>
          <w:sz w:val="24"/>
          <w:szCs w:val="24"/>
          <w:highlight w:val="none"/>
        </w:rPr>
      </w:r>
      <w:r/>
    </w:p>
    <w:p>
      <w:pPr>
        <w:pStyle w:val="668"/>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rPr>
          <w:rFonts w:ascii="宋体" w:hAnsi="宋体"/>
          <w:bCs/>
          <w:color w:val="000000"/>
          <w:sz w:val="24"/>
          <w:szCs w:val="24"/>
          <w:highlight w:val="none"/>
        </w:rPr>
      </w:r>
      <w:r/>
    </w:p>
    <w:p>
      <w:pPr>
        <w:pStyle w:val="668"/>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668"/>
        <w:ind w:firstLine="420"/>
        <w:spacing w:line="360" w:lineRule="auto"/>
        <w:rPr>
          <w:rFonts w:hint="eastAsia"/>
          <w:color w:val="000000"/>
          <w:highlight w:val="none"/>
        </w:rPr>
      </w:pPr>
      <w:r>
        <w:rPr>
          <w:rFonts w:hint="eastAsia"/>
          <w:color w:val="000000"/>
          <w:highlight w:val="none"/>
        </w:rPr>
      </w:r>
      <w:r/>
    </w:p>
    <w:p>
      <w:pPr>
        <w:pStyle w:val="668"/>
        <w:ind w:firstLine="420"/>
        <w:spacing w:line="360" w:lineRule="auto"/>
        <w:rPr>
          <w:rFonts w:hint="eastAsia"/>
          <w:color w:val="000000"/>
          <w:highlight w:val="none"/>
        </w:rPr>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color w:val="000000"/>
          <w:highlight w:val="none"/>
        </w:rPr>
      </w:r>
      <w:r/>
    </w:p>
    <w:p>
      <w:pPr>
        <w:pStyle w:val="668"/>
        <w:ind w:firstLine="420"/>
        <w:spacing w:line="360" w:lineRule="auto"/>
        <w:rPr>
          <w:color w:val="000000"/>
          <w:highlight w:val="none"/>
        </w:rPr>
      </w:pPr>
      <w:r>
        <w:rPr>
          <w:rFonts w:hint="eastAsia"/>
          <w:color w:val="000000"/>
          <w:highlight w:val="none"/>
        </w:rPr>
        <w:t xml:space="preserve">（2）</w:t>
      </w:r>
      <w:r>
        <w:rPr>
          <w:color w:val="000000"/>
          <w:highlight w:val="none"/>
        </w:rPr>
        <w:t xml:space="preserve">从业人员、营业收入、资产总额填报上一年度数据，无上一年度数据的新成立企业可不填报。</w:t>
      </w:r>
      <w:r>
        <w:rPr>
          <w:color w:val="000000"/>
          <w:highlight w:val="none"/>
        </w:rPr>
      </w:r>
      <w:r/>
    </w:p>
    <w:p>
      <w:pPr>
        <w:pStyle w:val="668"/>
        <w:ind w:firstLine="420"/>
        <w:spacing w:line="360" w:lineRule="auto"/>
        <w:rPr>
          <w:rFonts w:hint="eastAsia"/>
          <w:color w:val="000000"/>
          <w:highlight w:val="none"/>
        </w:rPr>
      </w:pPr>
      <w:r>
        <w:rPr>
          <w:rFonts w:hint="eastAsia"/>
          <w:color w:val="000000"/>
          <w:highlight w:val="none"/>
        </w:rPr>
        <w:t xml:space="preserve">（3）中标供应商的《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rPr>
          <w:rFonts w:hint="eastAsia"/>
          <w:color w:val="000000"/>
          <w:highlight w:val="none"/>
        </w:rPr>
      </w:r>
      <w:r/>
    </w:p>
    <w:p>
      <w:pPr>
        <w:pStyle w:val="668"/>
        <w:spacing w:line="360" w:lineRule="auto"/>
        <w:rPr>
          <w:rFonts w:hint="eastAsia" w:ascii="宋体" w:hAnsi="宋体" w:cs="宋体"/>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rPr>
          <w:rFonts w:hint="eastAsia" w:ascii="宋体" w:hAnsi="宋体" w:cs="宋体"/>
          <w:b/>
          <w:color w:val="000000"/>
          <w:sz w:val="28"/>
          <w:szCs w:val="28"/>
          <w:highlight w:val="none"/>
        </w:rPr>
      </w:r>
      <w:r/>
    </w:p>
    <w:p>
      <w:pPr>
        <w:pStyle w:val="668"/>
        <w:ind w:firstLine="482"/>
        <w:spacing w:line="440" w:lineRule="exact"/>
        <w:rPr>
          <w:rFonts w:ascii="Arial" w:hAnsi="Arial"/>
          <w:b/>
          <w:color w:val="000000"/>
          <w:sz w:val="24"/>
          <w:highlight w:val="none"/>
        </w:rPr>
      </w:pPr>
      <w:r>
        <w:rPr>
          <w:rFonts w:ascii="Arial" w:hAnsi="Arial"/>
          <w:b/>
          <w:color w:val="000000"/>
          <w:sz w:val="24"/>
          <w:highlight w:val="none"/>
        </w:rPr>
      </w:r>
      <w:r/>
    </w:p>
    <w:p>
      <w:pPr>
        <w:pStyle w:val="668"/>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rPr>
          <w:rFonts w:ascii="黑体" w:eastAsia="黑体"/>
          <w:bCs/>
          <w:color w:val="000000"/>
          <w:sz w:val="28"/>
          <w:szCs w:val="28"/>
          <w:highlight w:val="none"/>
        </w:rPr>
      </w:r>
      <w:r/>
    </w:p>
    <w:p>
      <w:pPr>
        <w:pStyle w:val="668"/>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668"/>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highlight w:val="none"/>
        </w:rPr>
      </w:r>
      <w:r/>
    </w:p>
    <w:p>
      <w:pPr>
        <w:pStyle w:val="668"/>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rFonts w:ascii="宋体" w:hAnsi="宋体"/>
          <w:bCs/>
          <w:color w:val="000000"/>
          <w:sz w:val="24"/>
          <w:szCs w:val="24"/>
          <w:highlight w:val="none"/>
        </w:rPr>
      </w:r>
      <w:r/>
    </w:p>
    <w:p>
      <w:pPr>
        <w:pStyle w:val="668"/>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668"/>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668"/>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rPr>
          <w:rFonts w:ascii="宋体" w:hAnsi="宋体"/>
          <w:bCs/>
          <w:color w:val="000000"/>
          <w:sz w:val="24"/>
          <w:szCs w:val="24"/>
          <w:highlight w:val="none"/>
        </w:rPr>
      </w:r>
      <w:r/>
    </w:p>
    <w:p>
      <w:pPr>
        <w:pStyle w:val="668"/>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668"/>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六</w:t>
      </w:r>
      <w:r>
        <w:rPr>
          <w:b/>
          <w:color w:val="000000"/>
          <w:sz w:val="28"/>
          <w:szCs w:val="28"/>
          <w:highlight w:val="none"/>
        </w:rPr>
        <w:t xml:space="preserve">、投标函</w:t>
      </w:r>
      <w:r>
        <w:rPr>
          <w:rFonts w:hint="eastAsia"/>
          <w:b/>
          <w:color w:val="000000"/>
          <w:sz w:val="28"/>
          <w:szCs w:val="28"/>
          <w:highlight w:val="none"/>
        </w:rPr>
        <w:t xml:space="preserve">（给定格式）：</w:t>
      </w:r>
      <w:r>
        <w:rPr>
          <w:rFonts w:hint="eastAsia"/>
          <w:b/>
          <w:color w:val="000000"/>
          <w:sz w:val="28"/>
          <w:szCs w:val="28"/>
          <w:highlight w:val="none"/>
        </w:rPr>
      </w:r>
      <w:r/>
    </w:p>
    <w:p>
      <w:pPr>
        <w:pStyle w:val="668"/>
        <w:spacing w:line="360" w:lineRule="auto"/>
        <w:rPr>
          <w:rFonts w:hint="eastAsia"/>
          <w:b/>
          <w:color w:val="000000"/>
          <w:sz w:val="30"/>
          <w:szCs w:val="30"/>
          <w:highlight w:val="none"/>
        </w:rPr>
      </w:pPr>
      <w:r>
        <w:rPr>
          <w:rFonts w:hint="eastAsia"/>
          <w:b/>
          <w:color w:val="000000"/>
          <w:sz w:val="30"/>
          <w:szCs w:val="30"/>
          <w:highlight w:val="none"/>
        </w:rPr>
      </w:r>
      <w:r/>
    </w:p>
    <w:p>
      <w:pPr>
        <w:pStyle w:val="668"/>
        <w:jc w:val="center"/>
        <w:spacing w:line="400" w:lineRule="exact"/>
        <w:rPr>
          <w:rFonts w:ascii="宋体"/>
          <w:bCs/>
          <w:color w:val="000000"/>
          <w:sz w:val="24"/>
          <w:szCs w:val="24"/>
          <w:highlight w:val="none"/>
        </w:rPr>
      </w:pPr>
      <w:r>
        <w:rPr>
          <w:rFonts w:hint="eastAsia" w:ascii="黑体" w:eastAsia="黑体"/>
          <w:bCs/>
          <w:color w:val="000000"/>
          <w:sz w:val="28"/>
          <w:szCs w:val="28"/>
          <w:highlight w:val="none"/>
        </w:rPr>
        <w:t xml:space="preserve">投标函</w:t>
      </w:r>
      <w:r>
        <w:rPr>
          <w:rFonts w:ascii="宋体"/>
          <w:bCs/>
          <w:color w:val="000000"/>
          <w:sz w:val="24"/>
          <w:szCs w:val="24"/>
          <w:highlight w:val="none"/>
        </w:rPr>
      </w:r>
      <w:r/>
    </w:p>
    <w:p>
      <w:pPr>
        <w:pStyle w:val="668"/>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致无锡市公共资源交易中心：</w:t>
      </w:r>
      <w:r>
        <w:rPr>
          <w:rFonts w:ascii="宋体"/>
          <w:bCs/>
          <w:color w:val="000000"/>
          <w:sz w:val="24"/>
          <w:szCs w:val="24"/>
          <w:highlight w:val="none"/>
        </w:rPr>
      </w:r>
      <w:r/>
    </w:p>
    <w:p>
      <w:pPr>
        <w:pStyle w:val="668"/>
        <w:ind w:firstLine="480"/>
        <w:spacing w:line="400" w:lineRule="exact"/>
        <w:rPr>
          <w:rFonts w:ascii="宋体"/>
          <w:bCs/>
          <w:color w:val="000000"/>
          <w:sz w:val="24"/>
          <w:szCs w:val="24"/>
          <w:highlight w:val="none"/>
        </w:rPr>
      </w:pPr>
      <w:r>
        <w:rPr>
          <w:rFonts w:ascii="宋体"/>
          <w:bCs/>
          <w:color w:val="000000"/>
          <w:sz w:val="24"/>
          <w:szCs w:val="24"/>
          <w:highlight w:val="none"/>
        </w:rPr>
      </w:r>
      <w:r/>
    </w:p>
    <w:p>
      <w:pPr>
        <w:pStyle w:val="668"/>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我方收到贵方JSZC-320200-JZCG-G2026-0042招标文件，经仔细阅读和研究，我</w:t>
      </w:r>
      <w:r>
        <w:rPr>
          <w:rFonts w:hint="eastAsia" w:ascii="宋体" w:hAnsi="宋体"/>
          <w:bCs/>
          <w:color w:val="000000"/>
          <w:sz w:val="24"/>
          <w:szCs w:val="24"/>
          <w:highlight w:val="none"/>
        </w:rPr>
        <w:t xml:space="preserve">方决定参加此项目的投标。</w:t>
      </w:r>
      <w:r>
        <w:rPr>
          <w:rFonts w:ascii="宋体"/>
          <w:bCs/>
          <w:color w:val="000000"/>
          <w:sz w:val="24"/>
          <w:szCs w:val="24"/>
          <w:highlight w:val="none"/>
        </w:rPr>
      </w:r>
      <w:r/>
    </w:p>
    <w:p>
      <w:pPr>
        <w:pStyle w:val="668"/>
        <w:numPr>
          <w:ilvl w:val="0"/>
          <w:numId w:val="11"/>
        </w:numPr>
        <w:ind w:left="0" w:firstLine="525"/>
        <w:spacing w:line="400" w:lineRule="exact"/>
        <w:tabs>
          <w:tab w:val="left" w:pos="315" w:leader="none"/>
          <w:tab w:val="left" w:pos="552"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rPr>
          <w:rFonts w:ascii="宋体"/>
          <w:bCs/>
          <w:color w:val="000000"/>
          <w:sz w:val="24"/>
          <w:szCs w:val="24"/>
          <w:highlight w:val="none"/>
        </w:rPr>
      </w:r>
      <w:r/>
    </w:p>
    <w:p>
      <w:pPr>
        <w:pStyle w:val="668"/>
        <w:numPr>
          <w:ilvl w:val="0"/>
          <w:numId w:val="11"/>
        </w:numPr>
        <w:ind w:left="0" w:firstLine="523"/>
        <w:spacing w:line="400" w:lineRule="exact"/>
        <w:tabs>
          <w:tab w:val="left" w:pos="0" w:leader="none"/>
          <w:tab w:val="left" w:pos="315" w:leader="none"/>
          <w:tab w:val="left" w:pos="525" w:leader="none"/>
          <w:tab w:val="left" w:pos="552" w:leader="none"/>
          <w:tab w:val="left" w:pos="840" w:leader="none"/>
          <w:tab w:val="left" w:pos="945" w:leader="none"/>
          <w:tab w:val="left" w:pos="1050" w:leader="none"/>
        </w:tabs>
        <w:rPr>
          <w:rStyle w:val="744"/>
          <w:bCs/>
          <w:color w:val="000000"/>
          <w:highlight w:val="none"/>
        </w:rPr>
      </w:pPr>
      <w:r>
        <w:rPr>
          <w:rFonts w:hint="eastAsia" w:ascii="宋体" w:hAnsi="宋体"/>
          <w:bCs/>
          <w:color w:val="000000"/>
          <w:sz w:val="24"/>
          <w:szCs w:val="24"/>
          <w:highlight w:val="none"/>
        </w:rPr>
        <w:t xml:space="preserve">我方愿意提供无锡市公共资源交易中心在招标文件中要求的文件、资料。</w:t>
      </w:r>
      <w:r>
        <w:rPr>
          <w:rStyle w:val="744"/>
          <w:bCs/>
          <w:color w:val="000000"/>
          <w:highlight w:val="none"/>
        </w:rPr>
      </w:r>
      <w:r/>
    </w:p>
    <w:p>
      <w:pPr>
        <w:pStyle w:val="668"/>
        <w:numPr>
          <w:ilvl w:val="0"/>
          <w:numId w:val="11"/>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我方同意按招标文件中的规定，从规定的开标日期起遵循本投标文件，并在规定的投标有效期期满之前均具有约束力。</w:t>
      </w:r>
      <w:r>
        <w:rPr>
          <w:rFonts w:ascii="宋体"/>
          <w:bCs/>
          <w:color w:val="000000"/>
          <w:sz w:val="24"/>
          <w:szCs w:val="24"/>
          <w:highlight w:val="none"/>
        </w:rPr>
      </w:r>
      <w:r/>
    </w:p>
    <w:p>
      <w:pPr>
        <w:pStyle w:val="668"/>
        <w:numPr>
          <w:ilvl w:val="0"/>
          <w:numId w:val="11"/>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rPr>
          <w:rFonts w:ascii="宋体"/>
          <w:bCs/>
          <w:color w:val="000000"/>
          <w:sz w:val="24"/>
          <w:szCs w:val="24"/>
          <w:highlight w:val="none"/>
        </w:rPr>
      </w:r>
      <w:r/>
    </w:p>
    <w:p>
      <w:pPr>
        <w:pStyle w:val="668"/>
        <w:numPr>
          <w:ilvl w:val="0"/>
          <w:numId w:val="11"/>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rPr>
          <w:rFonts w:ascii="宋体"/>
          <w:bCs/>
          <w:color w:val="000000"/>
          <w:sz w:val="24"/>
          <w:szCs w:val="24"/>
          <w:highlight w:val="none"/>
        </w:rPr>
      </w:r>
      <w:r/>
    </w:p>
    <w:p>
      <w:pPr>
        <w:pStyle w:val="668"/>
        <w:numPr>
          <w:ilvl w:val="0"/>
          <w:numId w:val="11"/>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rPr>
          <w:rFonts w:ascii="宋体"/>
          <w:bCs/>
          <w:color w:val="000000"/>
          <w:sz w:val="24"/>
          <w:szCs w:val="24"/>
          <w:highlight w:val="none"/>
        </w:rPr>
      </w:r>
      <w:r/>
    </w:p>
    <w:p>
      <w:pPr>
        <w:pStyle w:val="668"/>
        <w:numPr>
          <w:ilvl w:val="0"/>
          <w:numId w:val="11"/>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rPr>
          <w:rFonts w:ascii="宋体"/>
          <w:bCs/>
          <w:color w:val="000000"/>
          <w:sz w:val="24"/>
          <w:szCs w:val="24"/>
          <w:highlight w:val="none"/>
        </w:rPr>
      </w:r>
      <w:r/>
    </w:p>
    <w:p>
      <w:pPr>
        <w:pStyle w:val="668"/>
        <w:numPr>
          <w:ilvl w:val="0"/>
          <w:numId w:val="11"/>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color w:val="000000"/>
          <w:sz w:val="24"/>
          <w:szCs w:val="24"/>
          <w:highlight w:val="none"/>
        </w:rPr>
      </w:r>
      <w:r/>
    </w:p>
    <w:p>
      <w:pPr>
        <w:pStyle w:val="668"/>
        <w:numPr>
          <w:ilvl w:val="0"/>
          <w:numId w:val="11"/>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highlight w:val="none"/>
        </w:rPr>
      </w:r>
      <w:r/>
    </w:p>
    <w:p>
      <w:pPr>
        <w:pStyle w:val="668"/>
        <w:numPr>
          <w:ilvl w:val="0"/>
          <w:numId w:val="11"/>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highlight w:val="none"/>
        </w:rPr>
      </w:r>
      <w:r/>
    </w:p>
    <w:p>
      <w:pPr>
        <w:pStyle w:val="668"/>
        <w:ind w:firstLine="720"/>
        <w:spacing w:line="400" w:lineRule="exact"/>
        <w:rPr>
          <w:rFonts w:ascii="宋体"/>
          <w:bCs/>
          <w:color w:val="000000"/>
          <w:sz w:val="24"/>
          <w:szCs w:val="24"/>
          <w:highlight w:val="none"/>
        </w:rPr>
      </w:pPr>
      <w:r>
        <w:rPr>
          <w:rFonts w:ascii="宋体"/>
          <w:bCs/>
          <w:color w:val="000000"/>
          <w:sz w:val="24"/>
          <w:szCs w:val="24"/>
          <w:highlight w:val="none"/>
        </w:rPr>
      </w:r>
      <w:r/>
    </w:p>
    <w:p>
      <w:pPr>
        <w:pStyle w:val="668"/>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rPr>
          <w:rFonts w:ascii="宋体"/>
          <w:bCs/>
          <w:color w:val="000000"/>
          <w:sz w:val="24"/>
          <w:szCs w:val="24"/>
          <w:highlight w:val="none"/>
        </w:rPr>
      </w:r>
      <w:r/>
    </w:p>
    <w:p>
      <w:pPr>
        <w:pStyle w:val="668"/>
        <w:ind w:firstLine="480"/>
        <w:spacing w:line="40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r>
      <w:r/>
    </w:p>
    <w:p>
      <w:pPr>
        <w:pStyle w:val="668"/>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hint="eastAsia" w:ascii="宋体" w:hAnsi="宋体"/>
          <w:bCs/>
          <w:color w:val="000000"/>
          <w:sz w:val="24"/>
          <w:szCs w:val="24"/>
          <w:highlight w:val="none"/>
        </w:rPr>
      </w:r>
      <w:r/>
    </w:p>
    <w:p>
      <w:pPr>
        <w:pStyle w:val="668"/>
        <w:spacing w:line="360" w:lineRule="auto"/>
        <w:rPr>
          <w:rFonts w:hint="eastAsia"/>
          <w:b/>
          <w:color w:val="000000"/>
          <w:sz w:val="28"/>
          <w:szCs w:val="28"/>
          <w:highlight w:val="none"/>
        </w:rPr>
      </w:pPr>
      <w:r>
        <w:rPr>
          <w:rFonts w:hint="eastAsia" w:ascii="宋体" w:hAnsi="宋体"/>
          <w:bCs/>
          <w:color w:val="000000"/>
          <w:sz w:val="24"/>
          <w:szCs w:val="24"/>
          <w:highlight w:val="none"/>
        </w:rPr>
        <w:br w:type="page" w:clear="all"/>
      </w:r>
      <w:r>
        <w:rPr>
          <w:rFonts w:hint="eastAsia"/>
          <w:b/>
          <w:color w:val="000000"/>
          <w:sz w:val="28"/>
          <w:szCs w:val="28"/>
          <w:highlight w:val="none"/>
        </w:rPr>
        <w:t xml:space="preserve">七、承诺书（给定格式）：</w:t>
      </w:r>
      <w:r>
        <w:rPr>
          <w:rFonts w:hint="eastAsia"/>
          <w:b/>
          <w:color w:val="000000"/>
          <w:sz w:val="28"/>
          <w:szCs w:val="28"/>
          <w:highlight w:val="none"/>
        </w:rPr>
      </w:r>
      <w:r/>
    </w:p>
    <w:p>
      <w:pPr>
        <w:pStyle w:val="668"/>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hint="eastAsia" w:ascii="黑体" w:eastAsia="黑体"/>
          <w:bCs/>
          <w:color w:val="000000"/>
          <w:sz w:val="28"/>
          <w:szCs w:val="28"/>
          <w:highlight w:val="none"/>
        </w:rPr>
      </w:r>
      <w:r/>
    </w:p>
    <w:p>
      <w:pPr>
        <w:pStyle w:val="668"/>
        <w:spacing w:line="48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投标人</w:t>
      </w:r>
      <w:r>
        <w:rPr>
          <w:rFonts w:hint="eastAsia" w:ascii="宋体" w:hAnsi="宋体"/>
          <w:color w:val="000000"/>
          <w:sz w:val="24"/>
          <w:szCs w:val="24"/>
          <w:highlight w:val="none"/>
        </w:rPr>
        <w:t xml:space="preserve">名称）针对本项目</w:t>
      </w:r>
      <w:r>
        <w:rPr>
          <w:rFonts w:hint="eastAsia" w:ascii="宋体" w:hAnsi="宋体"/>
          <w:bCs/>
          <w:color w:val="000000"/>
          <w:sz w:val="24"/>
          <w:szCs w:val="24"/>
          <w:highlight w:val="none"/>
        </w:rPr>
        <w:t xml:space="preserve">JSZC-320200-JZCG-G2026-0042</w:t>
      </w:r>
      <w:r>
        <w:rPr>
          <w:rFonts w:hint="eastAsia" w:ascii="宋体" w:hAnsi="宋体"/>
          <w:color w:val="000000"/>
          <w:sz w:val="24"/>
          <w:szCs w:val="24"/>
          <w:highlight w:val="none"/>
        </w:rPr>
        <w:t xml:space="preserve">在此承诺：</w:t>
      </w:r>
      <w:r>
        <w:rPr>
          <w:rFonts w:ascii="宋体" w:hAnsi="宋体"/>
          <w:color w:val="000000"/>
          <w:sz w:val="24"/>
          <w:szCs w:val="24"/>
          <w:highlight w:val="none"/>
        </w:rPr>
      </w:r>
      <w:r/>
    </w:p>
    <w:p>
      <w:pPr>
        <w:pStyle w:val="668"/>
        <w:ind w:firstLine="480"/>
        <w:spacing w:line="480" w:lineRule="auto"/>
        <w:rPr>
          <w:rFonts w:ascii="宋体" w:hAnsi="宋体"/>
          <w:bCs/>
          <w:color w:val="000000"/>
          <w:sz w:val="24"/>
          <w:szCs w:val="24"/>
          <w:highlight w:val="none"/>
        </w:rPr>
      </w:pPr>
      <w:r>
        <w:rPr>
          <w:rFonts w:hint="eastAsia" w:ascii="宋体" w:hAnsi="宋体"/>
          <w:color w:val="000000"/>
          <w:sz w:val="24"/>
          <w:szCs w:val="24"/>
          <w:highlight w:val="none"/>
        </w:rPr>
        <w:t xml:space="preserve">1.本公司（单位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对本项目所提供的货物均为原厂全新合格产品，提供的服务符合招标文件要求。</w:t>
      </w:r>
      <w:r>
        <w:rPr>
          <w:rFonts w:ascii="宋体" w:hAnsi="宋体"/>
          <w:bCs/>
          <w:color w:val="000000"/>
          <w:sz w:val="24"/>
          <w:szCs w:val="24"/>
          <w:highlight w:val="none"/>
        </w:rPr>
      </w:r>
      <w:r/>
    </w:p>
    <w:p>
      <w:pPr>
        <w:pStyle w:val="668"/>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t xml:space="preserve">2.本项目中如有涉及商品包装、快递包装要求的，本公司（单位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）对于中标产品的包装将严格按《关于印发〈商品包装政府采购需求标准（试行）〉、〈快递包装政府采购需求标准（试行）〉的通知》（财办库〔2020〕123号）文件执行。</w:t>
      </w:r>
      <w:r>
        <w:rPr>
          <w:rFonts w:hint="eastAsia" w:ascii="宋体"/>
          <w:bCs/>
          <w:color w:val="000000"/>
          <w:sz w:val="24"/>
          <w:szCs w:val="24"/>
          <w:highlight w:val="none"/>
        </w:rPr>
      </w:r>
      <w:r/>
    </w:p>
    <w:p>
      <w:pPr>
        <w:pStyle w:val="668"/>
        <w:ind w:firstLine="480"/>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3.本项目中如有涉及数据中心相关设备、运维服务的，本公司（单位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color w:val="000000"/>
          <w:sz w:val="24"/>
          <w:szCs w:val="24"/>
          <w:highlight w:val="none"/>
        </w:rPr>
      </w:r>
      <w:r/>
    </w:p>
    <w:p>
      <w:pPr>
        <w:pStyle w:val="668"/>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将按规定执行国家和我省VOCs含量限制标准；如非强制性标准的，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color w:val="000000"/>
          <w:sz w:val="24"/>
          <w:szCs w:val="24"/>
          <w:highlight w:val="none"/>
        </w:rPr>
      </w:r>
      <w:r/>
    </w:p>
    <w:p>
      <w:pPr>
        <w:pStyle w:val="668"/>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t xml:space="preserve">5.</w:t>
      </w:r>
      <w:r>
        <w:rPr>
          <w:rFonts w:hint="eastAsia" w:ascii="宋体" w:hAnsi="宋体" w:cs="宋体"/>
          <w:color w:val="000000"/>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）将所投产品符合相关要求和标准。在满足</w:t>
      </w:r>
      <w:r>
        <w:rPr>
          <w:rFonts w:hint="eastAsia" w:ascii="宋体" w:hAnsi="宋体" w:cs="宋体"/>
          <w:color w:val="000000"/>
          <w:sz w:val="24"/>
          <w:szCs w:val="24"/>
          <w:highlight w:val="none"/>
        </w:rPr>
        <w:t xml:space="preserve">《需求标准》的前提下，如招标文件中对七种软硬件有其他要求的，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）所投产品将</w:t>
      </w:r>
      <w:r>
        <w:rPr>
          <w:rFonts w:hint="eastAsia" w:ascii="宋体" w:hAnsi="宋体" w:cs="宋体"/>
          <w:color w:val="000000"/>
          <w:sz w:val="24"/>
          <w:szCs w:val="24"/>
          <w:highlight w:val="none"/>
        </w:rPr>
        <w:t xml:space="preserve">满足招标文件要求。如采购人在</w:t>
      </w:r>
      <w:r>
        <w:rPr>
          <w:rFonts w:hint="eastAsia" w:ascii="宋体"/>
          <w:bCs/>
          <w:color w:val="000000"/>
          <w:sz w:val="24"/>
          <w:szCs w:val="24"/>
          <w:highlight w:val="none"/>
        </w:rPr>
        <w:t xml:space="preserve">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）将予以配合。</w:t>
      </w:r>
      <w:r>
        <w:rPr>
          <w:rFonts w:hint="eastAsia" w:ascii="宋体"/>
          <w:bCs/>
          <w:color w:val="000000"/>
          <w:sz w:val="24"/>
          <w:szCs w:val="24"/>
          <w:highlight w:val="none"/>
        </w:rPr>
      </w:r>
      <w:r/>
    </w:p>
    <w:p>
      <w:pPr>
        <w:pStyle w:val="668"/>
        <w:ind w:firstLine="480"/>
        <w:spacing w:line="480" w:lineRule="auto"/>
        <w:rPr>
          <w:rFonts w:hint="eastAsia" w:ascii="宋体" w:hAnsi="宋体" w:cs="宋体"/>
          <w:color w:val="000000"/>
          <w:sz w:val="24"/>
          <w:szCs w:val="24"/>
          <w:highlight w:val="none"/>
        </w:rPr>
      </w:pPr>
      <w:r>
        <w:rPr>
          <w:rFonts w:hint="eastAsia" w:ascii="宋体"/>
          <w:bCs/>
          <w:color w:val="000000"/>
          <w:sz w:val="24"/>
          <w:szCs w:val="24"/>
          <w:highlight w:val="none"/>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rFonts w:hint="eastAsia" w:ascii="宋体" w:hAnsi="宋体" w:cs="宋体"/>
          <w:color w:val="000000"/>
          <w:sz w:val="24"/>
          <w:szCs w:val="24"/>
          <w:highlight w:val="none"/>
        </w:rPr>
      </w:r>
      <w:r/>
    </w:p>
    <w:p>
      <w:pPr>
        <w:pStyle w:val="668"/>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r>
      <w:r/>
    </w:p>
    <w:p>
      <w:pPr>
        <w:pStyle w:val="668"/>
        <w:ind w:firstLine="480"/>
        <w:spacing w:line="480" w:lineRule="auto"/>
        <w:rPr>
          <w:rFonts w:hint="eastAsia" w:ascii="宋体"/>
          <w:bCs/>
          <w:color w:val="000000"/>
          <w:sz w:val="24"/>
          <w:szCs w:val="24"/>
          <w:highlight w:val="none"/>
        </w:rPr>
      </w:pPr>
      <w:r>
        <w:rPr>
          <w:rFonts w:ascii="宋体"/>
          <w:bCs/>
          <w:color w:val="000000"/>
          <w:sz w:val="24"/>
          <w:szCs w:val="24"/>
          <w:highlight w:val="none"/>
        </w:rPr>
        <w:t xml:space="preserve">……</w:t>
      </w:r>
      <w:r>
        <w:rPr>
          <w:rFonts w:hint="eastAsia" w:ascii="宋体"/>
          <w:bCs/>
          <w:color w:val="000000"/>
          <w:sz w:val="24"/>
          <w:szCs w:val="24"/>
          <w:highlight w:val="none"/>
        </w:rPr>
        <w:t xml:space="preserve">（投标人如有其他承诺的可在此处添加）</w:t>
      </w:r>
      <w:r>
        <w:rPr>
          <w:rFonts w:hint="eastAsia" w:ascii="宋体"/>
          <w:bCs/>
          <w:color w:val="000000"/>
          <w:sz w:val="24"/>
          <w:szCs w:val="24"/>
          <w:highlight w:val="none"/>
        </w:rPr>
      </w:r>
      <w:r/>
    </w:p>
    <w:p>
      <w:pPr>
        <w:pStyle w:val="668"/>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r>
      <w:r/>
    </w:p>
    <w:p>
      <w:pPr>
        <w:pStyle w:val="668"/>
        <w:ind w:firstLine="480"/>
        <w:spacing w:line="480" w:lineRule="auto"/>
        <w:rPr>
          <w:rFonts w:ascii="宋体" w:hAnsi="宋体"/>
          <w:color w:val="000000"/>
          <w:sz w:val="24"/>
          <w:szCs w:val="20"/>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将承担一切法律责任。</w:t>
      </w:r>
      <w:r>
        <w:rPr>
          <w:rFonts w:ascii="宋体" w:hAnsi="宋体"/>
          <w:color w:val="000000"/>
          <w:sz w:val="24"/>
          <w:szCs w:val="20"/>
          <w:highlight w:val="none"/>
        </w:rPr>
      </w:r>
      <w:r/>
    </w:p>
    <w:p>
      <w:pPr>
        <w:pStyle w:val="668"/>
        <w:ind w:firstLine="540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pStyle w:val="668"/>
        <w:ind w:firstLine="372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hAnsi="宋体"/>
          <w:bCs/>
          <w:color w:val="000000"/>
          <w:sz w:val="24"/>
          <w:szCs w:val="24"/>
          <w:highlight w:val="none"/>
        </w:rPr>
      </w:r>
      <w:r/>
    </w:p>
    <w:p>
      <w:pPr>
        <w:pStyle w:val="668"/>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八、开标一览表：</w:t>
      </w:r>
      <w:r>
        <w:rPr>
          <w:rFonts w:hint="eastAsia"/>
          <w:b/>
          <w:color w:val="000000"/>
          <w:sz w:val="28"/>
          <w:szCs w:val="28"/>
          <w:highlight w:val="none"/>
        </w:rPr>
      </w:r>
      <w:r/>
    </w:p>
    <w:p>
      <w:pPr>
        <w:pStyle w:val="668"/>
        <w:ind w:firstLine="482"/>
        <w:spacing w:line="440" w:lineRule="exact"/>
        <w:rPr>
          <w:rFonts w:hint="eastAsia" w:ascii="Arial" w:hAnsi="Arial"/>
          <w:b/>
          <w:color w:val="000000"/>
          <w:sz w:val="24"/>
          <w:highlight w:val="none"/>
        </w:rPr>
      </w:pPr>
      <w:r>
        <w:rPr>
          <w:rFonts w:hint="eastAsia" w:ascii="Arial" w:hAnsi="Arial"/>
          <w:b/>
          <w:color w:val="000000"/>
          <w:sz w:val="24"/>
          <w:highlight w:val="none"/>
        </w:rPr>
      </w:r>
      <w:r/>
    </w:p>
    <w:p>
      <w:pPr>
        <w:pStyle w:val="668"/>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668"/>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68"/>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 </w:t>
      </w:r>
      <w:r>
        <w:rPr>
          <w:rFonts w:hint="eastAsia" w:ascii="黑体" w:eastAsia="黑体"/>
          <w:bCs/>
          <w:color w:val="000000"/>
          <w:sz w:val="24"/>
          <w:szCs w:val="24"/>
          <w:highlight w:val="none"/>
        </w:rPr>
      </w:r>
      <w:r/>
    </w:p>
    <w:p>
      <w:pPr>
        <w:pStyle w:val="668"/>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668"/>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项目编号：JSZC-320200-JZCG-G2026-0042</w:t>
      </w:r>
      <w:r>
        <w:rPr>
          <w:rFonts w:hint="eastAsia" w:ascii="黑体" w:eastAsia="黑体"/>
          <w:bCs/>
          <w:color w:val="000000"/>
          <w:sz w:val="24"/>
          <w:szCs w:val="24"/>
          <w:highlight w:val="none"/>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668"/>
              <w:jc w:val="center"/>
              <w:rPr>
                <w:rFonts w:ascii="宋体"/>
                <w:b/>
                <w:bCs/>
                <w:color w:val="000000"/>
                <w:sz w:val="24"/>
                <w:szCs w:val="24"/>
                <w:highlight w:val="none"/>
              </w:rPr>
            </w:pPr>
            <w:r>
              <w:rPr>
                <w:rFonts w:hint="eastAsia" w:ascii="宋体" w:hAnsi="宋体"/>
                <w:b/>
                <w:bCs/>
                <w:color w:val="000000"/>
                <w:sz w:val="24"/>
                <w:szCs w:val="24"/>
                <w:highlight w:val="none"/>
              </w:rPr>
              <w:t xml:space="preserve">项目名称</w:t>
            </w:r>
            <w:r>
              <w:rPr>
                <w:rFonts w:ascii="宋体"/>
                <w:b/>
                <w:bCs/>
                <w:color w:val="000000"/>
                <w:sz w:val="24"/>
                <w:szCs w:val="24"/>
                <w:highlight w:val="none"/>
              </w:rPr>
            </w:r>
            <w:r/>
          </w:p>
        </w:tc>
        <w:tc>
          <w:tcPr>
            <w:tcW w:w="3188" w:type="dxa"/>
            <w:vAlign w:val="center"/>
            <w:textDirection w:val="lrTb"/>
            <w:noWrap w:val="false"/>
          </w:tcPr>
          <w:p>
            <w:pPr>
              <w:pStyle w:val="668"/>
              <w:jc w:val="center"/>
              <w:rPr>
                <w:rFonts w:ascii="宋体"/>
                <w:b/>
                <w:bCs/>
                <w:color w:val="000000"/>
                <w:sz w:val="24"/>
                <w:szCs w:val="24"/>
                <w:highlight w:val="none"/>
              </w:rPr>
            </w:pPr>
            <w:r>
              <w:rPr>
                <w:rFonts w:hint="eastAsia" w:ascii="宋体" w:hAnsi="宋体"/>
                <w:b/>
                <w:bCs/>
                <w:color w:val="000000"/>
                <w:sz w:val="24"/>
                <w:szCs w:val="24"/>
                <w:highlight w:val="none"/>
              </w:rPr>
              <w:t xml:space="preserve">投标总报价（小写）</w:t>
            </w:r>
            <w:r>
              <w:rPr>
                <w:rFonts w:ascii="宋体"/>
                <w:b/>
                <w:bCs/>
                <w:color w:val="000000"/>
                <w:sz w:val="24"/>
                <w:szCs w:val="24"/>
                <w:highlight w:val="none"/>
              </w:rPr>
            </w:r>
            <w:r/>
          </w:p>
        </w:tc>
      </w:tr>
      <w:tr>
        <w:trPr>
          <w:cantSplit/>
          <w:trHeight w:val="1630"/>
        </w:trPr>
        <w:tc>
          <w:tcPr>
            <w:tcW w:w="5697" w:type="dxa"/>
            <w:vAlign w:val="center"/>
            <w:textDirection w:val="lrTb"/>
            <w:noWrap w:val="false"/>
          </w:tcPr>
          <w:p>
            <w:pPr>
              <w:pStyle w:val="783"/>
              <w:jc w:val="center"/>
              <w:spacing w:line="400" w:lineRule="exact"/>
              <w:rPr>
                <w:rFonts w:hint="eastAsia" w:hAnsi="宋体"/>
                <w:bCs/>
                <w:color w:val="000000"/>
                <w:szCs w:val="24"/>
                <w:highlight w:val="none"/>
              </w:rPr>
            </w:pPr>
            <w:r>
              <w:rPr>
                <w:rFonts w:hint="eastAsia" w:hAnsi="宋体"/>
                <w:bCs/>
                <w:color w:val="000000"/>
                <w:szCs w:val="24"/>
                <w:highlight w:val="none"/>
              </w:rPr>
              <w:t xml:space="preserve">智慧住建（二期）信息化建设项目</w:t>
            </w:r>
            <w:r>
              <w:rPr>
                <w:rFonts w:hint="eastAsia" w:hAnsi="宋体"/>
                <w:bCs/>
                <w:color w:val="000000"/>
                <w:szCs w:val="24"/>
                <w:highlight w:val="none"/>
              </w:rPr>
            </w:r>
            <w:r/>
          </w:p>
        </w:tc>
        <w:tc>
          <w:tcPr>
            <w:tcW w:w="3188" w:type="dxa"/>
            <w:vAlign w:val="center"/>
            <w:textDirection w:val="lrTb"/>
            <w:noWrap w:val="false"/>
          </w:tcPr>
          <w:p>
            <w:pPr>
              <w:pStyle w:val="783"/>
              <w:jc w:val="center"/>
              <w:rPr>
                <w:rFonts w:hAnsi="宋体"/>
                <w:b/>
                <w:color w:val="000000"/>
                <w:szCs w:val="24"/>
                <w:highlight w:val="none"/>
              </w:rPr>
            </w:pPr>
            <w:r>
              <w:rPr>
                <w:rFonts w:hAnsi="宋体"/>
                <w:b/>
                <w:color w:val="000000"/>
                <w:szCs w:val="24"/>
                <w:highlight w:val="none"/>
              </w:rPr>
            </w:r>
            <w:r/>
          </w:p>
        </w:tc>
      </w:tr>
      <w:tr>
        <w:trPr>
          <w:cantSplit/>
          <w:trHeight w:val="780"/>
        </w:trPr>
        <w:tc>
          <w:tcPr>
            <w:gridSpan w:val="2"/>
            <w:tcW w:w="8885" w:type="dxa"/>
            <w:vAlign w:val="center"/>
            <w:textDirection w:val="lrTb"/>
            <w:noWrap w:val="false"/>
          </w:tcPr>
          <w:p>
            <w:pPr>
              <w:pStyle w:val="668"/>
              <w:rPr>
                <w:rFonts w:ascii="宋体"/>
                <w:bCs/>
                <w:color w:val="000000"/>
                <w:sz w:val="24"/>
                <w:szCs w:val="24"/>
                <w:highlight w:val="none"/>
              </w:rPr>
            </w:pPr>
            <w:r>
              <w:rPr>
                <w:rFonts w:hint="eastAsia" w:ascii="黑体" w:eastAsia="黑体"/>
                <w:color w:val="000000"/>
                <w:sz w:val="24"/>
                <w:highlight w:val="none"/>
              </w:rPr>
              <w:t xml:space="preserve">投标总报价（大写）</w:t>
            </w:r>
            <w:r>
              <w:rPr>
                <w:rFonts w:hint="eastAsia" w:ascii="宋体" w:hAnsi="宋体"/>
                <w:bCs/>
                <w:color w:val="000000"/>
                <w:sz w:val="24"/>
                <w:szCs w:val="24"/>
                <w:highlight w:val="none"/>
              </w:rPr>
              <w:t xml:space="preserve">：</w:t>
            </w:r>
            <w:r>
              <w:rPr>
                <w:rFonts w:ascii="宋体"/>
                <w:bCs/>
                <w:color w:val="000000"/>
                <w:sz w:val="24"/>
                <w:szCs w:val="24"/>
                <w:highlight w:val="none"/>
              </w:rPr>
              <w:t xml:space="preserve"> </w:t>
            </w:r>
            <w:r>
              <w:rPr>
                <w:rFonts w:ascii="宋体"/>
                <w:bCs/>
                <w:color w:val="000000"/>
                <w:sz w:val="24"/>
                <w:szCs w:val="24"/>
                <w:highlight w:val="none"/>
              </w:rPr>
            </w:r>
            <w:r/>
          </w:p>
        </w:tc>
      </w:tr>
    </w:tbl>
    <w:p>
      <w:pPr>
        <w:pStyle w:val="668"/>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黑体" w:eastAsia="黑体"/>
          <w:bCs/>
          <w:color w:val="000000"/>
          <w:sz w:val="24"/>
          <w:szCs w:val="24"/>
          <w:highlight w:val="none"/>
        </w:rPr>
      </w:r>
      <w:r/>
    </w:p>
    <w:p>
      <w:pPr>
        <w:pStyle w:val="668"/>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668"/>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668"/>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color w:val="000000"/>
          <w:sz w:val="24"/>
          <w:szCs w:val="24"/>
          <w:highlight w:val="none"/>
        </w:rPr>
      </w:r>
      <w:r/>
    </w:p>
    <w:p>
      <w:pPr>
        <w:pStyle w:val="668"/>
        <w:spacing w:line="360" w:lineRule="auto"/>
        <w:rPr>
          <w:rFonts w:hint="eastAsia"/>
          <w:b/>
          <w:color w:val="000000"/>
          <w:sz w:val="28"/>
          <w:szCs w:val="28"/>
          <w:highlight w:val="none"/>
        </w:rPr>
      </w:pPr>
      <w:r>
        <w:rPr>
          <w:rFonts w:hint="eastAsia" w:ascii="黑体" w:eastAsia="黑体"/>
          <w:bCs/>
          <w:color w:val="000000"/>
          <w:sz w:val="24"/>
          <w:szCs w:val="24"/>
          <w:highlight w:val="none"/>
        </w:rPr>
        <w:br w:type="page" w:clear="all"/>
      </w:r>
      <w:r>
        <w:rPr>
          <w:rFonts w:hint="eastAsia"/>
          <w:b/>
          <w:color w:val="000000"/>
          <w:sz w:val="28"/>
          <w:szCs w:val="28"/>
          <w:highlight w:val="none"/>
        </w:rPr>
        <w:t xml:space="preserve">九、分项</w:t>
      </w:r>
      <w:r>
        <w:rPr>
          <w:b/>
          <w:color w:val="000000"/>
          <w:sz w:val="28"/>
          <w:szCs w:val="28"/>
          <w:highlight w:val="none"/>
        </w:rPr>
        <w:t xml:space="preserve">报价表</w:t>
      </w:r>
      <w:r>
        <w:rPr>
          <w:rFonts w:hint="eastAsia"/>
          <w:b/>
          <w:color w:val="000000"/>
          <w:sz w:val="28"/>
          <w:szCs w:val="28"/>
          <w:highlight w:val="none"/>
        </w:rPr>
        <w:t xml:space="preserve">（给定格式）：</w:t>
      </w:r>
      <w:r>
        <w:rPr>
          <w:rFonts w:hint="eastAsia"/>
          <w:b/>
          <w:color w:val="000000"/>
          <w:sz w:val="28"/>
          <w:szCs w:val="28"/>
          <w:highlight w:val="none"/>
        </w:rPr>
      </w:r>
      <w:r/>
    </w:p>
    <w:p>
      <w:pPr>
        <w:pStyle w:val="668"/>
        <w:spacing w:line="360" w:lineRule="auto"/>
        <w:rPr>
          <w:rFonts w:hint="eastAsia"/>
          <w:b/>
          <w:color w:val="000000"/>
          <w:sz w:val="30"/>
          <w:szCs w:val="30"/>
          <w:highlight w:val="none"/>
        </w:rPr>
      </w:pPr>
      <w:r>
        <w:rPr>
          <w:rFonts w:hint="eastAsia"/>
          <w:b/>
          <w:color w:val="000000"/>
          <w:sz w:val="30"/>
          <w:szCs w:val="30"/>
          <w:highlight w:val="none"/>
        </w:rPr>
      </w:r>
      <w:r/>
    </w:p>
    <w:p>
      <w:pPr>
        <w:pStyle w:val="668"/>
        <w:jc w:val="center"/>
        <w:spacing w:line="400" w:lineRule="exact"/>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分项报价表</w:t>
      </w:r>
      <w:r>
        <w:rPr>
          <w:rFonts w:ascii="黑体" w:eastAsia="黑体"/>
          <w:bCs/>
          <w:color w:val="000000"/>
          <w:sz w:val="28"/>
          <w:szCs w:val="28"/>
          <w:highlight w:val="none"/>
        </w:rPr>
      </w:r>
      <w:r/>
    </w:p>
    <w:p>
      <w:pPr>
        <w:pStyle w:val="668"/>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项目编号：JSZC-320200-JZCG-G2026-0042</w:t>
      </w:r>
      <w:r>
        <w:rPr>
          <w:rFonts w:hint="eastAsia" w:ascii="黑体" w:eastAsia="黑体"/>
          <w:bCs/>
          <w:color w:val="000000"/>
          <w:sz w:val="24"/>
          <w:szCs w:val="24"/>
          <w:highlight w:val="none"/>
        </w:rPr>
      </w:r>
      <w:r/>
    </w:p>
    <w:tbl>
      <w:tblPr>
        <w:tblW w:w="9461"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668"/>
              <w:jc w:val="center"/>
              <w:spacing w:before="5"/>
              <w:rPr>
                <w:color w:val="000000"/>
                <w:sz w:val="18"/>
                <w:highlight w:val="none"/>
              </w:rPr>
            </w:pPr>
            <w:r>
              <w:rPr>
                <w:rFonts w:hint="eastAsia"/>
                <w:color w:val="000000"/>
                <w:sz w:val="18"/>
                <w:highlight w:val="none"/>
              </w:rPr>
              <w:t xml:space="preserve">序号</w:t>
            </w:r>
            <w:r>
              <w:rPr>
                <w:color w:val="000000"/>
                <w:sz w:val="18"/>
                <w:highlight w:val="none"/>
              </w:rPr>
            </w:r>
            <w:r/>
          </w:p>
        </w:tc>
        <w:tc>
          <w:tcPr>
            <w:tcMar>
              <w:left w:w="15" w:type="dxa"/>
              <w:top w:w="15" w:type="dxa"/>
              <w:right w:w="15" w:type="dxa"/>
              <w:bottom w:w="0" w:type="dxa"/>
            </w:tcMar>
            <w:tcW w:w="4930" w:type="dxa"/>
            <w:vAlign w:val="center"/>
            <w:textDirection w:val="lrTb"/>
            <w:noWrap/>
          </w:tcPr>
          <w:p>
            <w:pPr>
              <w:pStyle w:val="668"/>
              <w:jc w:val="center"/>
              <w:spacing w:before="5"/>
              <w:rPr>
                <w:color w:val="000000"/>
                <w:sz w:val="18"/>
                <w:highlight w:val="none"/>
              </w:rPr>
            </w:pPr>
            <w:r>
              <w:rPr>
                <w:color w:val="000000"/>
                <w:sz w:val="18"/>
                <w:highlight w:val="none"/>
              </w:rPr>
              <w:t xml:space="preserve">服务内容</w:t>
            </w:r>
            <w:r>
              <w:rPr>
                <w:color w:val="000000"/>
                <w:sz w:val="18"/>
                <w:highlight w:val="none"/>
              </w:rPr>
            </w:r>
            <w:r/>
          </w:p>
        </w:tc>
        <w:tc>
          <w:tcPr>
            <w:tcW w:w="851" w:type="dxa"/>
            <w:vAlign w:val="center"/>
            <w:textDirection w:val="lrTb"/>
            <w:noWrap w:val="false"/>
          </w:tcPr>
          <w:p>
            <w:pPr>
              <w:pStyle w:val="668"/>
              <w:jc w:val="center"/>
              <w:spacing w:before="5"/>
              <w:rPr>
                <w:color w:val="000000"/>
                <w:sz w:val="18"/>
                <w:highlight w:val="none"/>
              </w:rPr>
            </w:pPr>
            <w:r>
              <w:rPr>
                <w:rFonts w:hint="eastAsia"/>
                <w:color w:val="000000"/>
                <w:sz w:val="18"/>
                <w:highlight w:val="none"/>
              </w:rPr>
              <w:t xml:space="preserve">数量</w:t>
            </w:r>
            <w:r>
              <w:rPr>
                <w:color w:val="000000"/>
                <w:sz w:val="18"/>
                <w:highlight w:val="none"/>
              </w:rPr>
            </w:r>
            <w:r/>
          </w:p>
        </w:tc>
        <w:tc>
          <w:tcPr>
            <w:tcMar>
              <w:left w:w="15" w:type="dxa"/>
              <w:top w:w="15" w:type="dxa"/>
              <w:right w:w="15" w:type="dxa"/>
              <w:bottom w:w="0" w:type="dxa"/>
            </w:tcMar>
            <w:tcW w:w="850" w:type="dxa"/>
            <w:vAlign w:val="center"/>
            <w:textDirection w:val="lrTb"/>
            <w:noWrap/>
          </w:tcPr>
          <w:p>
            <w:pPr>
              <w:pStyle w:val="668"/>
              <w:jc w:val="center"/>
              <w:spacing w:before="5"/>
              <w:rPr>
                <w:color w:val="000000"/>
                <w:sz w:val="18"/>
                <w:highlight w:val="none"/>
              </w:rPr>
            </w:pPr>
            <w:r>
              <w:rPr>
                <w:rFonts w:hint="eastAsia"/>
                <w:color w:val="000000"/>
                <w:sz w:val="18"/>
                <w:highlight w:val="none"/>
              </w:rPr>
              <w:t xml:space="preserve">单位</w:t>
            </w:r>
            <w:r>
              <w:rPr>
                <w:color w:val="000000"/>
                <w:sz w:val="18"/>
                <w:highlight w:val="none"/>
              </w:rPr>
            </w:r>
            <w:r/>
          </w:p>
        </w:tc>
        <w:tc>
          <w:tcPr>
            <w:tcW w:w="1134" w:type="dxa"/>
            <w:vAlign w:val="center"/>
            <w:textDirection w:val="lrTb"/>
            <w:noWrap w:val="false"/>
          </w:tcPr>
          <w:p>
            <w:pPr>
              <w:pStyle w:val="668"/>
              <w:jc w:val="center"/>
              <w:spacing w:before="5"/>
              <w:rPr>
                <w:color w:val="000000"/>
                <w:sz w:val="18"/>
                <w:highlight w:val="none"/>
              </w:rPr>
            </w:pPr>
            <w:r>
              <w:rPr>
                <w:rFonts w:hint="eastAsia"/>
                <w:color w:val="000000"/>
                <w:sz w:val="18"/>
                <w:highlight w:val="none"/>
              </w:rPr>
              <w:t xml:space="preserve">单报价</w:t>
            </w:r>
            <w:r>
              <w:rPr>
                <w:color w:val="000000"/>
                <w:sz w:val="18"/>
                <w:highlight w:val="none"/>
              </w:rPr>
            </w:r>
            <w:r/>
          </w:p>
        </w:tc>
        <w:tc>
          <w:tcPr>
            <w:tcW w:w="1276" w:type="dxa"/>
            <w:vAlign w:val="center"/>
            <w:textDirection w:val="lrTb"/>
            <w:noWrap w:val="false"/>
          </w:tcPr>
          <w:p>
            <w:pPr>
              <w:pStyle w:val="668"/>
              <w:jc w:val="center"/>
              <w:spacing w:before="5"/>
              <w:rPr>
                <w:color w:val="000000"/>
                <w:sz w:val="18"/>
                <w:highlight w:val="none"/>
              </w:rPr>
            </w:pPr>
            <w:r>
              <w:rPr>
                <w:rFonts w:hint="eastAsia"/>
                <w:color w:val="000000"/>
                <w:sz w:val="18"/>
                <w:highlight w:val="none"/>
              </w:rPr>
              <w:t xml:space="preserve">分项总报价</w:t>
            </w:r>
            <w:r>
              <w:rPr>
                <w:color w:val="000000"/>
                <w:sz w:val="18"/>
                <w:highlight w:val="none"/>
              </w:rPr>
            </w:r>
            <w:r/>
          </w:p>
        </w:tc>
      </w:tr>
      <w:tr>
        <w:trPr>
          <w:cantSplit/>
          <w:trHeight w:val="717"/>
        </w:trPr>
        <w:tc>
          <w:tcPr>
            <w:tcMar>
              <w:left w:w="15" w:type="dxa"/>
              <w:top w:w="15" w:type="dxa"/>
              <w:right w:w="15" w:type="dxa"/>
              <w:bottom w:w="0" w:type="dxa"/>
            </w:tcMar>
            <w:tcW w:w="420" w:type="dxa"/>
            <w:vAlign w:val="center"/>
            <w:textDirection w:val="lrTb"/>
            <w:noWrap/>
          </w:tcPr>
          <w:p>
            <w:pPr>
              <w:pStyle w:val="717"/>
              <w:spacing w:before="5"/>
              <w:tabs>
                <w:tab w:val="clear" w:pos="4153" w:leader="none"/>
                <w:tab w:val="clear" w:pos="8306" w:leader="none"/>
              </w:tabs>
              <w:rPr>
                <w:rFonts w:ascii="宋体"/>
                <w:color w:val="000000"/>
                <w:highlight w:val="none"/>
              </w:rPr>
              <w:pBdr>
                <w:bottom w:val="none" w:color="000000" w:sz="0" w:space="0"/>
              </w:pBdr>
            </w:pPr>
            <w:r>
              <w:rPr>
                <w:rFonts w:hint="eastAsia" w:ascii="宋体"/>
                <w:color w:val="000000"/>
                <w:highlight w:val="none"/>
              </w:rPr>
              <w:t xml:space="preserve">1</w:t>
            </w:r>
            <w:r>
              <w:rPr>
                <w:rFonts w:ascii="宋体"/>
                <w:color w:val="000000"/>
                <w:highlight w:val="none"/>
              </w:rPr>
            </w:r>
            <w:r/>
          </w:p>
        </w:tc>
        <w:tc>
          <w:tcPr>
            <w:tcMar>
              <w:left w:w="15" w:type="dxa"/>
              <w:top w:w="15" w:type="dxa"/>
              <w:right w:w="15" w:type="dxa"/>
              <w:bottom w:w="0" w:type="dxa"/>
            </w:tcMar>
            <w:tcW w:w="4930" w:type="dxa"/>
            <w:vAlign w:val="center"/>
            <w:textDirection w:val="lrTb"/>
            <w:noWrap/>
          </w:tcPr>
          <w:p>
            <w:pPr>
              <w:pStyle w:val="668"/>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rPr>
                <w:rFonts w:ascii="黑体" w:hAnsi="宋体" w:eastAsia="黑体"/>
                <w:b/>
                <w:bCs/>
                <w:color w:val="000000"/>
                <w:sz w:val="24"/>
                <w:szCs w:val="24"/>
                <w:highlight w:val="none"/>
              </w:rPr>
            </w:r>
            <w:r/>
          </w:p>
        </w:tc>
        <w:tc>
          <w:tcPr>
            <w:tcW w:w="851" w:type="dxa"/>
            <w:vAlign w:val="center"/>
            <w:textDirection w:val="lrTb"/>
            <w:noWrap w:val="false"/>
          </w:tcPr>
          <w:p>
            <w:pPr>
              <w:pStyle w:val="668"/>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850" w:type="dxa"/>
            <w:vAlign w:val="center"/>
            <w:textDirection w:val="lrTb"/>
            <w:noWrap/>
          </w:tcPr>
          <w:p>
            <w:pPr>
              <w:pStyle w:val="668"/>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rPr>
                <w:rFonts w:ascii="黑体" w:hAnsi="宋体" w:eastAsia="黑体"/>
                <w:b/>
                <w:bCs/>
                <w:color w:val="000000"/>
                <w:sz w:val="24"/>
                <w:szCs w:val="24"/>
                <w:highlight w:val="none"/>
              </w:rPr>
            </w:r>
            <w:r/>
          </w:p>
        </w:tc>
        <w:tc>
          <w:tcPr>
            <w:tcW w:w="1134" w:type="dxa"/>
            <w:vAlign w:val="center"/>
            <w:textDirection w:val="lrTb"/>
            <w:noWrap w:val="false"/>
          </w:tcPr>
          <w:p>
            <w:pPr>
              <w:pStyle w:val="668"/>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1276" w:type="dxa"/>
            <w:vAlign w:val="center"/>
            <w:textDirection w:val="lrTb"/>
            <w:noWrap w:val="false"/>
          </w:tcPr>
          <w:p>
            <w:pPr>
              <w:pStyle w:val="668"/>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trHeight w:val="898"/>
        </w:trPr>
        <w:tc>
          <w:tcPr>
            <w:tcMar>
              <w:left w:w="15" w:type="dxa"/>
              <w:top w:w="15" w:type="dxa"/>
              <w:right w:w="15" w:type="dxa"/>
              <w:bottom w:w="0" w:type="dxa"/>
            </w:tcMar>
            <w:tcW w:w="420" w:type="dxa"/>
            <w:vAlign w:val="center"/>
            <w:textDirection w:val="lrTb"/>
            <w:noWrap/>
          </w:tcPr>
          <w:p>
            <w:pPr>
              <w:pStyle w:val="668"/>
              <w:jc w:val="center"/>
              <w:rPr>
                <w:rFonts w:ascii="宋体"/>
                <w:color w:val="000000"/>
                <w:sz w:val="18"/>
                <w:highlight w:val="none"/>
              </w:rPr>
            </w:pPr>
            <w:r>
              <w:rPr>
                <w:rFonts w:hint="eastAsia" w:ascii="宋体"/>
                <w:color w:val="000000"/>
                <w:sz w:val="18"/>
                <w:highlight w:val="none"/>
              </w:rPr>
              <w:t xml:space="preserve">2</w:t>
            </w:r>
            <w:r>
              <w:rPr>
                <w:rFonts w:ascii="宋体"/>
                <w:color w:val="000000"/>
                <w:sz w:val="18"/>
                <w:highlight w:val="none"/>
              </w:rPr>
            </w:r>
            <w:r/>
          </w:p>
        </w:tc>
        <w:tc>
          <w:tcPr>
            <w:tcMar>
              <w:left w:w="15" w:type="dxa"/>
              <w:top w:w="15" w:type="dxa"/>
              <w:right w:w="15" w:type="dxa"/>
              <w:bottom w:w="0" w:type="dxa"/>
            </w:tcMar>
            <w:tcW w:w="4930" w:type="dxa"/>
            <w:vAlign w:val="center"/>
            <w:textDirection w:val="lrTb"/>
            <w:noWrap/>
          </w:tcPr>
          <w:p>
            <w:pPr>
              <w:pStyle w:val="668"/>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rPr>
                <w:rFonts w:ascii="黑体" w:hAnsi="宋体" w:eastAsia="黑体"/>
                <w:b/>
                <w:bCs/>
                <w:color w:val="000000"/>
                <w:sz w:val="24"/>
                <w:szCs w:val="24"/>
                <w:highlight w:val="none"/>
              </w:rPr>
            </w:r>
            <w:r/>
          </w:p>
        </w:tc>
        <w:tc>
          <w:tcPr>
            <w:tcW w:w="851" w:type="dxa"/>
            <w:vAlign w:val="center"/>
            <w:textDirection w:val="lrTb"/>
            <w:noWrap w:val="false"/>
          </w:tcPr>
          <w:p>
            <w:pPr>
              <w:pStyle w:val="668"/>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850" w:type="dxa"/>
            <w:vAlign w:val="center"/>
            <w:textDirection w:val="lrTb"/>
            <w:noWrap/>
          </w:tcPr>
          <w:p>
            <w:pPr>
              <w:pStyle w:val="668"/>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rPr>
                <w:rFonts w:ascii="黑体" w:hAnsi="宋体" w:eastAsia="黑体"/>
                <w:b/>
                <w:bCs/>
                <w:color w:val="000000"/>
                <w:sz w:val="24"/>
                <w:szCs w:val="24"/>
                <w:highlight w:val="none"/>
              </w:rPr>
            </w:r>
            <w:r/>
          </w:p>
        </w:tc>
        <w:tc>
          <w:tcPr>
            <w:tcW w:w="1134" w:type="dxa"/>
            <w:vAlign w:val="center"/>
            <w:textDirection w:val="lrTb"/>
            <w:noWrap w:val="false"/>
          </w:tcPr>
          <w:p>
            <w:pPr>
              <w:pStyle w:val="668"/>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1276" w:type="dxa"/>
            <w:vAlign w:val="center"/>
            <w:textDirection w:val="lrTb"/>
            <w:noWrap w:val="false"/>
          </w:tcPr>
          <w:p>
            <w:pPr>
              <w:pStyle w:val="668"/>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trHeight w:val="898"/>
        </w:trPr>
        <w:tc>
          <w:tcPr>
            <w:tcMar>
              <w:left w:w="15" w:type="dxa"/>
              <w:top w:w="15" w:type="dxa"/>
              <w:right w:w="15" w:type="dxa"/>
              <w:bottom w:w="0" w:type="dxa"/>
            </w:tcMar>
            <w:tcW w:w="420" w:type="dxa"/>
            <w:vAlign w:val="center"/>
            <w:textDirection w:val="lrTb"/>
            <w:noWrap/>
          </w:tcPr>
          <w:p>
            <w:pPr>
              <w:pStyle w:val="668"/>
              <w:jc w:val="center"/>
              <w:rPr>
                <w:rFonts w:ascii="宋体"/>
                <w:color w:val="000000"/>
                <w:sz w:val="18"/>
                <w:highlight w:val="none"/>
              </w:rPr>
            </w:pPr>
            <w:r>
              <w:rPr>
                <w:rFonts w:ascii="宋体"/>
                <w:color w:val="000000"/>
                <w:sz w:val="18"/>
                <w:highlight w:val="none"/>
              </w:rPr>
            </w:r>
            <w:r/>
          </w:p>
        </w:tc>
        <w:tc>
          <w:tcPr>
            <w:tcMar>
              <w:left w:w="15" w:type="dxa"/>
              <w:top w:w="15" w:type="dxa"/>
              <w:right w:w="15" w:type="dxa"/>
              <w:bottom w:w="0" w:type="dxa"/>
            </w:tcMar>
            <w:tcW w:w="4930" w:type="dxa"/>
            <w:vAlign w:val="center"/>
            <w:textDirection w:val="lrTb"/>
            <w:noWrap/>
          </w:tcPr>
          <w:p>
            <w:pPr>
              <w:pStyle w:val="668"/>
              <w:jc w:val="center"/>
              <w:rPr>
                <w:rFonts w:hint="eastAsia" w:ascii="黑体" w:eastAsia="黑体"/>
                <w:b/>
                <w:bCs/>
                <w:color w:val="000000"/>
                <w:highlight w:val="none"/>
              </w:rPr>
            </w:pPr>
            <w:r>
              <w:rPr>
                <w:rFonts w:ascii="黑体" w:eastAsia="黑体"/>
                <w:b/>
                <w:bCs/>
                <w:color w:val="000000"/>
                <w:highlight w:val="none"/>
              </w:rPr>
              <w:t xml:space="preserve">……</w:t>
            </w:r>
            <w:r>
              <w:rPr>
                <w:rFonts w:hint="eastAsia" w:ascii="黑体" w:eastAsia="黑体"/>
                <w:b/>
                <w:bCs/>
                <w:color w:val="000000"/>
                <w:highlight w:val="none"/>
              </w:rPr>
            </w:r>
            <w:r/>
          </w:p>
        </w:tc>
        <w:tc>
          <w:tcPr>
            <w:tcW w:w="851" w:type="dxa"/>
            <w:vAlign w:val="center"/>
            <w:textDirection w:val="lrTb"/>
            <w:noWrap w:val="false"/>
          </w:tcPr>
          <w:p>
            <w:pPr>
              <w:pStyle w:val="668"/>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850" w:type="dxa"/>
            <w:vAlign w:val="center"/>
            <w:textDirection w:val="lrTb"/>
            <w:noWrap/>
          </w:tcPr>
          <w:p>
            <w:pPr>
              <w:pStyle w:val="668"/>
              <w:jc w:val="center"/>
              <w:rPr>
                <w:rFonts w:hint="eastAsia" w:ascii="黑体" w:eastAsia="黑体"/>
                <w:b/>
                <w:bCs/>
                <w:color w:val="000000"/>
                <w:highlight w:val="none"/>
              </w:rPr>
            </w:pPr>
            <w:r>
              <w:rPr>
                <w:rFonts w:hint="eastAsia" w:ascii="黑体" w:eastAsia="黑体"/>
                <w:b/>
                <w:bCs/>
                <w:color w:val="000000"/>
                <w:highlight w:val="none"/>
              </w:rPr>
            </w:r>
            <w:r/>
          </w:p>
        </w:tc>
        <w:tc>
          <w:tcPr>
            <w:tcW w:w="1134" w:type="dxa"/>
            <w:vAlign w:val="center"/>
            <w:textDirection w:val="lrTb"/>
            <w:noWrap w:val="false"/>
          </w:tcPr>
          <w:p>
            <w:pPr>
              <w:pStyle w:val="668"/>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1276" w:type="dxa"/>
            <w:vAlign w:val="center"/>
            <w:textDirection w:val="lrTb"/>
            <w:noWrap w:val="false"/>
          </w:tcPr>
          <w:p>
            <w:pPr>
              <w:pStyle w:val="668"/>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bl>
    <w:p>
      <w:pPr>
        <w:pStyle w:val="668"/>
        <w:spacing w:before="5" w:line="560" w:lineRule="atLeast"/>
        <w:rPr>
          <w:b/>
          <w:bCs/>
          <w:color w:val="000000"/>
          <w:sz w:val="24"/>
          <w:szCs w:val="24"/>
          <w:highlight w:val="none"/>
        </w:rPr>
      </w:pPr>
      <w:r>
        <w:rPr>
          <w:rFonts w:hint="eastAsia"/>
          <w:b/>
          <w:bCs/>
          <w:color w:val="000000"/>
          <w:sz w:val="24"/>
          <w:szCs w:val="24"/>
          <w:highlight w:val="none"/>
        </w:rPr>
        <w:t xml:space="preserve">投标人名称（盖章）：</w:t>
      </w:r>
      <w:r>
        <w:rPr>
          <w:b/>
          <w:bCs/>
          <w:color w:val="000000"/>
          <w:sz w:val="24"/>
          <w:szCs w:val="24"/>
          <w:highlight w:val="none"/>
        </w:rPr>
      </w:r>
      <w:r/>
    </w:p>
    <w:p>
      <w:pPr>
        <w:pStyle w:val="668"/>
        <w:spacing w:line="400" w:lineRule="exact"/>
        <w:rPr>
          <w:rFonts w:hint="eastAsia" w:ascii="宋体" w:hAnsi="宋体"/>
          <w:b/>
          <w:color w:val="000000"/>
          <w:highlight w:val="none"/>
        </w:rPr>
        <w:outlineLvl w:val="0"/>
      </w:pPr>
      <w:r>
        <w:rPr>
          <w:rFonts w:hint="eastAsia" w:ascii="宋体" w:hAnsi="宋体"/>
          <w:b/>
          <w:color w:val="000000"/>
          <w:highlight w:val="none"/>
        </w:rPr>
      </w:r>
      <w:r/>
    </w:p>
    <w:p>
      <w:pPr>
        <w:pStyle w:val="668"/>
        <w:spacing w:line="400" w:lineRule="exact"/>
        <w:rPr>
          <w:rFonts w:ascii="宋体"/>
          <w:bCs/>
          <w:color w:val="000000"/>
          <w:highlight w:val="none"/>
        </w:rPr>
        <w:outlineLvl w:val="0"/>
      </w:pPr>
      <w:r>
        <w:rPr>
          <w:rFonts w:hint="eastAsia" w:ascii="宋体" w:hAnsi="宋体"/>
          <w:b/>
          <w:color w:val="000000"/>
          <w:highlight w:val="none"/>
        </w:rPr>
        <w:t xml:space="preserve">注：</w:t>
      </w:r>
      <w:r>
        <w:rPr>
          <w:rFonts w:hint="eastAsia" w:ascii="宋体" w:hAnsi="宋体"/>
          <w:bCs/>
          <w:color w:val="000000"/>
          <w:highlight w:val="none"/>
        </w:rPr>
        <w:t xml:space="preserve">（</w:t>
      </w:r>
      <w:r>
        <w:rPr>
          <w:rFonts w:ascii="宋体" w:hAnsi="宋体"/>
          <w:bCs/>
          <w:color w:val="000000"/>
          <w:highlight w:val="none"/>
        </w:rPr>
        <w:t xml:space="preserve">1</w:t>
      </w:r>
      <w:r>
        <w:rPr>
          <w:rFonts w:hint="eastAsia" w:ascii="宋体" w:hAnsi="宋体"/>
          <w:bCs/>
          <w:color w:val="000000"/>
          <w:highlight w:val="none"/>
        </w:rPr>
        <w:t xml:space="preserve">）</w:t>
      </w:r>
      <w:r>
        <w:rPr>
          <w:rFonts w:hint="eastAsia" w:ascii="宋体"/>
          <w:bCs/>
          <w:color w:val="000000"/>
          <w:highlight w:val="none"/>
        </w:rPr>
        <w:t xml:space="preserve">投标人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color w:val="000000"/>
          <w:highlight w:val="none"/>
        </w:rPr>
      </w:r>
      <w:r/>
    </w:p>
    <w:p>
      <w:pPr>
        <w:pStyle w:val="668"/>
        <w:ind w:firstLine="315"/>
        <w:spacing w:line="400" w:lineRule="exact"/>
        <w:rPr>
          <w:rFonts w:ascii="宋体"/>
          <w:bCs/>
          <w:color w:val="000000"/>
          <w:highlight w:val="none"/>
        </w:rPr>
        <w:outlineLvl w:val="0"/>
      </w:pPr>
      <w:r>
        <w:rPr>
          <w:rFonts w:hint="eastAsia" w:ascii="宋体" w:hAnsi="宋体"/>
          <w:bCs/>
          <w:color w:val="000000"/>
          <w:highlight w:val="none"/>
        </w:rPr>
        <w:t xml:space="preserve">（</w:t>
      </w:r>
      <w:r>
        <w:rPr>
          <w:rFonts w:ascii="宋体" w:hAnsi="宋体"/>
          <w:bCs/>
          <w:color w:val="000000"/>
          <w:highlight w:val="none"/>
        </w:rPr>
        <w:t xml:space="preserve">2</w:t>
      </w:r>
      <w:r>
        <w:rPr>
          <w:rFonts w:hint="eastAsia" w:ascii="宋体" w:hAnsi="宋体"/>
          <w:bCs/>
          <w:color w:val="000000"/>
          <w:highlight w:val="none"/>
        </w:rPr>
        <w:t xml:space="preserve">）“采购需求”中如有明确要求进行分项报价的，投标人应当根据相应要求在上表中详细填写。</w:t>
      </w:r>
      <w:r>
        <w:rPr>
          <w:rFonts w:ascii="宋体"/>
          <w:bCs/>
          <w:color w:val="000000"/>
          <w:highlight w:val="none"/>
        </w:rPr>
      </w:r>
      <w:r/>
    </w:p>
    <w:p>
      <w:pPr>
        <w:pStyle w:val="668"/>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t xml:space="preserve">（</w:t>
      </w:r>
      <w:r>
        <w:rPr>
          <w:rFonts w:ascii="宋体" w:hAnsi="宋体"/>
          <w:bCs/>
          <w:color w:val="000000"/>
          <w:highlight w:val="none"/>
        </w:rPr>
        <w:t xml:space="preserve">3</w:t>
      </w:r>
      <w:r>
        <w:rPr>
          <w:rFonts w:hint="eastAsia" w:ascii="宋体" w:hAnsi="宋体"/>
          <w:bCs/>
          <w:color w:val="000000"/>
          <w:highlight w:val="none"/>
        </w:rPr>
        <w:t xml:space="preserve">）表格不够可自行延长。</w:t>
      </w:r>
      <w:r>
        <w:rPr>
          <w:rFonts w:hint="eastAsia" w:ascii="宋体" w:hAnsi="宋体"/>
          <w:bCs/>
          <w:color w:val="000000"/>
          <w:highlight w:val="none"/>
        </w:rPr>
      </w:r>
      <w:r/>
    </w:p>
    <w:p>
      <w:pPr>
        <w:pStyle w:val="668"/>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r>
      <w:r/>
    </w:p>
    <w:p>
      <w:pPr>
        <w:pStyle w:val="668"/>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r>
      <w:r/>
    </w:p>
    <w:p>
      <w:pPr>
        <w:pStyle w:val="668"/>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r>
      <w:r/>
    </w:p>
    <w:p>
      <w:pPr>
        <w:pStyle w:val="668"/>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r>
      <w:r/>
    </w:p>
    <w:p>
      <w:pPr>
        <w:pStyle w:val="668"/>
        <w:ind w:firstLine="315"/>
        <w:spacing w:line="400" w:lineRule="exact"/>
        <w:rPr>
          <w:rFonts w:ascii="宋体" w:hAnsi="宋体"/>
          <w:bCs/>
          <w:color w:val="000000"/>
          <w:highlight w:val="none"/>
        </w:rPr>
        <w:outlineLvl w:val="0"/>
      </w:pPr>
      <w:r>
        <w:rPr>
          <w:rFonts w:ascii="宋体" w:hAnsi="宋体"/>
          <w:bCs/>
          <w:color w:val="000000"/>
          <w:highlight w:val="none"/>
        </w:rPr>
      </w:r>
      <w:r/>
    </w:p>
    <w:p>
      <w:pPr>
        <w:pStyle w:val="668"/>
        <w:spacing w:line="360" w:lineRule="auto"/>
        <w:rPr>
          <w:rFonts w:hint="eastAsia"/>
          <w:b/>
          <w:color w:val="000000"/>
          <w:sz w:val="28"/>
          <w:szCs w:val="28"/>
          <w:highlight w:val="none"/>
        </w:rPr>
      </w:pPr>
      <w:r>
        <w:rPr>
          <w:rFonts w:ascii="宋体" w:hAnsi="宋体"/>
          <w:bCs/>
          <w:color w:val="000000"/>
          <w:highlight w:val="none"/>
        </w:rPr>
        <w:br w:type="page" w:clear="all"/>
      </w:r>
      <w:bookmarkEnd w:id="200"/>
      <w:r/>
      <w:bookmarkEnd w:id="201"/>
      <w:r/>
      <w:bookmarkEnd w:id="202"/>
      <w:r/>
      <w:bookmarkStart w:id="205" w:name="_Toc120614284"/>
      <w:r>
        <w:rPr>
          <w:rFonts w:hint="eastAsia"/>
          <w:b/>
          <w:color w:val="000000"/>
          <w:sz w:val="28"/>
          <w:szCs w:val="28"/>
          <w:highlight w:val="none"/>
        </w:rPr>
        <w:t xml:space="preserve">十</w:t>
      </w:r>
      <w:r>
        <w:rPr>
          <w:b/>
          <w:color w:val="000000"/>
          <w:sz w:val="28"/>
          <w:szCs w:val="28"/>
          <w:highlight w:val="none"/>
        </w:rPr>
        <w:t xml:space="preserve">、</w:t>
      </w:r>
      <w:r>
        <w:rPr>
          <w:rFonts w:hint="eastAsia"/>
          <w:b/>
          <w:color w:val="000000"/>
          <w:sz w:val="28"/>
          <w:szCs w:val="28"/>
          <w:highlight w:val="none"/>
        </w:rPr>
        <w:t xml:space="preserve">投标偏离表（给定格式）：</w:t>
      </w:r>
      <w:r>
        <w:rPr>
          <w:rFonts w:hint="eastAsia"/>
          <w:b/>
          <w:color w:val="000000"/>
          <w:sz w:val="28"/>
          <w:szCs w:val="28"/>
          <w:highlight w:val="none"/>
        </w:rPr>
      </w:r>
      <w:r/>
    </w:p>
    <w:p>
      <w:pPr>
        <w:pStyle w:val="668"/>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68"/>
        <w:ind w:firstLine="49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668"/>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68"/>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68"/>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w:t>
      </w:r>
      <w:r>
        <w:rPr>
          <w:rFonts w:hint="eastAsia" w:ascii="黑体" w:eastAsia="黑体"/>
          <w:bCs/>
          <w:color w:val="000000"/>
          <w:sz w:val="24"/>
          <w:szCs w:val="24"/>
          <w:highlight w:val="none"/>
        </w:rPr>
        <w:t xml:space="preserve">目编号：JSZC-320200-JZCG-G2026-0042</w:t>
      </w:r>
      <w:r>
        <w:rPr>
          <w:rFonts w:hint="eastAsia" w:ascii="黑体" w:eastAsia="黑体"/>
          <w:bCs/>
          <w:color w:val="000000"/>
          <w:sz w:val="24"/>
          <w:szCs w:val="24"/>
          <w:highlight w:val="none"/>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68"/>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68"/>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68"/>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68"/>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68"/>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68"/>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68"/>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68"/>
              <w:jc w:val="center"/>
              <w:rPr>
                <w:rFonts w:ascii="宋体"/>
                <w:bCs/>
                <w:color w:val="000000"/>
                <w:highlight w:val="none"/>
              </w:rPr>
            </w:pPr>
            <w:r>
              <w:rPr>
                <w:rFonts w:ascii="宋体"/>
                <w:bCs/>
                <w:color w:val="000000"/>
                <w:highlight w:val="none"/>
              </w:rPr>
            </w:r>
            <w:r/>
          </w:p>
        </w:tc>
      </w:tr>
    </w:tbl>
    <w:p>
      <w:pPr>
        <w:pStyle w:val="668"/>
        <w:rPr>
          <w:rFonts w:hint="eastAsia"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宋体" w:eastAsia="黑体"/>
          <w:b/>
          <w:color w:val="000000"/>
          <w:sz w:val="24"/>
          <w:szCs w:val="24"/>
          <w:highlight w:val="none"/>
        </w:rPr>
      </w:r>
      <w:r/>
    </w:p>
    <w:p>
      <w:pPr>
        <w:pStyle w:val="668"/>
        <w:rPr>
          <w:rFonts w:ascii="宋体"/>
          <w:bCs/>
          <w:color w:val="000000"/>
          <w:sz w:val="30"/>
          <w:highlight w:val="none"/>
        </w:rPr>
      </w:pPr>
      <w:r>
        <w:rPr>
          <w:rFonts w:ascii="宋体"/>
          <w:bCs/>
          <w:color w:val="000000"/>
          <w:sz w:val="30"/>
          <w:highlight w:val="none"/>
        </w:rPr>
      </w:r>
      <w:r/>
    </w:p>
    <w:p>
      <w:pPr>
        <w:pStyle w:val="668"/>
        <w:ind w:firstLine="420"/>
        <w:rPr>
          <w:rFonts w:ascii="宋体" w:hAnsi="宋体"/>
          <w:bCs/>
          <w:color w:val="000000"/>
          <w:sz w:val="24"/>
          <w:szCs w:val="24"/>
          <w:highlight w:val="none"/>
        </w:rPr>
        <w:outlineLvl w:val="0"/>
      </w:pPr>
      <w:r/>
      <w:bookmarkEnd w:id="189"/>
      <w:r/>
      <w:bookmarkEnd w:id="190"/>
      <w:r/>
      <w:bookmarkEnd w:id="205"/>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rPr>
          <w:rFonts w:ascii="宋体" w:hAnsi="宋体"/>
          <w:bCs/>
          <w:color w:val="000000"/>
          <w:sz w:val="24"/>
          <w:szCs w:val="24"/>
          <w:highlight w:val="none"/>
        </w:rPr>
      </w:r>
      <w:r/>
    </w:p>
    <w:p>
      <w:pPr>
        <w:pStyle w:val="668"/>
        <w:ind w:firstLine="420"/>
        <w:rPr>
          <w:rFonts w:hint="eastAsia" w:ascii="宋体" w:hAnsi="宋体"/>
          <w:bCs/>
          <w:color w:val="000000"/>
          <w:sz w:val="24"/>
          <w:szCs w:val="24"/>
          <w:highlight w:val="none"/>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）针对“采购需求”的内容不得有负偏离；</w:t>
      </w:r>
      <w:r>
        <w:rPr>
          <w:rFonts w:hint="eastAsia" w:ascii="宋体" w:hAnsi="宋体"/>
          <w:bCs/>
          <w:color w:val="000000"/>
          <w:sz w:val="24"/>
          <w:szCs w:val="24"/>
          <w:highlight w:val="none"/>
        </w:rPr>
      </w:r>
      <w:r/>
    </w:p>
    <w:p>
      <w:pPr>
        <w:pStyle w:val="668"/>
        <w:ind w:firstLine="420"/>
        <w:rPr>
          <w:rFonts w:hint="eastAsia" w:ascii="宋体" w:hAnsi="宋体"/>
          <w:bCs/>
          <w:color w:val="000000"/>
          <w:sz w:val="24"/>
          <w:szCs w:val="24"/>
          <w:highlight w:val="none"/>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（3）如无任何技术偏离，请于本表 “偏离说明”中注明“无偏离”；</w:t>
      </w:r>
      <w:r>
        <w:rPr>
          <w:rFonts w:hint="eastAsia" w:ascii="宋体" w:hAnsi="宋体"/>
          <w:bCs/>
          <w:color w:val="000000"/>
          <w:sz w:val="24"/>
          <w:szCs w:val="24"/>
          <w:highlight w:val="none"/>
        </w:rPr>
      </w:r>
      <w:r/>
    </w:p>
    <w:p>
      <w:pPr>
        <w:pStyle w:val="668"/>
        <w:ind w:firstLine="420"/>
        <w:rPr>
          <w:rFonts w:hint="eastAsia" w:ascii="宋体" w:hAnsi="宋体"/>
          <w:bCs/>
          <w:color w:val="000000"/>
          <w:sz w:val="24"/>
          <w:szCs w:val="24"/>
          <w:highlight w:val="none"/>
        </w:rPr>
        <w:outlineLvl w:val="0"/>
      </w:pPr>
      <w:r>
        <w:rPr>
          <w:rFonts w:hint="eastAsia" w:ascii="宋体" w:hAnsi="宋体"/>
          <w:bCs/>
          <w:color w:val="000000"/>
          <w:sz w:val="24"/>
          <w:szCs w:val="24"/>
          <w:highlight w:val="none"/>
        </w:rPr>
        <w:t xml:space="preserve">   （4）如有技术正偏离项，请于本表中列明正偏离内容，如需要可自行延长，其余无偏离内容无需赘述</w:t>
      </w:r>
      <w:bookmarkStart w:id="206" w:name="_Hlt26671374"/>
      <w:r/>
      <w:bookmarkEnd w:id="206"/>
      <w:r/>
      <w:bookmarkStart w:id="207" w:name="_Hlt26609389"/>
      <w:r/>
      <w:bookmarkEnd w:id="207"/>
      <w:r/>
      <w:bookmarkStart w:id="208" w:name="_格式2__法定代表人授权书"/>
      <w:r/>
      <w:bookmarkEnd w:id="208"/>
      <w:r/>
      <w:bookmarkStart w:id="209" w:name="_Hlt26955066"/>
      <w:r/>
      <w:bookmarkEnd w:id="209"/>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68"/>
        <w:ind w:firstLine="420"/>
        <w:rPr>
          <w:rFonts w:hint="eastAsia" w:ascii="宋体" w:hAnsi="宋体"/>
          <w:bCs/>
          <w:color w:val="000000"/>
          <w:sz w:val="24"/>
          <w:szCs w:val="24"/>
          <w:highlight w:val="none"/>
        </w:rPr>
        <w:outlineLvl w:val="0"/>
      </w:pPr>
      <w:r>
        <w:rPr>
          <w:rFonts w:hint="eastAsia" w:ascii="宋体" w:hAnsi="宋体"/>
          <w:bCs/>
          <w:color w:val="000000"/>
          <w:sz w:val="24"/>
          <w:szCs w:val="24"/>
          <w:highlight w:val="none"/>
        </w:rPr>
      </w:r>
      <w:r/>
    </w:p>
    <w:p>
      <w:pPr>
        <w:pStyle w:val="668"/>
        <w:ind w:firstLine="420"/>
        <w:rPr>
          <w:rFonts w:ascii="宋体" w:hAnsi="宋体"/>
          <w:bCs/>
          <w:color w:val="000000"/>
          <w:sz w:val="24"/>
          <w:szCs w:val="24"/>
          <w:highlight w:val="none"/>
        </w:rPr>
        <w:outlineLvl w:val="0"/>
      </w:pPr>
      <w:r>
        <w:rPr>
          <w:rFonts w:ascii="宋体" w:hAnsi="宋体"/>
          <w:bCs/>
          <w:color w:val="000000"/>
          <w:sz w:val="24"/>
          <w:szCs w:val="24"/>
          <w:highlight w:val="none"/>
        </w:rPr>
      </w:r>
      <w:r/>
    </w:p>
    <w:p>
      <w:pPr>
        <w:pStyle w:val="668"/>
        <w:spacing w:line="360" w:lineRule="auto"/>
        <w:rPr>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十一、项目人员配置清单（格式）</w:t>
      </w:r>
      <w:r>
        <w:rPr>
          <w:b/>
          <w:color w:val="000000"/>
          <w:sz w:val="28"/>
          <w:szCs w:val="28"/>
          <w:highlight w:val="none"/>
        </w:rPr>
      </w:r>
      <w:r/>
    </w:p>
    <w:p>
      <w:pPr>
        <w:pStyle w:val="668"/>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668"/>
        <w:jc w:val="center"/>
        <w:spacing w:line="400" w:lineRule="exact"/>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项目人员配置清单</w:t>
      </w:r>
      <w:r>
        <w:rPr>
          <w:rFonts w:hint="eastAsia" w:ascii="黑体" w:eastAsia="黑体"/>
          <w:bCs/>
          <w:color w:val="000000"/>
          <w:sz w:val="28"/>
          <w:szCs w:val="28"/>
          <w:highlight w:val="none"/>
        </w:rPr>
      </w:r>
      <w:r/>
    </w:p>
    <w:p>
      <w:pPr>
        <w:pStyle w:val="668"/>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668"/>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项目编号：JSZC-320200-JZCG-G2026-0042</w:t>
      </w:r>
      <w:r>
        <w:rPr>
          <w:rFonts w:hint="eastAsia" w:ascii="黑体" w:eastAsia="黑体"/>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668"/>
              <w:jc w:val="center"/>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476" w:type="dxa"/>
            <w:vAlign w:val="center"/>
            <w:textDirection w:val="lrTb"/>
            <w:noWrap w:val="false"/>
          </w:tcPr>
          <w:p>
            <w:pPr>
              <w:pStyle w:val="668"/>
              <w:jc w:val="center"/>
              <w:rPr>
                <w:b/>
                <w:color w:val="000000"/>
                <w:sz w:val="24"/>
                <w:highlight w:val="none"/>
              </w:rPr>
            </w:pPr>
            <w:r>
              <w:rPr>
                <w:rFonts w:hint="eastAsia"/>
                <w:b/>
                <w:color w:val="000000"/>
                <w:sz w:val="24"/>
                <w:highlight w:val="none"/>
              </w:rPr>
              <w:t xml:space="preserve">姓名</w:t>
            </w:r>
            <w:r>
              <w:rPr>
                <w:b/>
                <w:color w:val="000000"/>
                <w:sz w:val="24"/>
                <w:highlight w:val="none"/>
              </w:rPr>
            </w:r>
            <w:r/>
          </w:p>
        </w:tc>
        <w:tc>
          <w:tcPr>
            <w:tcW w:w="720" w:type="dxa"/>
            <w:vAlign w:val="center"/>
            <w:textDirection w:val="lrTb"/>
            <w:noWrap w:val="false"/>
          </w:tcPr>
          <w:p>
            <w:pPr>
              <w:pStyle w:val="668"/>
              <w:jc w:val="center"/>
              <w:rPr>
                <w:b/>
                <w:color w:val="000000"/>
                <w:sz w:val="24"/>
                <w:highlight w:val="none"/>
              </w:rPr>
            </w:pPr>
            <w:r>
              <w:rPr>
                <w:rFonts w:hint="eastAsia"/>
                <w:b/>
                <w:color w:val="000000"/>
                <w:sz w:val="24"/>
                <w:highlight w:val="none"/>
              </w:rPr>
              <w:t xml:space="preserve">年龄</w:t>
            </w:r>
            <w:r>
              <w:rPr>
                <w:b/>
                <w:color w:val="000000"/>
                <w:sz w:val="24"/>
                <w:highlight w:val="none"/>
              </w:rPr>
            </w:r>
            <w:r/>
          </w:p>
        </w:tc>
        <w:tc>
          <w:tcPr>
            <w:tcW w:w="2520" w:type="dxa"/>
            <w:vAlign w:val="center"/>
            <w:textDirection w:val="lrTb"/>
            <w:noWrap w:val="false"/>
          </w:tcPr>
          <w:p>
            <w:pPr>
              <w:pStyle w:val="668"/>
              <w:jc w:val="center"/>
              <w:rPr>
                <w:b/>
                <w:color w:val="000000"/>
                <w:sz w:val="24"/>
                <w:highlight w:val="none"/>
              </w:rPr>
            </w:pPr>
            <w:r>
              <w:rPr>
                <w:rFonts w:hint="eastAsia"/>
                <w:b/>
                <w:color w:val="000000"/>
                <w:sz w:val="24"/>
                <w:highlight w:val="none"/>
              </w:rPr>
              <w:t xml:space="preserve">本项目职责</w:t>
            </w:r>
            <w:r>
              <w:rPr>
                <w:b/>
                <w:color w:val="000000"/>
                <w:sz w:val="24"/>
                <w:highlight w:val="none"/>
              </w:rPr>
            </w:r>
            <w:r/>
          </w:p>
        </w:tc>
        <w:tc>
          <w:tcPr>
            <w:tcW w:w="3274" w:type="dxa"/>
            <w:vAlign w:val="center"/>
            <w:textDirection w:val="lrTb"/>
            <w:noWrap w:val="false"/>
          </w:tcPr>
          <w:p>
            <w:pPr>
              <w:pStyle w:val="668"/>
              <w:jc w:val="center"/>
              <w:rPr>
                <w:b/>
                <w:color w:val="000000"/>
                <w:sz w:val="24"/>
                <w:highlight w:val="none"/>
              </w:rPr>
            </w:pPr>
            <w:r>
              <w:rPr>
                <w:rFonts w:hint="eastAsia"/>
                <w:b/>
                <w:color w:val="000000"/>
                <w:sz w:val="24"/>
                <w:highlight w:val="none"/>
              </w:rPr>
              <w:t xml:space="preserve">人员证书名称</w:t>
            </w:r>
            <w:r>
              <w:rPr>
                <w:b/>
                <w:color w:val="000000"/>
                <w:sz w:val="24"/>
                <w:highlight w:val="none"/>
              </w:rPr>
            </w:r>
            <w:r/>
          </w:p>
        </w:tc>
      </w:tr>
      <w:tr>
        <w:trPr>
          <w:trHeight w:val="680"/>
        </w:trPr>
        <w:tc>
          <w:tcPr>
            <w:tcW w:w="704" w:type="dxa"/>
            <w:vAlign w:val="top"/>
            <w:textDirection w:val="lrTb"/>
            <w:noWrap w:val="false"/>
          </w:tcPr>
          <w:p>
            <w:pPr>
              <w:pStyle w:val="668"/>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pStyle w:val="668"/>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pStyle w:val="668"/>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pStyle w:val="668"/>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pStyle w:val="668"/>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04" w:type="dxa"/>
            <w:vAlign w:val="top"/>
            <w:textDirection w:val="lrTb"/>
            <w:noWrap w:val="false"/>
          </w:tcPr>
          <w:p>
            <w:pPr>
              <w:pStyle w:val="668"/>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pStyle w:val="668"/>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pStyle w:val="668"/>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pStyle w:val="668"/>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pStyle w:val="668"/>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04" w:type="dxa"/>
            <w:vAlign w:val="top"/>
            <w:textDirection w:val="lrTb"/>
            <w:noWrap w:val="false"/>
          </w:tcPr>
          <w:p>
            <w:pPr>
              <w:pStyle w:val="668"/>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pStyle w:val="668"/>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pStyle w:val="668"/>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pStyle w:val="668"/>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pStyle w:val="668"/>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04" w:type="dxa"/>
            <w:vAlign w:val="top"/>
            <w:textDirection w:val="lrTb"/>
            <w:noWrap w:val="false"/>
          </w:tcPr>
          <w:p>
            <w:pPr>
              <w:pStyle w:val="668"/>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pStyle w:val="668"/>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pStyle w:val="668"/>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pStyle w:val="668"/>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pStyle w:val="668"/>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04" w:type="dxa"/>
            <w:vAlign w:val="top"/>
            <w:textDirection w:val="lrTb"/>
            <w:noWrap w:val="false"/>
          </w:tcPr>
          <w:p>
            <w:pPr>
              <w:pStyle w:val="668"/>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pStyle w:val="668"/>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pStyle w:val="668"/>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pStyle w:val="668"/>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pStyle w:val="668"/>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pStyle w:val="668"/>
        <w:rPr>
          <w:b/>
          <w:bCs/>
          <w:color w:val="000000"/>
          <w:sz w:val="24"/>
          <w:szCs w:val="24"/>
          <w:highlight w:val="none"/>
        </w:rPr>
      </w:pPr>
      <w:r>
        <w:rPr>
          <w:rFonts w:hint="eastAsia" w:ascii="黑体" w:eastAsia="黑体"/>
          <w:bCs/>
          <w:color w:val="000000"/>
          <w:sz w:val="24"/>
          <w:szCs w:val="24"/>
          <w:highlight w:val="none"/>
        </w:rPr>
        <w:t xml:space="preserve">投标人名称（盖章）</w:t>
      </w:r>
      <w:r>
        <w:rPr>
          <w:b/>
          <w:bCs/>
          <w:color w:val="000000"/>
          <w:sz w:val="24"/>
          <w:szCs w:val="24"/>
          <w:highlight w:val="none"/>
        </w:rPr>
      </w:r>
      <w:r/>
    </w:p>
    <w:p>
      <w:pPr>
        <w:pStyle w:val="668"/>
        <w:rPr>
          <w:rFonts w:hint="eastAsia" w:ascii="宋体" w:hAnsi="宋体"/>
          <w:bCs/>
          <w:color w:val="000000"/>
          <w:highlight w:val="none"/>
        </w:rPr>
      </w:pPr>
      <w:r>
        <w:rPr>
          <w:rFonts w:hint="eastAsia" w:ascii="宋体" w:hAnsi="宋体"/>
          <w:bCs/>
          <w:color w:val="000000"/>
          <w:highlight w:val="none"/>
        </w:rPr>
      </w:r>
      <w:r/>
    </w:p>
    <w:p>
      <w:pPr>
        <w:pStyle w:val="668"/>
        <w:rPr>
          <w:rFonts w:ascii="宋体" w:hAnsi="宋体"/>
          <w:bCs/>
          <w:color w:val="000000"/>
          <w:highlight w:val="none"/>
        </w:rPr>
      </w:pPr>
      <w:r>
        <w:rPr>
          <w:rFonts w:hint="eastAsia" w:ascii="宋体" w:hAnsi="宋体"/>
          <w:bCs/>
          <w:color w:val="000000"/>
          <w:highlight w:val="none"/>
        </w:rPr>
        <w:t xml:space="preserve">注：1. 表格不够可自行延长。</w:t>
      </w:r>
      <w:r>
        <w:rPr>
          <w:rFonts w:ascii="宋体" w:hAnsi="宋体"/>
          <w:bCs/>
          <w:color w:val="000000"/>
          <w:highlight w:val="none"/>
        </w:rPr>
      </w:r>
      <w:r/>
    </w:p>
    <w:p>
      <w:pPr>
        <w:pStyle w:val="668"/>
        <w:ind w:firstLine="420"/>
        <w:rPr>
          <w:color w:val="000000"/>
          <w:highlight w:val="none"/>
        </w:rPr>
      </w:pPr>
      <w:r>
        <w:rPr>
          <w:rFonts w:hint="eastAsia" w:ascii="宋体" w:hAnsi="宋体"/>
          <w:bCs/>
          <w:color w:val="000000"/>
          <w:highlight w:val="none"/>
        </w:rPr>
        <w:t xml:space="preserve">2.上表内容须提供投标人近一年中任意一个月份（不含投标当月）经社保部门确认的社保缴纳名单复印件（标注各人员所处位置）和相关证书复印件作为填列证明材料，证明材料请附在本表之后。</w:t>
      </w:r>
      <w:r>
        <w:rPr>
          <w:color w:val="000000"/>
          <w:highlight w:val="none"/>
        </w:rPr>
      </w:r>
      <w:r/>
    </w:p>
    <w:p>
      <w:pPr>
        <w:pStyle w:val="668"/>
        <w:rPr>
          <w:rFonts w:hint="eastAsia" w:ascii="宋体" w:hAnsi="宋体"/>
          <w:bCs/>
          <w:color w:val="000000"/>
          <w:highlight w:val="none"/>
        </w:rPr>
      </w:pPr>
      <w:r>
        <w:rPr>
          <w:rFonts w:hint="eastAsia" w:ascii="宋体" w:hAnsi="宋体"/>
          <w:bCs/>
          <w:color w:val="000000"/>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tabs>
        <w:tab w:val="center" w:pos="4153" w:leader="none"/>
        <w:tab w:val="right" w:pos="8306" w:leader="none"/>
      </w:tabs>
      <w:rPr>
        <w:rStyle w:val="742"/>
        <w:rFonts w:ascii="宋体" w:hAnsi="宋体"/>
      </w:rPr>
      <w:framePr w:wrap="around" w:vAnchor="text" w:hAnchor="margin" w:xAlign="center" w:y="1"/>
    </w:pPr>
    <w:r>
      <w:rPr>
        <w:rFonts w:ascii="宋体" w:hAnsi="宋体"/>
      </w:rPr>
      <w:fldChar w:fldCharType="begin"/>
    </w:r>
    <w:r>
      <w:rPr>
        <w:rStyle w:val="742"/>
        <w:rFonts w:ascii="宋体" w:hAnsi="宋体"/>
      </w:rPr>
      <w:instrText xml:space="preserve">PAGE  </w:instrText>
    </w:r>
    <w:r>
      <w:rPr>
        <w:rFonts w:ascii="宋体" w:hAnsi="宋体"/>
      </w:rPr>
      <w:fldChar w:fldCharType="separate"/>
    </w:r>
    <w:r>
      <w:rPr>
        <w:rStyle w:val="742"/>
        <w:rFonts w:ascii="宋体" w:hAnsi="宋体"/>
      </w:rPr>
      <w:t xml:space="preserve">５</w:t>
    </w:r>
    <w:r>
      <w:rPr>
        <w:rFonts w:ascii="宋体" w:hAnsi="宋体"/>
      </w:rPr>
      <w:fldChar w:fldCharType="end"/>
    </w:r>
    <w:r>
      <w:rPr>
        <w:rStyle w:val="742"/>
        <w:rFonts w:ascii="宋体" w:hAnsi="宋体"/>
      </w:rPr>
    </w:r>
    <w:r/>
  </w:p>
  <w:p>
    <w:pPr>
      <w:pStyle w:val="715"/>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tabs>
        <w:tab w:val="center" w:pos="4153" w:leader="none"/>
        <w:tab w:val="right" w:pos="8306" w:leader="none"/>
      </w:tabs>
      <w:rPr>
        <w:rStyle w:val="742"/>
      </w:rPr>
      <w:framePr w:wrap="around" w:vAnchor="text" w:hAnchor="margin" w:xAlign="center" w:y="1"/>
    </w:pPr>
    <w:r>
      <w:fldChar w:fldCharType="begin"/>
    </w:r>
    <w:r>
      <w:rPr>
        <w:rStyle w:val="742"/>
      </w:rPr>
      <w:instrText xml:space="preserve">PAGE  </w:instrText>
    </w:r>
    <w:r>
      <w:fldChar w:fldCharType="separate"/>
    </w:r>
    <w:r>
      <w:rPr>
        <w:rStyle w:val="742"/>
      </w:rPr>
      <w:t xml:space="preserve">1</w:t>
    </w:r>
    <w:r>
      <w:fldChar w:fldCharType="end"/>
    </w:r>
    <w:r>
      <w:rPr>
        <w:rStyle w:val="742"/>
      </w:rPr>
    </w:r>
    <w:r/>
  </w:p>
  <w:p>
    <w:pPr>
      <w:pStyle w:val="71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668"/>
        <w:ind w:left="1080" w:hanging="1080"/>
        <w:tabs>
          <w:tab w:val="num" w:pos="1080" w:leader="none"/>
        </w:tabs>
      </w:pPr>
      <w:rPr>
        <w:rFonts w:hint="eastAsia" w:cs="Times New Roman"/>
      </w:rPr>
    </w:lvl>
    <w:lvl w:ilvl="1">
      <w:start w:val="1"/>
      <w:numFmt w:val="decimal"/>
      <w:isLgl w:val="false"/>
      <w:suff w:val="space"/>
      <w:lvlText w:val="%2."/>
      <w:lvlJc w:val="left"/>
      <w:pPr>
        <w:pStyle w:val="668"/>
        <w:ind w:left="780" w:hanging="360"/>
      </w:pPr>
      <w:rPr>
        <w:rFonts w:hint="eastAsia" w:cs="Times New Roman"/>
        <w:color w:val="000000"/>
      </w:rPr>
    </w:lvl>
    <w:lvl w:ilvl="2">
      <w:start w:val="1"/>
      <w:numFmt w:val="lowerRoman"/>
      <w:isLgl w:val="false"/>
      <w:suff w:val="tab"/>
      <w:lvlText w:val="%3."/>
      <w:lvlJc w:val="right"/>
      <w:pPr>
        <w:pStyle w:val="668"/>
        <w:ind w:left="1260" w:hanging="420"/>
        <w:tabs>
          <w:tab w:val="num" w:pos="1260" w:leader="none"/>
        </w:tabs>
      </w:pPr>
      <w:rPr>
        <w:rFonts w:hint="eastAsia" w:cs="Times New Roman"/>
      </w:rPr>
    </w:lvl>
    <w:lvl w:ilvl="3">
      <w:start w:val="1"/>
      <w:numFmt w:val="decimal"/>
      <w:isLgl w:val="false"/>
      <w:suff w:val="tab"/>
      <w:lvlText w:val="%4."/>
      <w:lvlJc w:val="left"/>
      <w:pPr>
        <w:pStyle w:val="668"/>
        <w:ind w:left="1680" w:hanging="420"/>
        <w:tabs>
          <w:tab w:val="num" w:pos="1680" w:leader="none"/>
        </w:tabs>
      </w:pPr>
      <w:rPr>
        <w:rFonts w:hint="eastAsia" w:cs="Times New Roman"/>
      </w:rPr>
    </w:lvl>
    <w:lvl w:ilvl="4">
      <w:start w:val="1"/>
      <w:numFmt w:val="lowerLetter"/>
      <w:isLgl w:val="false"/>
      <w:suff w:val="tab"/>
      <w:lvlText w:val="%5)"/>
      <w:lvlJc w:val="left"/>
      <w:pPr>
        <w:pStyle w:val="668"/>
        <w:ind w:left="2100" w:hanging="420"/>
        <w:tabs>
          <w:tab w:val="num" w:pos="2100" w:leader="none"/>
        </w:tabs>
      </w:pPr>
      <w:rPr>
        <w:rFonts w:hint="eastAsia" w:cs="Times New Roman"/>
      </w:rPr>
    </w:lvl>
    <w:lvl w:ilvl="5">
      <w:start w:val="1"/>
      <w:numFmt w:val="lowerRoman"/>
      <w:isLgl w:val="false"/>
      <w:suff w:val="tab"/>
      <w:lvlText w:val="%6."/>
      <w:lvlJc w:val="right"/>
      <w:pPr>
        <w:pStyle w:val="668"/>
        <w:ind w:left="2520" w:hanging="420"/>
        <w:tabs>
          <w:tab w:val="num" w:pos="2520" w:leader="none"/>
        </w:tabs>
      </w:pPr>
      <w:rPr>
        <w:rFonts w:hint="eastAsia" w:cs="Times New Roman"/>
      </w:rPr>
    </w:lvl>
    <w:lvl w:ilvl="6">
      <w:start w:val="1"/>
      <w:numFmt w:val="decimal"/>
      <w:isLgl w:val="false"/>
      <w:suff w:val="tab"/>
      <w:lvlText w:val="%7."/>
      <w:lvlJc w:val="left"/>
      <w:pPr>
        <w:pStyle w:val="668"/>
        <w:ind w:left="2940" w:hanging="420"/>
        <w:tabs>
          <w:tab w:val="num" w:pos="2940" w:leader="none"/>
        </w:tabs>
      </w:pPr>
      <w:rPr>
        <w:rFonts w:hint="eastAsia" w:cs="Times New Roman"/>
      </w:rPr>
    </w:lvl>
    <w:lvl w:ilvl="7">
      <w:start w:val="1"/>
      <w:numFmt w:val="lowerLetter"/>
      <w:isLgl w:val="false"/>
      <w:suff w:val="tab"/>
      <w:lvlText w:val="%8)"/>
      <w:lvlJc w:val="left"/>
      <w:pPr>
        <w:pStyle w:val="668"/>
        <w:ind w:left="3360" w:hanging="420"/>
        <w:tabs>
          <w:tab w:val="num" w:pos="3360" w:leader="none"/>
        </w:tabs>
      </w:pPr>
      <w:rPr>
        <w:rFonts w:hint="eastAsia" w:cs="Times New Roman"/>
      </w:rPr>
    </w:lvl>
    <w:lvl w:ilvl="8">
      <w:start w:val="1"/>
      <w:numFmt w:val="lowerRoman"/>
      <w:isLgl w:val="false"/>
      <w:suff w:val="tab"/>
      <w:lvlText w:val="%9."/>
      <w:lvlJc w:val="right"/>
      <w:pPr>
        <w:pStyle w:val="668"/>
        <w:ind w:left="3780" w:hanging="420"/>
        <w:tabs>
          <w:tab w:val="num" w:pos="3780" w:leader="none"/>
        </w:tabs>
      </w:pPr>
      <w:rPr>
        <w:rFonts w:hint="eastAsia" w:cs="Times New Roman"/>
      </w:rPr>
    </w:lvl>
  </w:abstractNum>
  <w:abstractNum w:abstractNumId="2">
    <w:multiLevelType w:val="hybridMultilevel"/>
    <w:lvl w:ilvl="0">
      <w:start w:val="1"/>
      <w:numFmt w:val="japaneseCounting"/>
      <w:isLgl w:val="false"/>
      <w:suff w:val="tab"/>
      <w:lvlText w:val="（%1）"/>
      <w:lvlJc w:val="left"/>
      <w:pPr>
        <w:pStyle w:val="668"/>
        <w:ind w:left="1080" w:hanging="1080"/>
        <w:tabs>
          <w:tab w:val="num" w:pos="1080" w:leader="none"/>
        </w:tabs>
      </w:pPr>
      <w:rPr>
        <w:rFonts w:hint="eastAsia" w:cs="Times New Roman"/>
      </w:rPr>
    </w:lvl>
    <w:lvl w:ilvl="1">
      <w:start w:val="1"/>
      <w:numFmt w:val="decimal"/>
      <w:isLgl w:val="false"/>
      <w:suff w:val="space"/>
      <w:lvlText w:val="%2."/>
      <w:lvlJc w:val="left"/>
      <w:pPr>
        <w:pStyle w:val="668"/>
        <w:ind w:left="780" w:hanging="360"/>
      </w:pPr>
      <w:rPr>
        <w:rFonts w:hint="eastAsia" w:cs="Times New Roman"/>
        <w:color w:val="000000"/>
      </w:rPr>
    </w:lvl>
    <w:lvl w:ilvl="2">
      <w:start w:val="1"/>
      <w:numFmt w:val="lowerRoman"/>
      <w:isLgl w:val="false"/>
      <w:suff w:val="tab"/>
      <w:lvlText w:val="%3."/>
      <w:lvlJc w:val="right"/>
      <w:pPr>
        <w:pStyle w:val="668"/>
        <w:ind w:left="1260" w:hanging="420"/>
        <w:tabs>
          <w:tab w:val="num" w:pos="1260" w:leader="none"/>
        </w:tabs>
      </w:pPr>
      <w:rPr>
        <w:rFonts w:hint="eastAsia" w:cs="Times New Roman"/>
      </w:rPr>
    </w:lvl>
    <w:lvl w:ilvl="3">
      <w:start w:val="1"/>
      <w:numFmt w:val="decimal"/>
      <w:isLgl w:val="false"/>
      <w:suff w:val="tab"/>
      <w:lvlText w:val="%4."/>
      <w:lvlJc w:val="left"/>
      <w:pPr>
        <w:pStyle w:val="668"/>
        <w:ind w:left="1680" w:hanging="420"/>
        <w:tabs>
          <w:tab w:val="num" w:pos="1680" w:leader="none"/>
        </w:tabs>
      </w:pPr>
      <w:rPr>
        <w:rFonts w:hint="eastAsia" w:cs="Times New Roman"/>
      </w:rPr>
    </w:lvl>
    <w:lvl w:ilvl="4">
      <w:start w:val="1"/>
      <w:numFmt w:val="lowerLetter"/>
      <w:isLgl w:val="false"/>
      <w:suff w:val="tab"/>
      <w:lvlText w:val="%5)"/>
      <w:lvlJc w:val="left"/>
      <w:pPr>
        <w:pStyle w:val="668"/>
        <w:ind w:left="2100" w:hanging="420"/>
        <w:tabs>
          <w:tab w:val="num" w:pos="2100" w:leader="none"/>
        </w:tabs>
      </w:pPr>
      <w:rPr>
        <w:rFonts w:hint="eastAsia" w:cs="Times New Roman"/>
      </w:rPr>
    </w:lvl>
    <w:lvl w:ilvl="5">
      <w:start w:val="1"/>
      <w:numFmt w:val="lowerRoman"/>
      <w:isLgl w:val="false"/>
      <w:suff w:val="tab"/>
      <w:lvlText w:val="%6."/>
      <w:lvlJc w:val="right"/>
      <w:pPr>
        <w:pStyle w:val="668"/>
        <w:ind w:left="2520" w:hanging="420"/>
        <w:tabs>
          <w:tab w:val="num" w:pos="2520" w:leader="none"/>
        </w:tabs>
      </w:pPr>
      <w:rPr>
        <w:rFonts w:hint="eastAsia" w:cs="Times New Roman"/>
      </w:rPr>
    </w:lvl>
    <w:lvl w:ilvl="6">
      <w:start w:val="1"/>
      <w:numFmt w:val="decimal"/>
      <w:isLgl w:val="false"/>
      <w:suff w:val="tab"/>
      <w:lvlText w:val="%7."/>
      <w:lvlJc w:val="left"/>
      <w:pPr>
        <w:pStyle w:val="668"/>
        <w:ind w:left="2940" w:hanging="420"/>
        <w:tabs>
          <w:tab w:val="num" w:pos="2940" w:leader="none"/>
        </w:tabs>
      </w:pPr>
      <w:rPr>
        <w:rFonts w:hint="eastAsia" w:cs="Times New Roman"/>
      </w:rPr>
    </w:lvl>
    <w:lvl w:ilvl="7">
      <w:start w:val="1"/>
      <w:numFmt w:val="lowerLetter"/>
      <w:isLgl w:val="false"/>
      <w:suff w:val="tab"/>
      <w:lvlText w:val="%8)"/>
      <w:lvlJc w:val="left"/>
      <w:pPr>
        <w:pStyle w:val="668"/>
        <w:ind w:left="3360" w:hanging="420"/>
        <w:tabs>
          <w:tab w:val="num" w:pos="3360" w:leader="none"/>
        </w:tabs>
      </w:pPr>
      <w:rPr>
        <w:rFonts w:hint="eastAsia" w:cs="Times New Roman"/>
      </w:rPr>
    </w:lvl>
    <w:lvl w:ilvl="8">
      <w:start w:val="1"/>
      <w:numFmt w:val="lowerRoman"/>
      <w:isLgl w:val="false"/>
      <w:suff w:val="tab"/>
      <w:lvlText w:val="%9."/>
      <w:lvlJc w:val="right"/>
      <w:pPr>
        <w:pStyle w:val="668"/>
        <w:ind w:left="3780" w:hanging="420"/>
        <w:tabs>
          <w:tab w:val="num" w:pos="3780" w:leader="none"/>
        </w:tabs>
      </w:pPr>
      <w:rPr>
        <w:rFonts w:hint="eastAsia" w:cs="Times New Roman"/>
      </w:rPr>
    </w:lvl>
  </w:abstractNum>
  <w:abstractNum w:abstractNumId="3">
    <w:multiLevelType w:val="hybridMultilevel"/>
    <w:lvl w:ilvl="0">
      <w:start w:val="1"/>
      <w:numFmt w:val="decimal"/>
      <w:isLgl w:val="false"/>
      <w:suff w:val="tab"/>
      <w:lvlText w:val="%1."/>
      <w:lvlJc w:val="left"/>
      <w:pPr>
        <w:pStyle w:val="668"/>
        <w:ind w:left="510" w:hanging="360"/>
        <w:tabs>
          <w:tab w:val="num" w:pos="510" w:leader="none"/>
        </w:tabs>
      </w:pPr>
      <w:rPr>
        <w:rFonts w:hint="eastAsia" w:cs="Times New Roman"/>
      </w:rPr>
    </w:lvl>
    <w:lvl w:ilvl="1">
      <w:start w:val="1"/>
      <w:numFmt w:val="decimal"/>
      <w:isLgl w:val="false"/>
      <w:suff w:val="tab"/>
      <w:lvlText w:val="%2．"/>
      <w:lvlJc w:val="left"/>
      <w:pPr>
        <w:pStyle w:val="668"/>
        <w:ind w:left="1290" w:hanging="720"/>
        <w:tabs>
          <w:tab w:val="num" w:pos="1290" w:leader="none"/>
        </w:tabs>
      </w:pPr>
      <w:rPr>
        <w:rFonts w:hint="eastAsia" w:cs="Times New Roman"/>
      </w:rPr>
    </w:lvl>
    <w:lvl w:ilvl="2">
      <w:start w:val="3"/>
      <w:numFmt w:val="decimal"/>
      <w:isLgl w:val="false"/>
      <w:suff w:val="tab"/>
      <w:lvlText w:val="（%3）"/>
      <w:lvlJc w:val="left"/>
      <w:pPr>
        <w:pStyle w:val="668"/>
        <w:ind w:left="1140" w:hanging="720"/>
        <w:tabs>
          <w:tab w:val="num" w:pos="1140" w:leader="none"/>
        </w:tabs>
      </w:pPr>
      <w:rPr>
        <w:rFonts w:hint="eastAsia" w:cs="Times New Roman"/>
      </w:rPr>
    </w:lvl>
    <w:lvl w:ilvl="3">
      <w:start w:val="1"/>
      <w:numFmt w:val="decimal"/>
      <w:isLgl w:val="false"/>
      <w:suff w:val="tab"/>
      <w:lvlText w:val="（%4）"/>
      <w:lvlJc w:val="left"/>
      <w:pPr>
        <w:pStyle w:val="668"/>
        <w:ind w:left="1830" w:hanging="420"/>
        <w:tabs>
          <w:tab w:val="num" w:pos="1830" w:leader="none"/>
        </w:tabs>
      </w:pPr>
      <w:rPr>
        <w:rFonts w:hint="eastAsia" w:ascii="宋体" w:hAnsi="宋体" w:eastAsia="宋体" w:cs="Times New Roman"/>
      </w:rPr>
    </w:lvl>
    <w:lvl w:ilvl="4">
      <w:start w:val="1"/>
      <w:numFmt w:val="decimal"/>
      <w:isLgl w:val="false"/>
      <w:suff w:val="space"/>
      <w:lvlText w:val="%5."/>
      <w:lvlJc w:val="left"/>
      <w:pPr>
        <w:pStyle w:val="668"/>
        <w:ind w:left="2250" w:hanging="420"/>
      </w:pPr>
      <w:rPr>
        <w:rFonts w:hint="eastAsia"/>
        <w:b/>
        <w:lang w:val="en-US"/>
      </w:rPr>
    </w:lvl>
    <w:lvl w:ilvl="5">
      <w:start w:val="10"/>
      <w:numFmt w:val="japaneseCounting"/>
      <w:isLgl w:val="false"/>
      <w:suff w:val="tab"/>
      <w:lvlText w:val="（%6）"/>
      <w:lvlJc w:val="left"/>
      <w:pPr>
        <w:pStyle w:val="668"/>
        <w:ind w:left="2970" w:hanging="720"/>
      </w:pPr>
      <w:rPr>
        <w:rFonts w:hint="eastAsia" w:cs="Times New Roman"/>
      </w:rPr>
    </w:lvl>
    <w:lvl w:ilvl="6">
      <w:start w:val="1"/>
      <w:numFmt w:val="decimal"/>
      <w:isLgl w:val="false"/>
      <w:suff w:val="tab"/>
      <w:lvlText w:val="（%7）"/>
      <w:lvlJc w:val="left"/>
      <w:pPr>
        <w:pStyle w:val="668"/>
        <w:ind w:left="3090" w:hanging="420"/>
        <w:tabs>
          <w:tab w:val="num" w:pos="3090" w:leader="none"/>
        </w:tabs>
      </w:pPr>
      <w:rPr>
        <w:rFonts w:hint="eastAsia" w:ascii="Times New Roman" w:hAnsi="Times New Roman" w:eastAsia="Times New Roman" w:cs="Times New Roman"/>
        <w:color w:val="000000"/>
      </w:rPr>
    </w:lvl>
    <w:lvl w:ilvl="7">
      <w:start w:val="1"/>
      <w:numFmt w:val="lowerLetter"/>
      <w:isLgl w:val="false"/>
      <w:suff w:val="tab"/>
      <w:lvlText w:val="%8)"/>
      <w:lvlJc w:val="left"/>
      <w:pPr>
        <w:pStyle w:val="668"/>
        <w:ind w:left="3510" w:hanging="420"/>
        <w:tabs>
          <w:tab w:val="num" w:pos="3510" w:leader="none"/>
        </w:tabs>
      </w:pPr>
      <w:rPr>
        <w:rFonts w:hint="eastAsia" w:cs="Times New Roman"/>
      </w:rPr>
    </w:lvl>
    <w:lvl w:ilvl="8">
      <w:start w:val="1"/>
      <w:numFmt w:val="lowerRoman"/>
      <w:isLgl w:val="false"/>
      <w:suff w:val="tab"/>
      <w:lvlText w:val="%9."/>
      <w:lvlJc w:val="right"/>
      <w:pPr>
        <w:pStyle w:val="668"/>
        <w:ind w:left="3930" w:hanging="420"/>
        <w:tabs>
          <w:tab w:val="num" w:pos="3930" w:leader="none"/>
        </w:tabs>
      </w:pPr>
      <w:rPr>
        <w:rFonts w:hint="eastAsia" w:cs="Times New Roman"/>
      </w:rPr>
    </w:lvl>
  </w:abstractNum>
  <w:abstractNum w:abstractNumId="4">
    <w:multiLevelType w:val="hybridMultilevel"/>
    <w:lvl w:ilvl="0">
      <w:start w:val="1"/>
      <w:numFmt w:val="decimal"/>
      <w:isLgl w:val="false"/>
      <w:suff w:val="nothing"/>
      <w:lvlText w:val="（%1）"/>
      <w:lvlJc w:val="left"/>
      <w:pPr>
        <w:pStyle w:val="6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749"/>
      <w:isLgl w:val="false"/>
      <w:suff w:val="tab"/>
      <w:lvlText w:val="附录%1."/>
      <w:lvlJc w:val="left"/>
      <w:pPr>
        <w:pStyle w:val="66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766"/>
      <w:isLgl w:val="false"/>
      <w:suff w:val="tab"/>
      <w:lvlText w:val="%1."/>
      <w:lvlJc w:val="left"/>
      <w:pPr>
        <w:pStyle w:val="668"/>
        <w:ind w:left="709" w:hanging="709"/>
        <w:tabs>
          <w:tab w:val="num" w:pos="709" w:leader="none"/>
        </w:tabs>
      </w:pPr>
      <w:rPr>
        <w:rFonts w:hint="eastAsia"/>
      </w:rPr>
    </w:lvl>
    <w:lvl w:ilvl="1">
      <w:start w:val="1"/>
      <w:numFmt w:val="decimal"/>
      <w:isLgl w:val="false"/>
      <w:suff w:val="tab"/>
      <w:lvlText w:val="%1.%2"/>
      <w:lvlJc w:val="left"/>
      <w:pPr>
        <w:pStyle w:val="668"/>
        <w:ind w:left="709" w:hanging="709"/>
        <w:tabs>
          <w:tab w:val="num" w:pos="709" w:leader="none"/>
        </w:tabs>
      </w:pPr>
      <w:rPr>
        <w:rFonts w:hint="eastAsia"/>
      </w:rPr>
    </w:lvl>
    <w:lvl w:ilvl="2">
      <w:start w:val="1"/>
      <w:numFmt w:val="decimal"/>
      <w:isLgl w:val="false"/>
      <w:suff w:val="tab"/>
      <w:lvlText w:val="%1.%2.%3."/>
      <w:lvlJc w:val="left"/>
      <w:pPr>
        <w:pStyle w:val="668"/>
        <w:ind w:left="425" w:hanging="425"/>
        <w:tabs>
          <w:tab w:val="num" w:pos="425" w:leader="none"/>
        </w:tabs>
      </w:pPr>
      <w:rPr>
        <w:rFonts w:hint="eastAsia"/>
      </w:rPr>
    </w:lvl>
    <w:lvl w:ilvl="3">
      <w:start w:val="1"/>
      <w:numFmt w:val="decimal"/>
      <w:isLgl w:val="false"/>
      <w:suff w:val="tab"/>
      <w:lvlText w:val="%1.%2.%3.%4."/>
      <w:lvlJc w:val="left"/>
      <w:pPr>
        <w:pStyle w:val="668"/>
        <w:ind w:left="851" w:hanging="851"/>
        <w:tabs>
          <w:tab w:val="num" w:pos="851" w:leader="none"/>
        </w:tabs>
      </w:pPr>
      <w:rPr>
        <w:rFonts w:hint="eastAsia"/>
      </w:rPr>
    </w:lvl>
    <w:lvl w:ilvl="4">
      <w:start w:val="1"/>
      <w:numFmt w:val="decimal"/>
      <w:isLgl w:val="false"/>
      <w:suff w:val="tab"/>
      <w:lvlText w:val="%1.%2.%3.%4.%5."/>
      <w:lvlJc w:val="left"/>
      <w:pPr>
        <w:pStyle w:val="668"/>
        <w:ind w:left="992" w:hanging="992"/>
        <w:tabs>
          <w:tab w:val="num" w:pos="992" w:leader="none"/>
        </w:tabs>
      </w:pPr>
      <w:rPr>
        <w:rFonts w:hint="eastAsia"/>
      </w:rPr>
    </w:lvl>
    <w:lvl w:ilvl="5">
      <w:start w:val="1"/>
      <w:numFmt w:val="decimal"/>
      <w:isLgl w:val="false"/>
      <w:suff w:val="tab"/>
      <w:lvlText w:val="%1.%2.%3.%4.%5.%6."/>
      <w:lvlJc w:val="left"/>
      <w:pPr>
        <w:pStyle w:val="668"/>
        <w:ind w:left="1134" w:hanging="1134"/>
        <w:tabs>
          <w:tab w:val="num" w:pos="1134" w:leader="none"/>
        </w:tabs>
      </w:pPr>
      <w:rPr>
        <w:rFonts w:hint="eastAsia"/>
      </w:rPr>
    </w:lvl>
    <w:lvl w:ilvl="6">
      <w:start w:val="1"/>
      <w:numFmt w:val="decimal"/>
      <w:isLgl w:val="false"/>
      <w:suff w:val="tab"/>
      <w:lvlText w:val="%1.%2.%3.%4.%5.%6.%7."/>
      <w:lvlJc w:val="left"/>
      <w:pPr>
        <w:pStyle w:val="668"/>
        <w:ind w:left="1276" w:hanging="1276"/>
        <w:tabs>
          <w:tab w:val="num" w:pos="1276" w:leader="none"/>
        </w:tabs>
      </w:pPr>
      <w:rPr>
        <w:rFonts w:hint="eastAsia"/>
      </w:rPr>
    </w:lvl>
    <w:lvl w:ilvl="7">
      <w:start w:val="1"/>
      <w:numFmt w:val="decimal"/>
      <w:isLgl w:val="false"/>
      <w:suff w:val="tab"/>
      <w:lvlText w:val="%1.%2.%3.%4.%5.%6.%7.%8."/>
      <w:lvlJc w:val="left"/>
      <w:pPr>
        <w:pStyle w:val="668"/>
        <w:ind w:left="1418" w:hanging="1418"/>
        <w:tabs>
          <w:tab w:val="num" w:pos="1418" w:leader="none"/>
        </w:tabs>
      </w:pPr>
      <w:rPr>
        <w:rFonts w:hint="eastAsia"/>
      </w:rPr>
    </w:lvl>
    <w:lvl w:ilvl="8">
      <w:start w:val="1"/>
      <w:numFmt w:val="decimal"/>
      <w:isLgl w:val="false"/>
      <w:suff w:val="tab"/>
      <w:lvlText w:val="%1.%2.%3.%4.%5.%6.%7.%8.%9."/>
      <w:lvlJc w:val="left"/>
      <w:pPr>
        <w:pStyle w:val="668"/>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668"/>
        <w:ind w:left="0" w:firstLine="0"/>
      </w:pPr>
      <w:rPr>
        <w:rFonts w:hint="eastAsia"/>
      </w:rPr>
    </w:lvl>
    <w:lvl w:ilvl="1">
      <w:start w:val="1"/>
      <w:numFmt w:val="decimal"/>
      <w:isLgl w:val="false"/>
      <w:suff w:val="nothing"/>
      <w:lvlText w:val="%2、"/>
      <w:lvlJc w:val="left"/>
      <w:pPr>
        <w:pStyle w:val="668"/>
        <w:ind w:left="0" w:firstLine="0"/>
      </w:pPr>
      <w:rPr>
        <w:rFonts w:hint="eastAsia"/>
      </w:rPr>
    </w:lvl>
    <w:lvl w:ilvl="2">
      <w:start w:val="1"/>
      <w:numFmt w:val="decimal"/>
      <w:isLgl w:val="false"/>
      <w:suff w:val="nothing"/>
      <w:lvlText w:val="%2.%3 "/>
      <w:lvlJc w:val="left"/>
      <w:pPr>
        <w:pStyle w:val="668"/>
        <w:ind w:left="0" w:firstLine="0"/>
      </w:pPr>
      <w:rPr>
        <w:rFonts w:hint="eastAsia"/>
      </w:rPr>
    </w:lvl>
    <w:lvl w:ilvl="3">
      <w:start w:val="1"/>
      <w:numFmt w:val="decimal"/>
      <w:isLgl w:val="false"/>
      <w:suff w:val="nothing"/>
      <w:lvlText w:val="%2.%3.%4 "/>
      <w:lvlJc w:val="left"/>
      <w:pPr>
        <w:pStyle w:val="668"/>
        <w:ind w:left="0" w:firstLine="0"/>
      </w:pPr>
      <w:rPr>
        <w:rFonts w:hint="eastAsia"/>
      </w:rPr>
    </w:lvl>
    <w:lvl w:ilvl="4">
      <w:start w:val="1"/>
      <w:numFmt w:val="decimal"/>
      <w:isLgl w:val="false"/>
      <w:suff w:val="nothing"/>
      <w:lvlText w:val="%2.%3.%4.%5 "/>
      <w:lvlJc w:val="left"/>
      <w:pPr>
        <w:pStyle w:val="668"/>
        <w:ind w:left="0" w:firstLine="0"/>
      </w:pPr>
      <w:rPr>
        <w:rFonts w:hint="eastAsia"/>
      </w:rPr>
    </w:lvl>
    <w:lvl w:ilvl="5">
      <w:start w:val="1"/>
      <w:numFmt w:val="decimal"/>
      <w:pStyle w:val="674"/>
      <w:isLgl w:val="false"/>
      <w:suff w:val="nothing"/>
      <w:lvlText w:val=""/>
      <w:lvlJc w:val="left"/>
      <w:pPr>
        <w:pStyle w:val="668"/>
        <w:ind w:left="0" w:firstLine="0"/>
      </w:pPr>
      <w:rPr>
        <w:rFonts w:hint="eastAsia"/>
      </w:rPr>
    </w:lvl>
    <w:lvl w:ilvl="6">
      <w:start w:val="1"/>
      <w:numFmt w:val="decimal"/>
      <w:pStyle w:val="675"/>
      <w:isLgl w:val="false"/>
      <w:suff w:val="nothing"/>
      <w:lvlText w:val=""/>
      <w:lvlJc w:val="left"/>
      <w:pPr>
        <w:pStyle w:val="668"/>
        <w:ind w:left="0" w:firstLine="0"/>
      </w:pPr>
      <w:rPr>
        <w:rFonts w:hint="eastAsia"/>
      </w:rPr>
    </w:lvl>
    <w:lvl w:ilvl="7">
      <w:start w:val="1"/>
      <w:numFmt w:val="decimal"/>
      <w:pStyle w:val="676"/>
      <w:isLgl w:val="false"/>
      <w:suff w:val="nothing"/>
      <w:lvlText w:val=""/>
      <w:lvlJc w:val="left"/>
      <w:pPr>
        <w:pStyle w:val="668"/>
        <w:ind w:left="0" w:firstLine="0"/>
      </w:pPr>
      <w:rPr>
        <w:rFonts w:hint="eastAsia"/>
      </w:rPr>
    </w:lvl>
    <w:lvl w:ilvl="8">
      <w:start w:val="1"/>
      <w:numFmt w:val="decimal"/>
      <w:pStyle w:val="677"/>
      <w:isLgl w:val="false"/>
      <w:suff w:val="nothing"/>
      <w:lvlText w:val=""/>
      <w:lvlJc w:val="left"/>
      <w:pPr>
        <w:pStyle w:val="668"/>
        <w:ind w:left="0" w:firstLine="0"/>
      </w:pPr>
      <w:rPr>
        <w:rFonts w:hint="eastAsia"/>
      </w:rPr>
    </w:lvl>
  </w:abstractNum>
  <w:abstractNum w:abstractNumId="8">
    <w:multiLevelType w:val="hybridMultilevel"/>
    <w:lvl w:ilvl="0">
      <w:start w:val="1"/>
      <w:numFmt w:val="japaneseCounting"/>
      <w:isLgl w:val="false"/>
      <w:suff w:val="tab"/>
      <w:lvlText w:val="%1、"/>
      <w:lvlJc w:val="left"/>
      <w:pPr>
        <w:pStyle w:val="668"/>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68"/>
        <w:ind w:left="840" w:hanging="420"/>
        <w:tabs>
          <w:tab w:val="num" w:pos="840" w:leader="none"/>
        </w:tabs>
      </w:pPr>
      <w:rPr>
        <w:rFonts w:cs="Times New Roman"/>
      </w:rPr>
    </w:lvl>
    <w:lvl w:ilvl="2">
      <w:start w:val="10"/>
      <w:numFmt w:val="decimal"/>
      <w:isLgl w:val="false"/>
      <w:suff w:val="tab"/>
      <w:lvlText w:val="%3."/>
      <w:lvlJc w:val="left"/>
      <w:pPr>
        <w:pStyle w:val="668"/>
        <w:ind w:left="1200" w:hanging="360"/>
        <w:tabs>
          <w:tab w:val="num" w:pos="1200" w:leader="none"/>
        </w:tabs>
      </w:pPr>
      <w:rPr>
        <w:rFonts w:cs="Times New Roman"/>
      </w:rPr>
    </w:lvl>
    <w:lvl w:ilvl="3">
      <w:start w:val="1"/>
      <w:numFmt w:val="decimal"/>
      <w:isLgl w:val="false"/>
      <w:suff w:val="tab"/>
      <w:lvlText w:val="%4."/>
      <w:lvlJc w:val="left"/>
      <w:pPr>
        <w:pStyle w:val="668"/>
        <w:ind w:left="1680" w:hanging="420"/>
        <w:tabs>
          <w:tab w:val="num" w:pos="1680" w:leader="none"/>
        </w:tabs>
      </w:pPr>
      <w:rPr>
        <w:rFonts w:cs="Times New Roman"/>
      </w:rPr>
    </w:lvl>
    <w:lvl w:ilvl="4">
      <w:start w:val="1"/>
      <w:numFmt w:val="lowerLetter"/>
      <w:isLgl w:val="false"/>
      <w:suff w:val="tab"/>
      <w:lvlText w:val="%5)"/>
      <w:lvlJc w:val="left"/>
      <w:pPr>
        <w:pStyle w:val="668"/>
        <w:ind w:left="2100" w:hanging="420"/>
        <w:tabs>
          <w:tab w:val="num" w:pos="2100" w:leader="none"/>
        </w:tabs>
      </w:pPr>
      <w:rPr>
        <w:rFonts w:cs="Times New Roman"/>
      </w:rPr>
    </w:lvl>
    <w:lvl w:ilvl="5">
      <w:start w:val="1"/>
      <w:numFmt w:val="lowerRoman"/>
      <w:isLgl w:val="false"/>
      <w:suff w:val="tab"/>
      <w:lvlText w:val="%6."/>
      <w:lvlJc w:val="right"/>
      <w:pPr>
        <w:pStyle w:val="668"/>
        <w:ind w:left="2520" w:hanging="420"/>
        <w:tabs>
          <w:tab w:val="num" w:pos="2520" w:leader="none"/>
        </w:tabs>
      </w:pPr>
      <w:rPr>
        <w:rFonts w:cs="Times New Roman"/>
      </w:rPr>
    </w:lvl>
    <w:lvl w:ilvl="6">
      <w:start w:val="1"/>
      <w:numFmt w:val="decimal"/>
      <w:isLgl w:val="false"/>
      <w:suff w:val="tab"/>
      <w:lvlText w:val="%7."/>
      <w:lvlJc w:val="left"/>
      <w:pPr>
        <w:pStyle w:val="668"/>
        <w:ind w:left="2940" w:hanging="420"/>
        <w:tabs>
          <w:tab w:val="num" w:pos="2940" w:leader="none"/>
        </w:tabs>
      </w:pPr>
      <w:rPr>
        <w:rFonts w:cs="Times New Roman"/>
      </w:rPr>
    </w:lvl>
    <w:lvl w:ilvl="7">
      <w:start w:val="1"/>
      <w:numFmt w:val="lowerLetter"/>
      <w:isLgl w:val="false"/>
      <w:suff w:val="tab"/>
      <w:lvlText w:val="%8)"/>
      <w:lvlJc w:val="left"/>
      <w:pPr>
        <w:pStyle w:val="668"/>
        <w:ind w:left="3360" w:hanging="420"/>
        <w:tabs>
          <w:tab w:val="num" w:pos="3360" w:leader="none"/>
        </w:tabs>
      </w:pPr>
      <w:rPr>
        <w:rFonts w:cs="Times New Roman"/>
      </w:rPr>
    </w:lvl>
    <w:lvl w:ilvl="8">
      <w:start w:val="1"/>
      <w:numFmt w:val="lowerRoman"/>
      <w:isLgl w:val="false"/>
      <w:suff w:val="tab"/>
      <w:lvlText w:val="%9."/>
      <w:lvlJc w:val="right"/>
      <w:pPr>
        <w:pStyle w:val="668"/>
        <w:ind w:left="3780" w:hanging="420"/>
        <w:tabs>
          <w:tab w:val="num" w:pos="3780" w:leader="none"/>
        </w:tabs>
      </w:pPr>
      <w:rPr>
        <w:rFonts w:cs="Times New Roman"/>
      </w:rPr>
    </w:lvl>
  </w:abstractNum>
  <w:abstractNum w:abstractNumId="9">
    <w:multiLevelType w:val="hybridMultilevel"/>
    <w:lvl w:ilvl="0">
      <w:start w:val="1"/>
      <w:numFmt w:val="decimal"/>
      <w:isLgl w:val="false"/>
      <w:suff w:val="nothing"/>
      <w:lvlText w:val="（%1）"/>
      <w:lvlJc w:val="left"/>
      <w:pPr>
        <w:pStyle w:val="6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pStyle w:val="668"/>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6"/>
  </w:num>
  <w:num w:numId="4">
    <w:abstractNumId w:val="10"/>
  </w:num>
  <w:num w:numId="5">
    <w:abstractNumId w:val="1"/>
  </w:num>
  <w:num w:numId="6">
    <w:abstractNumId w:val="2"/>
  </w:num>
  <w:num w:numId="7">
    <w:abstractNumId w:val="3"/>
  </w:num>
  <w:num w:numId="8">
    <w:abstractNumId w:val="4"/>
  </w:num>
  <w:num w:numId="9">
    <w:abstractNumId w:val="9"/>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8"/>
    <w:next w:val="66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8"/>
    <w:next w:val="66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8"/>
    <w:next w:val="66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8"/>
    <w:next w:val="66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8"/>
    <w:next w:val="66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8"/>
    <w:next w:val="66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8"/>
    <w:next w:val="66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8"/>
    <w:next w:val="66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8"/>
    <w:next w:val="66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8"/>
    <w:next w:val="66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8"/>
    <w:next w:val="66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8"/>
    <w:next w:val="668"/>
    <w:link w:val="38"/>
    <w:uiPriority w:val="29"/>
    <w:qFormat/>
    <w:pPr>
      <w:ind w:left="720" w:right="720"/>
    </w:pPr>
    <w:rPr>
      <w:i/>
    </w:rPr>
  </w:style>
  <w:style w:type="character" w:styleId="38">
    <w:name w:val="Quote Char"/>
    <w:link w:val="37"/>
    <w:uiPriority w:val="29"/>
    <w:rPr>
      <w:i/>
    </w:rPr>
  </w:style>
  <w:style w:type="paragraph" w:styleId="39">
    <w:name w:val="Intense Quote"/>
    <w:basedOn w:val="668"/>
    <w:next w:val="66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8"/>
    <w:next w:val="66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8"/>
    <w:next w:val="668"/>
    <w:uiPriority w:val="39"/>
    <w:unhideWhenUsed/>
    <w:pPr>
      <w:ind w:left="0" w:right="0" w:firstLine="0"/>
      <w:spacing w:after="57"/>
    </w:pPr>
  </w:style>
  <w:style w:type="paragraph" w:styleId="181">
    <w:name w:val="toc 2"/>
    <w:basedOn w:val="668"/>
    <w:next w:val="668"/>
    <w:uiPriority w:val="39"/>
    <w:unhideWhenUsed/>
    <w:pPr>
      <w:ind w:left="283" w:right="0" w:firstLine="0"/>
      <w:spacing w:after="57"/>
    </w:pPr>
  </w:style>
  <w:style w:type="paragraph" w:styleId="182">
    <w:name w:val="toc 3"/>
    <w:basedOn w:val="668"/>
    <w:next w:val="668"/>
    <w:uiPriority w:val="39"/>
    <w:unhideWhenUsed/>
    <w:pPr>
      <w:ind w:left="567" w:right="0" w:firstLine="0"/>
      <w:spacing w:after="57"/>
    </w:pPr>
  </w:style>
  <w:style w:type="paragraph" w:styleId="183">
    <w:name w:val="toc 4"/>
    <w:basedOn w:val="668"/>
    <w:next w:val="668"/>
    <w:uiPriority w:val="39"/>
    <w:unhideWhenUsed/>
    <w:pPr>
      <w:ind w:left="850" w:right="0" w:firstLine="0"/>
      <w:spacing w:after="57"/>
    </w:pPr>
  </w:style>
  <w:style w:type="paragraph" w:styleId="184">
    <w:name w:val="toc 5"/>
    <w:basedOn w:val="668"/>
    <w:next w:val="668"/>
    <w:uiPriority w:val="39"/>
    <w:unhideWhenUsed/>
    <w:pPr>
      <w:ind w:left="1134" w:right="0" w:firstLine="0"/>
      <w:spacing w:after="57"/>
    </w:pPr>
  </w:style>
  <w:style w:type="paragraph" w:styleId="185">
    <w:name w:val="toc 6"/>
    <w:basedOn w:val="668"/>
    <w:next w:val="668"/>
    <w:uiPriority w:val="39"/>
    <w:unhideWhenUsed/>
    <w:pPr>
      <w:ind w:left="1417" w:right="0" w:firstLine="0"/>
      <w:spacing w:after="57"/>
    </w:pPr>
  </w:style>
  <w:style w:type="paragraph" w:styleId="186">
    <w:name w:val="toc 7"/>
    <w:basedOn w:val="668"/>
    <w:next w:val="668"/>
    <w:uiPriority w:val="39"/>
    <w:unhideWhenUsed/>
    <w:pPr>
      <w:ind w:left="1701" w:right="0" w:firstLine="0"/>
      <w:spacing w:after="57"/>
    </w:pPr>
  </w:style>
  <w:style w:type="paragraph" w:styleId="187">
    <w:name w:val="toc 8"/>
    <w:basedOn w:val="668"/>
    <w:next w:val="668"/>
    <w:uiPriority w:val="39"/>
    <w:unhideWhenUsed/>
    <w:pPr>
      <w:ind w:left="1984" w:right="0" w:firstLine="0"/>
      <w:spacing w:after="57"/>
    </w:pPr>
  </w:style>
  <w:style w:type="paragraph" w:styleId="188">
    <w:name w:val="toc 9"/>
    <w:basedOn w:val="668"/>
    <w:next w:val="66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8"/>
    <w:next w:val="668"/>
    <w:uiPriority w:val="99"/>
    <w:unhideWhenUsed/>
    <w:pPr>
      <w:spacing w:after="0" w:afterAutospacing="0"/>
    </w:pPr>
  </w:style>
  <w:style w:type="paragraph" w:styleId="668" w:default="1">
    <w:name w:val="Normal"/>
    <w:next w:val="668"/>
    <w:link w:val="668"/>
    <w:qFormat/>
    <w:pPr>
      <w:jc w:val="both"/>
      <w:widowControl w:val="off"/>
    </w:pPr>
    <w:rPr>
      <w:rFonts w:ascii="Times New Roman" w:hAnsi="Times New Roman"/>
      <w:sz w:val="21"/>
      <w:szCs w:val="21"/>
      <w:lang w:val="en-US" w:eastAsia="zh-CN" w:bidi="ar-SA"/>
    </w:rPr>
  </w:style>
  <w:style w:type="paragraph" w:styleId="669">
    <w:name w:val="标题 1"/>
    <w:basedOn w:val="668"/>
    <w:next w:val="668"/>
    <w:link w:val="680"/>
    <w:qFormat/>
    <w:pPr>
      <w:jc w:val="center"/>
      <w:keepNext/>
      <w:outlineLvl w:val="0"/>
    </w:pPr>
    <w:rPr>
      <w:rFonts w:ascii="楷体_GB2312" w:eastAsia="楷体_GB2312"/>
      <w:sz w:val="28"/>
      <w:szCs w:val="28"/>
    </w:rPr>
  </w:style>
  <w:style w:type="paragraph" w:styleId="670">
    <w:name w:val="标题 2"/>
    <w:basedOn w:val="668"/>
    <w:next w:val="682"/>
    <w:link w:val="681"/>
    <w:qFormat/>
    <w:pPr>
      <w:jc w:val="center"/>
      <w:keepLines/>
      <w:keepNext/>
      <w:spacing w:before="260" w:after="260" w:line="416" w:lineRule="auto"/>
      <w:outlineLvl w:val="1"/>
    </w:pPr>
    <w:rPr>
      <w:rFonts w:ascii="Arial" w:hAnsi="Arial" w:eastAsia="幼圆"/>
      <w:b/>
      <w:bCs/>
      <w:sz w:val="44"/>
      <w:szCs w:val="44"/>
    </w:rPr>
  </w:style>
  <w:style w:type="paragraph" w:styleId="671">
    <w:name w:val="标题 3"/>
    <w:basedOn w:val="668"/>
    <w:next w:val="682"/>
    <w:link w:val="684"/>
    <w:qFormat/>
    <w:pPr>
      <w:keepLines/>
      <w:keepNext/>
      <w:spacing w:before="260" w:after="260" w:line="416" w:lineRule="auto"/>
      <w:outlineLvl w:val="2"/>
    </w:pPr>
    <w:rPr>
      <w:b/>
      <w:bCs/>
      <w:sz w:val="32"/>
      <w:szCs w:val="32"/>
    </w:rPr>
  </w:style>
  <w:style w:type="paragraph" w:styleId="672">
    <w:name w:val="标题 4"/>
    <w:basedOn w:val="668"/>
    <w:next w:val="668"/>
    <w:link w:val="685"/>
    <w:qFormat/>
    <w:pPr>
      <w:keepLines/>
      <w:keepNext/>
      <w:spacing w:before="280" w:after="290" w:line="376" w:lineRule="auto"/>
      <w:outlineLvl w:val="3"/>
    </w:pPr>
    <w:rPr>
      <w:rFonts w:ascii="Arial" w:hAnsi="Arial" w:eastAsia="黑体"/>
      <w:b/>
      <w:bCs/>
      <w:sz w:val="28"/>
      <w:szCs w:val="28"/>
    </w:rPr>
  </w:style>
  <w:style w:type="paragraph" w:styleId="673">
    <w:name w:val="标题 5"/>
    <w:basedOn w:val="668"/>
    <w:next w:val="668"/>
    <w:link w:val="686"/>
    <w:qFormat/>
    <w:pPr>
      <w:keepNext/>
      <w:outlineLvl w:val="4"/>
    </w:pPr>
    <w:rPr>
      <w:rFonts w:ascii="宋体"/>
      <w:color w:val="000000"/>
      <w:sz w:val="28"/>
      <w:szCs w:val="28"/>
    </w:rPr>
  </w:style>
  <w:style w:type="paragraph" w:styleId="674">
    <w:name w:val="标题 6"/>
    <w:basedOn w:val="668"/>
    <w:next w:val="668"/>
    <w:link w:val="687"/>
    <w:qFormat/>
    <w:pPr>
      <w:numPr>
        <w:ilvl w:val="5"/>
        <w:numId w:val="1"/>
      </w:numPr>
      <w:keepLines/>
      <w:keepNext/>
      <w:spacing w:before="240" w:after="64" w:line="320" w:lineRule="auto"/>
      <w:outlineLvl w:val="5"/>
    </w:pPr>
    <w:rPr>
      <w:rFonts w:ascii="Arial" w:hAnsi="Arial" w:eastAsia="黑体"/>
      <w:b/>
      <w:bCs/>
      <w:sz w:val="24"/>
      <w:szCs w:val="24"/>
    </w:rPr>
  </w:style>
  <w:style w:type="paragraph" w:styleId="675">
    <w:name w:val="标题 7"/>
    <w:basedOn w:val="668"/>
    <w:next w:val="668"/>
    <w:link w:val="688"/>
    <w:qFormat/>
    <w:pPr>
      <w:numPr>
        <w:ilvl w:val="6"/>
        <w:numId w:val="1"/>
      </w:numPr>
      <w:keepLines/>
      <w:keepNext/>
      <w:spacing w:before="240" w:after="64" w:line="320" w:lineRule="auto"/>
      <w:outlineLvl w:val="6"/>
    </w:pPr>
    <w:rPr>
      <w:b/>
      <w:bCs/>
      <w:sz w:val="24"/>
      <w:szCs w:val="24"/>
    </w:rPr>
  </w:style>
  <w:style w:type="paragraph" w:styleId="676">
    <w:name w:val="标题 8"/>
    <w:basedOn w:val="668"/>
    <w:next w:val="668"/>
    <w:link w:val="689"/>
    <w:qFormat/>
    <w:pPr>
      <w:numPr>
        <w:ilvl w:val="7"/>
        <w:numId w:val="1"/>
      </w:numPr>
      <w:keepLines/>
      <w:keepNext/>
      <w:spacing w:before="240" w:after="64" w:line="320" w:lineRule="auto"/>
      <w:outlineLvl w:val="7"/>
    </w:pPr>
    <w:rPr>
      <w:rFonts w:ascii="Arial" w:hAnsi="Arial" w:eastAsia="黑体"/>
      <w:sz w:val="24"/>
      <w:szCs w:val="24"/>
    </w:rPr>
  </w:style>
  <w:style w:type="paragraph" w:styleId="677">
    <w:name w:val="标题 9"/>
    <w:basedOn w:val="668"/>
    <w:next w:val="668"/>
    <w:link w:val="690"/>
    <w:qFormat/>
    <w:pPr>
      <w:numPr>
        <w:ilvl w:val="8"/>
        <w:numId w:val="1"/>
      </w:numPr>
      <w:keepLines/>
      <w:keepNext/>
      <w:spacing w:before="240" w:after="64" w:line="320" w:lineRule="auto"/>
      <w:outlineLvl w:val="8"/>
    </w:pPr>
    <w:rPr>
      <w:rFonts w:ascii="Arial" w:hAnsi="Arial" w:eastAsia="黑体"/>
      <w:sz w:val="20"/>
    </w:rPr>
  </w:style>
  <w:style w:type="character" w:styleId="678">
    <w:name w:val="默认段落字体"/>
    <w:next w:val="678"/>
    <w:link w:val="668"/>
    <w:uiPriority w:val="1"/>
    <w:unhideWhenUsed/>
  </w:style>
  <w:style w:type="table" w:styleId="679">
    <w:name w:val="普通表格"/>
    <w:next w:val="679"/>
    <w:link w:val="668"/>
    <w:uiPriority w:val="99"/>
    <w:unhideWhenUsed/>
    <w:tblPr/>
  </w:style>
  <w:style w:type="character" w:styleId="680">
    <w:name w:val="标题 1 字符"/>
    <w:next w:val="680"/>
    <w:link w:val="669"/>
    <w:rPr>
      <w:rFonts w:ascii="楷体_GB2312" w:hAnsi="Times New Roman" w:eastAsia="楷体_GB2312" w:cs="Times New Roman"/>
      <w:sz w:val="28"/>
      <w:szCs w:val="28"/>
    </w:rPr>
  </w:style>
  <w:style w:type="character" w:styleId="681">
    <w:name w:val="标题 2 字符"/>
    <w:next w:val="681"/>
    <w:link w:val="670"/>
    <w:rPr>
      <w:rFonts w:ascii="Arial" w:hAnsi="Arial" w:eastAsia="幼圆" w:cs="Arial"/>
      <w:b/>
      <w:bCs/>
      <w:sz w:val="44"/>
      <w:szCs w:val="44"/>
    </w:rPr>
  </w:style>
  <w:style w:type="paragraph" w:styleId="682">
    <w:name w:val="正文缩进"/>
    <w:basedOn w:val="668"/>
    <w:next w:val="682"/>
    <w:link w:val="683"/>
    <w:pPr>
      <w:ind w:firstLine="420"/>
    </w:pPr>
    <w:rPr>
      <w:sz w:val="20"/>
    </w:rPr>
  </w:style>
  <w:style w:type="character" w:styleId="683">
    <w:name w:val="正文缩进 字符"/>
    <w:next w:val="683"/>
    <w:link w:val="682"/>
    <w:rPr>
      <w:rFonts w:ascii="Times New Roman" w:hAnsi="Times New Roman" w:eastAsia="宋体" w:cs="Times New Roman"/>
      <w:szCs w:val="21"/>
    </w:rPr>
  </w:style>
  <w:style w:type="character" w:styleId="684">
    <w:name w:val="标题 3 字符"/>
    <w:next w:val="684"/>
    <w:link w:val="671"/>
    <w:rPr>
      <w:rFonts w:ascii="Times New Roman" w:hAnsi="Times New Roman" w:eastAsia="宋体" w:cs="Times New Roman"/>
      <w:b/>
      <w:bCs/>
      <w:sz w:val="32"/>
      <w:szCs w:val="32"/>
    </w:rPr>
  </w:style>
  <w:style w:type="character" w:styleId="685">
    <w:name w:val="标题 4 字符"/>
    <w:next w:val="685"/>
    <w:link w:val="672"/>
    <w:rPr>
      <w:rFonts w:ascii="Arial" w:hAnsi="Arial" w:eastAsia="黑体" w:cs="Arial"/>
      <w:b/>
      <w:bCs/>
      <w:sz w:val="28"/>
      <w:szCs w:val="28"/>
    </w:rPr>
  </w:style>
  <w:style w:type="character" w:styleId="686">
    <w:name w:val="标题 5 字符"/>
    <w:next w:val="686"/>
    <w:link w:val="673"/>
    <w:rPr>
      <w:rFonts w:ascii="宋体" w:hAnsi="Times New Roman" w:eastAsia="宋体" w:cs="Times New Roman"/>
      <w:color w:val="000000"/>
      <w:sz w:val="28"/>
      <w:szCs w:val="28"/>
    </w:rPr>
  </w:style>
  <w:style w:type="character" w:styleId="687">
    <w:name w:val="标题 6 字符"/>
    <w:next w:val="687"/>
    <w:link w:val="674"/>
    <w:rPr>
      <w:rFonts w:ascii="Arial" w:hAnsi="Arial" w:eastAsia="黑体" w:cs="Times New Roman"/>
      <w:b/>
      <w:bCs/>
      <w:sz w:val="24"/>
      <w:szCs w:val="24"/>
    </w:rPr>
  </w:style>
  <w:style w:type="character" w:styleId="688">
    <w:name w:val="标题 7 字符"/>
    <w:next w:val="688"/>
    <w:link w:val="675"/>
    <w:rPr>
      <w:rFonts w:ascii="Times New Roman" w:hAnsi="Times New Roman" w:eastAsia="宋体" w:cs="Times New Roman"/>
      <w:b/>
      <w:bCs/>
      <w:sz w:val="24"/>
      <w:szCs w:val="24"/>
    </w:rPr>
  </w:style>
  <w:style w:type="character" w:styleId="689">
    <w:name w:val="标题 8 字符"/>
    <w:next w:val="689"/>
    <w:link w:val="676"/>
    <w:rPr>
      <w:rFonts w:ascii="Arial" w:hAnsi="Arial" w:eastAsia="黑体" w:cs="Times New Roman"/>
      <w:sz w:val="24"/>
      <w:szCs w:val="24"/>
    </w:rPr>
  </w:style>
  <w:style w:type="character" w:styleId="690">
    <w:name w:val="标题 9 字符"/>
    <w:next w:val="690"/>
    <w:link w:val="677"/>
    <w:rPr>
      <w:rFonts w:ascii="Arial" w:hAnsi="Arial" w:eastAsia="黑体" w:cs="Times New Roman"/>
      <w:szCs w:val="21"/>
    </w:rPr>
  </w:style>
  <w:style w:type="paragraph" w:styleId="691">
    <w:name w:val="列表 3"/>
    <w:basedOn w:val="668"/>
    <w:next w:val="691"/>
    <w:link w:val="668"/>
    <w:pPr>
      <w:ind w:left="100" w:hanging="200"/>
    </w:pPr>
  </w:style>
  <w:style w:type="paragraph" w:styleId="692">
    <w:name w:val="目录 7"/>
    <w:basedOn w:val="668"/>
    <w:next w:val="668"/>
    <w:link w:val="668"/>
    <w:semiHidden/>
    <w:pPr>
      <w:ind w:left="1260"/>
      <w:jc w:val="left"/>
    </w:pPr>
  </w:style>
  <w:style w:type="paragraph" w:styleId="693">
    <w:name w:val="文档结构图"/>
    <w:basedOn w:val="668"/>
    <w:next w:val="693"/>
    <w:link w:val="694"/>
    <w:semiHidden/>
    <w:pPr>
      <w:shd w:val="clear" w:color="auto" w:fill="000080"/>
    </w:pPr>
    <w:rPr>
      <w:sz w:val="20"/>
    </w:rPr>
  </w:style>
  <w:style w:type="character" w:styleId="694">
    <w:name w:val="文档结构图 字符"/>
    <w:next w:val="694"/>
    <w:link w:val="693"/>
    <w:semiHidden/>
    <w:rPr>
      <w:rFonts w:ascii="Times New Roman" w:hAnsi="Times New Roman" w:eastAsia="宋体" w:cs="Times New Roman"/>
      <w:szCs w:val="21"/>
      <w:shd w:val="clear" w:color="auto" w:fill="000080"/>
    </w:rPr>
  </w:style>
  <w:style w:type="paragraph" w:styleId="695">
    <w:name w:val="批注文字"/>
    <w:basedOn w:val="668"/>
    <w:next w:val="695"/>
    <w:link w:val="696"/>
    <w:semiHidden/>
    <w:pPr>
      <w:jc w:val="left"/>
    </w:pPr>
    <w:rPr>
      <w:sz w:val="20"/>
    </w:rPr>
  </w:style>
  <w:style w:type="character" w:styleId="696">
    <w:name w:val="批注文字 字符"/>
    <w:next w:val="696"/>
    <w:link w:val="695"/>
    <w:semiHidden/>
    <w:rPr>
      <w:rFonts w:ascii="Times New Roman" w:hAnsi="Times New Roman" w:eastAsia="宋体" w:cs="Times New Roman"/>
      <w:szCs w:val="21"/>
    </w:rPr>
  </w:style>
  <w:style w:type="paragraph" w:styleId="697">
    <w:name w:val="正文文本 3"/>
    <w:basedOn w:val="668"/>
    <w:next w:val="697"/>
    <w:link w:val="698"/>
    <w:rPr>
      <w:rFonts w:ascii="仿宋_GB2312" w:hAnsi="Arial" w:eastAsia="仿宋_GB2312"/>
      <w:sz w:val="32"/>
      <w:szCs w:val="32"/>
    </w:rPr>
  </w:style>
  <w:style w:type="character" w:styleId="698">
    <w:name w:val="正文文本 3 字符"/>
    <w:next w:val="698"/>
    <w:link w:val="697"/>
    <w:rPr>
      <w:rFonts w:ascii="仿宋_GB2312" w:hAnsi="Arial" w:eastAsia="仿宋_GB2312" w:cs="Times New Roman"/>
      <w:sz w:val="32"/>
      <w:szCs w:val="32"/>
    </w:rPr>
  </w:style>
  <w:style w:type="paragraph" w:styleId="699">
    <w:name w:val="正文文本"/>
    <w:basedOn w:val="668"/>
    <w:next w:val="699"/>
    <w:link w:val="700"/>
    <w:rPr>
      <w:rFonts w:ascii="楷体_GB2312" w:hAnsi="Arial" w:eastAsia="楷体_GB2312"/>
      <w:sz w:val="28"/>
      <w:szCs w:val="28"/>
    </w:rPr>
  </w:style>
  <w:style w:type="character" w:styleId="700">
    <w:name w:val="正文文本 字符"/>
    <w:next w:val="700"/>
    <w:link w:val="699"/>
    <w:rPr>
      <w:rFonts w:ascii="楷体_GB2312" w:hAnsi="Arial" w:eastAsia="楷体_GB2312" w:cs="Times New Roman"/>
      <w:sz w:val="28"/>
      <w:szCs w:val="28"/>
    </w:rPr>
  </w:style>
  <w:style w:type="paragraph" w:styleId="701">
    <w:name w:val="正文文本缩进"/>
    <w:basedOn w:val="668"/>
    <w:next w:val="701"/>
    <w:link w:val="702"/>
    <w:pPr>
      <w:ind w:firstLine="645"/>
    </w:pPr>
    <w:rPr>
      <w:rFonts w:ascii="楷体_GB2312" w:eastAsia="楷体_GB2312"/>
      <w:sz w:val="32"/>
      <w:szCs w:val="32"/>
    </w:rPr>
  </w:style>
  <w:style w:type="character" w:styleId="702">
    <w:name w:val="正文文本缩进 字符"/>
    <w:next w:val="702"/>
    <w:link w:val="701"/>
    <w:rPr>
      <w:rFonts w:ascii="楷体_GB2312" w:hAnsi="Times New Roman" w:eastAsia="楷体_GB2312" w:cs="Times New Roman"/>
      <w:sz w:val="32"/>
      <w:szCs w:val="32"/>
    </w:rPr>
  </w:style>
  <w:style w:type="paragraph" w:styleId="703">
    <w:name w:val="列表 2"/>
    <w:basedOn w:val="668"/>
    <w:next w:val="703"/>
    <w:link w:val="668"/>
    <w:pPr>
      <w:ind w:left="100" w:hanging="200"/>
    </w:pPr>
  </w:style>
  <w:style w:type="paragraph" w:styleId="704">
    <w:name w:val="目录 5"/>
    <w:basedOn w:val="668"/>
    <w:next w:val="668"/>
    <w:link w:val="668"/>
    <w:semiHidden/>
    <w:pPr>
      <w:ind w:left="840"/>
      <w:jc w:val="left"/>
    </w:pPr>
  </w:style>
  <w:style w:type="paragraph" w:styleId="705">
    <w:name w:val="目录 3"/>
    <w:basedOn w:val="668"/>
    <w:next w:val="668"/>
    <w:link w:val="668"/>
    <w:semiHidden/>
    <w:pPr>
      <w:ind w:left="420"/>
      <w:jc w:val="left"/>
    </w:pPr>
    <w:rPr>
      <w:i/>
      <w:iCs/>
      <w:szCs w:val="24"/>
    </w:rPr>
  </w:style>
  <w:style w:type="paragraph" w:styleId="706">
    <w:name w:val="纯文本"/>
    <w:basedOn w:val="668"/>
    <w:next w:val="706"/>
    <w:link w:val="707"/>
    <w:rPr>
      <w:rFonts w:ascii="宋体" w:hAnsi="Courier New"/>
      <w:sz w:val="20"/>
    </w:rPr>
  </w:style>
  <w:style w:type="character" w:styleId="707">
    <w:name w:val="纯文本 字符"/>
    <w:next w:val="707"/>
    <w:link w:val="706"/>
    <w:rPr>
      <w:rFonts w:ascii="宋体" w:hAnsi="Courier New" w:eastAsia="宋体" w:cs="Courier New"/>
      <w:szCs w:val="21"/>
    </w:rPr>
  </w:style>
  <w:style w:type="paragraph" w:styleId="708">
    <w:name w:val="目录 8"/>
    <w:basedOn w:val="668"/>
    <w:next w:val="668"/>
    <w:link w:val="668"/>
    <w:semiHidden/>
    <w:pPr>
      <w:ind w:left="1470"/>
      <w:jc w:val="left"/>
    </w:pPr>
  </w:style>
  <w:style w:type="paragraph" w:styleId="709">
    <w:name w:val="日期"/>
    <w:basedOn w:val="668"/>
    <w:next w:val="668"/>
    <w:link w:val="710"/>
    <w:rPr>
      <w:sz w:val="24"/>
      <w:szCs w:val="24"/>
    </w:rPr>
  </w:style>
  <w:style w:type="character" w:styleId="710">
    <w:name w:val="日期 字符"/>
    <w:next w:val="710"/>
    <w:link w:val="709"/>
    <w:rPr>
      <w:rFonts w:ascii="Times New Roman" w:hAnsi="Times New Roman" w:eastAsia="宋体" w:cs="Times New Roman"/>
      <w:sz w:val="24"/>
      <w:szCs w:val="24"/>
    </w:rPr>
  </w:style>
  <w:style w:type="paragraph" w:styleId="711">
    <w:name w:val="正文文本缩进 2"/>
    <w:basedOn w:val="668"/>
    <w:next w:val="711"/>
    <w:link w:val="712"/>
    <w:pPr>
      <w:ind w:left="630" w:firstLine="645"/>
    </w:pPr>
    <w:rPr>
      <w:rFonts w:ascii="Arial" w:hAnsi="Arial" w:eastAsia="仿宋_GB2312"/>
      <w:sz w:val="32"/>
      <w:szCs w:val="32"/>
    </w:rPr>
  </w:style>
  <w:style w:type="character" w:styleId="712">
    <w:name w:val="正文文本缩进 2 字符"/>
    <w:next w:val="712"/>
    <w:link w:val="711"/>
    <w:rPr>
      <w:rFonts w:ascii="Arial" w:hAnsi="Arial" w:eastAsia="仿宋_GB2312" w:cs="Arial"/>
      <w:sz w:val="32"/>
      <w:szCs w:val="32"/>
    </w:rPr>
  </w:style>
  <w:style w:type="paragraph" w:styleId="713">
    <w:name w:val="批注框文本"/>
    <w:basedOn w:val="668"/>
    <w:next w:val="713"/>
    <w:link w:val="714"/>
    <w:semiHidden/>
    <w:rPr>
      <w:sz w:val="18"/>
      <w:szCs w:val="18"/>
    </w:rPr>
  </w:style>
  <w:style w:type="character" w:styleId="714">
    <w:name w:val="批注框文本 字符"/>
    <w:next w:val="714"/>
    <w:link w:val="713"/>
    <w:semiHidden/>
    <w:rPr>
      <w:rFonts w:ascii="Times New Roman" w:hAnsi="Times New Roman" w:eastAsia="宋体" w:cs="Times New Roman"/>
      <w:sz w:val="18"/>
      <w:szCs w:val="18"/>
    </w:rPr>
  </w:style>
  <w:style w:type="paragraph" w:styleId="715">
    <w:name w:val="页脚"/>
    <w:basedOn w:val="668"/>
    <w:next w:val="715"/>
    <w:link w:val="716"/>
    <w:pPr>
      <w:jc w:val="left"/>
      <w:tabs>
        <w:tab w:val="center" w:pos="4153" w:leader="none"/>
        <w:tab w:val="right" w:pos="8306" w:leader="none"/>
      </w:tabs>
    </w:pPr>
    <w:rPr>
      <w:sz w:val="18"/>
      <w:szCs w:val="18"/>
    </w:rPr>
  </w:style>
  <w:style w:type="character" w:styleId="716">
    <w:name w:val="页脚 字符"/>
    <w:next w:val="716"/>
    <w:link w:val="715"/>
    <w:rPr>
      <w:rFonts w:ascii="Times New Roman" w:hAnsi="Times New Roman" w:eastAsia="宋体" w:cs="Times New Roman"/>
      <w:sz w:val="18"/>
      <w:szCs w:val="18"/>
    </w:rPr>
  </w:style>
  <w:style w:type="paragraph" w:styleId="717">
    <w:name w:val="页眉"/>
    <w:basedOn w:val="668"/>
    <w:next w:val="717"/>
    <w:link w:val="718"/>
    <w:uiPriority w:val="99"/>
    <w:qFormat/>
    <w:pPr>
      <w:jc w:val="center"/>
      <w:tabs>
        <w:tab w:val="center" w:pos="4153" w:leader="none"/>
        <w:tab w:val="right" w:pos="8306" w:leader="none"/>
      </w:tabs>
      <w:pBdr>
        <w:bottom w:val="single" w:color="000000" w:sz="6" w:space="1"/>
      </w:pBdr>
    </w:pPr>
    <w:rPr>
      <w:sz w:val="18"/>
      <w:szCs w:val="18"/>
    </w:rPr>
  </w:style>
  <w:style w:type="character" w:styleId="718">
    <w:name w:val="页眉 字符"/>
    <w:next w:val="718"/>
    <w:link w:val="717"/>
    <w:uiPriority w:val="99"/>
    <w:qFormat/>
    <w:rPr>
      <w:rFonts w:ascii="Times New Roman" w:hAnsi="Times New Roman" w:eastAsia="宋体" w:cs="Times New Roman"/>
      <w:sz w:val="18"/>
      <w:szCs w:val="18"/>
    </w:rPr>
  </w:style>
  <w:style w:type="paragraph" w:styleId="719">
    <w:name w:val="目录 1"/>
    <w:basedOn w:val="668"/>
    <w:next w:val="668"/>
    <w:link w:val="668"/>
    <w:semiHidden/>
    <w:pPr>
      <w:jc w:val="left"/>
      <w:spacing w:before="120" w:after="120" w:line="400" w:lineRule="exact"/>
      <w:tabs>
        <w:tab w:val="right" w:pos="8720" w:leader="dot"/>
      </w:tabs>
    </w:pPr>
    <w:rPr>
      <w:rFonts w:ascii="宋体" w:hAnsi="宋体"/>
      <w:caps/>
      <w:sz w:val="24"/>
      <w:szCs w:val="24"/>
    </w:rPr>
  </w:style>
  <w:style w:type="paragraph" w:styleId="720">
    <w:name w:val="目录 4"/>
    <w:basedOn w:val="668"/>
    <w:next w:val="668"/>
    <w:link w:val="668"/>
    <w:semiHidden/>
    <w:pPr>
      <w:ind w:left="630"/>
      <w:jc w:val="left"/>
    </w:pPr>
  </w:style>
  <w:style w:type="paragraph" w:styleId="721">
    <w:name w:val="列表"/>
    <w:basedOn w:val="668"/>
    <w:next w:val="721"/>
    <w:link w:val="668"/>
    <w:pPr>
      <w:ind w:left="200" w:hanging="200"/>
    </w:pPr>
  </w:style>
  <w:style w:type="paragraph" w:styleId="722">
    <w:name w:val="目录 6"/>
    <w:basedOn w:val="668"/>
    <w:next w:val="668"/>
    <w:link w:val="668"/>
    <w:semiHidden/>
    <w:pPr>
      <w:ind w:left="1050"/>
      <w:jc w:val="left"/>
    </w:pPr>
  </w:style>
  <w:style w:type="paragraph" w:styleId="723">
    <w:name w:val="正文文本缩进 3"/>
    <w:basedOn w:val="668"/>
    <w:next w:val="723"/>
    <w:link w:val="724"/>
    <w:pPr>
      <w:ind w:left="645" w:firstLine="645"/>
    </w:pPr>
    <w:rPr>
      <w:rFonts w:ascii="Arial" w:hAnsi="Arial" w:eastAsia="仿宋_GB2312"/>
      <w:color w:val="ffff00"/>
      <w:sz w:val="32"/>
      <w:szCs w:val="32"/>
    </w:rPr>
  </w:style>
  <w:style w:type="character" w:styleId="724">
    <w:name w:val="正文文本缩进 3 字符"/>
    <w:next w:val="724"/>
    <w:link w:val="723"/>
    <w:rPr>
      <w:rFonts w:ascii="Arial" w:hAnsi="Arial" w:eastAsia="仿宋_GB2312" w:cs="Arial"/>
      <w:color w:val="ffff00"/>
      <w:sz w:val="32"/>
      <w:szCs w:val="32"/>
    </w:rPr>
  </w:style>
  <w:style w:type="paragraph" w:styleId="725">
    <w:name w:val="图表目录"/>
    <w:basedOn w:val="668"/>
    <w:next w:val="668"/>
    <w:link w:val="668"/>
    <w:semiHidden/>
    <w:pPr>
      <w:ind w:left="840" w:hanging="420"/>
    </w:pPr>
  </w:style>
  <w:style w:type="paragraph" w:styleId="726">
    <w:name w:val="目录 2"/>
    <w:basedOn w:val="668"/>
    <w:next w:val="668"/>
    <w:link w:val="668"/>
    <w:semiHidden/>
    <w:pPr>
      <w:ind w:left="210"/>
      <w:jc w:val="left"/>
    </w:pPr>
    <w:rPr>
      <w:smallCaps/>
      <w:szCs w:val="24"/>
    </w:rPr>
  </w:style>
  <w:style w:type="paragraph" w:styleId="727">
    <w:name w:val="目录 9"/>
    <w:basedOn w:val="668"/>
    <w:next w:val="668"/>
    <w:link w:val="668"/>
    <w:semiHidden/>
    <w:pPr>
      <w:ind w:left="1680"/>
      <w:jc w:val="left"/>
    </w:pPr>
  </w:style>
  <w:style w:type="paragraph" w:styleId="728">
    <w:name w:val="正文文本 2"/>
    <w:basedOn w:val="668"/>
    <w:next w:val="728"/>
    <w:link w:val="729"/>
    <w:pPr>
      <w:jc w:val="center"/>
      <w:widowControl/>
    </w:pPr>
    <w:rPr>
      <w:rFonts w:ascii="楷体_GB2312" w:eastAsia="楷体_GB2312"/>
      <w:sz w:val="28"/>
      <w:szCs w:val="28"/>
    </w:rPr>
  </w:style>
  <w:style w:type="character" w:styleId="729">
    <w:name w:val="正文文本 2 字符"/>
    <w:next w:val="729"/>
    <w:link w:val="728"/>
    <w:rPr>
      <w:rFonts w:ascii="楷体_GB2312" w:hAnsi="Times New Roman" w:eastAsia="楷体_GB2312" w:cs="Times New Roman"/>
      <w:sz w:val="28"/>
      <w:szCs w:val="28"/>
    </w:rPr>
  </w:style>
  <w:style w:type="paragraph" w:styleId="730">
    <w:name w:val="HTML 预设格式"/>
    <w:basedOn w:val="668"/>
    <w:next w:val="730"/>
    <w:link w:val="731"/>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731">
    <w:name w:val="HTML 预设格式 字符"/>
    <w:next w:val="731"/>
    <w:link w:val="730"/>
    <w:uiPriority w:val="99"/>
    <w:semiHidden/>
    <w:rPr>
      <w:rFonts w:ascii="宋体" w:hAnsi="宋体" w:cs="宋体"/>
      <w:sz w:val="24"/>
      <w:szCs w:val="24"/>
    </w:rPr>
  </w:style>
  <w:style w:type="paragraph" w:styleId="732">
    <w:name w:val="普通(网站)"/>
    <w:basedOn w:val="668"/>
    <w:next w:val="732"/>
    <w:link w:val="668"/>
    <w:uiPriority w:val="99"/>
    <w:pPr>
      <w:jc w:val="left"/>
      <w:spacing w:before="100" w:beforeAutospacing="1" w:after="100" w:afterAutospacing="1"/>
      <w:widowControl/>
    </w:pPr>
    <w:rPr>
      <w:rFonts w:ascii="宋体" w:hAnsi="宋体" w:cs="宋体"/>
      <w:sz w:val="24"/>
      <w:szCs w:val="24"/>
    </w:rPr>
  </w:style>
  <w:style w:type="paragraph" w:styleId="733">
    <w:name w:val="索引 1"/>
    <w:basedOn w:val="668"/>
    <w:next w:val="668"/>
    <w:link w:val="668"/>
    <w:semiHidden/>
    <w:pPr>
      <w:spacing w:line="240" w:lineRule="atLeast"/>
    </w:pPr>
    <w:rPr>
      <w:b/>
      <w:bCs/>
    </w:rPr>
  </w:style>
  <w:style w:type="paragraph" w:styleId="734">
    <w:name w:val="批注主题"/>
    <w:basedOn w:val="695"/>
    <w:next w:val="695"/>
    <w:link w:val="735"/>
    <w:semiHidden/>
    <w:rPr>
      <w:b/>
      <w:bCs/>
    </w:rPr>
  </w:style>
  <w:style w:type="character" w:styleId="735">
    <w:name w:val="批注主题 字符"/>
    <w:next w:val="735"/>
    <w:link w:val="734"/>
    <w:semiHidden/>
    <w:rPr>
      <w:rFonts w:ascii="Times New Roman" w:hAnsi="Times New Roman" w:eastAsia="宋体" w:cs="Times New Roman"/>
      <w:b/>
      <w:bCs/>
      <w:szCs w:val="21"/>
    </w:rPr>
  </w:style>
  <w:style w:type="paragraph" w:styleId="736">
    <w:name w:val="正文首行缩进"/>
    <w:basedOn w:val="668"/>
    <w:next w:val="736"/>
    <w:link w:val="737"/>
    <w:pPr>
      <w:ind w:firstLine="200"/>
      <w:spacing w:line="360" w:lineRule="auto"/>
    </w:pPr>
    <w:rPr>
      <w:rFonts w:ascii="仿宋_GB2312" w:eastAsia="仿宋_GB2312"/>
      <w:sz w:val="30"/>
      <w:szCs w:val="30"/>
    </w:rPr>
  </w:style>
  <w:style w:type="character" w:styleId="737">
    <w:name w:val="正文文本首行缩进 字符"/>
    <w:next w:val="737"/>
    <w:link w:val="736"/>
    <w:rPr>
      <w:rFonts w:ascii="仿宋_GB2312" w:hAnsi="Times New Roman" w:eastAsia="仿宋_GB2312" w:cs="Times New Roman"/>
      <w:sz w:val="30"/>
      <w:szCs w:val="30"/>
    </w:rPr>
  </w:style>
  <w:style w:type="paragraph" w:styleId="738">
    <w:name w:val="正文首行缩进 2"/>
    <w:basedOn w:val="701"/>
    <w:next w:val="738"/>
    <w:link w:val="739"/>
    <w:pPr>
      <w:ind w:firstLine="420"/>
      <w:spacing w:line="360" w:lineRule="auto"/>
    </w:pPr>
    <w:rPr>
      <w:rFonts w:ascii="宋体" w:hAnsi="宋体" w:eastAsia="宋体"/>
      <w:szCs w:val="20"/>
    </w:rPr>
  </w:style>
  <w:style w:type="character" w:styleId="739">
    <w:name w:val="正文文本首行缩进 2 字符"/>
    <w:next w:val="739"/>
    <w:link w:val="738"/>
    <w:rPr>
      <w:rFonts w:ascii="宋体" w:hAnsi="宋体" w:eastAsia="宋体" w:cs="Times New Roman"/>
      <w:sz w:val="32"/>
      <w:szCs w:val="20"/>
    </w:rPr>
  </w:style>
  <w:style w:type="table" w:styleId="740">
    <w:name w:val="网格型"/>
    <w:basedOn w:val="679"/>
    <w:next w:val="740"/>
    <w:link w:val="668"/>
    <w:pPr>
      <w:jc w:val="both"/>
      <w:widowControl w:val="off"/>
    </w:pPr>
    <w:rPr>
      <w:rFonts w:ascii="Times New Roman" w:hAnsi="Times New Roman" w:eastAsia="宋体" w:cs="Times New Roman"/>
      <w:sz w:val="20"/>
      <w:szCs w:val="20"/>
    </w:rPr>
    <w:tblPr/>
  </w:style>
  <w:style w:type="character" w:styleId="741">
    <w:name w:val="要点"/>
    <w:next w:val="741"/>
    <w:link w:val="668"/>
    <w:qFormat/>
    <w:rPr>
      <w:b/>
      <w:bCs/>
    </w:rPr>
  </w:style>
  <w:style w:type="character" w:styleId="742">
    <w:name w:val="页码"/>
    <w:next w:val="742"/>
    <w:link w:val="668"/>
  </w:style>
  <w:style w:type="character" w:styleId="743">
    <w:name w:val="已访问的超链接"/>
    <w:next w:val="743"/>
    <w:link w:val="668"/>
    <w:rPr>
      <w:color w:val="800080"/>
      <w:u w:val="single"/>
    </w:rPr>
  </w:style>
  <w:style w:type="character" w:styleId="744">
    <w:name w:val="HTML 打字机"/>
    <w:next w:val="744"/>
    <w:link w:val="668"/>
    <w:uiPriority w:val="99"/>
    <w:rPr>
      <w:rFonts w:ascii="宋体" w:hAnsi="宋体" w:eastAsia="宋体" w:cs="宋体"/>
      <w:sz w:val="24"/>
      <w:szCs w:val="24"/>
    </w:rPr>
  </w:style>
  <w:style w:type="character" w:styleId="745">
    <w:name w:val="超链接"/>
    <w:next w:val="745"/>
    <w:link w:val="668"/>
    <w:rPr>
      <w:color w:val="0000ff"/>
      <w:u w:val="single"/>
    </w:rPr>
  </w:style>
  <w:style w:type="character" w:styleId="746">
    <w:name w:val="批注引用"/>
    <w:next w:val="746"/>
    <w:link w:val="668"/>
    <w:semiHidden/>
    <w:rPr>
      <w:sz w:val="21"/>
      <w:szCs w:val="21"/>
    </w:rPr>
  </w:style>
  <w:style w:type="character" w:styleId="747">
    <w:name w:val="font5 Char"/>
    <w:next w:val="747"/>
    <w:link w:val="668"/>
    <w:rPr>
      <w:rFonts w:ascii="宋体" w:hAnsi="宋体" w:eastAsia="宋体"/>
      <w:sz w:val="28"/>
      <w:szCs w:val="28"/>
      <w:lang w:val="en-US" w:eastAsia="zh-CN" w:bidi="ar-SA"/>
    </w:rPr>
  </w:style>
  <w:style w:type="character" w:styleId="748">
    <w:name w:val="二级目录 Char"/>
    <w:next w:val="748"/>
    <w:link w:val="749"/>
    <w:rPr>
      <w:b/>
      <w:sz w:val="30"/>
      <w:szCs w:val="28"/>
      <w:lang w:val="en-US" w:eastAsia="zh-CN" w:bidi="ar-SA"/>
    </w:rPr>
  </w:style>
  <w:style w:type="paragraph" w:styleId="749">
    <w:name w:val="二级目录"/>
    <w:next w:val="668"/>
    <w:link w:val="748"/>
    <w:pPr>
      <w:numPr>
        <w:ilvl w:val="0"/>
        <w:numId w:val="2"/>
      </w:numPr>
      <w:tabs>
        <w:tab w:val="left" w:pos="907" w:leader="none"/>
        <w:tab w:val="left" w:pos="1145" w:leader="none"/>
      </w:tabs>
      <w:outlineLvl w:val="1"/>
    </w:pPr>
    <w:rPr>
      <w:b/>
      <w:sz w:val="30"/>
      <w:szCs w:val="28"/>
      <w:lang w:val="en-US" w:eastAsia="zh-CN" w:bidi="ar-SA"/>
    </w:rPr>
  </w:style>
  <w:style w:type="character" w:styleId="750">
    <w:name w:val="列出段落 Char,Bullet List Char,numbered Char,FooterText Char,List Paragraph1 Char,Paragraphe de liste1 Char"/>
    <w:next w:val="750"/>
    <w:link w:val="751"/>
    <w:rPr>
      <w:rFonts w:ascii="Calibri" w:hAnsi="Calibri"/>
      <w:sz w:val="24"/>
      <w:szCs w:val="24"/>
      <w:lang w:eastAsia="en-US" w:bidi="en-US"/>
    </w:rPr>
  </w:style>
  <w:style w:type="paragraph" w:styleId="751">
    <w:name w:val="列出段落1"/>
    <w:basedOn w:val="668"/>
    <w:next w:val="751"/>
    <w:link w:val="750"/>
    <w:qFormat/>
    <w:pPr>
      <w:contextualSpacing/>
      <w:ind w:left="720"/>
      <w:jc w:val="left"/>
      <w:widowControl/>
    </w:pPr>
    <w:rPr>
      <w:rFonts w:ascii="Calibri" w:hAnsi="Calibri"/>
      <w:sz w:val="24"/>
      <w:szCs w:val="24"/>
      <w:lang w:eastAsia="en-US" w:bidi="en-US"/>
    </w:rPr>
  </w:style>
  <w:style w:type="paragraph" w:styleId="752">
    <w:name w:val="Body Text(ch)"/>
    <w:basedOn w:val="668"/>
    <w:next w:val="699"/>
    <w:link w:val="668"/>
    <w:pPr>
      <w:spacing w:after="120"/>
    </w:pPr>
    <w:rPr>
      <w:rFonts w:ascii="宋体" w:hAnsi="Arial"/>
      <w:bCs/>
      <w:iCs/>
      <w:szCs w:val="24"/>
    </w:rPr>
  </w:style>
  <w:style w:type="paragraph" w:styleId="753">
    <w:name w:val="xl27"/>
    <w:basedOn w:val="668"/>
    <w:next w:val="753"/>
    <w:link w:val="66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54">
    <w:name w:val="xl26"/>
    <w:basedOn w:val="668"/>
    <w:next w:val="754"/>
    <w:link w:val="6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55">
    <w:name w:val="Char"/>
    <w:basedOn w:val="668"/>
    <w:next w:val="755"/>
    <w:link w:val="668"/>
    <w:pPr>
      <w:ind w:firstLine="200"/>
      <w:tabs>
        <w:tab w:val="left" w:pos="360" w:leader="none"/>
      </w:tabs>
    </w:pPr>
    <w:rPr>
      <w:sz w:val="28"/>
      <w:szCs w:val="30"/>
    </w:rPr>
  </w:style>
  <w:style w:type="paragraph" w:styleId="756">
    <w:name w:val=" Char"/>
    <w:basedOn w:val="693"/>
    <w:next w:val="756"/>
    <w:link w:val="668"/>
    <w:rPr>
      <w:rFonts w:ascii="Tahoma" w:hAnsi="Tahoma"/>
      <w:sz w:val="24"/>
      <w:szCs w:val="24"/>
    </w:rPr>
  </w:style>
  <w:style w:type="paragraph" w:styleId="757">
    <w:name w:val="普通正文"/>
    <w:basedOn w:val="668"/>
    <w:next w:val="757"/>
    <w:link w:val="668"/>
    <w:pPr>
      <w:ind w:firstLine="480"/>
      <w:jc w:val="left"/>
      <w:spacing w:before="120" w:after="120" w:line="360" w:lineRule="auto"/>
    </w:pPr>
    <w:rPr>
      <w:rFonts w:ascii="Arial" w:hAnsi="Arial"/>
      <w:sz w:val="24"/>
      <w:szCs w:val="24"/>
    </w:rPr>
  </w:style>
  <w:style w:type="paragraph" w:styleId="758">
    <w:name w:val="table_lines"/>
    <w:basedOn w:val="668"/>
    <w:next w:val="758"/>
    <w:link w:val="668"/>
    <w:pPr>
      <w:jc w:val="left"/>
      <w:widowControl/>
    </w:pPr>
    <w:rPr>
      <w:sz w:val="20"/>
      <w:szCs w:val="20"/>
      <w:lang w:val="de-DE" w:eastAsia="de-DE"/>
    </w:rPr>
  </w:style>
  <w:style w:type="paragraph" w:styleId="759">
    <w:name w:val="附录1"/>
    <w:next w:val="759"/>
    <w:link w:val="66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60">
    <w:name w:val="font7"/>
    <w:basedOn w:val="668"/>
    <w:next w:val="760"/>
    <w:link w:val="668"/>
    <w:pPr>
      <w:jc w:val="left"/>
      <w:spacing w:before="100" w:beforeAutospacing="1" w:after="100" w:afterAutospacing="1"/>
      <w:widowControl/>
    </w:pPr>
    <w:rPr>
      <w:rFonts w:hint="eastAsia" w:ascii="宋体" w:hAnsi="宋体"/>
      <w:sz w:val="18"/>
      <w:szCs w:val="18"/>
    </w:rPr>
  </w:style>
  <w:style w:type="paragraph" w:styleId="761">
    <w:name w:val=" Char Char Char Char"/>
    <w:basedOn w:val="693"/>
    <w:next w:val="761"/>
    <w:link w:val="668"/>
    <w:pPr>
      <w:spacing w:line="360" w:lineRule="auto"/>
    </w:pPr>
    <w:rPr>
      <w:rFonts w:ascii="Tahoma" w:hAnsi="Tahoma"/>
      <w:sz w:val="24"/>
      <w:szCs w:val="24"/>
    </w:rPr>
  </w:style>
  <w:style w:type="paragraph" w:styleId="762">
    <w:name w:val="列表段落"/>
    <w:basedOn w:val="668"/>
    <w:next w:val="762"/>
    <w:link w:val="668"/>
    <w:uiPriority w:val="99"/>
    <w:qFormat/>
    <w:pPr>
      <w:contextualSpacing/>
      <w:ind w:left="720"/>
      <w:jc w:val="left"/>
      <w:widowControl/>
    </w:pPr>
    <w:rPr>
      <w:rFonts w:ascii="Calibri" w:hAnsi="Calibri"/>
      <w:sz w:val="24"/>
      <w:szCs w:val="24"/>
      <w:lang w:eastAsia="en-US" w:bidi="en-US"/>
    </w:rPr>
  </w:style>
  <w:style w:type="paragraph" w:styleId="763">
    <w:name w:val="4"/>
    <w:basedOn w:val="668"/>
    <w:next w:val="723"/>
    <w:link w:val="668"/>
    <w:pPr>
      <w:ind w:firstLine="420"/>
      <w:spacing w:line="360" w:lineRule="auto"/>
    </w:pPr>
    <w:rPr>
      <w:color w:val="ff0000"/>
      <w:sz w:val="24"/>
      <w:szCs w:val="24"/>
    </w:rPr>
  </w:style>
  <w:style w:type="paragraph" w:styleId="764">
    <w:name w:val="普通 (Web)"/>
    <w:basedOn w:val="668"/>
    <w:next w:val="764"/>
    <w:link w:val="668"/>
    <w:pPr>
      <w:jc w:val="left"/>
      <w:spacing w:before="100" w:beforeAutospacing="1" w:after="100" w:afterAutospacing="1"/>
      <w:widowControl/>
    </w:pPr>
    <w:rPr>
      <w:rFonts w:ascii="宋体" w:hAnsi="宋体"/>
      <w:sz w:val="24"/>
      <w:szCs w:val="24"/>
    </w:rPr>
  </w:style>
  <w:style w:type="paragraph" w:styleId="765">
    <w:name w:val=" Char Char Char Char Char Char Char Char Char Char"/>
    <w:basedOn w:val="668"/>
    <w:next w:val="765"/>
    <w:link w:val="668"/>
    <w:pPr>
      <w:spacing w:line="360" w:lineRule="auto"/>
    </w:pPr>
    <w:rPr>
      <w:sz w:val="24"/>
      <w:szCs w:val="20"/>
    </w:rPr>
  </w:style>
  <w:style w:type="paragraph" w:styleId="766">
    <w:name w:val="样式1"/>
    <w:basedOn w:val="668"/>
    <w:next w:val="766"/>
    <w:link w:val="668"/>
    <w:pPr>
      <w:numPr>
        <w:ilvl w:val="0"/>
        <w:numId w:val="3"/>
      </w:numPr>
      <w:tabs>
        <w:tab w:val="left" w:pos="709" w:leader="none"/>
      </w:tabs>
    </w:pPr>
    <w:rPr>
      <w:rFonts w:ascii="宋体" w:hAnsi="宋体"/>
    </w:rPr>
  </w:style>
  <w:style w:type="paragraph" w:styleId="767">
    <w:name w:val="font6"/>
    <w:basedOn w:val="668"/>
    <w:next w:val="767"/>
    <w:link w:val="668"/>
    <w:pPr>
      <w:jc w:val="left"/>
      <w:spacing w:before="100" w:beforeAutospacing="1" w:after="100" w:afterAutospacing="1"/>
      <w:widowControl/>
    </w:pPr>
    <w:rPr>
      <w:rFonts w:hint="eastAsia" w:ascii="宋体" w:hAnsi="宋体"/>
      <w:sz w:val="28"/>
      <w:szCs w:val="28"/>
      <w:u w:val="single"/>
    </w:rPr>
  </w:style>
  <w:style w:type="paragraph" w:styleId="768">
    <w:name w:val="xl25"/>
    <w:basedOn w:val="668"/>
    <w:next w:val="768"/>
    <w:link w:val="66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9">
    <w:name w:val="图标"/>
    <w:basedOn w:val="668"/>
    <w:next w:val="668"/>
    <w:link w:val="66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0">
    <w:name w:val="标题3"/>
    <w:basedOn w:val="668"/>
    <w:next w:val="668"/>
    <w:link w:val="668"/>
    <w:pPr>
      <w:ind w:firstLine="624"/>
      <w:spacing w:line="590" w:lineRule="atLeast"/>
    </w:pPr>
    <w:rPr>
      <w:rFonts w:ascii="方正黑体_GBK" w:eastAsia="方正黑体_GBK"/>
      <w:sz w:val="32"/>
      <w:szCs w:val="32"/>
    </w:rPr>
  </w:style>
  <w:style w:type="paragraph" w:styleId="771">
    <w:name w:val="xl24"/>
    <w:basedOn w:val="668"/>
    <w:next w:val="771"/>
    <w:link w:val="66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2">
    <w:name w:val="xl29"/>
    <w:basedOn w:val="668"/>
    <w:next w:val="772"/>
    <w:link w:val="66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73">
    <w:name w:val="Char Char Char Char Char Char Char Char"/>
    <w:basedOn w:val="668"/>
    <w:next w:val="773"/>
    <w:link w:val="668"/>
    <w:pPr>
      <w:jc w:val="left"/>
      <w:spacing w:after="160" w:line="240" w:lineRule="exact"/>
      <w:widowControl/>
    </w:pPr>
    <w:rPr>
      <w:rFonts w:ascii="Verdana" w:hAnsi="Verdana"/>
      <w:sz w:val="20"/>
      <w:szCs w:val="20"/>
      <w:lang w:eastAsia="en-US"/>
    </w:rPr>
  </w:style>
  <w:style w:type="paragraph" w:styleId="774">
    <w:name w:val="xl28"/>
    <w:basedOn w:val="668"/>
    <w:next w:val="774"/>
    <w:link w:val="66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75">
    <w:name w:val=" Char Char Char Char Char Char Char Char"/>
    <w:basedOn w:val="668"/>
    <w:next w:val="775"/>
    <w:link w:val="668"/>
    <w:pPr>
      <w:jc w:val="left"/>
      <w:spacing w:after="160" w:line="240" w:lineRule="exact"/>
      <w:widowControl/>
    </w:pPr>
    <w:rPr>
      <w:rFonts w:ascii="Verdana" w:hAnsi="Verdana"/>
      <w:sz w:val="20"/>
      <w:szCs w:val="20"/>
      <w:lang w:eastAsia="en-US"/>
    </w:rPr>
  </w:style>
  <w:style w:type="paragraph" w:styleId="776">
    <w:name w:val="xl30"/>
    <w:basedOn w:val="668"/>
    <w:next w:val="776"/>
    <w:link w:val="668"/>
    <w:pPr>
      <w:jc w:val="center"/>
      <w:spacing w:before="100" w:beforeAutospacing="1" w:after="100" w:afterAutospacing="1"/>
      <w:widowControl/>
    </w:pPr>
    <w:rPr>
      <w:rFonts w:ascii="宋体" w:hAnsi="宋体"/>
      <w:b/>
      <w:bCs/>
      <w:sz w:val="36"/>
      <w:szCs w:val="36"/>
    </w:rPr>
  </w:style>
  <w:style w:type="paragraph" w:styleId="777">
    <w:name w:val="Char Char Char Char"/>
    <w:basedOn w:val="693"/>
    <w:next w:val="777"/>
    <w:link w:val="668"/>
    <w:pPr>
      <w:spacing w:line="360" w:lineRule="auto"/>
    </w:pPr>
    <w:rPr>
      <w:rFonts w:ascii="Tahoma" w:hAnsi="Tahoma"/>
      <w:sz w:val="24"/>
      <w:szCs w:val="24"/>
    </w:rPr>
  </w:style>
  <w:style w:type="paragraph" w:styleId="778">
    <w:name w:val="table_1stline"/>
    <w:basedOn w:val="668"/>
    <w:next w:val="778"/>
    <w:link w:val="668"/>
    <w:pPr>
      <w:jc w:val="left"/>
      <w:spacing w:before="120"/>
      <w:widowControl/>
    </w:pPr>
    <w:rPr>
      <w:bCs/>
      <w:sz w:val="20"/>
      <w:szCs w:val="20"/>
      <w:lang w:val="de-DE" w:eastAsia="de-DE"/>
    </w:rPr>
  </w:style>
  <w:style w:type="paragraph" w:styleId="779">
    <w:name w:val="font5"/>
    <w:basedOn w:val="668"/>
    <w:next w:val="779"/>
    <w:link w:val="668"/>
    <w:pPr>
      <w:jc w:val="left"/>
      <w:spacing w:before="100" w:beforeAutospacing="1" w:after="100" w:afterAutospacing="1"/>
      <w:widowControl/>
    </w:pPr>
    <w:rPr>
      <w:rFonts w:hint="eastAsia" w:ascii="宋体" w:hAnsi="宋体"/>
      <w:sz w:val="28"/>
      <w:szCs w:val="28"/>
    </w:rPr>
  </w:style>
  <w:style w:type="paragraph" w:styleId="780">
    <w:name w:val="标题1"/>
    <w:basedOn w:val="668"/>
    <w:next w:val="668"/>
    <w:link w:val="668"/>
    <w:pPr>
      <w:jc w:val="center"/>
      <w:spacing w:line="700" w:lineRule="atLeast"/>
      <w:tabs>
        <w:tab w:val="left" w:pos="9193" w:leader="none"/>
        <w:tab w:val="left" w:pos="9827" w:leader="none"/>
      </w:tabs>
    </w:pPr>
    <w:rPr>
      <w:rFonts w:ascii="方正小标宋_GBK" w:eastAsia="方正小标宋_GBK"/>
      <w:sz w:val="44"/>
      <w:szCs w:val="20"/>
    </w:rPr>
  </w:style>
  <w:style w:type="paragraph" w:styleId="781">
    <w:name w:val="修订"/>
    <w:next w:val="781"/>
    <w:link w:val="668"/>
    <w:uiPriority w:val="99"/>
    <w:semiHidden/>
    <w:rPr>
      <w:rFonts w:ascii="Times New Roman" w:hAnsi="Times New Roman"/>
      <w:sz w:val="21"/>
      <w:szCs w:val="21"/>
      <w:lang w:val="en-US" w:eastAsia="zh-CN" w:bidi="ar-SA"/>
    </w:rPr>
  </w:style>
  <w:style w:type="paragraph" w:styleId="782">
    <w:name w:val="无间隔"/>
    <w:next w:val="782"/>
    <w:link w:val="668"/>
    <w:uiPriority w:val="99"/>
    <w:qFormat/>
    <w:pPr>
      <w:jc w:val="both"/>
      <w:widowControl w:val="off"/>
    </w:pPr>
    <w:rPr>
      <w:rFonts w:ascii="Times New Roman" w:hAnsi="Times New Roman"/>
      <w:sz w:val="21"/>
      <w:szCs w:val="21"/>
      <w:lang w:val="en-US" w:eastAsia="zh-CN" w:bidi="ar-SA"/>
    </w:rPr>
  </w:style>
  <w:style w:type="paragraph" w:styleId="783">
    <w:name w:val="普通文字"/>
    <w:basedOn w:val="668"/>
    <w:next w:val="668"/>
    <w:link w:val="668"/>
    <w:uiPriority w:val="99"/>
    <w:rPr>
      <w:rFonts w:ascii="宋体" w:hAnsi="Times New Roman" w:eastAsia="宋体" w:cs="Times New Roman"/>
      <w:sz w:val="24"/>
      <w:szCs w:val="20"/>
      <w:u w:val="none"/>
    </w:rPr>
  </w:style>
  <w:style w:type="paragraph" w:styleId="784">
    <w:name w:val="目录 111"/>
    <w:basedOn w:val="668"/>
    <w:next w:val="668"/>
    <w:link w:val="668"/>
    <w:uiPriority w:val="39"/>
    <w:unhideWhenUsed/>
    <w:qFormat/>
    <w:pPr>
      <w:jc w:val="left"/>
      <w:spacing w:after="100" w:line="259" w:lineRule="auto"/>
      <w:widowControl/>
    </w:pPr>
    <w:rPr>
      <w:rFonts w:ascii="Calibri" w:hAnsi="Calibri" w:eastAsia="宋体"/>
      <w:sz w:val="22"/>
      <w:szCs w:val="22"/>
    </w:rPr>
  </w:style>
  <w:style w:type="paragraph" w:styleId="785">
    <w:name w:val="Default"/>
    <w:next w:val="668"/>
    <w:link w:val="668"/>
    <w:qFormat/>
    <w:pPr>
      <w:widowControl w:val="off"/>
    </w:pPr>
    <w:rPr>
      <w:rFonts w:ascii="宋体" w:cs="宋体"/>
      <w:color w:val="000000"/>
      <w:sz w:val="24"/>
      <w:szCs w:val="24"/>
      <w:lang w:val="en-US" w:eastAsia="zh-CN" w:bidi="ar-SA"/>
    </w:rPr>
  </w:style>
  <w:style w:type="character" w:styleId="9950" w:default="1">
    <w:name w:val="Default Paragraph Font"/>
    <w:uiPriority w:val="1"/>
    <w:semiHidden/>
    <w:unhideWhenUsed/>
  </w:style>
  <w:style w:type="numbering" w:styleId="9951" w:default="1">
    <w:name w:val="No List"/>
    <w:uiPriority w:val="99"/>
    <w:semiHidden/>
    <w:unhideWhenUsed/>
  </w:style>
  <w:style w:type="table" w:styleId="99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黄若人</cp:lastModifiedBy>
  <cp:revision>7</cp:revision>
  <dcterms:created xsi:type="dcterms:W3CDTF">2023-03-16T02:16:00Z</dcterms:created>
  <dcterms:modified xsi:type="dcterms:W3CDTF">2026-06-17T08:46:14Z</dcterms:modified>
</cp:coreProperties>
</file>