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75B07">
      <w:pPr>
        <w:keepNext w:val="0"/>
        <w:keepLines w:val="0"/>
        <w:spacing w:line="360" w:lineRule="auto"/>
        <w:rPr>
          <w:rFonts w:hint="eastAsia" w:ascii="宋体" w:hAnsi="宋体" w:eastAsia="宋体" w:cs="宋体"/>
          <w:color w:val="auto"/>
          <w:highlight w:val="none"/>
          <w:lang w:eastAsia="zh-CN"/>
        </w:rPr>
      </w:pPr>
    </w:p>
    <w:p w14:paraId="66E20A90">
      <w:pPr>
        <w:keepNext w:val="0"/>
        <w:keepLines w:val="0"/>
        <w:spacing w:line="360" w:lineRule="auto"/>
        <w:rPr>
          <w:rFonts w:hint="eastAsia" w:ascii="宋体" w:hAnsi="宋体" w:eastAsia="宋体" w:cs="宋体"/>
          <w:color w:val="auto"/>
          <w:highlight w:val="none"/>
        </w:rPr>
      </w:pPr>
    </w:p>
    <w:p w14:paraId="5661DAFC">
      <w:pPr>
        <w:keepNext w:val="0"/>
        <w:keepLines w:val="0"/>
        <w:spacing w:line="360" w:lineRule="auto"/>
        <w:ind w:firstLine="320"/>
        <w:jc w:val="right"/>
        <w:rPr>
          <w:rFonts w:hint="eastAsia" w:ascii="宋体" w:hAnsi="宋体" w:eastAsia="宋体" w:cs="宋体"/>
          <w:color w:val="auto"/>
          <w:highlight w:val="none"/>
        </w:rPr>
      </w:pPr>
      <w:r>
        <w:rPr>
          <w:rFonts w:hint="eastAsia" w:ascii="宋体" w:hAnsi="宋体" w:eastAsia="宋体" w:cs="宋体"/>
          <w:color w:val="auto"/>
          <w:sz w:val="32"/>
          <w:highlight w:val="none"/>
        </w:rPr>
        <w:t xml:space="preserve">           </w:t>
      </w:r>
    </w:p>
    <w:p w14:paraId="7C489805">
      <w:pPr>
        <w:keepNext w:val="0"/>
        <w:keepLines w:val="0"/>
        <w:spacing w:line="360" w:lineRule="auto"/>
        <w:jc w:val="center"/>
        <w:rPr>
          <w:rFonts w:hint="eastAsia" w:ascii="宋体" w:hAnsi="宋体" w:eastAsia="宋体" w:cs="宋体"/>
          <w:color w:val="auto"/>
          <w:spacing w:val="76"/>
          <w:sz w:val="144"/>
          <w:highlight w:val="none"/>
        </w:rPr>
      </w:pPr>
      <w:r>
        <w:rPr>
          <w:rFonts w:hint="eastAsia" w:ascii="宋体" w:hAnsi="宋体" w:eastAsia="宋体" w:cs="宋体"/>
          <w:color w:val="auto"/>
          <w:spacing w:val="76"/>
          <w:sz w:val="144"/>
          <w:highlight w:val="none"/>
        </w:rPr>
        <w:t>招标文件</w:t>
      </w:r>
    </w:p>
    <w:p w14:paraId="66BAF3D0">
      <w:pPr>
        <w:pStyle w:val="34"/>
        <w:keepNext w:val="0"/>
        <w:keepLines w:val="0"/>
        <w:spacing w:line="360" w:lineRule="auto"/>
        <w:rPr>
          <w:rFonts w:hint="eastAsia" w:ascii="宋体" w:hAnsi="宋体" w:eastAsia="宋体" w:cs="宋体"/>
          <w:highlight w:val="none"/>
        </w:rPr>
      </w:pPr>
    </w:p>
    <w:p w14:paraId="2E35A38A">
      <w:pPr>
        <w:keepNext w:val="0"/>
        <w:keepLines w:val="0"/>
        <w:spacing w:line="360" w:lineRule="auto"/>
        <w:ind w:firstLine="643"/>
        <w:jc w:val="left"/>
        <w:rPr>
          <w:rFonts w:hint="eastAsia" w:ascii="宋体" w:hAnsi="宋体" w:cs="宋体"/>
          <w:b/>
          <w:bCs/>
          <w:color w:val="auto"/>
          <w:sz w:val="32"/>
          <w:szCs w:val="32"/>
          <w:highlight w:val="none"/>
          <w:lang w:eastAsia="zh-CN"/>
        </w:rPr>
      </w:pPr>
      <w:r>
        <w:rPr>
          <w:rFonts w:hint="eastAsia" w:ascii="宋体" w:hAnsi="宋体" w:eastAsia="宋体" w:cs="宋体"/>
          <w:b/>
          <w:bCs/>
          <w:color w:val="auto"/>
          <w:sz w:val="32"/>
          <w:szCs w:val="32"/>
          <w:highlight w:val="none"/>
        </w:rPr>
        <w:t>项目名称：</w:t>
      </w:r>
      <w:r>
        <w:rPr>
          <w:rFonts w:hint="eastAsia" w:ascii="宋体" w:hAnsi="宋体" w:cs="宋体"/>
          <w:b/>
          <w:bCs/>
          <w:color w:val="auto"/>
          <w:sz w:val="32"/>
          <w:szCs w:val="32"/>
          <w:highlight w:val="none"/>
          <w:lang w:eastAsia="zh-CN"/>
        </w:rPr>
        <w:t>徐州市云龙区垃圾资源转运及处理建设项目</w:t>
      </w:r>
    </w:p>
    <w:p w14:paraId="55AA5C02">
      <w:pPr>
        <w:keepNext w:val="0"/>
        <w:keepLines w:val="0"/>
        <w:spacing w:line="360" w:lineRule="auto"/>
        <w:ind w:firstLine="2249"/>
        <w:jc w:val="left"/>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-渗滤液处理设备采购</w:t>
      </w:r>
    </w:p>
    <w:p w14:paraId="4C0E4289">
      <w:pPr>
        <w:keepNext w:val="0"/>
        <w:keepLines w:val="0"/>
        <w:spacing w:line="360" w:lineRule="auto"/>
        <w:ind w:firstLine="643"/>
        <w:jc w:val="left"/>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项目编号：</w:t>
      </w:r>
      <w:r>
        <w:rPr>
          <w:rFonts w:hint="eastAsia" w:ascii="宋体" w:hAnsi="宋体" w:cs="宋体"/>
          <w:b/>
          <w:bCs/>
          <w:color w:val="auto"/>
          <w:sz w:val="32"/>
          <w:szCs w:val="32"/>
          <w:highlight w:val="none"/>
          <w:lang w:eastAsia="zh-CN"/>
        </w:rPr>
        <w:t>JSZC-320303-JSRY-G2026-0004</w:t>
      </w:r>
    </w:p>
    <w:p w14:paraId="7464D04E">
      <w:pPr>
        <w:pStyle w:val="16"/>
        <w:keepNext w:val="0"/>
        <w:keepLines w:val="0"/>
        <w:spacing w:line="360" w:lineRule="auto"/>
        <w:ind w:firstLine="643"/>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val="en-US" w:eastAsia="zh-CN"/>
        </w:rPr>
        <w:t xml:space="preserve">采 购 </w:t>
      </w:r>
      <w:r>
        <w:rPr>
          <w:rFonts w:hint="eastAsia" w:ascii="宋体" w:hAnsi="宋体" w:eastAsia="宋体" w:cs="宋体"/>
          <w:b/>
          <w:bCs/>
          <w:color w:val="auto"/>
          <w:sz w:val="32"/>
          <w:szCs w:val="32"/>
          <w:highlight w:val="none"/>
        </w:rPr>
        <w:t>人：</w:t>
      </w:r>
      <w:r>
        <w:rPr>
          <w:rFonts w:hint="eastAsia" w:ascii="宋体" w:hAnsi="宋体" w:cs="宋体"/>
          <w:b/>
          <w:bCs/>
          <w:color w:val="auto"/>
          <w:sz w:val="32"/>
          <w:szCs w:val="32"/>
          <w:highlight w:val="none"/>
          <w:lang w:eastAsia="zh-CN"/>
        </w:rPr>
        <w:t>徐州市云龙区城市管理局</w:t>
      </w:r>
    </w:p>
    <w:p w14:paraId="5AD37ABC">
      <w:pPr>
        <w:pStyle w:val="81"/>
        <w:keepNext w:val="0"/>
        <w:keepLines w:val="0"/>
        <w:spacing w:line="360" w:lineRule="auto"/>
        <w:ind w:left="0" w:right="1470" w:firstLine="0"/>
        <w:rPr>
          <w:rFonts w:hint="eastAsia" w:ascii="宋体" w:hAnsi="宋体" w:eastAsia="宋体" w:cs="宋体"/>
          <w:color w:val="auto"/>
          <w:sz w:val="30"/>
          <w:szCs w:val="30"/>
          <w:highlight w:val="none"/>
        </w:rPr>
      </w:pPr>
      <w:r>
        <w:rPr>
          <w:rFonts w:hint="eastAsia" w:ascii="宋体" w:hAnsi="宋体" w:eastAsia="宋体" w:cs="宋体"/>
          <w:sz w:val="24"/>
          <w:highlight w:val="none"/>
        </w:rPr>
        <w:drawing>
          <wp:anchor distT="0" distB="0" distL="114300" distR="114300" simplePos="0" relativeHeight="251661312" behindDoc="0" locked="0" layoutInCell="1" allowOverlap="1">
            <wp:simplePos x="0" y="0"/>
            <wp:positionH relativeFrom="column">
              <wp:posOffset>1649730</wp:posOffset>
            </wp:positionH>
            <wp:positionV relativeFrom="paragraph">
              <wp:posOffset>454025</wp:posOffset>
            </wp:positionV>
            <wp:extent cx="2016125" cy="1957705"/>
            <wp:effectExtent l="0" t="0" r="10795" b="8255"/>
            <wp:wrapSquare wrapText="bothSides"/>
            <wp:docPr id="4"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LOGO"/>
                    <pic:cNvPicPr>
                      <a:picLocks noChangeAspect="1"/>
                    </pic:cNvPicPr>
                  </pic:nvPicPr>
                  <pic:blipFill>
                    <a:blip r:embed="rId11"/>
                    <a:stretch>
                      <a:fillRect/>
                    </a:stretch>
                  </pic:blipFill>
                  <pic:spPr>
                    <a:xfrm>
                      <a:off x="0" y="0"/>
                      <a:ext cx="2016125" cy="1957705"/>
                    </a:xfrm>
                    <a:prstGeom prst="rect">
                      <a:avLst/>
                    </a:prstGeom>
                  </pic:spPr>
                </pic:pic>
              </a:graphicData>
            </a:graphic>
          </wp:anchor>
        </w:drawing>
      </w:r>
    </w:p>
    <w:p w14:paraId="6A778B93">
      <w:pPr>
        <w:pStyle w:val="81"/>
        <w:keepNext w:val="0"/>
        <w:keepLines w:val="0"/>
        <w:spacing w:line="360" w:lineRule="auto"/>
        <w:ind w:left="0" w:right="1470"/>
        <w:rPr>
          <w:rFonts w:hint="eastAsia" w:ascii="宋体" w:hAnsi="宋体" w:eastAsia="宋体" w:cs="宋体"/>
          <w:color w:val="auto"/>
          <w:sz w:val="30"/>
          <w:szCs w:val="30"/>
          <w:highlight w:val="none"/>
        </w:rPr>
      </w:pPr>
    </w:p>
    <w:p w14:paraId="468DD26F">
      <w:pPr>
        <w:pStyle w:val="81"/>
        <w:keepNext w:val="0"/>
        <w:keepLines w:val="0"/>
        <w:spacing w:line="360" w:lineRule="auto"/>
        <w:ind w:left="0" w:right="1470"/>
        <w:rPr>
          <w:rFonts w:hint="eastAsia" w:ascii="宋体" w:hAnsi="宋体" w:eastAsia="宋体" w:cs="宋体"/>
          <w:color w:val="auto"/>
          <w:sz w:val="30"/>
          <w:szCs w:val="30"/>
          <w:highlight w:val="none"/>
        </w:rPr>
      </w:pPr>
    </w:p>
    <w:p w14:paraId="68D66BD8">
      <w:pPr>
        <w:pStyle w:val="81"/>
        <w:keepNext w:val="0"/>
        <w:keepLines w:val="0"/>
        <w:spacing w:line="360" w:lineRule="auto"/>
        <w:ind w:left="0" w:right="1470"/>
        <w:rPr>
          <w:rFonts w:hint="eastAsia" w:ascii="宋体" w:hAnsi="宋体" w:eastAsia="宋体" w:cs="宋体"/>
          <w:color w:val="auto"/>
          <w:sz w:val="30"/>
          <w:szCs w:val="30"/>
          <w:highlight w:val="none"/>
        </w:rPr>
      </w:pPr>
    </w:p>
    <w:p w14:paraId="12143104">
      <w:pPr>
        <w:pStyle w:val="81"/>
        <w:keepNext w:val="0"/>
        <w:keepLines w:val="0"/>
        <w:spacing w:line="360" w:lineRule="auto"/>
        <w:ind w:left="0" w:right="1470"/>
        <w:rPr>
          <w:rFonts w:hint="eastAsia" w:ascii="宋体" w:hAnsi="宋体" w:eastAsia="宋体" w:cs="宋体"/>
          <w:color w:val="auto"/>
          <w:sz w:val="30"/>
          <w:szCs w:val="30"/>
          <w:highlight w:val="none"/>
        </w:rPr>
      </w:pPr>
    </w:p>
    <w:p w14:paraId="7A41ACB1">
      <w:pPr>
        <w:pStyle w:val="81"/>
        <w:keepNext w:val="0"/>
        <w:keepLines w:val="0"/>
        <w:spacing w:line="360" w:lineRule="auto"/>
        <w:ind w:left="0" w:right="1470"/>
        <w:rPr>
          <w:rFonts w:hint="eastAsia" w:ascii="宋体" w:hAnsi="宋体" w:eastAsia="宋体" w:cs="宋体"/>
          <w:color w:val="auto"/>
          <w:sz w:val="30"/>
          <w:szCs w:val="30"/>
          <w:highlight w:val="none"/>
        </w:rPr>
      </w:pPr>
    </w:p>
    <w:p w14:paraId="1DF6EFB1">
      <w:pPr>
        <w:pStyle w:val="81"/>
        <w:keepNext w:val="0"/>
        <w:keepLines w:val="0"/>
        <w:spacing w:line="360" w:lineRule="auto"/>
        <w:ind w:left="0" w:right="1470" w:firstLine="0"/>
        <w:rPr>
          <w:rFonts w:hint="eastAsia" w:ascii="宋体" w:hAnsi="宋体" w:eastAsia="宋体" w:cs="宋体"/>
          <w:color w:val="auto"/>
          <w:sz w:val="30"/>
          <w:szCs w:val="30"/>
          <w:highlight w:val="none"/>
        </w:rPr>
      </w:pPr>
    </w:p>
    <w:p w14:paraId="24C2A297">
      <w:pPr>
        <w:pStyle w:val="81"/>
        <w:keepNext w:val="0"/>
        <w:keepLines w:val="0"/>
        <w:spacing w:line="360" w:lineRule="auto"/>
        <w:ind w:left="0" w:right="1470" w:firstLine="0"/>
        <w:rPr>
          <w:rFonts w:hint="eastAsia" w:ascii="宋体" w:hAnsi="宋体" w:eastAsia="宋体" w:cs="宋体"/>
          <w:color w:val="auto"/>
          <w:sz w:val="30"/>
          <w:szCs w:val="30"/>
          <w:highlight w:val="none"/>
        </w:rPr>
      </w:pPr>
    </w:p>
    <w:p w14:paraId="0A0A2B8F">
      <w:pPr>
        <w:keepNext w:val="0"/>
        <w:keepLines w:val="0"/>
        <w:spacing w:line="360" w:lineRule="auto"/>
        <w:ind w:firstLine="1205"/>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江苏瑞阳工程咨询有限公司</w:t>
      </w:r>
    </w:p>
    <w:p w14:paraId="75BF4192">
      <w:pPr>
        <w:pStyle w:val="16"/>
        <w:keepNext w:val="0"/>
        <w:keepLines w:val="0"/>
        <w:spacing w:line="360" w:lineRule="auto"/>
        <w:rPr>
          <w:rFonts w:hint="eastAsia" w:ascii="宋体" w:hAnsi="宋体" w:eastAsia="宋体" w:cs="宋体"/>
          <w:highlight w:val="none"/>
          <w:lang w:eastAsia="zh-CN"/>
        </w:rPr>
      </w:pPr>
    </w:p>
    <w:p w14:paraId="5449825F">
      <w:pPr>
        <w:pStyle w:val="80"/>
        <w:keepNext w:val="0"/>
        <w:keepLines w:val="0"/>
        <w:spacing w:line="360" w:lineRule="auto"/>
        <w:ind w:firstLine="0"/>
        <w:jc w:val="center"/>
        <w:rPr>
          <w:rFonts w:hint="eastAsia" w:ascii="宋体" w:hAnsi="宋体" w:eastAsia="宋体" w:cs="宋体"/>
          <w:b/>
          <w:color w:val="auto"/>
          <w:sz w:val="44"/>
          <w:highlight w:val="none"/>
        </w:rPr>
      </w:pPr>
      <w:r>
        <w:rPr>
          <w:rFonts w:hint="eastAsia" w:ascii="宋体" w:hAnsi="宋体" w:eastAsia="宋体" w:cs="宋体"/>
          <w:b/>
          <w:bCs/>
          <w:color w:val="auto"/>
          <w:sz w:val="30"/>
          <w:szCs w:val="30"/>
          <w:highlight w:val="none"/>
        </w:rPr>
        <w:t>二〇二</w:t>
      </w:r>
      <w:r>
        <w:rPr>
          <w:rFonts w:hint="eastAsia" w:ascii="宋体" w:hAnsi="宋体" w:cs="宋体"/>
          <w:b/>
          <w:bCs/>
          <w:color w:val="auto"/>
          <w:sz w:val="30"/>
          <w:szCs w:val="30"/>
          <w:highlight w:val="none"/>
          <w:lang w:val="en-US" w:eastAsia="zh-CN"/>
        </w:rPr>
        <w:t>六</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五</w:t>
      </w:r>
      <w:r>
        <w:rPr>
          <w:rFonts w:hint="eastAsia" w:ascii="宋体" w:hAnsi="宋体" w:eastAsia="宋体" w:cs="宋体"/>
          <w:b/>
          <w:bCs/>
          <w:color w:val="auto"/>
          <w:sz w:val="30"/>
          <w:szCs w:val="30"/>
          <w:highlight w:val="none"/>
        </w:rPr>
        <w:t>月</w:t>
      </w:r>
    </w:p>
    <w:p w14:paraId="34EF8507">
      <w:pPr>
        <w:pStyle w:val="80"/>
        <w:keepNext w:val="0"/>
        <w:keepLines w:val="0"/>
        <w:spacing w:line="360" w:lineRule="auto"/>
        <w:ind w:firstLine="0"/>
        <w:jc w:val="center"/>
        <w:rPr>
          <w:rFonts w:hint="eastAsia" w:ascii="宋体" w:hAnsi="宋体" w:eastAsia="宋体" w:cs="宋体"/>
          <w:b/>
          <w:color w:val="auto"/>
          <w:sz w:val="44"/>
          <w:highlight w:val="none"/>
        </w:rPr>
        <w:sectPr>
          <w:headerReference r:id="rId3" w:type="default"/>
          <w:footerReference r:id="rId4" w:type="default"/>
          <w:footerReference r:id="rId5" w:type="even"/>
          <w:pgSz w:w="11906" w:h="16838"/>
          <w:pgMar w:top="1474" w:right="1474" w:bottom="1474" w:left="1474" w:header="851" w:footer="992" w:gutter="0"/>
          <w:pgNumType w:start="1"/>
          <w:cols w:space="1701" w:num="1"/>
          <w:titlePg/>
          <w:docGrid w:linePitch="360" w:charSpace="0"/>
        </w:sectPr>
      </w:pPr>
    </w:p>
    <w:p w14:paraId="238A248E">
      <w:pPr>
        <w:pStyle w:val="80"/>
        <w:keepNext w:val="0"/>
        <w:keepLines w:val="0"/>
        <w:spacing w:line="360" w:lineRule="auto"/>
        <w:ind w:firstLine="0"/>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t>总目录</w:t>
      </w:r>
    </w:p>
    <w:p w14:paraId="260578FB">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第一章 投标邀请</w:t>
      </w:r>
    </w:p>
    <w:p w14:paraId="23B96BE3">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第二章 投标人须知</w:t>
      </w:r>
    </w:p>
    <w:p w14:paraId="429455E9">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第三章 投标资料表</w:t>
      </w:r>
    </w:p>
    <w:p w14:paraId="668A2F58">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第四章 评标标准</w:t>
      </w:r>
    </w:p>
    <w:p w14:paraId="2B5BB188">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第五章 拟签订的合同文本</w:t>
      </w:r>
    </w:p>
    <w:p w14:paraId="6FAABF5C">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第六章 采购需求</w:t>
      </w:r>
    </w:p>
    <w:p w14:paraId="0AAB5088">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第七章 投标文件相关格式</w:t>
      </w:r>
    </w:p>
    <w:p w14:paraId="0285DAA4">
      <w:pPr>
        <w:keepNext w:val="0"/>
        <w:keepLines w:val="0"/>
        <w:spacing w:line="360" w:lineRule="auto"/>
        <w:rPr>
          <w:rFonts w:hint="eastAsia" w:ascii="宋体" w:hAnsi="宋体" w:eastAsia="宋体" w:cs="宋体"/>
          <w:color w:val="auto"/>
          <w:sz w:val="30"/>
          <w:szCs w:val="30"/>
          <w:highlight w:val="none"/>
        </w:rPr>
      </w:pPr>
    </w:p>
    <w:p w14:paraId="3AE7D12F">
      <w:pPr>
        <w:keepNext w:val="0"/>
        <w:keepLines w:val="0"/>
        <w:spacing w:line="360" w:lineRule="auto"/>
        <w:rPr>
          <w:rFonts w:hint="eastAsia" w:ascii="宋体" w:hAnsi="宋体" w:eastAsia="宋体" w:cs="宋体"/>
          <w:color w:val="auto"/>
          <w:sz w:val="30"/>
          <w:szCs w:val="30"/>
          <w:highlight w:val="none"/>
        </w:rPr>
      </w:pPr>
    </w:p>
    <w:p w14:paraId="1E84C027">
      <w:pPr>
        <w:keepNext w:val="0"/>
        <w:keepLines w:val="0"/>
        <w:widowControl/>
        <w:spacing w:line="360" w:lineRule="auto"/>
        <w:jc w:val="left"/>
        <w:rPr>
          <w:rFonts w:hint="eastAsia" w:ascii="宋体" w:hAnsi="宋体" w:eastAsia="宋体" w:cs="宋体"/>
          <w:color w:val="auto"/>
          <w:sz w:val="28"/>
          <w:szCs w:val="28"/>
          <w:highlight w:val="none"/>
        </w:rPr>
        <w:sectPr>
          <w:headerReference r:id="rId6" w:type="default"/>
          <w:footerReference r:id="rId7" w:type="default"/>
          <w:pgSz w:w="11906" w:h="16838"/>
          <w:pgMar w:top="1440" w:right="1800" w:bottom="1440" w:left="1800" w:header="851" w:footer="992" w:gutter="0"/>
          <w:cols w:space="1701" w:num="1"/>
          <w:docGrid w:linePitch="360" w:charSpace="0"/>
        </w:sectPr>
      </w:pPr>
    </w:p>
    <w:p w14:paraId="399EAC0C">
      <w:pPr>
        <w:keepNext w:val="0"/>
        <w:keepLines w:val="0"/>
        <w:numPr>
          <w:ilvl w:val="0"/>
          <w:numId w:val="2"/>
        </w:num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 xml:space="preserve"> 投标邀请</w:t>
      </w:r>
    </w:p>
    <w:p w14:paraId="2EEEAACB">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eastAsia="zh-CN"/>
        </w:rPr>
        <w:t>江苏瑞阳工程咨询有限公司</w:t>
      </w:r>
      <w:r>
        <w:rPr>
          <w:rFonts w:hint="eastAsia" w:ascii="宋体" w:hAnsi="宋体" w:eastAsia="宋体" w:cs="宋体"/>
          <w:color w:val="auto"/>
          <w:sz w:val="24"/>
          <w:highlight w:val="none"/>
        </w:rPr>
        <w:t>对</w:t>
      </w:r>
      <w:bookmarkStart w:id="114" w:name="_GoBack"/>
      <w:r>
        <w:rPr>
          <w:rFonts w:hint="eastAsia" w:ascii="宋体" w:hAnsi="宋体" w:cs="宋体"/>
          <w:color w:val="auto"/>
          <w:sz w:val="24"/>
          <w:highlight w:val="none"/>
          <w:u w:val="single"/>
          <w:lang w:eastAsia="zh-CN"/>
        </w:rPr>
        <w:t>徐州市云龙区垃圾资源转运及处理建设项目-渗滤液处理设备采购</w:t>
      </w:r>
      <w:bookmarkEnd w:id="114"/>
      <w:r>
        <w:rPr>
          <w:rFonts w:hint="eastAsia" w:ascii="宋体" w:hAnsi="宋体" w:eastAsia="宋体" w:cs="宋体"/>
          <w:color w:val="auto"/>
          <w:sz w:val="24"/>
          <w:highlight w:val="none"/>
        </w:rPr>
        <w:t>进行公开招标采购，现欢迎符合相关条件的供应商投标。</w:t>
      </w:r>
    </w:p>
    <w:p w14:paraId="3CA7C197">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一、项目名称和项目编号</w:t>
      </w:r>
    </w:p>
    <w:p w14:paraId="6844C384">
      <w:pPr>
        <w:keepNext w:val="0"/>
        <w:keepLines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徐州市云龙区垃圾资源转运及处理建设项目-渗滤液处理设备采购</w:t>
      </w:r>
    </w:p>
    <w:p w14:paraId="781B7455">
      <w:pPr>
        <w:keepNext w:val="0"/>
        <w:keepLines w:val="0"/>
        <w:spacing w:line="360" w:lineRule="auto"/>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p>
    <w:p w14:paraId="4C64D52F">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二、投标人的资格要求：</w:t>
      </w:r>
    </w:p>
    <w:p w14:paraId="3B17FDBC">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见本项目公开招标公告。</w:t>
      </w:r>
    </w:p>
    <w:p w14:paraId="74EC0CC0">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三、获取招标文件</w:t>
      </w:r>
    </w:p>
    <w:p w14:paraId="0269F810">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本项目采用网上注册登记方式。</w:t>
      </w:r>
    </w:p>
    <w:p w14:paraId="4AD238C5">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 潜在投标人访问电子招标投标交易平台的网络地址和方法：</w:t>
      </w:r>
    </w:p>
    <w:p w14:paraId="1867B13A">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苏采云”系统用户注册--获取“CA数字证书”--CA绑定与登录--网上报名--下载采购文件（后缀名为“.kedt”）--将后缀名为“.kedt”的采购文件导入政府采购客户端工具--制作投标文件--导出加密的投标文件（后缀名为zip）--通过“苏采云”系统上传投标文件。具体见《江苏省政府采购管理交易系统（苏采云）供应商操作手册》。</w:t>
      </w:r>
    </w:p>
    <w:p w14:paraId="7491AF1A">
      <w:pPr>
        <w:keepNext w:val="0"/>
        <w:keepLines w:val="0"/>
        <w:pageBreakBefore w:val="0"/>
        <w:widowControl w:val="0"/>
        <w:spacing w:line="360" w:lineRule="auto"/>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（2）潜在投标人访问“苏采云”系统的网络地址和方法：“苏采云”系统的网址：http://jszfcg.jsczt.cn/；或进入徐州政府采购网（网址：</w:t>
      </w:r>
      <w:r>
        <w:rPr>
          <w:rFonts w:hint="eastAsia" w:ascii="宋体" w:hAnsi="宋体" w:cs="宋体"/>
          <w:color w:val="auto"/>
          <w:sz w:val="24"/>
          <w:highlight w:val="none"/>
          <w:lang w:eastAsia="zh-CN"/>
        </w:rPr>
        <w:t>https://czj.xz.gov.cn/zfcg/index.html</w:t>
      </w:r>
      <w:r>
        <w:rPr>
          <w:rFonts w:hint="eastAsia" w:ascii="宋体" w:hAnsi="宋体" w:eastAsia="宋体" w:cs="宋体"/>
          <w:color w:val="auto"/>
          <w:sz w:val="24"/>
          <w:highlight w:val="none"/>
        </w:rPr>
        <w:t>）--业务工作--用户登录，点击“苏采云”进入系统。</w:t>
      </w:r>
    </w:p>
    <w:p w14:paraId="7E27ACFF">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（3）“CA数字证书”的获取：</w:t>
      </w:r>
    </w:p>
    <w:p w14:paraId="7C6C6939">
      <w:pPr>
        <w:keepNext w:val="0"/>
        <w:keepLines w:val="0"/>
        <w:pageBreakBefore w:val="0"/>
        <w:widowControl w:val="0"/>
        <w:spacing w:line="360" w:lineRule="auto"/>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0D90DEC4">
      <w:pPr>
        <w:keepNext w:val="0"/>
        <w:keepLines w:val="0"/>
        <w:pageBreakBefore w:val="0"/>
        <w:widowControl w:val="0"/>
        <w:spacing w:line="360" w:lineRule="auto"/>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采购文件（后缀名为“.kedt”）、供应商操作手册及政府采购客户端工具可通过“苏采云”系统--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1BA52C25">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（5）招标代理机构（采购代理机构）将数据电文形式的招标文件加载至“苏采云”系统，供潜在投标人下载或者查阅。</w:t>
      </w:r>
    </w:p>
    <w:p w14:paraId="0E646C53">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3.“苏采云”系统使用谷歌浏览器参与不见面开标。</w:t>
      </w:r>
    </w:p>
    <w:p w14:paraId="616567C6">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4.售价：免费。</w:t>
      </w:r>
    </w:p>
    <w:p w14:paraId="0DCE440D">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四、投标有关信息</w:t>
      </w:r>
    </w:p>
    <w:p w14:paraId="5E28AF5F">
      <w:pPr>
        <w:keepNext w:val="0"/>
        <w:keepLines w:val="0"/>
        <w:spacing w:line="360" w:lineRule="auto"/>
        <w:ind w:firstLine="480"/>
        <w:jc w:val="left"/>
        <w:rPr>
          <w:rFonts w:hint="eastAsia" w:ascii="宋体" w:hAnsi="宋体" w:eastAsia="宋体" w:cs="宋体"/>
          <w:color w:val="FF0000"/>
          <w:sz w:val="24"/>
          <w:highlight w:val="none"/>
          <w:lang w:eastAsia="zh-CN"/>
        </w:rPr>
      </w:pPr>
      <w:r>
        <w:rPr>
          <w:rFonts w:hint="eastAsia" w:ascii="宋体" w:hAnsi="宋体" w:eastAsia="宋体" w:cs="宋体"/>
          <w:color w:val="FF0000"/>
          <w:sz w:val="24"/>
          <w:highlight w:val="none"/>
        </w:rPr>
        <w:t>1.投标截止时间：</w:t>
      </w:r>
      <w:r>
        <w:rPr>
          <w:rFonts w:hint="eastAsia" w:ascii="宋体" w:hAnsi="宋体" w:cs="宋体"/>
          <w:color w:val="FF0000"/>
          <w:sz w:val="24"/>
          <w:highlight w:val="none"/>
          <w:lang w:eastAsia="zh-CN"/>
        </w:rPr>
        <w:t>2026年6月23日北京时间09:30</w:t>
      </w:r>
    </w:p>
    <w:p w14:paraId="74CC956B">
      <w:pPr>
        <w:keepNext w:val="0"/>
        <w:keepLines w:val="0"/>
        <w:spacing w:line="360" w:lineRule="auto"/>
        <w:ind w:firstLine="480"/>
        <w:rPr>
          <w:rFonts w:hint="eastAsia" w:ascii="宋体" w:hAnsi="宋体" w:eastAsia="宋体" w:cs="宋体"/>
          <w:color w:val="FF0000"/>
          <w:sz w:val="24"/>
          <w:highlight w:val="none"/>
          <w:lang w:eastAsia="zh-CN"/>
        </w:rPr>
      </w:pPr>
      <w:r>
        <w:rPr>
          <w:rFonts w:hint="eastAsia" w:ascii="宋体" w:hAnsi="宋体" w:eastAsia="宋体" w:cs="宋体"/>
          <w:color w:val="FF0000"/>
          <w:sz w:val="24"/>
          <w:highlight w:val="none"/>
        </w:rPr>
        <w:t>2.开标时间：</w:t>
      </w:r>
      <w:r>
        <w:rPr>
          <w:rFonts w:hint="eastAsia" w:ascii="宋体" w:hAnsi="宋体" w:cs="宋体"/>
          <w:color w:val="FF0000"/>
          <w:sz w:val="24"/>
          <w:highlight w:val="none"/>
          <w:lang w:eastAsia="zh-CN"/>
        </w:rPr>
        <w:t>2026年6月23日北京时间09:30</w:t>
      </w:r>
    </w:p>
    <w:p w14:paraId="2A2AC603">
      <w:pPr>
        <w:keepNext w:val="0"/>
        <w:keepLines w:val="0"/>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3.开标地点：“苏采云”系统（网址： http://jszfcg.jsczt.cn/）“开标大厅”或进入徐州政府采购网（网址：</w:t>
      </w:r>
      <w:r>
        <w:rPr>
          <w:rFonts w:hint="eastAsia" w:ascii="宋体" w:hAnsi="宋体" w:cs="宋体"/>
          <w:color w:val="auto"/>
          <w:sz w:val="24"/>
          <w:highlight w:val="none"/>
          <w:lang w:eastAsia="zh-CN"/>
        </w:rPr>
        <w:t>https://czj.xz.gov.cn/zfcg/index.html</w:t>
      </w:r>
      <w:r>
        <w:rPr>
          <w:rFonts w:hint="eastAsia" w:ascii="宋体" w:hAnsi="宋体" w:eastAsia="宋体" w:cs="宋体"/>
          <w:color w:val="auto"/>
          <w:sz w:val="24"/>
          <w:highlight w:val="none"/>
        </w:rPr>
        <w:t>）-业务工作-用户登录，点击“苏采云”进入系统“开标大厅”。</w:t>
      </w:r>
    </w:p>
    <w:p w14:paraId="601085E8">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五、采购人</w:t>
      </w:r>
    </w:p>
    <w:p w14:paraId="19E64898">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1.名称:徐州市云龙区城市管理局</w:t>
      </w:r>
    </w:p>
    <w:p w14:paraId="0E483736">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2.地址:江苏省徐州市云龙区淮海文博园18号</w:t>
      </w:r>
    </w:p>
    <w:p w14:paraId="437115C8">
      <w:pPr>
        <w:keepNext w:val="0"/>
        <w:keepLines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3.采购项目联系人:</w:t>
      </w:r>
      <w:r>
        <w:rPr>
          <w:rFonts w:hint="eastAsia" w:ascii="宋体" w:hAnsi="宋体" w:eastAsia="宋体" w:cs="宋体"/>
          <w:color w:val="auto"/>
          <w:sz w:val="24"/>
          <w:highlight w:val="none"/>
          <w:lang w:val="en-US" w:eastAsia="zh-CN"/>
        </w:rPr>
        <w:t>赵晨</w:t>
      </w:r>
    </w:p>
    <w:p w14:paraId="130BBB67">
      <w:pPr>
        <w:keepNext w:val="0"/>
        <w:keepLines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4.电话:</w:t>
      </w:r>
      <w:r>
        <w:rPr>
          <w:rFonts w:hint="eastAsia" w:ascii="宋体" w:hAnsi="宋体" w:eastAsia="宋体" w:cs="宋体"/>
          <w:color w:val="auto"/>
          <w:sz w:val="24"/>
          <w:highlight w:val="none"/>
          <w:lang w:val="en-US" w:eastAsia="zh-CN"/>
        </w:rPr>
        <w:t>0516-85901090</w:t>
      </w:r>
    </w:p>
    <w:p w14:paraId="30504BDD">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六、采购代理机构</w:t>
      </w:r>
    </w:p>
    <w:p w14:paraId="3B513F5E">
      <w:pPr>
        <w:keepNext w:val="0"/>
        <w:keepLines w:val="0"/>
        <w:spacing w:line="360" w:lineRule="auto"/>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eastAsia="zh-CN"/>
        </w:rPr>
        <w:t>江苏瑞阳工程咨询有限公司</w:t>
      </w:r>
    </w:p>
    <w:p w14:paraId="1F605D1B">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地址：</w:t>
      </w:r>
      <w:r>
        <w:rPr>
          <w:rFonts w:hint="eastAsia" w:ascii="宋体" w:hAnsi="宋体" w:cs="宋体"/>
          <w:color w:val="auto"/>
          <w:sz w:val="24"/>
          <w:highlight w:val="none"/>
          <w:lang w:eastAsia="zh-CN"/>
        </w:rPr>
        <w:t>徐州市云龙区绿地商务城D座516室</w:t>
      </w:r>
    </w:p>
    <w:p w14:paraId="1D89259A">
      <w:pPr>
        <w:keepNext w:val="0"/>
        <w:keepLines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联系方法：</w:t>
      </w:r>
      <w:r>
        <w:rPr>
          <w:rFonts w:hint="eastAsia" w:ascii="宋体" w:hAnsi="宋体" w:eastAsia="宋体" w:cs="宋体"/>
          <w:color w:val="auto"/>
          <w:sz w:val="24"/>
          <w:highlight w:val="none"/>
          <w:lang w:val="en-US" w:eastAsia="zh-CN"/>
        </w:rPr>
        <w:t>0516-83200699</w:t>
      </w:r>
    </w:p>
    <w:p w14:paraId="2AB7E890">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采购项目联系人：</w:t>
      </w:r>
      <w:r>
        <w:rPr>
          <w:rFonts w:hint="eastAsia" w:ascii="宋体" w:hAnsi="宋体" w:cs="宋体"/>
          <w:color w:val="auto"/>
          <w:sz w:val="24"/>
          <w:highlight w:val="none"/>
          <w:lang w:eastAsia="zh-CN"/>
        </w:rPr>
        <w:t>宋雅、孙玉琦</w:t>
      </w:r>
    </w:p>
    <w:p w14:paraId="31957F0A">
      <w:pPr>
        <w:keepNext w:val="0"/>
        <w:keepLines w:val="0"/>
        <w:spacing w:line="360" w:lineRule="auto"/>
        <w:ind w:firstLine="480"/>
        <w:rPr>
          <w:rFonts w:hint="eastAsia" w:ascii="宋体" w:hAnsi="宋体" w:eastAsia="宋体" w:cs="宋体"/>
          <w:color w:val="auto"/>
          <w:sz w:val="24"/>
          <w:highlight w:val="none"/>
        </w:rPr>
      </w:pPr>
    </w:p>
    <w:p w14:paraId="66D90D70">
      <w:pPr>
        <w:keepNext w:val="0"/>
        <w:keepLines w:val="0"/>
        <w:spacing w:line="360" w:lineRule="auto"/>
        <w:jc w:val="right"/>
        <w:rPr>
          <w:rFonts w:hint="eastAsia" w:ascii="宋体" w:hAnsi="宋体" w:eastAsia="宋体" w:cs="宋体"/>
          <w:color w:val="auto"/>
          <w:highlight w:val="none"/>
        </w:rPr>
      </w:pPr>
      <w:r>
        <w:rPr>
          <w:rFonts w:hint="eastAsia" w:ascii="宋体" w:hAnsi="宋体" w:eastAsia="宋体" w:cs="宋体"/>
          <w:color w:val="auto"/>
          <w:sz w:val="24"/>
          <w:highlight w:val="none"/>
        </w:rPr>
        <w:t xml:space="preserve"> </w:t>
      </w:r>
    </w:p>
    <w:p w14:paraId="13F04FC6">
      <w:pPr>
        <w:keepNext w:val="0"/>
        <w:keepLines w:val="0"/>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u w:val="single"/>
        </w:rPr>
        <w:br w:type="page" w:clear="all"/>
      </w:r>
      <w:r>
        <w:rPr>
          <w:rFonts w:hint="eastAsia" w:ascii="宋体" w:hAnsi="宋体" w:eastAsia="宋体" w:cs="宋体"/>
          <w:b/>
          <w:bCs/>
          <w:color w:val="auto"/>
          <w:sz w:val="28"/>
          <w:szCs w:val="28"/>
          <w:highlight w:val="none"/>
        </w:rPr>
        <w:t>第二章  投标人须知</w:t>
      </w:r>
    </w:p>
    <w:p w14:paraId="243FB280">
      <w:pPr>
        <w:keepNext w:val="0"/>
        <w:keepLines w:val="0"/>
        <w:spacing w:line="360" w:lineRule="auto"/>
        <w:jc w:val="center"/>
        <w:rPr>
          <w:rFonts w:hint="eastAsia" w:ascii="宋体" w:hAnsi="宋体" w:eastAsia="宋体" w:cs="宋体"/>
          <w:color w:val="auto"/>
          <w:sz w:val="28"/>
          <w:szCs w:val="28"/>
          <w:highlight w:val="none"/>
        </w:rPr>
      </w:pPr>
    </w:p>
    <w:p w14:paraId="42A82B00">
      <w:pPr>
        <w:keepNext w:val="0"/>
        <w:keepLines w:val="0"/>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目录</w:t>
      </w:r>
    </w:p>
    <w:p w14:paraId="38B37C31">
      <w:pPr>
        <w:keepNext w:val="0"/>
        <w:keepLines w:val="0"/>
        <w:spacing w:line="360" w:lineRule="auto"/>
        <w:ind w:left="420"/>
        <w:rPr>
          <w:rFonts w:hint="eastAsia" w:ascii="宋体" w:hAnsi="宋体" w:eastAsia="宋体" w:cs="宋体"/>
          <w:color w:val="auto"/>
          <w:sz w:val="30"/>
          <w:szCs w:val="30"/>
          <w:highlight w:val="none"/>
        </w:rPr>
      </w:pPr>
    </w:p>
    <w:p w14:paraId="0D3B9AF6">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一、总则</w:t>
      </w:r>
    </w:p>
    <w:p w14:paraId="601F4CC1">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二、招标</w:t>
      </w:r>
    </w:p>
    <w:p w14:paraId="21A05006">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三、投标</w:t>
      </w:r>
    </w:p>
    <w:p w14:paraId="5175A3D0">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四、开标、评标</w:t>
      </w:r>
    </w:p>
    <w:p w14:paraId="2D54E75A">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五、中标和合同</w:t>
      </w:r>
    </w:p>
    <w:p w14:paraId="75332F97">
      <w:pPr>
        <w:keepNext w:val="0"/>
        <w:keepLines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六、询问和质疑</w:t>
      </w:r>
    </w:p>
    <w:p w14:paraId="2DFAC0C5">
      <w:pPr>
        <w:keepNext w:val="0"/>
        <w:keepLines w:val="0"/>
        <w:spacing w:line="360" w:lineRule="auto"/>
        <w:rPr>
          <w:rFonts w:hint="eastAsia" w:ascii="宋体" w:hAnsi="宋体" w:eastAsia="宋体" w:cs="宋体"/>
          <w:color w:val="auto"/>
          <w:sz w:val="28"/>
          <w:szCs w:val="28"/>
          <w:highlight w:val="none"/>
          <w:lang w:val="en-US" w:eastAsia="zh-CN"/>
        </w:rPr>
        <w:sectPr>
          <w:headerReference r:id="rId8" w:type="default"/>
          <w:footerReference r:id="rId9" w:type="default"/>
          <w:pgSz w:w="11906" w:h="16838"/>
          <w:pgMar w:top="1440" w:right="1440" w:bottom="1440" w:left="1440" w:header="851" w:footer="992" w:gutter="0"/>
          <w:cols w:space="1701" w:num="1"/>
          <w:docGrid w:linePitch="360" w:charSpace="0"/>
        </w:sectPr>
      </w:pPr>
      <w:r>
        <w:rPr>
          <w:rFonts w:hint="eastAsia" w:ascii="宋体" w:hAnsi="宋体" w:eastAsia="宋体" w:cs="宋体"/>
          <w:color w:val="auto"/>
          <w:sz w:val="28"/>
          <w:szCs w:val="28"/>
          <w:highlight w:val="none"/>
          <w:lang w:val="en-US" w:eastAsia="zh-CN"/>
        </w:rPr>
        <w:t>七、电子招标投标交易平台</w:t>
      </w:r>
    </w:p>
    <w:p w14:paraId="53E10FC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一、总则</w:t>
      </w:r>
    </w:p>
    <w:p w14:paraId="64FFDCE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（一）采购人。采购人即指依法进行政府采购的国家机关、事业单位和团体组织。</w:t>
      </w:r>
    </w:p>
    <w:p w14:paraId="72B3B7F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（二）政府招标采购方式。政府采购货物或服务（以下简称“货物服务”）的招标方式，分为公开招标和邀请招标。</w:t>
      </w:r>
    </w:p>
    <w:p w14:paraId="22E946D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（三）采购人在采购货物服务的招标投标活动中，应当贯彻落实“节约能源、保护环境、扶持不发达地区和少数民族地区和促进中小企业发展”等政府采购政策。</w:t>
      </w:r>
    </w:p>
    <w:p w14:paraId="6BEB6C7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（四）采购人应当按照财政部制定的《政府采购品目分类目录》确定采购项目属性，对按照《政府采购品目分类目录》无法确定采购项目属性的，应按照有利于采购项目实施的原则确定。</w:t>
      </w:r>
    </w:p>
    <w:p w14:paraId="355E40E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（五）采购人委托采购代理机构代理招标的，采购代理机构必须在采购人委托的范围内依法开展采购活动。</w:t>
      </w:r>
    </w:p>
    <w:p w14:paraId="1D35B20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（六）投标人的资格条件：</w:t>
      </w:r>
    </w:p>
    <w:p w14:paraId="6B97A87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1.参加“政府采购货物服务投标活动”的供应商（以下简称投标人），应当是能够提供本国货物服务的本国供应商，但法律、行政法规规定的外国供应商可以参加货物服务招标投标活动的除外。</w:t>
      </w:r>
    </w:p>
    <w:p w14:paraId="73BA944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投标人是指响应招标、参加投标竞争的法人、其他组织或者自然人。</w:t>
      </w:r>
    </w:p>
    <w:p w14:paraId="5478A78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2.投标人授权代表系指法定代表人或受法人委托的受托人。</w:t>
      </w:r>
    </w:p>
    <w:p w14:paraId="448ADE5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（七）投标费用：投标人应承担所有与准备和参加投标有关的费用。无论投标的结果如何，采购代理机构对上述费用不承担任何责任和义务。</w:t>
      </w:r>
    </w:p>
    <w:p w14:paraId="4B75DF9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二、招标</w:t>
      </w:r>
    </w:p>
    <w:p w14:paraId="3FC19A2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（八）招标文件应包括以下内容：</w:t>
      </w:r>
    </w:p>
    <w:p w14:paraId="57D4738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第一章，投标邀请；</w:t>
      </w:r>
    </w:p>
    <w:p w14:paraId="45E7F0C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第二章，投标人须知；</w:t>
      </w:r>
    </w:p>
    <w:p w14:paraId="6B32A3E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第三章，投标资料表；</w:t>
      </w:r>
    </w:p>
    <w:p w14:paraId="5C581ED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第四章，评标标准；</w:t>
      </w:r>
    </w:p>
    <w:p w14:paraId="1BFC3EA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第五章，拟签订的合同文本；</w:t>
      </w:r>
    </w:p>
    <w:p w14:paraId="26D6D5A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第六章，采购需求；</w:t>
      </w:r>
    </w:p>
    <w:p w14:paraId="2800154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第七章，投标文件相关格式。</w:t>
      </w:r>
    </w:p>
    <w:p w14:paraId="700366E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（九）招标文件澄清或者修改：</w:t>
      </w:r>
    </w:p>
    <w:p w14:paraId="7BA4968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可以对已发出的招标文件、资格预审文件、投标邀请书进行必要的澄清或者修改，但不得改变采购标的和资格条件。澄清或者修改应当在原公告发布媒体上发布澄清公告。澄清或者修改的内容为招标文件、资格预审文件、投标邀请书的组成部分。</w:t>
      </w:r>
    </w:p>
    <w:p w14:paraId="3EF9C31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澄清或者修改的内容可能影响投标文件编制的，采购代理机构应当在投标截止时间至少15日前，以书面形式通知所有获取招标文件的潜在投标人；不足15日的，采购代理机构应当顺延提交投标文件的截止时间。</w:t>
      </w:r>
    </w:p>
    <w:p w14:paraId="4FC11E7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2.现场考察以本文件第三章《投标资料表》中的要求为准。</w:t>
      </w:r>
    </w:p>
    <w:p w14:paraId="1F9AF4F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3.开标前答疑会以本文件第三章《投标资料表》中的要求为准。</w:t>
      </w:r>
    </w:p>
    <w:p w14:paraId="0F85DF5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三、投标</w:t>
      </w:r>
    </w:p>
    <w:p w14:paraId="2ABA897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（十）投标人应当按照招标文件的要求编制投标文件。投标文件应对招标文件提出的要求和条件作出实质性响应。</w:t>
      </w:r>
    </w:p>
    <w:p w14:paraId="4F24691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（十一）投标文件的语言。投标文件以及投标人与采购代理机构就有关投标的往来函电均应使用本文件第三章《投标资料表》规定的语言书写，否则无效。</w:t>
      </w:r>
    </w:p>
    <w:p w14:paraId="5DC6401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（十二）投标文件的构成：</w:t>
      </w:r>
    </w:p>
    <w:p w14:paraId="4E18251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1.投标文件的构成以本文件第三章《投标资料表》中的要求为准。</w:t>
      </w:r>
    </w:p>
    <w:p w14:paraId="3EBA278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2.投标人应当提交的资格、资信证明文件，以本文件第三章《投标资料表》中的所提要求为准。</w:t>
      </w:r>
    </w:p>
    <w:p w14:paraId="331B958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（十三）投标函和价格表、商务条件、交货和提供服务的时间：</w:t>
      </w:r>
    </w:p>
    <w:p w14:paraId="4AD64F6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1.投标函和价格表的要求见本章（十二）、（十三），格式见本文件第七章《投标文件相关格式》中《投标函》和《开标一览表》。</w:t>
      </w:r>
    </w:p>
    <w:p w14:paraId="6DD04D1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2.商务条件以本文件第三章《投标资料表》中的要求为准。</w:t>
      </w:r>
    </w:p>
    <w:p w14:paraId="776885E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3.交货和提供服务的时间，以本文件第三章《投标资料表》中所提要求为准。</w:t>
      </w:r>
    </w:p>
    <w:p w14:paraId="568A85E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（十四）投标报价要求：</w:t>
      </w:r>
    </w:p>
    <w:p w14:paraId="50105D4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1.投标人应按照招标文件的要求报出分项价格和总价。</w:t>
      </w:r>
    </w:p>
    <w:p w14:paraId="455EAF2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2.投标人应按照招标文件的要求进行报价，如投标人作出偏离，应在《偏离表》中列出。</w:t>
      </w:r>
    </w:p>
    <w:p w14:paraId="5F4A238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3.采购人不支付报价以外的任何费用。</w:t>
      </w:r>
    </w:p>
    <w:p w14:paraId="2483E4D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4.投标人所报的价格，在合同执行过程中是固定的，不得以任何理由予以变更。投标人提交滑动价格的投标文件，在资格性、符合性检查时按照无效投标处理。</w:t>
      </w:r>
    </w:p>
    <w:p w14:paraId="479EF11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5.投标人只能提交一个投标价格，投标人提交多个价格的投标文件，在资格性、符合性检查时按照无效投标处理。</w:t>
      </w:r>
    </w:p>
    <w:p w14:paraId="72C1C62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（十五）投标货币。以本文件第三章《投标资料表》中所提要求为准。</w:t>
      </w:r>
    </w:p>
    <w:p w14:paraId="6B4BB17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（十六）投标有效期：</w:t>
      </w:r>
    </w:p>
    <w:p w14:paraId="3100B92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1.投标有效期为开标之日后90天。采购人可以要求对投标有效期延长一次，但该延长期最长不得超过30天。</w:t>
      </w:r>
    </w:p>
    <w:p w14:paraId="322D934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2.采购人要求延长投标有效期的，必须要在距投标有效期满20日之前，以书面形式通知投标人，如果有关投标人同意延长投标有效期的要求，其应在原投标有效期期满前以书面形式向采购人确认。</w:t>
      </w:r>
    </w:p>
    <w:p w14:paraId="3D2A589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3.如果采购人发出要求延长投标有效期的通知，并在投标有效期届满前，没有收到投标人同意的书面通知，则视为该投标人不接受上述延期的要求。</w:t>
      </w:r>
    </w:p>
    <w:p w14:paraId="4875F3B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（十七）投标文件的编制要求和签署要求：</w:t>
      </w:r>
    </w:p>
    <w:p w14:paraId="24DBF14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（1）投标人应由其法定代表人或法定代表人授权代表在规定的网上投标时间，凭 CA 证书登陆“苏采云”系统在线编制投标文件（电子数据），并在投标截止时间之前上传投标文件。</w:t>
      </w:r>
    </w:p>
    <w:p w14:paraId="7269617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（2）投标人应对 CA 证书妥善保管，如被他人盗用投标，因此带来的结果均由投标人自行承担。</w:t>
      </w:r>
    </w:p>
    <w:p w14:paraId="3227F52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（3）投标人应当对招标文件提出的要求和条件作出实质性响应，并在电子投标系统逐条应答。</w:t>
      </w:r>
    </w:p>
    <w:p w14:paraId="340DF0D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（4）投标人应对要求提供的资格证明文件（如资质证书、资格证书）、技术资料（如白皮书、彩页、手册、检测报告等）扫描上传至投标系统。</w:t>
      </w:r>
    </w:p>
    <w:p w14:paraId="5FDE252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（十八）投标文件的盖章要求</w:t>
      </w:r>
    </w:p>
    <w:p w14:paraId="66EE3B2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1.投标文件的盖章要求以招标文件第三章《投标资料表》中的要求为准。</w:t>
      </w:r>
    </w:p>
    <w:p w14:paraId="65ED4284">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（十九）提交投标文件的截止时间和收到投标文件后注意事项。投标人应在招标文件要求的提交投标文件的截止时间前，将投标文件提交至“苏采云”系统。</w:t>
      </w:r>
    </w:p>
    <w:p w14:paraId="13343DC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（二十）凡在招标文件要求提交投标文件的截止时间之后送达的投标文件，均为无效投标文件，“苏采云”系统将自动拒收。 各投标人应在规定时间内通过 CA 证书进行网上解密。</w:t>
      </w:r>
    </w:p>
    <w:p w14:paraId="5F6E468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一）投标人在投标截止时间前，可以对所递交的投标文件进行补充、修改或者撤回，但应书面通知采购代理机构。其所进行补充、修改的内容，应当按照招标文件要求进行签署、盖章、密封，然后纳为投标文件的组成部分。</w:t>
      </w:r>
    </w:p>
    <w:p w14:paraId="4586AB6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（二十二）本项目不允许分包。</w:t>
      </w:r>
    </w:p>
    <w:p w14:paraId="686367E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（二十三）投标人应当遵循公平竞争的原则，不得恶意串通，不得妨碍其他投标人的竞争行为，不得损害采购人或者其他投标人的合法权益。</w:t>
      </w:r>
    </w:p>
    <w:p w14:paraId="39B9B60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在评标过程中发现投标人有上述情形的，评标委员会应当认定其投标无效，并书面报告本级财政部门。</w:t>
      </w:r>
    </w:p>
    <w:p w14:paraId="64941DF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（二十四）有下列情形之一的，其投标无效。</w:t>
      </w:r>
    </w:p>
    <w:p w14:paraId="362D2A0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1.不同投标人的投标文件，由同一单位或者个人编制；</w:t>
      </w:r>
    </w:p>
    <w:p w14:paraId="698AA0B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2.不同投标人委托同一单位或者个人办理投标事宜；</w:t>
      </w:r>
    </w:p>
    <w:p w14:paraId="6B994A3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3.不同投标人的投标文件中，所载明的项目管理成员或联系人为同一人；</w:t>
      </w:r>
    </w:p>
    <w:p w14:paraId="1E7C0F5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4.不同投标人的投标文件，异常一致或者投标报价呈规律性差异；</w:t>
      </w:r>
    </w:p>
    <w:p w14:paraId="0D2FC2F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.不同投标人投标文件内容存在非正常一致、项目组成员出现同一人、投标文件中错误（或异常）一致或雷同、电子文档信息一致或雷同的、投标报价呈规律性差异的；</w:t>
      </w:r>
    </w:p>
    <w:p w14:paraId="20BFADE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.电子投标文件未按规定期限投标的；</w:t>
      </w:r>
    </w:p>
    <w:p w14:paraId="3507B7A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.电子投标文件未按招标文件要求签章的；</w:t>
      </w:r>
    </w:p>
    <w:p w14:paraId="01EAE21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.投标人未在规定时间内解密电子投标文件的；</w:t>
      </w:r>
    </w:p>
    <w:p w14:paraId="43BEDB7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.投标文件未按招标文件规定的内容和要求填写的；没有在投标系统指定位置上传对应文件、材料的。</w:t>
      </w:r>
    </w:p>
    <w:p w14:paraId="2E81A5F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.不具备招标文件中规定的资格要求的；</w:t>
      </w:r>
    </w:p>
    <w:p w14:paraId="5B038C6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.报价超过招标文件中规定的预算金额或者最高限价的；</w:t>
      </w:r>
    </w:p>
    <w:p w14:paraId="1AE7A39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.投标文件含有采购人不能接受的附加条件的；</w:t>
      </w:r>
    </w:p>
    <w:p w14:paraId="756C415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.法律、法规和招标文件规定的其他无效情形。</w:t>
      </w:r>
    </w:p>
    <w:p w14:paraId="712D2FC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四、开标</w:t>
      </w:r>
    </w:p>
    <w:p w14:paraId="545BB69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（二十五）开标：</w:t>
      </w:r>
    </w:p>
    <w:p w14:paraId="0D77148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1.开标时间及地点。开标应当在招标文件确定的提交投标文件截止时间的同一时间公开进行；开标地点应当为招标文件中预先确定的地点。</w:t>
      </w:r>
    </w:p>
    <w:p w14:paraId="2FC546E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2.开标由采购代理机构主持，邀请投标人参加。</w:t>
      </w:r>
    </w:p>
    <w:p w14:paraId="6513DF5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3.所有投标单位携带 CA 证书到达招标文件规定的开标地点，在到达开标时间时，解密各自投标文件，由工作人员操作系统进行开标。投标人不足3家的，不得开标。</w:t>
      </w:r>
    </w:p>
    <w:p w14:paraId="79423BE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4.投标人原因造成投标文件未解密的，视为撤销其投标文件；因投标人之外的原因造成投标文件未解密的，视为撤回其投标文件。部分投标文件未解密的，其他投标文件的开标可以继续进行。</w:t>
      </w:r>
    </w:p>
    <w:p w14:paraId="72DA609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五、评标</w:t>
      </w:r>
    </w:p>
    <w:p w14:paraId="23E2067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（二十六）公开招标采购项目开标结束后，采购人依法对投标人的资格进行审查。合格投标人不足3家的，不得评标。</w:t>
      </w:r>
    </w:p>
    <w:p w14:paraId="76E7912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1.评标工作由采购代理机构负责组织，并履行下列职责：</w:t>
      </w:r>
    </w:p>
    <w:p w14:paraId="7A2374F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（1）核对评审专家身份和采购人代表授权函，对评审专家在政府采购活动中的职责履行情况予以记录，并及时将有关违法违规行为向财政部门报告；</w:t>
      </w:r>
    </w:p>
    <w:p w14:paraId="0AEAC01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（2）宣布评标纪律；</w:t>
      </w:r>
    </w:p>
    <w:p w14:paraId="1D958E3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（3）公布投标人名单，告知评审专家应当回避的情形；</w:t>
      </w:r>
    </w:p>
    <w:p w14:paraId="02CF49E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（4）组织评标委员会推选评标组长（采购人代表不得担任组长）；</w:t>
      </w:r>
    </w:p>
    <w:p w14:paraId="790160F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（5）在评标期间采取必要的通讯管理措施，保证评标活动不受外界干扰；</w:t>
      </w:r>
    </w:p>
    <w:p w14:paraId="4F5A337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（6）根据评标委员会的要求介绍政府采购相关政策法规、招标文件；</w:t>
      </w:r>
    </w:p>
    <w:p w14:paraId="76460BD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（7）维护评标秩序，监督评标委员会依照招标文件规定的评标程序、方法和标准进行独立评审。及时制止和纠正采购人代表、评审专家的倾向性言论或者违法违规行为；</w:t>
      </w:r>
    </w:p>
    <w:p w14:paraId="752B6AA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（8）核对评标结果，对有《</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"http://www.caigou2003.com/" \o "http://www.caigou2003.com/"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政府采购</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货物和服务招标投标管理办法》第六十四条规定情形的，应要求评标委员会复核或者书面说明理由，评标委员会拒绝的，应予记录并向本级财政部门报告；</w:t>
      </w:r>
    </w:p>
    <w:p w14:paraId="55FE1BB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（9）评审工作完成后，按照规定向评审专家支付劳务报酬和异地评审差旅费，不得向评审专家以外的其他人员支付评审劳务报酬； </w:t>
      </w:r>
    </w:p>
    <w:p w14:paraId="7EA1557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（10）处理与评标有关的其他事项。</w:t>
      </w:r>
    </w:p>
    <w:p w14:paraId="589F53C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采购人可以在评标前说明项目背景和采购需求，说明内容不得含有歧视性、倾向性意见，不得超出招标文件所述范围。其说明应当提交书面材料，并随采购文件一并存档。</w:t>
      </w:r>
    </w:p>
    <w:p w14:paraId="0CA1FA6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2.评标委员会负责具体评标事务，并独立履行下列职责：</w:t>
      </w:r>
    </w:p>
    <w:p w14:paraId="02F2A50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（1）审查、评价投标文件是否符合招标文件的商务、技术等实质性要求；</w:t>
      </w:r>
    </w:p>
    <w:p w14:paraId="29BDB8A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（2）要求投标人对投标文件有关事项作出澄清或者说明；</w:t>
      </w:r>
    </w:p>
    <w:p w14:paraId="323A21A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（3）对投标文件进行比较和评价；</w:t>
      </w:r>
    </w:p>
    <w:p w14:paraId="31C6B48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（4）确定中标候选人名单，以及根据采购人委托直接确定中标人；</w:t>
      </w:r>
    </w:p>
    <w:p w14:paraId="268510A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（5）向采购人、采购代理机构或有关部门报告评标中发现的违法行为。</w:t>
      </w:r>
    </w:p>
    <w:p w14:paraId="53E2C0A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（二十七）评标方法分为最低评标价法和综合评分法。</w:t>
      </w:r>
    </w:p>
    <w:p w14:paraId="1D3DE7F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（二十八）评标</w:t>
      </w:r>
    </w:p>
    <w:p w14:paraId="2939A06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1.评标工作程序：</w:t>
      </w:r>
    </w:p>
    <w:p w14:paraId="46122DB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（1）投标文件初审。</w:t>
      </w:r>
    </w:p>
    <w:p w14:paraId="2648848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①资格性审查。</w:t>
      </w:r>
    </w:p>
    <w:p w14:paraId="6DA887F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②符合性审查。</w:t>
      </w:r>
    </w:p>
    <w:p w14:paraId="394F39F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（2）澄清有关问题。</w:t>
      </w:r>
    </w:p>
    <w:p w14:paraId="42910EA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（3）比较与评价。</w:t>
      </w:r>
    </w:p>
    <w:p w14:paraId="4B09AD6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（4）推荐中标候选供应商名单。</w:t>
      </w:r>
    </w:p>
    <w:p w14:paraId="16578D2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（5）编写评审报告（评标报告）。</w:t>
      </w:r>
    </w:p>
    <w:p w14:paraId="00044C3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2.在评标中，不得改变招标文件中规定的评标标准、方法和中标条件。评标委员会对投标文件响应性的判定，要基于投标文件本身的内容，而不得寻求外部的证据。</w:t>
      </w:r>
    </w:p>
    <w:p w14:paraId="3BCA1B9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"http://lilun.caigou2003.com/recijiedu/2365668.html" \o "http://lilun.caigou2003.com/recijiedu/2365668.html"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最低评标价法</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的采购项目，对提供相同品牌产品的不同投标人参加同一合同项下投标的，应以其中通过资格审查、符合性审查的，并且报价最低的参加评标；报价相同的，采取随机抽取方式确定，其他投标无效。</w:t>
      </w:r>
    </w:p>
    <w:p w14:paraId="673913B4">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"http://lilun.caigou2003.com/recijiedu/2365667.html" \o "http://lilun.caigou2003.com/recijiedu/2365667.html"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综合评分法</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的采购项目，对提供相同品牌产品且通过资格审查、符合性审查的不同投标人参加同一合同项下投标的，按一家投标人计算，评审后得分最高的同品牌投标人获得中标人推荐资格；评审得分相同的，由评标委员会按照招标文件规定的方式确定一个投标人获得中标人推荐资格。招标文件未规定采取随机抽取方式确定的，其他同品牌投标人不作为中标候选人。</w:t>
      </w:r>
    </w:p>
    <w:p w14:paraId="6C085FC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非单一产品采购项目，多家投标人提供的核心产品品牌相同的，按前两款规定处理。</w:t>
      </w:r>
    </w:p>
    <w:p w14:paraId="672EEE7D">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（二十九）投标文件报价出现前后不一致的，按照下列规定修正：</w:t>
      </w:r>
    </w:p>
    <w:p w14:paraId="5C2B7E8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1.投标文件中开标一览表（报价表）内容与投标文件中相应内容不一致的，以开标一览表（报价表）为准；</w:t>
      </w:r>
    </w:p>
    <w:p w14:paraId="53154DC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5837905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3.单价金额小数点或者百分比有明显错位的，以开标一览表的总价为准，并修改单价；</w:t>
      </w:r>
    </w:p>
    <w:p w14:paraId="4E7A0EEC">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4.总价金额与按单价合计金额不一致的，以单价金额计算结果为准。</w:t>
      </w:r>
    </w:p>
    <w:p w14:paraId="6E960018">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同时出现两种以上不一致的，按照前款规定的顺序修正。将修正后的报价，形成投标人的澄清、说明或补正材料，经投标人确认后产生约束力。投标人不确认的，其投标无效。</w:t>
      </w:r>
    </w:p>
    <w:p w14:paraId="6BCA97A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评标中需要投标人对投标文件澄清或者说明的，应当通过“苏采云”系统交换数据电文。在评标期间，请投标人保持在线。</w:t>
      </w:r>
    </w:p>
    <w:p w14:paraId="0E14036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评标委员会认为投标人的报价明显低于其他通过符合性审查投标人的报价，有可能影响产品质量或者不能诚信履约的，评标委员会通过“苏采云”系统要求投标人作出必要的说明，并规定回复时间。投标人说明应当采用通过“苏采云”系统（使用“CA数字证书”,加盖电子签章）形式。投标人不能证明其报价合理性的，评标委员会应当将其作为无效投标处理。</w:t>
      </w:r>
    </w:p>
    <w:p w14:paraId="2805FE4E">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lang w:eastAsia="zh-CN"/>
        </w:rPr>
        <w:t>）评审过程中出现下列情形之一的，评审委员会应当启动异常低价投标（响应）审查程序：</w:t>
      </w:r>
    </w:p>
    <w:p w14:paraId="5D217AC1">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1.投标(响应)报价低于采购项目预算50%的，即投标(响应)报价&lt;采购项目预算×50%；</w:t>
      </w:r>
    </w:p>
    <w:p w14:paraId="0432F58D">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2.投标(响应)报价低于采购项目最高限价45%的，即投标(响应)报价&lt;采购项目最高限价×45%；</w:t>
      </w:r>
    </w:p>
    <w:p w14:paraId="7E62756C">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3.评审委员会认定的供应商报价过低、有可能影响产品质量或者不能诚信履约的其他情形。</w:t>
      </w:r>
    </w:p>
    <w:p w14:paraId="06DE8297">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二)启动异常低价投标(响应)审查后，评审委员会要求相关供应商在评标现场合理的时间内，提供项目具体成本测算等与报价合理性相关的书面说明及相关证明材料，对投标(响应)价格作出解释，由评审委员会结合同类产品在主要电商平台的价格、该行业当地薪资水平等情况，依据专业经验对供应商报价合理性进行判断。投标(响应)供应商不提供书面说明、证明材料</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lang w:eastAsia="zh-CN"/>
        </w:rPr>
        <w:t>或者提供的书面说明、证明材料不能证明其报价合理性的，评审委员会应当将其作为无效投标(响应)处理。审查相关情况应当在评审报告中进行记录。</w:t>
      </w:r>
    </w:p>
    <w:p w14:paraId="41747100">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eastAsia="zh-CN"/>
        </w:rPr>
        <w:t>（三）对报价异常低且经评审委员会启动相关审查机制后仍中标或成交的供应商，采购人要重点关注其履约能力、履约承诺、实际履约情况等。如供应商在中标或成交后无正当理由拒不签订政府采购合同，采购人应将相关情况书面报送同级财政部门，由财政部门依法追究其法律责任；如供应商在签订政府采购合同后不严格履行合同，采购人应按照政府采购合同约定追究供应商违约责任，并将不良履约行为书面报送同级财政部门。</w:t>
      </w:r>
    </w:p>
    <w:p w14:paraId="3B1B57D6">
      <w:pPr>
        <w:keepNext w:val="0"/>
        <w:keepLines w:val="0"/>
        <w:pageBreakBefore w:val="0"/>
        <w:widowControl/>
        <w:spacing w:line="360" w:lineRule="auto"/>
        <w:ind w:firstLine="480"/>
        <w:jc w:val="left"/>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相关内容和要求见：《中华人民共和国政府采购法》、《中华人民共和国政府采购法实施条例》、《政府采购货物和服务招标投标管理办法》</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lang w:eastAsia="zh-CN"/>
        </w:rPr>
        <w:t>（财库〔2015〕124号文件</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lang w:eastAsia="zh-CN"/>
        </w:rPr>
        <w:t>。</w:t>
      </w:r>
    </w:p>
    <w:p w14:paraId="0D99D30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（三十一）评标委员会成员对需要共同认定的事项存在争议的，应当按照少数服从多数的原则作出结论。持不同意见的评标委员会成员应当在评标报告上签署不同意见及理由，否则视为同意评标报告。</w:t>
      </w:r>
    </w:p>
    <w:p w14:paraId="3F9074C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（三十二）废标条款：</w:t>
      </w:r>
    </w:p>
    <w:p w14:paraId="3866268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出现下列情形之一的，应予废标。</w:t>
      </w:r>
    </w:p>
    <w:p w14:paraId="26D9CA3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1.符合专业条件的供应商或者对招标文件作实质响应的供应商不足三家的；</w:t>
      </w:r>
    </w:p>
    <w:p w14:paraId="0EC09DB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5B5E654F">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3.投标人的报价均超过了采购预算，采购人不能支付的；</w:t>
      </w:r>
    </w:p>
    <w:p w14:paraId="394C205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439E55E">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六、定标</w:t>
      </w:r>
    </w:p>
    <w:p w14:paraId="28889AA3">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（三十三）采购代理机构应当在评标结束后2个工作日内将评标报告送采购人。</w:t>
      </w:r>
    </w:p>
    <w:p w14:paraId="3A275D36">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（三十四）采购人应当自收到评标报告之日起5个工作日内，在评标报告确定的中标候选人名单中按顺序确定中标人。</w:t>
      </w:r>
    </w:p>
    <w:p w14:paraId="420D538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五）采购人有权对投标人投标文件的真实性进行核实，如果投标人不能在采购人规定的时间内向采购人提供有效的证明文件，将被采购人认定为具有《中华人民共和国政府采购法》第七十七条所规定的“提供虚假材料谋取中标、成交的”情形，并承担相应的法律责任。</w:t>
      </w:r>
    </w:p>
    <w:p w14:paraId="0F0620A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七、政府采购合同</w:t>
      </w:r>
    </w:p>
    <w:p w14:paraId="7BA8A81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（三十六）签订政府采购合同（合同签订方式）：</w:t>
      </w:r>
    </w:p>
    <w:p w14:paraId="0B3A5814">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1.采购人应当自中标通知书发出之日起30日内，按照招标文件和中标人投标文件的规定，与中标人签订书面合同。所签订的合同不得对招标文件确定的事项和中标人投标文件作实质性修改。</w:t>
      </w:r>
    </w:p>
    <w:p w14:paraId="212EE60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采购人不得向中标人提出任何不合理的要求作为签订合同的条件。</w:t>
      </w:r>
    </w:p>
    <w:p w14:paraId="15DDA591">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2.中标或者成交供应商拒绝与采购人签订合同的，采购人可以按照评审报告推荐的中标或者成交候选人名单排序，确定下一个候选人为中标或者成交供应商，也可以重新开展政府采购活动。</w:t>
      </w:r>
    </w:p>
    <w:p w14:paraId="683963F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（三十七）采购人与中标人应当根据合同的约定依法履行合同义务。政府采购合同的履行、违约责任和解决争议的方法等，按《中华人民共和国民法典》相关条款执行。</w:t>
      </w:r>
    </w:p>
    <w:p w14:paraId="2658B247">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（三十八）履约保证金：详见《第三章 投标资料表》。</w:t>
      </w:r>
    </w:p>
    <w:p w14:paraId="4B20BAF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（三十九）腐败和欺诈行为：</w:t>
      </w:r>
    </w:p>
    <w:p w14:paraId="3573D41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1.采购代理机构、采购人、投标人等参与招投标的各方，均应在招标、采购、合同执行等过程中保持廉洁和最高的道德水准。</w:t>
      </w:r>
    </w:p>
    <w:p w14:paraId="0C8C0135">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（1）腐败和欺诈行为的含义：</w:t>
      </w:r>
    </w:p>
    <w:p w14:paraId="5FB18310">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①“腐败行为”系指在招标、采购和合同执行等过程中，为了谋求私利，影响相关人员提供、给予、接受或索取有价物品，并导致损害买方、卖方、采购代理机构和他人利益的行为。</w:t>
      </w:r>
    </w:p>
    <w:p w14:paraId="6B6BA0F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②“欺诈行为”系指为了影响招标、采购和合同执行等过程，隐瞒事实真象，给买方、卖方、采购代理机构及他人造成损害的行为，其中包括投标人之间的串通行为。</w:t>
      </w:r>
    </w:p>
    <w:p w14:paraId="51F7A7C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（2）如果被推荐的中标人有腐败和欺诈行为，将取消其中标资格。</w:t>
      </w:r>
    </w:p>
    <w:p w14:paraId="4BC6E86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（3）如果投标人在任何时候，被法院及政府有关管理部门认定为有腐败和欺诈行为，采购代理机构有权拒绝其投标、取消其中标资格和撤消其已签署的合同。</w:t>
      </w:r>
    </w:p>
    <w:p w14:paraId="16842242">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八、询问和质疑</w:t>
      </w:r>
    </w:p>
    <w:p w14:paraId="4DAEFA1B">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（四十）询问和质疑</w:t>
      </w:r>
    </w:p>
    <w:p w14:paraId="3190074A">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供应商对政府采购活动事项有疑问的，向采购代理机构提出询问；供应商认为采购文件、采购过程和中标、成交结果使自己的权益受到损害的，可以在知道或者应知其权益受到损害之日起，七个工作日内以书面形式向采购代理机构提出质疑。询问和质疑由采购代理机构依法处理。</w:t>
      </w:r>
      <w:r>
        <w:rPr>
          <w:rFonts w:hint="eastAsia" w:ascii="宋体" w:hAnsi="宋体" w:eastAsia="宋体" w:cs="宋体"/>
          <w:b/>
          <w:color w:val="auto"/>
          <w:sz w:val="24"/>
          <w:szCs w:val="24"/>
          <w:highlight w:val="none"/>
        </w:rPr>
        <w:t> </w:t>
      </w:r>
    </w:p>
    <w:p w14:paraId="18546029">
      <w:pPr>
        <w:keepNext w:val="0"/>
        <w:keepLines w:val="0"/>
        <w:pageBreakBefore w:val="0"/>
        <w:widowControl/>
        <w:pBdr>
          <w:top w:val="none" w:color="000000" w:sz="0" w:space="0"/>
          <w:left w:val="none" w:color="000000" w:sz="0" w:space="0"/>
          <w:bottom w:val="none" w:color="000000" w:sz="0" w:space="0"/>
          <w:right w:val="none" w:color="000000" w:sz="0" w:space="0"/>
        </w:pBdr>
        <w:spacing w:line="360" w:lineRule="auto"/>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九、电子招标投标交易平台</w:t>
      </w:r>
    </w:p>
    <w:p w14:paraId="21C3D05E">
      <w:pPr>
        <w:keepNext w:val="0"/>
        <w:keepLines w:val="0"/>
        <w:pageBreakBefore w:val="0"/>
        <w:spacing w:line="360" w:lineRule="auto"/>
        <w:ind w:firstLine="480"/>
        <w:rPr>
          <w:rFonts w:hint="eastAsia" w:ascii="宋体" w:hAnsi="宋体" w:eastAsia="宋体" w:cs="宋体"/>
          <w:color w:val="auto"/>
          <w:sz w:val="24"/>
          <w:szCs w:val="24"/>
          <w:highlight w:val="none"/>
          <w:lang w:val="en-US" w:eastAsia="zh-CN"/>
        </w:rPr>
        <w:sectPr>
          <w:pgSz w:w="11906" w:h="16838"/>
          <w:pgMar w:top="1440" w:right="1440" w:bottom="1440" w:left="1440" w:header="851" w:footer="992" w:gutter="0"/>
          <w:cols w:space="1701" w:num="1"/>
          <w:docGrid w:linePitch="360" w:charSpace="0"/>
        </w:sectPr>
      </w:pPr>
      <w:r>
        <w:rPr>
          <w:rFonts w:hint="eastAsia" w:ascii="宋体" w:hAnsi="宋体" w:eastAsia="宋体" w:cs="宋体"/>
          <w:color w:val="auto"/>
          <w:sz w:val="24"/>
          <w:szCs w:val="24"/>
          <w:highlight w:val="none"/>
        </w:rPr>
        <w:t>（四十一）电子招标投标交易平台（即“苏采云”系统，网址：http://jszfcg.jsczt.cn/）相关要求是本招标文件的组成部分。</w:t>
      </w:r>
    </w:p>
    <w:p w14:paraId="57BDDA5C">
      <w:pPr>
        <w:keepNext w:val="0"/>
        <w:keepLines w:val="0"/>
        <w:pageBreakBefore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第三章  投标资料表</w:t>
      </w:r>
    </w:p>
    <w:p w14:paraId="1CD442F9">
      <w:pPr>
        <w:pStyle w:val="170"/>
        <w:keepNext w:val="0"/>
        <w:keepLines w:val="0"/>
        <w:pageBreakBefore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sz w:val="24"/>
          <w:highlight w:val="none"/>
        </w:rPr>
        <w:t>该资料表的条款项号是与《投标人须知》中条款项号对应的，或增加的条款，是对《投标人须知》的补充、修改和完善，如果有矛盾的话，应以本资料表为准。</w:t>
      </w:r>
    </w:p>
    <w:tbl>
      <w:tblPr>
        <w:tblStyle w:val="47"/>
        <w:tblW w:w="9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68"/>
        <w:gridCol w:w="7670"/>
      </w:tblGrid>
      <w:tr w14:paraId="19A00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3EC413DF">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条款项号</w:t>
            </w:r>
          </w:p>
        </w:tc>
        <w:tc>
          <w:tcPr>
            <w:tcW w:w="7670" w:type="dxa"/>
            <w:noWrap w:val="0"/>
            <w:vAlign w:val="top"/>
          </w:tcPr>
          <w:p w14:paraId="7212ECE6">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r>
      <w:tr w14:paraId="2B509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781C4C1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7C92F9F2">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一、总则</w:t>
            </w:r>
          </w:p>
        </w:tc>
      </w:tr>
      <w:tr w14:paraId="6F89D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4A368DE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7670" w:type="dxa"/>
            <w:noWrap w:val="0"/>
            <w:vAlign w:val="top"/>
          </w:tcPr>
          <w:p w14:paraId="764F4408">
            <w:pPr>
              <w:keepNext w:val="0"/>
              <w:keepLines w:val="0"/>
              <w:pageBreakBefore w:val="0"/>
              <w:spacing w:line="36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本项目采购人：</w:t>
            </w:r>
            <w:r>
              <w:rPr>
                <w:rFonts w:hint="eastAsia" w:ascii="宋体" w:hAnsi="宋体" w:cs="宋体"/>
                <w:color w:val="auto"/>
                <w:sz w:val="24"/>
                <w:szCs w:val="24"/>
                <w:highlight w:val="none"/>
                <w:lang w:eastAsia="zh-CN"/>
              </w:rPr>
              <w:t>徐州市云龙区城市管理局</w:t>
            </w:r>
          </w:p>
        </w:tc>
      </w:tr>
      <w:tr w14:paraId="1FD53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3C7E191C">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7670" w:type="dxa"/>
            <w:noWrap w:val="0"/>
            <w:vAlign w:val="top"/>
          </w:tcPr>
          <w:p w14:paraId="2276BDB9">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本次采购采用的政府采购方式：公开招标。</w:t>
            </w:r>
          </w:p>
        </w:tc>
      </w:tr>
      <w:tr w14:paraId="26947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102E2719">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670" w:type="dxa"/>
            <w:noWrap w:val="0"/>
            <w:vAlign w:val="top"/>
          </w:tcPr>
          <w:p w14:paraId="1C8229A1">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采购人确定的采购项目属性：</w:t>
            </w:r>
            <w:r>
              <w:rPr>
                <w:rFonts w:hint="eastAsia" w:ascii="宋体" w:hAnsi="宋体" w:cs="宋体"/>
                <w:color w:val="auto"/>
                <w:sz w:val="24"/>
                <w:szCs w:val="24"/>
                <w:highlight w:val="none"/>
                <w:lang w:val="en-US" w:eastAsia="zh-CN"/>
              </w:rPr>
              <w:t>货物</w:t>
            </w:r>
            <w:r>
              <w:rPr>
                <w:rFonts w:hint="eastAsia" w:ascii="宋体" w:hAnsi="宋体" w:eastAsia="宋体" w:cs="宋体"/>
                <w:color w:val="auto"/>
                <w:sz w:val="24"/>
                <w:szCs w:val="24"/>
                <w:highlight w:val="none"/>
              </w:rPr>
              <w:t xml:space="preserve"> </w:t>
            </w:r>
          </w:p>
        </w:tc>
      </w:tr>
      <w:tr w14:paraId="549BE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5CFA2608">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670" w:type="dxa"/>
            <w:noWrap w:val="0"/>
            <w:vAlign w:val="top"/>
          </w:tcPr>
          <w:p w14:paraId="0A75954C">
            <w:pPr>
              <w:keepNext w:val="0"/>
              <w:keepLines w:val="0"/>
              <w:pageBreakBefore w:val="0"/>
              <w:spacing w:line="36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本项目采购代理机构：</w:t>
            </w:r>
            <w:r>
              <w:rPr>
                <w:rFonts w:hint="eastAsia" w:ascii="宋体" w:hAnsi="宋体" w:eastAsia="宋体" w:cs="宋体"/>
                <w:color w:val="auto"/>
                <w:sz w:val="24"/>
                <w:szCs w:val="24"/>
                <w:highlight w:val="none"/>
                <w:lang w:eastAsia="zh-CN"/>
              </w:rPr>
              <w:t>江苏瑞阳工程咨询有限公司</w:t>
            </w:r>
          </w:p>
        </w:tc>
      </w:tr>
      <w:tr w14:paraId="73CA7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452B4B55">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42358AB7">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二、招标</w:t>
            </w:r>
          </w:p>
        </w:tc>
      </w:tr>
      <w:tr w14:paraId="1F169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1C35A910">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p>
        </w:tc>
        <w:tc>
          <w:tcPr>
            <w:tcW w:w="7670" w:type="dxa"/>
            <w:noWrap w:val="0"/>
            <w:vAlign w:val="top"/>
          </w:tcPr>
          <w:p w14:paraId="50E9E763">
            <w:pPr>
              <w:keepNext w:val="0"/>
              <w:keepLines w:val="0"/>
              <w:pageBreakBefore w:val="0"/>
              <w:spacing w:line="360" w:lineRule="auto"/>
              <w:ind w:left="0" w:firstLine="0"/>
              <w:jc w:val="both"/>
              <w:rPr>
                <w:rFonts w:hint="eastAsia" w:ascii="宋体" w:hAnsi="宋体" w:eastAsia="宋体" w:cs="宋体"/>
                <w:color w:val="auto"/>
                <w:sz w:val="24"/>
                <w:szCs w:val="24"/>
                <w:highlight w:val="none"/>
                <w:lang w:val="en-US"/>
              </w:rPr>
            </w:pPr>
            <w:r>
              <w:rPr>
                <w:rFonts w:hint="eastAsia" w:ascii="宋体" w:hAnsi="宋体" w:eastAsia="宋体" w:cs="宋体"/>
                <w:b/>
                <w:bCs/>
                <w:color w:val="auto"/>
                <w:sz w:val="24"/>
                <w:szCs w:val="24"/>
                <w:highlight w:val="none"/>
              </w:rPr>
              <w:t>采购项目预算金额</w:t>
            </w: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1500万元</w:t>
            </w:r>
            <w:r>
              <w:rPr>
                <w:rFonts w:hint="eastAsia" w:ascii="宋体" w:hAnsi="宋体" w:eastAsia="宋体" w:cs="宋体"/>
                <w:b/>
                <w:bCs/>
                <w:color w:val="auto"/>
                <w:sz w:val="24"/>
                <w:szCs w:val="24"/>
                <w:highlight w:val="none"/>
                <w:lang w:val="en-US" w:eastAsia="zh-CN"/>
              </w:rPr>
              <w:t>。</w:t>
            </w:r>
          </w:p>
        </w:tc>
      </w:tr>
      <w:tr w14:paraId="47BB0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059A0EC5">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w:t>
            </w:r>
          </w:p>
        </w:tc>
        <w:tc>
          <w:tcPr>
            <w:tcW w:w="7670" w:type="dxa"/>
            <w:noWrap w:val="0"/>
            <w:vAlign w:val="top"/>
          </w:tcPr>
          <w:p w14:paraId="3C6E4F9F">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本项目对样品的要求：</w:t>
            </w:r>
            <w:r>
              <w:rPr>
                <w:rFonts w:hint="eastAsia" w:ascii="宋体" w:hAnsi="宋体" w:eastAsia="宋体" w:cs="宋体"/>
                <w:color w:val="auto"/>
                <w:sz w:val="24"/>
                <w:szCs w:val="24"/>
                <w:highlight w:val="none"/>
                <w:lang w:val="en-US" w:eastAsia="zh-CN"/>
              </w:rPr>
              <w:t>详见采购需求</w:t>
            </w:r>
            <w:r>
              <w:rPr>
                <w:rFonts w:hint="eastAsia" w:ascii="宋体" w:hAnsi="宋体" w:eastAsia="宋体" w:cs="宋体"/>
                <w:color w:val="auto"/>
                <w:sz w:val="24"/>
                <w:szCs w:val="24"/>
                <w:highlight w:val="none"/>
              </w:rPr>
              <w:t>。</w:t>
            </w:r>
          </w:p>
        </w:tc>
      </w:tr>
      <w:tr w14:paraId="2841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7ED5F14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w:t>
            </w:r>
          </w:p>
        </w:tc>
        <w:tc>
          <w:tcPr>
            <w:tcW w:w="7670" w:type="dxa"/>
            <w:noWrap w:val="0"/>
            <w:vAlign w:val="top"/>
          </w:tcPr>
          <w:p w14:paraId="0B2C517E">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90天。</w:t>
            </w:r>
          </w:p>
        </w:tc>
      </w:tr>
      <w:tr w14:paraId="1C5B7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1867EDE">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7670" w:type="dxa"/>
            <w:noWrap w:val="0"/>
            <w:vAlign w:val="top"/>
          </w:tcPr>
          <w:p w14:paraId="3D4CA2DF">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招标文件售价：免费。</w:t>
            </w:r>
          </w:p>
        </w:tc>
      </w:tr>
      <w:tr w14:paraId="555AF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504847F0">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p>
        </w:tc>
        <w:tc>
          <w:tcPr>
            <w:tcW w:w="7670" w:type="dxa"/>
            <w:noWrap w:val="0"/>
            <w:vAlign w:val="top"/>
          </w:tcPr>
          <w:p w14:paraId="6EC473F7">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采购代理机构代理费用的收取标准和方式：</w:t>
            </w:r>
            <w:r>
              <w:rPr>
                <w:rFonts w:hint="eastAsia" w:ascii="宋体" w:hAnsi="宋体" w:eastAsia="宋体" w:cs="宋体"/>
                <w:color w:val="auto"/>
                <w:sz w:val="24"/>
                <w:szCs w:val="24"/>
                <w:highlight w:val="none"/>
                <w:lang w:val="en-US" w:eastAsia="zh-CN"/>
              </w:rPr>
              <w:t>按照徐州市政府采购协会发布的《徐州市政府采购代理服务行业收费指导价》标准的90%计取，由采购人支付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标准见《招标代理服务收费标准》（见附件）。</w:t>
            </w:r>
          </w:p>
        </w:tc>
      </w:tr>
      <w:tr w14:paraId="35A12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DADD83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p>
        </w:tc>
        <w:tc>
          <w:tcPr>
            <w:tcW w:w="7670" w:type="dxa"/>
            <w:noWrap w:val="0"/>
            <w:vAlign w:val="top"/>
          </w:tcPr>
          <w:p w14:paraId="7F887DD3">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现场考察：不组织现场考察。</w:t>
            </w:r>
          </w:p>
        </w:tc>
      </w:tr>
      <w:tr w14:paraId="78046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20D5C0F">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p>
        </w:tc>
        <w:tc>
          <w:tcPr>
            <w:tcW w:w="7670" w:type="dxa"/>
            <w:noWrap w:val="0"/>
            <w:vAlign w:val="top"/>
          </w:tcPr>
          <w:p w14:paraId="5891BBF8">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开标前答疑会：不召开开标前答疑会。</w:t>
            </w:r>
          </w:p>
        </w:tc>
      </w:tr>
      <w:tr w14:paraId="3850C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5EEC1FEC">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p w14:paraId="3FA1743E">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7670" w:type="dxa"/>
            <w:noWrap w:val="0"/>
            <w:vAlign w:val="top"/>
          </w:tcPr>
          <w:p w14:paraId="169B6B88">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招标文件进行澄清或者修改的，通过“苏采云”系统及徐州政府采购网公告澄清或者修改的内容。澄清或者修改的内容以所发布的本项目的“更正（澄清）公告”的形式通知所有获取招标文件的潜在投标人。发布本项目的“更正（澄清）公告”后采购代理机构已尽通知义务。敬请各潜在投标人关注本项目的“更正（澄清）公告”，并通过“苏采云”系统重新下载更正（澄清）后的采购文件（后缀名为“.kedt”），离线编制投标文件，否则，将自行承担相应的风险。</w:t>
            </w:r>
          </w:p>
        </w:tc>
      </w:tr>
      <w:tr w14:paraId="1DA94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3809CE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p>
        </w:tc>
        <w:tc>
          <w:tcPr>
            <w:tcW w:w="7670" w:type="dxa"/>
            <w:noWrap w:val="0"/>
            <w:vAlign w:val="top"/>
          </w:tcPr>
          <w:p w14:paraId="7BB7F26C">
            <w:pPr>
              <w:keepNext w:val="0"/>
              <w:keepLines w:val="0"/>
              <w:pageBreakBefore w:val="0"/>
              <w:widowControl/>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终止招标的，采购代理机构应当及时在原公告发布媒体上发布终止公告，以“终止公告”的形式通知已经获取招标文件的潜在投标人，</w:t>
            </w:r>
            <w:r>
              <w:rPr>
                <w:rFonts w:hint="eastAsia" w:ascii="宋体" w:hAnsi="宋体" w:eastAsia="宋体" w:cs="宋体"/>
                <w:bCs/>
                <w:color w:val="auto"/>
                <w:sz w:val="24"/>
                <w:szCs w:val="24"/>
                <w:highlight w:val="none"/>
              </w:rPr>
              <w:t>发布本项目的“</w:t>
            </w:r>
            <w:r>
              <w:rPr>
                <w:rFonts w:hint="eastAsia" w:ascii="宋体" w:hAnsi="宋体" w:eastAsia="宋体" w:cs="宋体"/>
                <w:color w:val="auto"/>
                <w:sz w:val="24"/>
                <w:szCs w:val="24"/>
                <w:highlight w:val="none"/>
              </w:rPr>
              <w:t>终止公告</w:t>
            </w:r>
            <w:r>
              <w:rPr>
                <w:rFonts w:hint="eastAsia" w:ascii="宋体" w:hAnsi="宋体" w:eastAsia="宋体" w:cs="宋体"/>
                <w:bCs/>
                <w:color w:val="auto"/>
                <w:sz w:val="24"/>
                <w:szCs w:val="24"/>
                <w:highlight w:val="none"/>
              </w:rPr>
              <w:t>”后采购代理机构已尽通知义务。敬请各潜在投标人关注本项目的“</w:t>
            </w:r>
            <w:r>
              <w:rPr>
                <w:rFonts w:hint="eastAsia" w:ascii="宋体" w:hAnsi="宋体" w:eastAsia="宋体" w:cs="宋体"/>
                <w:color w:val="auto"/>
                <w:sz w:val="24"/>
                <w:szCs w:val="24"/>
                <w:highlight w:val="none"/>
              </w:rPr>
              <w:t>终止公告</w:t>
            </w:r>
            <w:r>
              <w:rPr>
                <w:rFonts w:hint="eastAsia" w:ascii="宋体" w:hAnsi="宋体" w:eastAsia="宋体" w:cs="宋体"/>
                <w:bCs/>
                <w:color w:val="auto"/>
                <w:sz w:val="24"/>
                <w:szCs w:val="24"/>
                <w:highlight w:val="none"/>
              </w:rPr>
              <w:t>”，否则，将自行承担相应的风险。</w:t>
            </w:r>
          </w:p>
        </w:tc>
      </w:tr>
      <w:tr w14:paraId="21E0B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368" w:type="dxa"/>
            <w:noWrap w:val="0"/>
            <w:vAlign w:val="center"/>
          </w:tcPr>
          <w:p w14:paraId="17371FA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7670" w:type="dxa"/>
            <w:noWrap w:val="0"/>
            <w:vAlign w:val="top"/>
          </w:tcPr>
          <w:p w14:paraId="697FA7C6">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投标人信用信息查询渠道及截止时点、信用信息查询记录和证据留存的具体方式、信用信息的使用规则等：</w:t>
            </w:r>
          </w:p>
          <w:p w14:paraId="45EE5955">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由采购人查询信用信息。</w:t>
            </w:r>
          </w:p>
          <w:p w14:paraId="6F1E757E">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二、查询渠道：</w:t>
            </w:r>
          </w:p>
          <w:p w14:paraId="68AEF14A">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“信用中国”网（www.creditchina.gov.cn）；</w:t>
            </w:r>
          </w:p>
          <w:p w14:paraId="3EC9A1A5">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“中国政府采购”网（www.ccgp.gov.cn）；</w:t>
            </w:r>
          </w:p>
          <w:p w14:paraId="63658F4B">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“信用江苏”网（http://credit.jiangsu.gov.cn）；</w:t>
            </w:r>
          </w:p>
          <w:p w14:paraId="346E04DE">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“信用中国（江苏徐州）”网（www.xuzhoucredit.gov.cn）；</w:t>
            </w:r>
          </w:p>
          <w:p w14:paraId="5DA18620">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三、截止时点（查询环节）：资格审查结束前。</w:t>
            </w:r>
          </w:p>
          <w:p w14:paraId="31B9F454">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四、信用信息查询记录和证据留存的具体方式：</w:t>
            </w:r>
          </w:p>
          <w:p w14:paraId="5212B857">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网页截屏打印，与其他采购文件一并保存。</w:t>
            </w:r>
          </w:p>
          <w:p w14:paraId="317A2F16">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五、信用信息的使用规则：</w:t>
            </w:r>
          </w:p>
          <w:p w14:paraId="6775A943">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tc>
      </w:tr>
      <w:tr w14:paraId="6687C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3D66CA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31A4812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w:t>
            </w:r>
          </w:p>
        </w:tc>
      </w:tr>
      <w:tr w14:paraId="08444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7A005D0">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w:t>
            </w:r>
          </w:p>
        </w:tc>
        <w:tc>
          <w:tcPr>
            <w:tcW w:w="7670" w:type="dxa"/>
            <w:noWrap w:val="0"/>
            <w:vAlign w:val="top"/>
          </w:tcPr>
          <w:p w14:paraId="1CB1EFC1">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投标人的资格要求：</w:t>
            </w:r>
          </w:p>
          <w:p w14:paraId="6E0CBB56">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符合《中华人民共和国政府采购法》第二十二条规定；</w:t>
            </w:r>
          </w:p>
          <w:p w14:paraId="7957F70F">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落实政府采购政策需满足的资格要求：</w:t>
            </w:r>
            <w:r>
              <w:rPr>
                <w:rFonts w:hint="eastAsia" w:ascii="宋体" w:hAnsi="宋体" w:eastAsia="宋体" w:cs="宋体"/>
                <w:b/>
                <w:bCs w:val="0"/>
                <w:color w:val="auto"/>
                <w:sz w:val="24"/>
                <w:szCs w:val="24"/>
                <w:highlight w:val="none"/>
                <w:lang w:val="en-US" w:eastAsia="zh-CN"/>
              </w:rPr>
              <w:t>本</w:t>
            </w:r>
            <w:r>
              <w:rPr>
                <w:rFonts w:hint="eastAsia" w:ascii="宋体" w:hAnsi="宋体" w:eastAsia="宋体" w:cs="宋体"/>
                <w:b/>
                <w:bCs w:val="0"/>
                <w:color w:val="auto"/>
                <w:sz w:val="24"/>
                <w:szCs w:val="24"/>
                <w:highlight w:val="none"/>
              </w:rPr>
              <w:t>项目</w:t>
            </w:r>
            <w:r>
              <w:rPr>
                <w:rFonts w:hint="eastAsia" w:ascii="宋体" w:hAnsi="宋体" w:eastAsia="宋体" w:cs="宋体"/>
                <w:b/>
                <w:bCs w:val="0"/>
                <w:color w:val="auto"/>
                <w:sz w:val="24"/>
                <w:szCs w:val="24"/>
                <w:highlight w:val="none"/>
                <w:lang w:val="en-US" w:eastAsia="zh-CN"/>
              </w:rPr>
              <w:t>不</w:t>
            </w:r>
            <w:r>
              <w:rPr>
                <w:rFonts w:hint="eastAsia" w:ascii="宋体" w:hAnsi="宋体" w:eastAsia="宋体" w:cs="宋体"/>
                <w:b/>
                <w:bCs w:val="0"/>
                <w:color w:val="auto"/>
                <w:sz w:val="24"/>
                <w:szCs w:val="24"/>
                <w:highlight w:val="none"/>
              </w:rPr>
              <w:t>属于专门面向中小微企业采购的项目。</w:t>
            </w:r>
          </w:p>
          <w:p w14:paraId="642CB27C">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3</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本项目的特定资格要求：</w:t>
            </w:r>
            <w:r>
              <w:rPr>
                <w:rFonts w:hint="eastAsia" w:ascii="宋体" w:hAnsi="宋体" w:cs="宋体"/>
                <w:b/>
                <w:bCs w:val="0"/>
                <w:color w:val="auto"/>
                <w:sz w:val="24"/>
                <w:szCs w:val="24"/>
                <w:highlight w:val="none"/>
                <w:lang w:val="en-US" w:eastAsia="zh-CN"/>
              </w:rPr>
              <w:t>无</w:t>
            </w:r>
            <w:r>
              <w:rPr>
                <w:rFonts w:hint="eastAsia" w:ascii="宋体" w:hAnsi="宋体" w:eastAsia="宋体" w:cs="宋体"/>
                <w:b/>
                <w:bCs w:val="0"/>
                <w:color w:val="auto"/>
                <w:sz w:val="24"/>
                <w:szCs w:val="24"/>
                <w:highlight w:val="none"/>
                <w:lang w:val="en-US" w:eastAsia="zh-CN"/>
              </w:rPr>
              <w:t>。</w:t>
            </w:r>
          </w:p>
          <w:p w14:paraId="1FCB9A3D">
            <w:pPr>
              <w:keepNext w:val="0"/>
              <w:keepLines w:val="0"/>
              <w:pageBreakBefore w:val="0"/>
              <w:spacing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同时明确相关事项如下：</w:t>
            </w:r>
          </w:p>
          <w:p w14:paraId="469DD21F">
            <w:pPr>
              <w:keepNext w:val="0"/>
              <w:keepLines w:val="0"/>
              <w:pageBreakBefore w:val="0"/>
              <w:spacing w:line="360" w:lineRule="auto"/>
              <w:ind w:left="0" w:right="0" w:firstLine="0"/>
              <w:jc w:val="both"/>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r>
              <w:rPr>
                <w:rFonts w:hint="eastAsia" w:ascii="宋体" w:hAnsi="宋体" w:eastAsia="宋体" w:cs="宋体"/>
                <w:b w:val="0"/>
                <w:bCs w:val="0"/>
                <w:sz w:val="24"/>
                <w:szCs w:val="24"/>
                <w:highlight w:val="none"/>
              </w:rPr>
              <w:t>本项目</w:t>
            </w:r>
            <w:r>
              <w:rPr>
                <w:rFonts w:hint="eastAsia" w:ascii="宋体" w:hAnsi="宋体" w:cs="宋体"/>
                <w:b w:val="0"/>
                <w:bCs w:val="0"/>
                <w:sz w:val="24"/>
                <w:szCs w:val="24"/>
                <w:highlight w:val="none"/>
                <w:lang w:val="en-US" w:eastAsia="zh-CN"/>
              </w:rPr>
              <w:t>不</w:t>
            </w:r>
            <w:r>
              <w:rPr>
                <w:rFonts w:hint="eastAsia" w:ascii="宋体" w:hAnsi="宋体" w:eastAsia="宋体" w:cs="宋体"/>
                <w:b w:val="0"/>
                <w:bCs w:val="0"/>
                <w:sz w:val="24"/>
                <w:szCs w:val="24"/>
                <w:highlight w:val="none"/>
              </w:rPr>
              <w:t>接受联合体投标</w:t>
            </w:r>
            <w:r>
              <w:rPr>
                <w:rFonts w:hint="eastAsia" w:ascii="宋体" w:hAnsi="宋体" w:eastAsia="宋体" w:cs="宋体"/>
                <w:b w:val="0"/>
                <w:bCs w:val="0"/>
                <w:sz w:val="24"/>
                <w:szCs w:val="24"/>
                <w:highlight w:val="none"/>
                <w:lang w:val="en-US" w:eastAsia="zh-CN"/>
              </w:rPr>
              <w:t>。</w:t>
            </w:r>
          </w:p>
          <w:p w14:paraId="435D695F">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单位负责人为同一人或者存在直接控股、管理关系的不同供应商，不得参加同一合同项下的政府采购活动。</w:t>
            </w:r>
          </w:p>
          <w:p w14:paraId="00088B63">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为本采购项目提供整体设计、规范编制或者项目管理、监理、检测等服务的投标人，不得再参加本采购项目的采购活动。</w:t>
            </w:r>
          </w:p>
        </w:tc>
      </w:tr>
      <w:tr w14:paraId="21249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EB5EC97">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p>
        </w:tc>
        <w:tc>
          <w:tcPr>
            <w:tcW w:w="7670" w:type="dxa"/>
            <w:noWrap w:val="0"/>
            <w:vAlign w:val="top"/>
          </w:tcPr>
          <w:p w14:paraId="55CB2B27">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投标人须用政府采购客户端工具导入“苏采云”系统下载的招标文件后，离线编制投标文件。招标文件、供应商操作手册及政府采购客户端工具可通过“苏采云”系统（网址：</w:t>
            </w: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HYPERLINK "http://jszfcg.jsczt.cn/"</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bCs/>
                <w:color w:val="auto"/>
                <w:sz w:val="24"/>
                <w:szCs w:val="24"/>
                <w:highlight w:val="none"/>
              </w:rPr>
              <w:t>http://jszfcg.jsc</w:t>
            </w:r>
            <w:bookmarkStart w:id="0" w:name="_Hlt91509263"/>
            <w:bookmarkStart w:id="1" w:name="_Hlt91509264"/>
            <w:r>
              <w:rPr>
                <w:rFonts w:hint="eastAsia" w:ascii="宋体" w:hAnsi="宋体" w:eastAsia="宋体" w:cs="宋体"/>
                <w:bCs/>
                <w:color w:val="auto"/>
                <w:sz w:val="24"/>
                <w:szCs w:val="24"/>
                <w:highlight w:val="none"/>
              </w:rPr>
              <w:t>z</w:t>
            </w:r>
            <w:bookmarkEnd w:id="0"/>
            <w:bookmarkEnd w:id="1"/>
            <w:r>
              <w:rPr>
                <w:rFonts w:hint="eastAsia" w:ascii="宋体" w:hAnsi="宋体" w:eastAsia="宋体" w:cs="宋体"/>
                <w:bCs/>
                <w:color w:val="auto"/>
                <w:sz w:val="24"/>
                <w:szCs w:val="24"/>
                <w:highlight w:val="none"/>
              </w:rPr>
              <w:t>t.cn/</w:t>
            </w:r>
            <w:r>
              <w:rPr>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4D63AE9A">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特别说明：政府采购客户端工具需要导出加密的投标文件（后缀名为zip）。投标文件不得超过150M！</w:t>
            </w:r>
          </w:p>
        </w:tc>
      </w:tr>
      <w:tr w14:paraId="4DED9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68" w:type="dxa"/>
            <w:noWrap w:val="0"/>
            <w:vAlign w:val="center"/>
          </w:tcPr>
          <w:p w14:paraId="550DF4B3">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w:t>
            </w:r>
          </w:p>
        </w:tc>
        <w:tc>
          <w:tcPr>
            <w:tcW w:w="7670" w:type="dxa"/>
            <w:noWrap w:val="0"/>
            <w:vAlign w:val="top"/>
          </w:tcPr>
          <w:p w14:paraId="1006D2DE">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投标文件编制要求：</w:t>
            </w:r>
            <w:r>
              <w:rPr>
                <w:rFonts w:hint="eastAsia" w:ascii="宋体" w:hAnsi="宋体" w:eastAsia="宋体" w:cs="宋体"/>
                <w:b/>
                <w:bCs/>
                <w:color w:val="auto"/>
                <w:sz w:val="24"/>
                <w:szCs w:val="24"/>
                <w:highlight w:val="none"/>
              </w:rPr>
              <w:t>（以电子采购文件提供的格式和要求为准）</w:t>
            </w:r>
          </w:p>
          <w:p w14:paraId="60CF8EB3">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一、</w:t>
            </w:r>
            <w:r>
              <w:rPr>
                <w:rFonts w:hint="eastAsia" w:ascii="宋体" w:hAnsi="宋体" w:eastAsia="宋体" w:cs="宋体"/>
                <w:b/>
                <w:bCs w:val="0"/>
                <w:color w:val="auto"/>
                <w:sz w:val="24"/>
                <w:szCs w:val="24"/>
                <w:highlight w:val="none"/>
                <w:lang w:val="en-US" w:eastAsia="zh-CN"/>
              </w:rPr>
              <w:t>基本目录</w:t>
            </w:r>
          </w:p>
          <w:p w14:paraId="039BAA99">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firstLine="0"/>
              <w:jc w:val="both"/>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《开标一览表》（加盖电子签章，政府采购客户端工具输入报价自动生成，）；</w:t>
            </w:r>
          </w:p>
          <w:p w14:paraId="48E9CEDF">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rPr>
              <w:t>、</w:t>
            </w:r>
            <w:r>
              <w:rPr>
                <w:rFonts w:hint="eastAsia" w:ascii="宋体" w:hAnsi="宋体" w:eastAsia="宋体" w:cs="宋体"/>
                <w:b/>
                <w:color w:val="auto"/>
                <w:sz w:val="24"/>
                <w:szCs w:val="24"/>
                <w:highlight w:val="none"/>
              </w:rPr>
              <w:t>资格条件</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1-</w:t>
            </w:r>
            <w:r>
              <w:rPr>
                <w:rFonts w:hint="eastAsia" w:ascii="宋体" w:hAnsi="宋体" w:cs="宋体"/>
                <w:b/>
                <w:color w:val="auto"/>
                <w:sz w:val="24"/>
                <w:szCs w:val="24"/>
                <w:highlight w:val="none"/>
                <w:lang w:val="en-US" w:eastAsia="zh-CN"/>
              </w:rPr>
              <w:t>5</w:t>
            </w:r>
            <w:r>
              <w:rPr>
                <w:rFonts w:hint="eastAsia" w:ascii="宋体" w:hAnsi="宋体" w:eastAsia="宋体" w:cs="宋体"/>
                <w:b/>
                <w:color w:val="auto"/>
                <w:sz w:val="24"/>
                <w:szCs w:val="24"/>
                <w:highlight w:val="none"/>
                <w:lang w:val="en-US" w:eastAsia="zh-CN"/>
              </w:rPr>
              <w:t>项</w:t>
            </w:r>
            <w:r>
              <w:rPr>
                <w:rFonts w:hint="eastAsia" w:ascii="宋体" w:hAnsi="宋体" w:eastAsia="宋体" w:cs="宋体"/>
                <w:b/>
                <w:color w:val="auto"/>
                <w:sz w:val="24"/>
                <w:szCs w:val="24"/>
                <w:highlight w:val="none"/>
              </w:rPr>
              <w:t>必须提供，否则投标将被拒绝）</w:t>
            </w:r>
            <w:r>
              <w:rPr>
                <w:rFonts w:hint="eastAsia" w:ascii="宋体" w:hAnsi="宋体" w:eastAsia="宋体" w:cs="宋体"/>
                <w:bCs/>
                <w:color w:val="auto"/>
                <w:sz w:val="24"/>
                <w:szCs w:val="24"/>
                <w:highlight w:val="none"/>
              </w:rPr>
              <w:t>：</w:t>
            </w:r>
          </w:p>
          <w:p w14:paraId="46710E43">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val="en-US" w:eastAsia="zh-CN"/>
              </w:rPr>
              <w:t>1、</w:t>
            </w:r>
            <w:r>
              <w:rPr>
                <w:rFonts w:hint="eastAsia" w:ascii="宋体" w:hAnsi="宋体" w:eastAsia="宋体" w:cs="宋体"/>
                <w:sz w:val="24"/>
                <w:szCs w:val="24"/>
                <w:highlight w:val="none"/>
                <w:lang w:val="en-US" w:eastAsia="zh-CN"/>
              </w:rPr>
              <w:t>投标人合法有效的法人或者其他组织的营业执照等证明文件，自然人的身份证明，以上证明文件提供原件的扫描件</w:t>
            </w:r>
            <w:r>
              <w:rPr>
                <w:rFonts w:hint="eastAsia" w:ascii="宋体" w:hAnsi="宋体" w:eastAsia="宋体" w:cs="宋体"/>
                <w:sz w:val="24"/>
                <w:szCs w:val="24"/>
                <w:highlight w:val="none"/>
              </w:rPr>
              <w:t>。</w:t>
            </w:r>
          </w:p>
          <w:p w14:paraId="4D5E2B7A">
            <w:pPr>
              <w:keepNext w:val="0"/>
              <w:keepLines w:val="0"/>
              <w:pageBreakBefore w:val="0"/>
              <w:spacing w:line="360" w:lineRule="auto"/>
              <w:ind w:left="0" w:firstLine="0"/>
              <w:jc w:val="both"/>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2、财务状况报告，</w:t>
            </w:r>
            <w:r>
              <w:rPr>
                <w:rFonts w:hint="eastAsia" w:ascii="宋体" w:hAnsi="宋体" w:eastAsia="宋体" w:cs="宋体"/>
                <w:sz w:val="24"/>
                <w:szCs w:val="24"/>
                <w:highlight w:val="none"/>
                <w:lang w:val="en-US" w:eastAsia="zh-CN"/>
              </w:rPr>
              <w:t>至少提供：</w:t>
            </w:r>
          </w:p>
          <w:p w14:paraId="22DE00F9">
            <w:pPr>
              <w:keepNext w:val="0"/>
              <w:keepLines w:val="0"/>
              <w:pageBreakBefore w:val="0"/>
              <w:spacing w:line="360" w:lineRule="auto"/>
              <w:ind w:left="0" w:firstLine="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投标人的提交首次投标文件时间前6个月内</w:t>
            </w:r>
            <w:r>
              <w:rPr>
                <w:rFonts w:hint="eastAsia" w:ascii="宋体" w:hAnsi="宋体" w:eastAsia="宋体" w:cs="宋体"/>
                <w:sz w:val="24"/>
                <w:szCs w:val="24"/>
                <w:highlight w:val="none"/>
                <w:lang w:eastAsia="zh-CN"/>
              </w:rPr>
              <w:t>（不含“首次投标文件提交的截止时间”当月）</w:t>
            </w:r>
            <w:r>
              <w:rPr>
                <w:rFonts w:hint="eastAsia" w:ascii="宋体" w:hAnsi="宋体" w:eastAsia="宋体" w:cs="宋体"/>
                <w:sz w:val="24"/>
                <w:szCs w:val="24"/>
                <w:highlight w:val="none"/>
                <w:lang w:val="en-US" w:eastAsia="zh-CN"/>
              </w:rPr>
              <w:t>任何日期的资产负债表和利润表月报表扫描件各一份；或投标人基本开户银行出具的有效的资信证明扫描件；或其上一年度经审计的财务报告扫描件；</w:t>
            </w:r>
          </w:p>
          <w:p w14:paraId="439D193C">
            <w:pPr>
              <w:keepNext w:val="0"/>
              <w:keepLines w:val="0"/>
              <w:pageBreakBefore w:val="0"/>
              <w:spacing w:line="360" w:lineRule="auto"/>
              <w:ind w:left="0" w:firstLine="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3、投标人的提交首次投标文件时间前6个月内任何1月</w:t>
            </w:r>
            <w:r>
              <w:rPr>
                <w:rFonts w:hint="eastAsia" w:ascii="宋体" w:hAnsi="宋体" w:eastAsia="宋体" w:cs="宋体"/>
                <w:sz w:val="24"/>
                <w:szCs w:val="24"/>
                <w:highlight w:val="none"/>
                <w:lang w:eastAsia="zh-CN"/>
              </w:rPr>
              <w:t>（不含“首次投标文件提交的截止时间”当月）</w:t>
            </w:r>
            <w:r>
              <w:rPr>
                <w:rFonts w:hint="eastAsia" w:ascii="宋体" w:hAnsi="宋体" w:eastAsia="宋体" w:cs="宋体"/>
                <w:sz w:val="24"/>
                <w:szCs w:val="24"/>
                <w:highlight w:val="none"/>
                <w:lang w:val="en-US" w:eastAsia="zh-CN"/>
              </w:rPr>
              <w:t>的</w:t>
            </w:r>
            <w:r>
              <w:rPr>
                <w:rFonts w:hint="eastAsia" w:ascii="宋体" w:hAnsi="宋体" w:eastAsia="宋体" w:cs="宋体"/>
                <w:b/>
                <w:bCs/>
                <w:sz w:val="24"/>
                <w:szCs w:val="24"/>
                <w:highlight w:val="none"/>
                <w:lang w:val="en-US" w:eastAsia="zh-CN"/>
              </w:rPr>
              <w:t>依法缴纳税收和社会保障资金的相关材料扫描件各一份</w:t>
            </w:r>
            <w:r>
              <w:rPr>
                <w:rFonts w:hint="eastAsia" w:ascii="宋体" w:hAnsi="宋体" w:eastAsia="宋体" w:cs="宋体"/>
                <w:sz w:val="24"/>
                <w:szCs w:val="24"/>
                <w:highlight w:val="none"/>
                <w:lang w:val="en-US" w:eastAsia="zh-CN"/>
              </w:rPr>
              <w:t>；或依法免税或不需要缴纳社会保障资金的投标人应提供相应其依法免税或不需要缴纳社会保障资金的证明文件扫描件；</w:t>
            </w:r>
          </w:p>
          <w:p w14:paraId="17BEFB42">
            <w:pPr>
              <w:keepNext w:val="0"/>
              <w:keepLines w:val="0"/>
              <w:pageBreakBefore w:val="0"/>
              <w:spacing w:line="360" w:lineRule="auto"/>
              <w:ind w:left="0" w:firstLine="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4、具备履行合同所必需的设备和专业技术能力的证明材料。</w:t>
            </w:r>
            <w:r>
              <w:rPr>
                <w:rFonts w:hint="eastAsia" w:ascii="宋体" w:hAnsi="宋体" w:eastAsia="宋体" w:cs="宋体"/>
                <w:b w:val="0"/>
                <w:bCs w:val="0"/>
                <w:sz w:val="24"/>
                <w:szCs w:val="24"/>
                <w:highlight w:val="none"/>
              </w:rPr>
              <w:t>即提供投标人</w:t>
            </w:r>
            <w:r>
              <w:rPr>
                <w:rFonts w:hint="eastAsia" w:ascii="宋体" w:hAnsi="宋体" w:eastAsia="宋体" w:cs="宋体"/>
                <w:b w:val="0"/>
                <w:bCs w:val="0"/>
                <w:sz w:val="24"/>
                <w:szCs w:val="24"/>
                <w:highlight w:val="none"/>
                <w:lang w:val="en-US" w:eastAsia="zh-CN"/>
              </w:rPr>
              <w:t>具备履行合同所必需的设备和专业技术能力的书面声明，</w:t>
            </w:r>
            <w:r>
              <w:rPr>
                <w:rFonts w:hint="eastAsia" w:ascii="宋体" w:hAnsi="宋体" w:eastAsia="宋体" w:cs="宋体"/>
                <w:b w:val="0"/>
                <w:bCs w:val="0"/>
                <w:sz w:val="24"/>
                <w:szCs w:val="24"/>
                <w:highlight w:val="none"/>
              </w:rPr>
              <w:t>加盖电子签章，格式见招标文件第七章《投标文件相关格式》）</w:t>
            </w:r>
            <w:r>
              <w:rPr>
                <w:rFonts w:hint="eastAsia" w:ascii="宋体" w:hAnsi="宋体" w:eastAsia="宋体" w:cs="宋体"/>
                <w:sz w:val="24"/>
                <w:szCs w:val="24"/>
                <w:highlight w:val="none"/>
                <w:lang w:val="en-US" w:eastAsia="zh-CN"/>
              </w:rPr>
              <w:t>；</w:t>
            </w:r>
          </w:p>
          <w:p w14:paraId="1096C5EB">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sz w:val="24"/>
                <w:szCs w:val="24"/>
                <w:highlight w:val="none"/>
                <w:lang w:val="en-US" w:eastAsia="zh-CN"/>
              </w:rPr>
              <w:t>5、投标人参加政府采购活动前3年内在经营活动中没有重大违法记录的书面声明(原件，格式见招标文件第七章《投标文件相关格式</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w:t>
            </w:r>
          </w:p>
          <w:p w14:paraId="7DCFCC3E">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三、符合条件（</w:t>
            </w:r>
            <w:r>
              <w:rPr>
                <w:rFonts w:hint="eastAsia" w:ascii="宋体" w:hAnsi="宋体" w:eastAsia="宋体" w:cs="宋体"/>
                <w:b/>
                <w:color w:val="auto"/>
                <w:sz w:val="24"/>
                <w:szCs w:val="24"/>
                <w:highlight w:val="none"/>
              </w:rPr>
              <w:t>必须提供，否则在符合性审查时按照投标无效处理</w:t>
            </w:r>
            <w:r>
              <w:rPr>
                <w:rFonts w:hint="eastAsia" w:ascii="宋体" w:hAnsi="宋体" w:eastAsia="宋体" w:cs="宋体"/>
                <w:b/>
                <w:bCs w:val="0"/>
                <w:color w:val="auto"/>
                <w:sz w:val="24"/>
                <w:szCs w:val="24"/>
                <w:highlight w:val="none"/>
              </w:rPr>
              <w:t>）</w:t>
            </w:r>
          </w:p>
          <w:p w14:paraId="54BE324C">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（一）报价</w:t>
            </w:r>
          </w:p>
          <w:p w14:paraId="7F143D20">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1、《开标一览表》（加盖电子签章，格式见招标文件第七章《投标文件相关格式》）；</w:t>
            </w:r>
          </w:p>
          <w:p w14:paraId="58A07234">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2、《分项价格表》（加盖电子签章，格式见招标文件第七章《投标文件相关格式》）；</w:t>
            </w:r>
          </w:p>
          <w:p w14:paraId="01F48D9C">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（二）商务资信</w:t>
            </w:r>
          </w:p>
          <w:p w14:paraId="09D4EB7B">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1、《投标函》（加盖电子签章，格式见招标文件第七章《投标文件相关格式》）；</w:t>
            </w:r>
          </w:p>
          <w:p w14:paraId="41EE8D6A">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 w:val="0"/>
                <w:bCs w:val="0"/>
                <w:sz w:val="24"/>
                <w:szCs w:val="24"/>
                <w:highlight w:val="none"/>
              </w:rPr>
              <w:t>法定代表人授权书</w:t>
            </w:r>
            <w:r>
              <w:rPr>
                <w:rFonts w:hint="eastAsia" w:ascii="宋体" w:hAnsi="宋体" w:eastAsia="宋体" w:cs="宋体"/>
                <w:bCs/>
                <w:color w:val="auto"/>
                <w:sz w:val="24"/>
                <w:szCs w:val="24"/>
                <w:highlight w:val="none"/>
                <w:lang w:val="en-US" w:eastAsia="zh-CN"/>
              </w:rPr>
              <w:t>》（加盖电子签章，格式见招标文件第七章《投标文件相关格式》）；</w:t>
            </w:r>
          </w:p>
          <w:p w14:paraId="35B83397">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（三）技术响应</w:t>
            </w:r>
          </w:p>
          <w:p w14:paraId="1216486A">
            <w:pPr>
              <w:keepNext w:val="0"/>
              <w:keepLines w:val="0"/>
              <w:pageBreakBefore w:val="0"/>
              <w:spacing w:line="360" w:lineRule="auto"/>
              <w:ind w:left="0" w:firstLine="0"/>
              <w:jc w:val="both"/>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1、《偏离表》（加盖电子签章，格式见招标文件第七章《投标文件相关格式》）。</w:t>
            </w:r>
          </w:p>
          <w:p w14:paraId="4DDE6960">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b/>
                <w:bCs/>
                <w:sz w:val="24"/>
                <w:szCs w:val="24"/>
                <w:highlight w:val="none"/>
              </w:rPr>
            </w:pPr>
            <w:r>
              <w:rPr>
                <w:rFonts w:hint="eastAsia" w:ascii="宋体" w:hAnsi="宋体" w:eastAsia="宋体" w:cs="宋体"/>
                <w:b/>
                <w:bCs w:val="0"/>
                <w:color w:val="auto"/>
                <w:sz w:val="24"/>
                <w:szCs w:val="24"/>
                <w:highlight w:val="none"/>
                <w:lang w:val="en-US" w:eastAsia="zh-CN"/>
              </w:rPr>
              <w:t>四</w:t>
            </w:r>
            <w:r>
              <w:rPr>
                <w:rFonts w:hint="eastAsia" w:ascii="宋体" w:hAnsi="宋体" w:eastAsia="宋体" w:cs="宋体"/>
                <w:b/>
                <w:bCs w:val="0"/>
                <w:color w:val="auto"/>
                <w:sz w:val="24"/>
                <w:szCs w:val="24"/>
                <w:highlight w:val="none"/>
              </w:rPr>
              <w:t>、</w:t>
            </w:r>
            <w:r>
              <w:rPr>
                <w:rFonts w:hint="eastAsia" w:ascii="宋体" w:hAnsi="宋体" w:eastAsia="宋体" w:cs="宋体"/>
                <w:b/>
                <w:bCs/>
                <w:sz w:val="24"/>
                <w:szCs w:val="24"/>
                <w:highlight w:val="none"/>
              </w:rPr>
              <w:t>综合评审评分项</w:t>
            </w:r>
          </w:p>
          <w:p w14:paraId="74D377AC">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（一）技术部分</w:t>
            </w:r>
          </w:p>
          <w:p w14:paraId="0FDB7543">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要求见招标文件第四章《评标标准》、第六章《采购需求》</w:t>
            </w:r>
          </w:p>
          <w:p w14:paraId="6C7AAC39">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b/>
                <w:bCs/>
                <w:sz w:val="24"/>
                <w:szCs w:val="24"/>
                <w:highlight w:val="none"/>
              </w:rPr>
            </w:pPr>
            <w:r>
              <w:rPr>
                <w:rFonts w:hint="eastAsia" w:ascii="宋体" w:hAnsi="宋体" w:eastAsia="宋体" w:cs="宋体"/>
                <w:b/>
                <w:sz w:val="24"/>
                <w:szCs w:val="24"/>
                <w:highlight w:val="none"/>
              </w:rPr>
              <w:t>（二）</w:t>
            </w:r>
            <w:r>
              <w:rPr>
                <w:rFonts w:hint="eastAsia" w:ascii="宋体" w:hAnsi="宋体" w:eastAsia="宋体" w:cs="宋体"/>
                <w:b/>
                <w:bCs/>
                <w:sz w:val="24"/>
                <w:szCs w:val="24"/>
                <w:highlight w:val="none"/>
              </w:rPr>
              <w:t>商务部分</w:t>
            </w:r>
          </w:p>
          <w:p w14:paraId="1A865D3C">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要求见招标文件第四章《评标标准》。</w:t>
            </w:r>
          </w:p>
          <w:p w14:paraId="0EFB8DEF">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五、</w:t>
            </w:r>
            <w:r>
              <w:rPr>
                <w:rFonts w:hint="eastAsia" w:ascii="宋体" w:hAnsi="宋体" w:eastAsia="宋体" w:cs="宋体"/>
                <w:b/>
                <w:bCs/>
                <w:sz w:val="24"/>
                <w:szCs w:val="24"/>
                <w:highlight w:val="none"/>
              </w:rPr>
              <w:t>价格折扣文件格式：</w:t>
            </w:r>
          </w:p>
          <w:p w14:paraId="73FA0C10">
            <w:pPr>
              <w:keepNext w:val="0"/>
              <w:keepLines w:val="0"/>
              <w:pageBreakBefore w:val="0"/>
              <w:spacing w:line="360" w:lineRule="auto"/>
              <w:ind w:left="0" w:firstLine="0"/>
              <w:jc w:val="both"/>
              <w:rPr>
                <w:rFonts w:hint="eastAsia" w:ascii="宋体" w:hAnsi="宋体" w:eastAsia="宋体" w:cs="宋体"/>
                <w:b w:val="0"/>
                <w:bCs w:val="0"/>
                <w:color w:val="auto"/>
                <w:sz w:val="24"/>
                <w:highlight w:val="none"/>
                <w:lang w:val="en-US" w:eastAsia="zh-CN"/>
              </w:rPr>
            </w:pPr>
            <w:r>
              <w:rPr>
                <w:rFonts w:hint="eastAsia" w:ascii="宋体" w:hAnsi="宋体" w:cs="宋体"/>
                <w:b/>
                <w:bCs/>
                <w:sz w:val="24"/>
                <w:szCs w:val="24"/>
                <w:highlight w:val="none"/>
                <w:lang w:val="en-US" w:eastAsia="zh-CN"/>
              </w:rPr>
              <w:t>1、</w:t>
            </w:r>
            <w:r>
              <w:rPr>
                <w:rFonts w:hint="eastAsia" w:ascii="宋体" w:hAnsi="宋体" w:eastAsia="宋体" w:cs="宋体"/>
                <w:b/>
                <w:bCs/>
                <w:sz w:val="24"/>
                <w:szCs w:val="24"/>
                <w:highlight w:val="none"/>
              </w:rPr>
              <w:t>本项目</w:t>
            </w:r>
            <w:r>
              <w:rPr>
                <w:rFonts w:hint="eastAsia" w:ascii="宋体" w:hAnsi="宋体" w:cs="宋体"/>
                <w:b/>
                <w:bCs/>
                <w:sz w:val="24"/>
                <w:szCs w:val="24"/>
                <w:highlight w:val="none"/>
                <w:lang w:val="en-US" w:eastAsia="zh-CN"/>
              </w:rPr>
              <w:t>不</w:t>
            </w:r>
            <w:r>
              <w:rPr>
                <w:rFonts w:hint="eastAsia" w:ascii="宋体" w:hAnsi="宋体" w:eastAsia="宋体" w:cs="宋体"/>
                <w:b/>
                <w:bCs/>
                <w:sz w:val="24"/>
                <w:szCs w:val="24"/>
                <w:highlight w:val="none"/>
              </w:rPr>
              <w:t>属于专门面向中小微企业采购的项目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投标人</w:t>
            </w:r>
            <w:r>
              <w:rPr>
                <w:rFonts w:hint="eastAsia" w:ascii="宋体" w:hAnsi="宋体" w:eastAsia="宋体" w:cs="宋体"/>
                <w:b w:val="0"/>
                <w:bCs w:val="0"/>
                <w:color w:val="auto"/>
                <w:sz w:val="24"/>
                <w:highlight w:val="none"/>
                <w:lang w:val="en-US" w:eastAsia="zh-CN"/>
              </w:rPr>
              <w:t>如为中小微企业（含中型、小型、微型企业，下同），</w:t>
            </w:r>
            <w:r>
              <w:rPr>
                <w:rFonts w:hint="eastAsia" w:ascii="宋体" w:hAnsi="宋体" w:eastAsia="宋体" w:cs="宋体"/>
                <w:b/>
                <w:bCs/>
                <w:color w:val="auto"/>
                <w:sz w:val="24"/>
                <w:highlight w:val="none"/>
                <w:lang w:val="en-US" w:eastAsia="zh-CN"/>
              </w:rPr>
              <w:t>投标文件中提供《中小企业声明函》（加盖电子签章，必须提供，填写完整，</w:t>
            </w:r>
            <w:r>
              <w:rPr>
                <w:rFonts w:hint="eastAsia" w:ascii="宋体" w:hAnsi="宋体" w:eastAsia="宋体" w:cs="宋体"/>
                <w:b/>
                <w:bCs/>
                <w:sz w:val="24"/>
                <w:szCs w:val="24"/>
                <w:highlight w:val="none"/>
                <w:lang w:val="en-US" w:eastAsia="zh-CN"/>
              </w:rPr>
              <w:t>格式见招标文件第七章《投标文件相关格式</w:t>
            </w:r>
            <w:r>
              <w:rPr>
                <w:rFonts w:hint="eastAsia" w:ascii="宋体" w:hAnsi="宋体" w:cs="宋体"/>
                <w:b/>
                <w:bCs/>
                <w:sz w:val="24"/>
                <w:szCs w:val="24"/>
                <w:highlight w:val="none"/>
                <w:lang w:val="en-US" w:eastAsia="zh-CN"/>
              </w:rPr>
              <w:t>》</w:t>
            </w:r>
            <w:r>
              <w:rPr>
                <w:rFonts w:hint="eastAsia" w:ascii="宋体" w:hAnsi="宋体" w:eastAsia="宋体" w:cs="宋体"/>
                <w:b/>
                <w:bCs/>
                <w:color w:val="auto"/>
                <w:sz w:val="24"/>
                <w:highlight w:val="none"/>
                <w:lang w:val="en-US" w:eastAsia="zh-CN"/>
              </w:rPr>
              <w:t>，如不填写完整或未按要求填写的，视为无效）。</w:t>
            </w:r>
            <w:r>
              <w:rPr>
                <w:rFonts w:hint="eastAsia" w:ascii="宋体" w:hAnsi="宋体" w:eastAsia="宋体" w:cs="宋体"/>
                <w:b w:val="0"/>
                <w:bCs w:val="0"/>
                <w:color w:val="auto"/>
                <w:sz w:val="24"/>
                <w:highlight w:val="none"/>
                <w:lang w:val="en-US" w:eastAsia="zh-CN"/>
              </w:rPr>
              <w:t>《中小企业声明函》查询渠道用微信搜索“中小企业规模类型自测小程序”。</w:t>
            </w:r>
          </w:p>
          <w:p w14:paraId="00C90555">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注：具体以《政府采购促进中小企业发展管理办法》（财库[2020]46号）和《关于印发中小企业划型标准规定的通知》（工信部联企业[2011]300号）的规定为准。</w:t>
            </w:r>
          </w:p>
          <w:p w14:paraId="5733F14F">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投标人为监狱企业的，提供省级以上监狱管理局、戒毒管理局（含新疆生产建设兵团）出具的属于监狱企业的证明文件的扫描件。</w:t>
            </w:r>
          </w:p>
          <w:p w14:paraId="2E564BDF">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注：具体以《财政部 司法部关于政府采购支持监狱企业发展有关问题的通知》（财库〔2014〕68号）的规定为准。</w:t>
            </w:r>
          </w:p>
          <w:p w14:paraId="65C5DDAA">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投标人为享受政府采购支持政策的残疾人福利性单位的，提供《残疾人福利性单位声明函》（加盖电子签章，格式见招标文件第七章《投标文件相关格式》）。</w:t>
            </w:r>
          </w:p>
          <w:p w14:paraId="189505C0">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享受政府采购支持政策的残疾人福利性单位应当同时满足以下条件：</w:t>
            </w:r>
          </w:p>
          <w:p w14:paraId="6FD64B09">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①安置的残疾人占本单位在职职工人数的比例不低于25%（含25%），并且安置的残疾人人数不少于10人（含10人）；</w:t>
            </w:r>
          </w:p>
          <w:p w14:paraId="0B441905">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②依法与安置的每位残疾人签订了一年以上（含一年）的劳动合同或服务协议；</w:t>
            </w:r>
          </w:p>
          <w:p w14:paraId="3AE05851">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③为安置的每位残疾人按月足额缴纳了基本养老保险、基本医疗保险、失业保险、工伤保险和生育保险等社会保险费；</w:t>
            </w:r>
          </w:p>
          <w:p w14:paraId="389B74C6">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④通过银行等金融机构向安置的每位残疾人，按月支付了不低于单位所在区县适用的经省级人民政府批准的月最低工资标准的工资；</w:t>
            </w:r>
          </w:p>
          <w:p w14:paraId="74D17E38">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⑤提供本单位制造的货物、承担的工程或者服务（以下简称产品），或者提供其他残疾人福利性单位制造的货物（不包括使用非残疾人福利性单位注册商标的货物）。</w:t>
            </w:r>
          </w:p>
          <w:p w14:paraId="1281DE2B">
            <w:pPr>
              <w:keepNext w:val="0"/>
              <w:keepLines w:val="0"/>
              <w:pageBreakBefore w:val="0"/>
              <w:spacing w:line="360" w:lineRule="auto"/>
              <w:ind w:left="0" w:firstLine="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32DCDA4E">
            <w:pPr>
              <w:keepNext w:val="0"/>
              <w:keepLines w:val="0"/>
              <w:pageBreakBefore w:val="0"/>
              <w:spacing w:line="360" w:lineRule="auto"/>
              <w:ind w:left="0" w:firstLine="0"/>
              <w:jc w:val="both"/>
              <w:rPr>
                <w:rFonts w:hint="eastAsia" w:ascii="宋体" w:hAnsi="宋体" w:cs="宋体"/>
                <w:b/>
                <w:bCs/>
                <w:sz w:val="24"/>
                <w:szCs w:val="24"/>
                <w:highlight w:val="none"/>
                <w:lang w:val="en-US" w:eastAsia="zh-CN"/>
              </w:rPr>
            </w:pPr>
            <w:r>
              <w:rPr>
                <w:rFonts w:hint="eastAsia" w:ascii="宋体" w:hAnsi="宋体" w:eastAsia="宋体" w:cs="宋体"/>
                <w:sz w:val="24"/>
                <w:szCs w:val="24"/>
                <w:highlight w:val="none"/>
              </w:rPr>
              <w:t xml:space="preserve">   具体以《三部门联合发布关于促进残疾人就业政府采购政策的通知》（财库〔2017〕141号）规定为准。</w:t>
            </w:r>
          </w:p>
          <w:p w14:paraId="4F1D6DB9">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60" w:lineRule="auto"/>
              <w:ind w:left="0" w:right="0" w:firstLine="0"/>
              <w:jc w:val="both"/>
              <w:rPr>
                <w:rFonts w:hint="eastAsia" w:ascii="宋体" w:hAnsi="宋体" w:eastAsia="宋体" w:cs="宋体"/>
                <w:b w:val="0"/>
                <w:bCs/>
                <w:sz w:val="24"/>
                <w:szCs w:val="24"/>
                <w:highlight w:val="none"/>
              </w:rPr>
            </w:pPr>
            <w:r>
              <w:rPr>
                <w:rFonts w:hint="eastAsia" w:ascii="宋体" w:hAnsi="宋体" w:cs="宋体"/>
                <w:b/>
                <w:sz w:val="24"/>
                <w:szCs w:val="24"/>
                <w:highlight w:val="none"/>
                <w:lang w:val="en-US" w:eastAsia="zh-CN"/>
              </w:rPr>
              <w:t>2、</w:t>
            </w:r>
            <w:r>
              <w:rPr>
                <w:rFonts w:hint="eastAsia" w:ascii="宋体" w:hAnsi="宋体" w:eastAsia="宋体" w:cs="宋体"/>
                <w:b/>
                <w:sz w:val="24"/>
                <w:szCs w:val="24"/>
                <w:highlight w:val="none"/>
                <w:lang w:eastAsia="zh-CN"/>
              </w:rPr>
              <w:t>投标人《关于符合本国产品标准的声明函》</w:t>
            </w:r>
            <w:r>
              <w:rPr>
                <w:rFonts w:hint="eastAsia" w:ascii="宋体" w:hAnsi="宋体" w:eastAsia="宋体" w:cs="宋体"/>
                <w:b w:val="0"/>
                <w:bCs/>
                <w:sz w:val="24"/>
                <w:szCs w:val="24"/>
                <w:highlight w:val="none"/>
                <w:lang w:eastAsia="zh-CN"/>
              </w:rPr>
              <w:t>（填写完整，加盖电子签章，格式见招标文件第七章《投标文件相关格式》）</w:t>
            </w:r>
            <w:r>
              <w:rPr>
                <w:rFonts w:hint="eastAsia" w:ascii="宋体" w:hAnsi="宋体" w:eastAsia="宋体" w:cs="宋体"/>
                <w:b w:val="0"/>
                <w:bCs/>
                <w:sz w:val="24"/>
                <w:szCs w:val="24"/>
                <w:highlight w:val="none"/>
              </w:rPr>
              <w:t>。（请填写完整，如不填写完整或未按要求填写的，视为无效）</w:t>
            </w:r>
            <w:r>
              <w:rPr>
                <w:rFonts w:hint="eastAsia" w:ascii="宋体" w:hAnsi="宋体" w:eastAsia="宋体" w:cs="宋体"/>
                <w:b w:val="0"/>
                <w:bCs/>
                <w:sz w:val="24"/>
                <w:szCs w:val="24"/>
                <w:highlight w:val="none"/>
                <w:lang w:eastAsia="zh-CN"/>
              </w:rPr>
              <w:t>。</w:t>
            </w:r>
          </w:p>
          <w:p w14:paraId="0A6D291A">
            <w:pPr>
              <w:keepNext w:val="0"/>
              <w:keepLines w:val="0"/>
              <w:pageBreakBefore w:val="0"/>
              <w:spacing w:line="360" w:lineRule="auto"/>
              <w:ind w:left="0" w:firstLine="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政府采购中实施本国产品标准及相关政策</w:t>
            </w:r>
          </w:p>
          <w:p w14:paraId="551F4B40">
            <w:pPr>
              <w:keepNext w:val="0"/>
              <w:keepLines w:val="0"/>
              <w:pageBreakBefore w:val="0"/>
              <w:spacing w:line="360" w:lineRule="auto"/>
              <w:ind w:left="0" w:firstLine="0"/>
              <w:jc w:val="both"/>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1.本项目对采购本国产品给予政策支持，政府采购活动中既有本国产品又有非本国产品参与竞争的，依法对本国产品给予价格评审优惠，对本国产品的报价给予20%的价格扣除，用扣除后的价格参与评审。</w:t>
            </w:r>
          </w:p>
          <w:p w14:paraId="4415EE25">
            <w:pPr>
              <w:keepNext w:val="0"/>
              <w:keepLines w:val="0"/>
              <w:pageBreakBefore w:val="0"/>
              <w:spacing w:line="360" w:lineRule="auto"/>
              <w:ind w:left="0" w:firstLine="0"/>
              <w:jc w:val="both"/>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E96E973">
            <w:pPr>
              <w:keepNext w:val="0"/>
              <w:keepLines w:val="0"/>
              <w:pageBreakBefore w:val="0"/>
              <w:spacing w:line="360" w:lineRule="auto"/>
              <w:ind w:left="0" w:firstLine="0"/>
              <w:jc w:val="both"/>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1797DA4">
            <w:pPr>
              <w:keepNext w:val="0"/>
              <w:keepLines w:val="0"/>
              <w:pageBreakBefore w:val="0"/>
              <w:spacing w:line="360" w:lineRule="auto"/>
              <w:ind w:left="0" w:firstLine="0"/>
              <w:jc w:val="both"/>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0FB6EBE9">
            <w:pPr>
              <w:keepNext w:val="0"/>
              <w:keepLines w:val="0"/>
              <w:pageBreakBefore w:val="0"/>
              <w:spacing w:line="360" w:lineRule="auto"/>
              <w:ind w:left="0" w:firstLine="0"/>
              <w:jc w:val="both"/>
              <w:rPr>
                <w:rFonts w:hint="eastAsia" w:ascii="宋体" w:hAnsi="宋体" w:eastAsia="宋体" w:cs="宋体"/>
                <w:b/>
                <w:bCs w:val="0"/>
                <w:color w:val="auto"/>
                <w:sz w:val="24"/>
                <w:szCs w:val="24"/>
                <w:highlight w:val="none"/>
                <w:lang w:eastAsia="zh-CN"/>
              </w:rPr>
            </w:pPr>
            <w:r>
              <w:rPr>
                <w:rFonts w:hint="eastAsia" w:ascii="宋体" w:hAnsi="宋体" w:eastAsia="宋体" w:cs="宋体"/>
                <w:b w:val="0"/>
                <w:bCs/>
                <w:color w:val="auto"/>
                <w:sz w:val="24"/>
                <w:szCs w:val="24"/>
                <w:highlight w:val="none"/>
              </w:rPr>
              <w:t>具体以《国务院办公厅关于在政府采购中实施本国产品标准及相关政策的通知》（国办发〔2025〕34号）规定为准</w:t>
            </w:r>
            <w:r>
              <w:rPr>
                <w:rFonts w:hint="eastAsia" w:ascii="宋体" w:hAnsi="宋体" w:cs="宋体"/>
                <w:b w:val="0"/>
                <w:bCs/>
                <w:color w:val="auto"/>
                <w:sz w:val="24"/>
                <w:szCs w:val="24"/>
                <w:highlight w:val="none"/>
                <w:lang w:eastAsia="zh-CN"/>
              </w:rPr>
              <w:t>。</w:t>
            </w:r>
          </w:p>
          <w:p w14:paraId="3459A3CC">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14:paraId="158BAE50">
            <w:pPr>
              <w:keepNext w:val="0"/>
              <w:keepLines w:val="0"/>
              <w:pageBreakBefore w:val="0"/>
              <w:spacing w:line="360" w:lineRule="auto"/>
              <w:ind w:left="0" w:firstLine="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1、投标人应对以上文件的合法性、真实性负责。</w:t>
            </w:r>
          </w:p>
          <w:p w14:paraId="749144F3">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2、签订合同前，中标人必须向采购人提交其投标文件中所有扫描件的原件，采购人核查无误后，签订合同。如中标人不能在采购人规定的时间内向采购人提供原件，将被采购人视为放弃中标资格。</w:t>
            </w:r>
          </w:p>
        </w:tc>
      </w:tr>
      <w:tr w14:paraId="4CE81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198E7C5">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19.4</w:t>
            </w:r>
          </w:p>
        </w:tc>
        <w:tc>
          <w:tcPr>
            <w:tcW w:w="7670" w:type="dxa"/>
            <w:noWrap w:val="0"/>
            <w:vAlign w:val="top"/>
          </w:tcPr>
          <w:p w14:paraId="0C538EA8">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投标人应当通过“苏采云”系统提交数据电文形式的投标文件（即电子投标文件）。</w:t>
            </w:r>
          </w:p>
        </w:tc>
      </w:tr>
      <w:tr w14:paraId="45AFC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7A92378">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19.5</w:t>
            </w:r>
          </w:p>
        </w:tc>
        <w:tc>
          <w:tcPr>
            <w:tcW w:w="7670" w:type="dxa"/>
            <w:noWrap w:val="0"/>
            <w:vAlign w:val="top"/>
          </w:tcPr>
          <w:p w14:paraId="0DAB43B8">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投标文件的退还：投标文件不退还投标人，若采购人索取中标人的数据电文形式的投标文件，须在双方</w:t>
            </w:r>
            <w:r>
              <w:rPr>
                <w:rFonts w:hint="eastAsia" w:ascii="宋体" w:hAnsi="宋体" w:eastAsia="宋体" w:cs="宋体"/>
                <w:color w:val="auto"/>
                <w:sz w:val="24"/>
                <w:szCs w:val="24"/>
                <w:highlight w:val="none"/>
                <w:lang w:eastAsia="zh-CN"/>
              </w:rPr>
              <w:t>签订</w:t>
            </w:r>
            <w:r>
              <w:rPr>
                <w:rFonts w:hint="eastAsia" w:ascii="宋体" w:hAnsi="宋体" w:eastAsia="宋体" w:cs="宋体"/>
                <w:color w:val="auto"/>
                <w:sz w:val="24"/>
                <w:szCs w:val="24"/>
                <w:highlight w:val="none"/>
              </w:rPr>
              <w:t>政府采购合同后，由采购代理机构提供给采购人。</w:t>
            </w:r>
          </w:p>
        </w:tc>
      </w:tr>
      <w:tr w14:paraId="6013B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57925A57">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19.6</w:t>
            </w:r>
          </w:p>
        </w:tc>
        <w:tc>
          <w:tcPr>
            <w:tcW w:w="7670" w:type="dxa"/>
            <w:noWrap w:val="0"/>
            <w:vAlign w:val="top"/>
          </w:tcPr>
          <w:p w14:paraId="30095772">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投标文件的密封、签署、盖章要求：</w:t>
            </w:r>
          </w:p>
          <w:p w14:paraId="1EAAB894">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文件的密封（加密）要求：投标人应当按照招标文件和“苏采云”系统的要求编制并加密投标文件。本项目投标人须通过“苏采云”系统提供的政府采购客户端工具（使用“CA数字证书”）对其数据电文形式的投标文件加密。</w:t>
            </w:r>
          </w:p>
          <w:p w14:paraId="579A49C6">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二、投标文件的签署要求：见招标文件第七章《投标文件相关格式》。</w:t>
            </w:r>
          </w:p>
          <w:p w14:paraId="28B9AEF4">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三、投标文件的盖章要求：见招标文件第三章《投标资料表》19.2和招标文件第七章《投标文件相关格式》。投标人须通过“苏采云”系统提供的政府采购客户端工具（使用“CA数字证书”）加盖电子签章。</w:t>
            </w:r>
          </w:p>
        </w:tc>
      </w:tr>
      <w:tr w14:paraId="24C56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368" w:type="dxa"/>
            <w:noWrap w:val="0"/>
            <w:vAlign w:val="center"/>
          </w:tcPr>
          <w:p w14:paraId="01827B36">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19.8</w:t>
            </w:r>
          </w:p>
        </w:tc>
        <w:tc>
          <w:tcPr>
            <w:tcW w:w="7670" w:type="dxa"/>
            <w:noWrap w:val="0"/>
            <w:vAlign w:val="top"/>
          </w:tcPr>
          <w:p w14:paraId="02106DAA">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投标人未按规定加密的投标文件，“苏采云”系统应当拒收并提示。</w:t>
            </w:r>
          </w:p>
        </w:tc>
      </w:tr>
      <w:tr w14:paraId="796CB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3FDEB3A">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19.9</w:t>
            </w:r>
          </w:p>
        </w:tc>
        <w:tc>
          <w:tcPr>
            <w:tcW w:w="7670" w:type="dxa"/>
            <w:noWrap w:val="0"/>
            <w:vAlign w:val="top"/>
          </w:tcPr>
          <w:p w14:paraId="0DF7AC30">
            <w:pPr>
              <w:keepNext w:val="0"/>
              <w:keepLines w:val="0"/>
              <w:pageBreakBefore w:val="0"/>
              <w:widowControl/>
              <w:spacing w:line="360" w:lineRule="auto"/>
              <w:ind w:left="0" w:firstLine="0"/>
              <w:jc w:val="both"/>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投标人应当在投标截止时间前完成投标文件的传输提交，并可以补充、修改或者撤回投标文件。补充、修改投标文件的，须先撤回投标文件，重新编制（即补充、修改）投标文件，在投标截止时间前完成投标文件的传输提交。投标截止时间前未完成投标文件传输的，视为撤回投标文件。投标截止时间后送达的投标文件，“苏采云”系统应当拒收。“苏采云”系统收到投标人送达的投标文件，即时向投标人发出确认回执通知，并妥善保存投标文件。在投标截止时间前，除投标人补充、修改或者撤回投标文件外，任何单位和个人不得解密、提取投标文件。</w:t>
            </w:r>
          </w:p>
        </w:tc>
      </w:tr>
      <w:tr w14:paraId="33E5B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762CCDAF">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w:t>
            </w:r>
          </w:p>
        </w:tc>
        <w:tc>
          <w:tcPr>
            <w:tcW w:w="7670" w:type="dxa"/>
            <w:noWrap w:val="0"/>
            <w:vAlign w:val="top"/>
          </w:tcPr>
          <w:p w14:paraId="728493F8">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
                <w:bCs w:val="0"/>
                <w:color w:val="auto"/>
                <w:sz w:val="24"/>
                <w:szCs w:val="24"/>
                <w:highlight w:val="none"/>
              </w:rPr>
              <w:t>本项目</w:t>
            </w:r>
            <w:r>
              <w:rPr>
                <w:rFonts w:hint="eastAsia" w:ascii="宋体" w:hAnsi="宋体" w:eastAsia="宋体" w:cs="宋体"/>
                <w:b/>
                <w:bCs w:val="0"/>
                <w:color w:val="auto"/>
                <w:sz w:val="24"/>
                <w:szCs w:val="24"/>
                <w:highlight w:val="none"/>
                <w:lang w:val="en-US" w:eastAsia="zh-CN"/>
              </w:rPr>
              <w:t>不接受超过</w:t>
            </w:r>
            <w:r>
              <w:rPr>
                <w:rFonts w:hint="eastAsia" w:ascii="宋体" w:hAnsi="宋体" w:cs="宋体"/>
                <w:b/>
                <w:bCs w:val="0"/>
                <w:color w:val="auto"/>
                <w:sz w:val="24"/>
                <w:szCs w:val="24"/>
                <w:highlight w:val="none"/>
                <w:lang w:val="en-US" w:eastAsia="zh-CN"/>
              </w:rPr>
              <w:t>1500万元</w:t>
            </w:r>
            <w:r>
              <w:rPr>
                <w:rFonts w:hint="eastAsia" w:ascii="宋体" w:hAnsi="宋体" w:eastAsia="宋体" w:cs="宋体"/>
                <w:b/>
                <w:bCs w:val="0"/>
                <w:color w:val="auto"/>
                <w:sz w:val="24"/>
                <w:szCs w:val="24"/>
                <w:highlight w:val="none"/>
                <w:lang w:val="en-US" w:eastAsia="zh-CN"/>
              </w:rPr>
              <w:t>（人民币）</w:t>
            </w:r>
            <w:r>
              <w:rPr>
                <w:rFonts w:hint="eastAsia" w:ascii="宋体" w:hAnsi="宋体" w:eastAsia="宋体" w:cs="宋体"/>
                <w:b/>
                <w:bCs w:val="0"/>
                <w:color w:val="auto"/>
                <w:sz w:val="24"/>
                <w:szCs w:val="24"/>
                <w:highlight w:val="none"/>
              </w:rPr>
              <w:t>（采购预算金额）</w:t>
            </w:r>
            <w:bookmarkStart w:id="2" w:name="OLE_LINK1"/>
            <w:r>
              <w:rPr>
                <w:rFonts w:hint="eastAsia" w:ascii="宋体" w:hAnsi="宋体" w:eastAsia="宋体" w:cs="宋体"/>
                <w:b/>
                <w:bCs w:val="0"/>
                <w:color w:val="auto"/>
                <w:sz w:val="24"/>
                <w:szCs w:val="24"/>
                <w:highlight w:val="none"/>
                <w:lang w:val="en-US" w:eastAsia="zh-CN"/>
              </w:rPr>
              <w:t>的投标报价。</w:t>
            </w:r>
            <w:bookmarkEnd w:id="2"/>
            <w:r>
              <w:rPr>
                <w:rFonts w:ascii="宋体" w:hAnsi="宋体" w:cs="宋体"/>
                <w:b/>
                <w:bCs/>
                <w:color w:val="auto"/>
                <w:sz w:val="24"/>
                <w:highlight w:val="none"/>
              </w:rPr>
              <w:t>报价包括但不限于产品价、税金、运费、安装、</w:t>
            </w:r>
            <w:r>
              <w:rPr>
                <w:rFonts w:hint="eastAsia" w:ascii="宋体" w:hAnsi="宋体" w:cs="宋体"/>
                <w:b/>
                <w:bCs/>
                <w:color w:val="auto"/>
                <w:sz w:val="24"/>
                <w:highlight w:val="none"/>
                <w:lang w:val="en-US" w:eastAsia="zh-CN"/>
              </w:rPr>
              <w:t>调试</w:t>
            </w:r>
            <w:r>
              <w:rPr>
                <w:rFonts w:ascii="宋体" w:hAnsi="宋体" w:cs="宋体"/>
                <w:b/>
                <w:bCs/>
                <w:color w:val="auto"/>
                <w:sz w:val="24"/>
                <w:highlight w:val="none"/>
              </w:rPr>
              <w:t>、</w:t>
            </w:r>
            <w:r>
              <w:rPr>
                <w:rFonts w:hint="eastAsia" w:ascii="宋体" w:hAnsi="宋体" w:cs="宋体"/>
                <w:b/>
                <w:bCs/>
                <w:color w:val="auto"/>
                <w:sz w:val="24"/>
                <w:highlight w:val="none"/>
                <w:lang w:val="en-US" w:eastAsia="zh-CN"/>
              </w:rPr>
              <w:t>运行维护、</w:t>
            </w:r>
            <w:r>
              <w:rPr>
                <w:rFonts w:ascii="宋体" w:hAnsi="宋体" w:cs="宋体"/>
                <w:b/>
                <w:bCs/>
                <w:color w:val="auto"/>
                <w:sz w:val="24"/>
                <w:highlight w:val="none"/>
              </w:rPr>
              <w:t>保险、培训、售后服务、投标人的利润等全部费用。采购人不再支付报价以外的任何费用。</w:t>
            </w:r>
          </w:p>
        </w:tc>
      </w:tr>
      <w:tr w14:paraId="7E70F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192D83DC">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7670" w:type="dxa"/>
            <w:noWrap w:val="0"/>
            <w:vAlign w:val="top"/>
          </w:tcPr>
          <w:p w14:paraId="37591F1B">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投标人不需</w:t>
            </w:r>
            <w:r>
              <w:rPr>
                <w:rFonts w:hint="eastAsia" w:ascii="宋体" w:hAnsi="宋体" w:eastAsia="宋体" w:cs="宋体"/>
                <w:b/>
                <w:bCs/>
                <w:color w:val="auto"/>
                <w:sz w:val="24"/>
                <w:szCs w:val="24"/>
                <w:highlight w:val="none"/>
                <w:lang w:eastAsia="zh-CN"/>
              </w:rPr>
              <w:t>缴纳</w:t>
            </w:r>
            <w:r>
              <w:rPr>
                <w:rFonts w:hint="eastAsia" w:ascii="宋体" w:hAnsi="宋体" w:eastAsia="宋体" w:cs="宋体"/>
                <w:b/>
                <w:bCs/>
                <w:color w:val="auto"/>
                <w:sz w:val="24"/>
                <w:szCs w:val="24"/>
                <w:highlight w:val="none"/>
              </w:rPr>
              <w:t>投标保证金。</w:t>
            </w:r>
          </w:p>
        </w:tc>
      </w:tr>
      <w:tr w14:paraId="389E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39A0F87F">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7670" w:type="dxa"/>
            <w:noWrap w:val="0"/>
            <w:vAlign w:val="top"/>
          </w:tcPr>
          <w:p w14:paraId="56F1CE9D">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b/>
                <w:bCs/>
                <w:color w:val="FF0000"/>
                <w:sz w:val="24"/>
                <w:szCs w:val="24"/>
                <w:highlight w:val="none"/>
              </w:rPr>
              <w:t>投标截止时间：</w:t>
            </w:r>
            <w:r>
              <w:rPr>
                <w:rFonts w:hint="eastAsia" w:ascii="宋体" w:hAnsi="宋体" w:cs="宋体"/>
                <w:b/>
                <w:bCs/>
                <w:color w:val="FF0000"/>
                <w:sz w:val="24"/>
                <w:szCs w:val="24"/>
                <w:highlight w:val="none"/>
                <w:lang w:eastAsia="zh-CN"/>
              </w:rPr>
              <w:t>2026年6月23日</w:t>
            </w:r>
            <w:r>
              <w:rPr>
                <w:rFonts w:hint="eastAsia" w:ascii="宋体" w:hAnsi="宋体" w:eastAsia="宋体" w:cs="宋体"/>
                <w:b/>
                <w:bCs/>
                <w:color w:val="FF0000"/>
                <w:sz w:val="24"/>
                <w:szCs w:val="24"/>
                <w:highlight w:val="none"/>
                <w:lang w:eastAsia="zh-CN"/>
              </w:rPr>
              <w:t>北京时间</w:t>
            </w:r>
            <w:r>
              <w:rPr>
                <w:rFonts w:hint="eastAsia" w:ascii="宋体" w:hAnsi="宋体" w:cs="宋体"/>
                <w:b/>
                <w:bCs/>
                <w:color w:val="FF0000"/>
                <w:sz w:val="24"/>
                <w:szCs w:val="24"/>
                <w:highlight w:val="none"/>
                <w:lang w:eastAsia="zh-CN"/>
              </w:rPr>
              <w:t>09:30</w:t>
            </w:r>
          </w:p>
        </w:tc>
      </w:tr>
      <w:tr w14:paraId="6AFD5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16C97DF0">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tc>
        <w:tc>
          <w:tcPr>
            <w:tcW w:w="7670" w:type="dxa"/>
            <w:noWrap w:val="0"/>
            <w:vAlign w:val="top"/>
          </w:tcPr>
          <w:p w14:paraId="616C51BE">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投标文件的提交与接收：</w:t>
            </w:r>
          </w:p>
          <w:p w14:paraId="4BA17AFB">
            <w:pPr>
              <w:keepNext w:val="0"/>
              <w:keepLines w:val="0"/>
              <w:pageBreakBefore w:val="0"/>
              <w:widowControl/>
              <w:numPr>
                <w:ilvl w:val="0"/>
                <w:numId w:val="3"/>
              </w:numPr>
              <w:spacing w:line="360" w:lineRule="auto"/>
              <w:ind w:left="0" w:firstLine="0"/>
              <w:jc w:val="both"/>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投标文件提交与接收时间</w:t>
            </w:r>
            <w:r>
              <w:rPr>
                <w:rFonts w:hint="eastAsia" w:ascii="宋体" w:hAnsi="宋体" w:eastAsia="宋体" w:cs="宋体"/>
                <w:b/>
                <w:bCs/>
                <w:color w:val="auto"/>
                <w:sz w:val="24"/>
                <w:szCs w:val="24"/>
                <w:highlight w:val="none"/>
              </w:rPr>
              <w:t>：</w:t>
            </w:r>
          </w:p>
          <w:p w14:paraId="2BDD9C01">
            <w:pPr>
              <w:keepNext w:val="0"/>
              <w:keepLines w:val="0"/>
              <w:pageBreakBefore w:val="0"/>
              <w:widowControl/>
              <w:numPr>
                <w:ilvl w:val="0"/>
                <w:numId w:val="0"/>
              </w:numPr>
              <w:spacing w:line="360" w:lineRule="auto"/>
              <w:ind w:left="0" w:firstLine="0"/>
              <w:jc w:val="both"/>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提交投标文件截止时间（</w:t>
            </w:r>
            <w:r>
              <w:rPr>
                <w:rFonts w:hint="eastAsia" w:ascii="宋体" w:hAnsi="宋体" w:cs="宋体"/>
                <w:b/>
                <w:bCs/>
                <w:color w:val="FF0000"/>
                <w:sz w:val="24"/>
                <w:szCs w:val="24"/>
                <w:highlight w:val="none"/>
                <w:lang w:eastAsia="zh-CN"/>
              </w:rPr>
              <w:t>2026年6月23日</w:t>
            </w:r>
            <w:r>
              <w:rPr>
                <w:rFonts w:hint="eastAsia" w:ascii="宋体" w:hAnsi="宋体" w:eastAsia="宋体" w:cs="宋体"/>
                <w:b/>
                <w:bCs/>
                <w:color w:val="FF0000"/>
                <w:sz w:val="24"/>
                <w:szCs w:val="24"/>
                <w:highlight w:val="none"/>
                <w:lang w:eastAsia="zh-CN"/>
              </w:rPr>
              <w:t>北京时间</w:t>
            </w:r>
            <w:r>
              <w:rPr>
                <w:rFonts w:hint="eastAsia" w:ascii="宋体" w:hAnsi="宋体" w:cs="宋体"/>
                <w:b/>
                <w:bCs/>
                <w:color w:val="FF0000"/>
                <w:sz w:val="24"/>
                <w:szCs w:val="24"/>
                <w:highlight w:val="none"/>
                <w:lang w:eastAsia="zh-CN"/>
              </w:rPr>
              <w:t>09:30</w:t>
            </w:r>
            <w:r>
              <w:rPr>
                <w:rFonts w:hint="eastAsia" w:ascii="宋体" w:hAnsi="宋体" w:eastAsia="宋体" w:cs="宋体"/>
                <w:b/>
                <w:bCs/>
                <w:color w:val="FF0000"/>
                <w:sz w:val="24"/>
                <w:szCs w:val="24"/>
                <w:highlight w:val="none"/>
              </w:rPr>
              <w:t>）前。</w:t>
            </w:r>
          </w:p>
          <w:p w14:paraId="22B2A6E8">
            <w:pPr>
              <w:keepNext w:val="0"/>
              <w:keepLines w:val="0"/>
              <w:pageBreakBefore w:val="0"/>
              <w:widowControl/>
              <w:numPr>
                <w:ilvl w:val="0"/>
                <w:numId w:val="0"/>
              </w:numPr>
              <w:spacing w:line="360" w:lineRule="auto"/>
              <w:ind w:left="0" w:firstLine="0"/>
              <w:jc w:val="both"/>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投标文件提交与接收地点：</w:t>
            </w:r>
            <w:r>
              <w:rPr>
                <w:rFonts w:hint="eastAsia" w:ascii="宋体" w:hAnsi="宋体" w:eastAsia="宋体" w:cs="宋体"/>
                <w:b/>
                <w:bCs/>
                <w:color w:val="auto"/>
                <w:sz w:val="24"/>
                <w:szCs w:val="24"/>
                <w:highlight w:val="none"/>
              </w:rPr>
              <w:t>投标人应当通过“苏采云”系统提交数据电文形式的投标文件（即电子投标），“苏采云”系统自动接收，在达到开标时间后，使用CA数字证书解密各自投标文件。</w:t>
            </w:r>
          </w:p>
          <w:p w14:paraId="6717EAF3">
            <w:pPr>
              <w:keepNext w:val="0"/>
              <w:keepLines w:val="0"/>
              <w:pageBreakBefore w:val="0"/>
              <w:widowControl/>
              <w:numPr>
                <w:ilvl w:val="0"/>
                <w:numId w:val="0"/>
              </w:numPr>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特别说明：政府采购客户端工具需要导出加密的投标文件（后缀名为zip）。投标文件不得超过150M！（以系统为准）名为“.kedt”）后，离线编制投标文件。采购文件（后缀名为“.kedt”）。</w:t>
            </w:r>
          </w:p>
        </w:tc>
      </w:tr>
      <w:tr w14:paraId="20FAE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1368" w:type="dxa"/>
            <w:noWrap w:val="0"/>
            <w:vAlign w:val="center"/>
          </w:tcPr>
          <w:p w14:paraId="7E0FE69A">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w:t>
            </w:r>
          </w:p>
        </w:tc>
        <w:tc>
          <w:tcPr>
            <w:tcW w:w="7670" w:type="dxa"/>
            <w:noWrap w:val="0"/>
            <w:vAlign w:val="top"/>
          </w:tcPr>
          <w:p w14:paraId="279D45CC">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招标文件对本项目分包的规定：采购人不允许采用分包方式履行合同。</w:t>
            </w:r>
          </w:p>
        </w:tc>
      </w:tr>
      <w:tr w14:paraId="62A41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0590CA76">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3494C25E">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四、开标、评标</w:t>
            </w:r>
          </w:p>
        </w:tc>
      </w:tr>
      <w:tr w14:paraId="1810C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6ECF1B7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w:t>
            </w:r>
          </w:p>
        </w:tc>
        <w:tc>
          <w:tcPr>
            <w:tcW w:w="7670" w:type="dxa"/>
            <w:noWrap w:val="0"/>
            <w:vAlign w:val="top"/>
          </w:tcPr>
          <w:p w14:paraId="67DCCB72">
            <w:pPr>
              <w:keepNext w:val="0"/>
              <w:keepLines w:val="0"/>
              <w:pageBreakBefore w:val="0"/>
              <w:widowControl/>
              <w:spacing w:line="360" w:lineRule="auto"/>
              <w:ind w:left="0" w:firstLine="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开标时间及地点：</w:t>
            </w:r>
          </w:p>
          <w:p w14:paraId="41089E80">
            <w:pPr>
              <w:pStyle w:val="22"/>
              <w:keepNext w:val="0"/>
              <w:keepLines w:val="0"/>
              <w:pageBreakBefore w:val="0"/>
              <w:widowControl/>
              <w:spacing w:line="360" w:lineRule="auto"/>
              <w:ind w:left="0" w:firstLine="0"/>
              <w:jc w:val="both"/>
              <w:rPr>
                <w:rFonts w:hint="eastAsia" w:ascii="宋体" w:hAnsi="宋体" w:eastAsia="宋体" w:cs="宋体"/>
                <w:b/>
                <w:bCs/>
                <w:color w:val="FF0000"/>
                <w:sz w:val="24"/>
                <w:szCs w:val="24"/>
                <w:highlight w:val="none"/>
                <w:lang w:eastAsia="zh-CN"/>
              </w:rPr>
            </w:pPr>
            <w:r>
              <w:rPr>
                <w:rFonts w:hint="eastAsia" w:ascii="宋体" w:hAnsi="宋体" w:eastAsia="宋体" w:cs="宋体"/>
                <w:b/>
                <w:bCs/>
                <w:color w:val="FF0000"/>
                <w:sz w:val="24"/>
                <w:szCs w:val="24"/>
                <w:highlight w:val="none"/>
              </w:rPr>
              <w:t>1</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开标时间：</w:t>
            </w:r>
            <w:r>
              <w:rPr>
                <w:rFonts w:hint="eastAsia" w:ascii="宋体" w:hAnsi="宋体" w:cs="宋体"/>
                <w:b/>
                <w:bCs/>
                <w:color w:val="FF0000"/>
                <w:sz w:val="24"/>
                <w:szCs w:val="24"/>
                <w:highlight w:val="none"/>
                <w:lang w:eastAsia="zh-CN"/>
              </w:rPr>
              <w:t>2026年6月23日</w:t>
            </w:r>
            <w:r>
              <w:rPr>
                <w:rFonts w:hint="eastAsia" w:ascii="宋体" w:hAnsi="宋体" w:eastAsia="宋体" w:cs="宋体"/>
                <w:b/>
                <w:bCs/>
                <w:color w:val="FF0000"/>
                <w:sz w:val="24"/>
                <w:szCs w:val="24"/>
                <w:highlight w:val="none"/>
                <w:lang w:eastAsia="zh-CN"/>
              </w:rPr>
              <w:t>北京时间</w:t>
            </w:r>
            <w:r>
              <w:rPr>
                <w:rFonts w:hint="eastAsia" w:ascii="宋体" w:hAnsi="宋体" w:cs="宋体"/>
                <w:b/>
                <w:bCs/>
                <w:color w:val="FF0000"/>
                <w:sz w:val="24"/>
                <w:szCs w:val="24"/>
                <w:highlight w:val="none"/>
                <w:lang w:eastAsia="zh-CN"/>
              </w:rPr>
              <w:t>09:30</w:t>
            </w:r>
          </w:p>
          <w:p w14:paraId="27806C96">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开标地点：“苏采云”系统（网址： http://jszfcg.jsczt.cn/）“开标大厅”或进入徐州政府采购网（网址：</w:t>
            </w:r>
            <w:r>
              <w:rPr>
                <w:rFonts w:hint="eastAsia" w:ascii="宋体" w:hAnsi="宋体" w:cs="宋体"/>
                <w:b/>
                <w:bCs/>
                <w:color w:val="auto"/>
                <w:sz w:val="24"/>
                <w:szCs w:val="24"/>
                <w:highlight w:val="none"/>
                <w:lang w:eastAsia="zh-CN"/>
              </w:rPr>
              <w:t>https://czj.xz.gov.cn/zfcg/index.html</w:t>
            </w:r>
            <w:r>
              <w:rPr>
                <w:rFonts w:hint="eastAsia" w:ascii="宋体" w:hAnsi="宋体" w:eastAsia="宋体" w:cs="宋体"/>
                <w:b/>
                <w:bCs/>
                <w:color w:val="auto"/>
                <w:sz w:val="24"/>
                <w:szCs w:val="24"/>
                <w:highlight w:val="none"/>
              </w:rPr>
              <w:t>）--业务工作--用户登录，点击“苏采云”进入系统“开标大厅”。</w:t>
            </w:r>
          </w:p>
        </w:tc>
      </w:tr>
      <w:tr w14:paraId="5DB29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008A7B6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w:t>
            </w:r>
          </w:p>
        </w:tc>
        <w:tc>
          <w:tcPr>
            <w:tcW w:w="7670" w:type="dxa"/>
            <w:noWrap w:val="0"/>
            <w:vAlign w:val="top"/>
          </w:tcPr>
          <w:p w14:paraId="3CC1CF66">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线上开标时，“苏采云”系统自动提取所有投标文件，投标人按招标文件规定方式按时在线解密。本项目招标文件规定的投标人按时在线解密方式：开标时间后30分钟内，通过“苏采云”系统（使用“CA数字证书”）解密。</w:t>
            </w:r>
          </w:p>
          <w:p w14:paraId="366C753A">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所有投标人解密（或解密时间）结束后，“苏采云”系统生成开标记录并向社会公众公布，但依法应当保密的除外。</w:t>
            </w:r>
          </w:p>
        </w:tc>
      </w:tr>
      <w:tr w14:paraId="1131E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103BCAA7">
            <w:pPr>
              <w:keepNext w:val="0"/>
              <w:keepLines w:val="0"/>
              <w:pageBreakBefore w:val="0"/>
              <w:spacing w:line="360" w:lineRule="auto"/>
              <w:ind w:left="0" w:firstLine="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26.4</w:t>
            </w:r>
          </w:p>
        </w:tc>
        <w:tc>
          <w:tcPr>
            <w:tcW w:w="7670" w:type="dxa"/>
            <w:noWrap w:val="0"/>
            <w:vAlign w:val="top"/>
          </w:tcPr>
          <w:p w14:paraId="53122A5A">
            <w:pPr>
              <w:keepNext w:val="0"/>
              <w:keepLines w:val="0"/>
              <w:pageBreakBefore w:val="0"/>
              <w:widowControl/>
              <w:spacing w:line="360" w:lineRule="auto"/>
              <w:ind w:left="0" w:firstLine="0"/>
              <w:jc w:val="both"/>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1.评标中需要投标人对投标文件澄清或者说明的，应当通过“苏采云”系统交换数据电文。</w:t>
            </w:r>
            <w:r>
              <w:rPr>
                <w:rFonts w:hint="eastAsia" w:ascii="宋体" w:hAnsi="宋体" w:eastAsia="宋体" w:cs="宋体"/>
                <w:b/>
                <w:bCs/>
                <w:color w:val="auto"/>
                <w:sz w:val="24"/>
                <w:szCs w:val="24"/>
                <w:highlight w:val="none"/>
              </w:rPr>
              <w:t>在评标期间，请投标人保持在线。</w:t>
            </w:r>
          </w:p>
          <w:p w14:paraId="152F459B">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2.对于投标文件中含义不明确、同类问题表述不一致或者有明显文字和计算错误的内容，评标委员会通过“苏采云”系统要求投标人作出必要的澄清、说明或者补正，并规定回复时间。</w:t>
            </w:r>
          </w:p>
          <w:p w14:paraId="521E7EA6">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的澄清、说明或者补正应当采用通过“苏采云”系统（使用“CA数字证书”,加盖电子签章）形式。投标人没有在规定的回复时间内作出必要的澄清、说明或者补正，评标委员会将认为投标人拒绝作出必要的澄清、说明或者补正，并承担相应的后果和法律责任。</w:t>
            </w:r>
          </w:p>
          <w:p w14:paraId="12D89590">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特别说明：“苏采云”系统通过“江苏省政府采购一体化不见面开标大厅”提醒投标人。投标人自行查看，投标人因自身原因不及时查看导致没收到信息，“苏采云”系统不承担任何责任。</w:t>
            </w:r>
          </w:p>
        </w:tc>
      </w:tr>
      <w:tr w14:paraId="04676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854455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w:t>
            </w:r>
          </w:p>
        </w:tc>
        <w:tc>
          <w:tcPr>
            <w:tcW w:w="7670" w:type="dxa"/>
            <w:noWrap w:val="0"/>
            <w:vAlign w:val="top"/>
          </w:tcPr>
          <w:p w14:paraId="368F1BBA">
            <w:pPr>
              <w:keepNext w:val="0"/>
              <w:keepLines w:val="0"/>
              <w:pageBreakBefore w:val="0"/>
              <w:widowControl/>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本项目的评标方法：综合评分法。</w:t>
            </w:r>
          </w:p>
        </w:tc>
      </w:tr>
      <w:tr w14:paraId="71E00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F33BF32">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564CA939">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五、中标和合同</w:t>
            </w:r>
          </w:p>
        </w:tc>
      </w:tr>
      <w:tr w14:paraId="23A6F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68" w:type="dxa"/>
            <w:noWrap w:val="0"/>
            <w:vAlign w:val="center"/>
          </w:tcPr>
          <w:p w14:paraId="635C5647">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38.2</w:t>
            </w:r>
          </w:p>
        </w:tc>
        <w:tc>
          <w:tcPr>
            <w:tcW w:w="7670" w:type="dxa"/>
            <w:noWrap w:val="0"/>
            <w:vAlign w:val="top"/>
          </w:tcPr>
          <w:p w14:paraId="0FA9709D">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候选人并列的，招标文件规定的确定中标人方式：采用综合评分法的，评标结果按评审后得分由高到低顺序排列。得分相同的，按投标报价由低到高顺序排列。得分且投标报价相同的，按项目实施方案优劣顺序排列。中标候选人应当不超过3个，并标明排序。</w:t>
            </w:r>
          </w:p>
        </w:tc>
      </w:tr>
      <w:tr w14:paraId="26E4A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3" w:hRule="atLeast"/>
        </w:trPr>
        <w:tc>
          <w:tcPr>
            <w:tcW w:w="1368" w:type="dxa"/>
            <w:noWrap w:val="0"/>
            <w:vAlign w:val="center"/>
          </w:tcPr>
          <w:p w14:paraId="2009FBAA">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7670" w:type="dxa"/>
            <w:noWrap w:val="0"/>
            <w:vAlign w:val="top"/>
          </w:tcPr>
          <w:p w14:paraId="5B5D19A2">
            <w:pPr>
              <w:keepNext w:val="0"/>
              <w:keepLines w:val="0"/>
              <w:pageBreakBefore w:val="0"/>
              <w:pBdr>
                <w:top w:val="none" w:color="000000" w:sz="0" w:space="0"/>
                <w:left w:val="none" w:color="000000" w:sz="0" w:space="0"/>
                <w:bottom w:val="none" w:color="000000" w:sz="0" w:space="0"/>
                <w:right w:val="none" w:color="000000" w:sz="0" w:space="0"/>
              </w:pBdr>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特别说明：按照《政府采购法》及其实施条例以及相关规定，中标或者成交后无正当理由拒不与采购人签订政府采购合同的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在一至三年内禁止参加政府采购活动，列入政府采购严重违法失信行为记录名单。</w:t>
            </w:r>
          </w:p>
        </w:tc>
      </w:tr>
      <w:tr w14:paraId="724B2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286331E4">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p>
        </w:tc>
        <w:tc>
          <w:tcPr>
            <w:tcW w:w="7670" w:type="dxa"/>
            <w:noWrap w:val="0"/>
            <w:vAlign w:val="top"/>
          </w:tcPr>
          <w:p w14:paraId="1ED0F31B">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六、询问和质疑</w:t>
            </w:r>
          </w:p>
        </w:tc>
      </w:tr>
      <w:tr w14:paraId="50C54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4155735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p>
        </w:tc>
        <w:tc>
          <w:tcPr>
            <w:tcW w:w="7670" w:type="dxa"/>
            <w:noWrap w:val="0"/>
            <w:vAlign w:val="top"/>
          </w:tcPr>
          <w:p w14:paraId="2E569A1B">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认为采购文件、采购过程和中标、成交结果使自己的权益受到损害的，可以在知道或者应知其权益受到损害之日起七个工作日内，以书面形式向采购代理机构提出质疑。询问和质疑由采购代理机构依法处理。</w:t>
            </w:r>
          </w:p>
          <w:p w14:paraId="7C509ADF">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2、供应商在法定质疑期内一次性提出针对同一采购程序环节的质疑。</w:t>
            </w:r>
          </w:p>
          <w:p w14:paraId="3D6A72D5">
            <w:pPr>
              <w:keepNext w:val="0"/>
              <w:keepLines w:val="0"/>
              <w:pageBreakBefore w:val="0"/>
              <w:spacing w:line="360" w:lineRule="auto"/>
              <w:ind w:left="0" w:firstLine="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质疑接收人：</w:t>
            </w:r>
            <w:r>
              <w:rPr>
                <w:rFonts w:hint="eastAsia" w:ascii="宋体" w:hAnsi="宋体" w:cs="宋体"/>
                <w:color w:val="auto"/>
                <w:sz w:val="24"/>
                <w:szCs w:val="24"/>
                <w:highlight w:val="none"/>
                <w:lang w:val="en-US" w:eastAsia="zh-CN"/>
              </w:rPr>
              <w:t>宋雅</w:t>
            </w:r>
            <w:r>
              <w:rPr>
                <w:rFonts w:hint="eastAsia" w:ascii="宋体" w:hAnsi="宋体" w:eastAsia="宋体" w:cs="宋体"/>
                <w:color w:val="auto"/>
                <w:sz w:val="24"/>
                <w:szCs w:val="24"/>
                <w:highlight w:val="none"/>
                <w:lang w:val="en-US" w:eastAsia="zh-CN"/>
              </w:rPr>
              <w:t xml:space="preserve">、孙玉琦  </w:t>
            </w: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0516-83200699</w:t>
            </w:r>
          </w:p>
          <w:p w14:paraId="02D9AB5E">
            <w:pPr>
              <w:keepNext w:val="0"/>
              <w:keepLines w:val="0"/>
              <w:pageBreakBefore w:val="0"/>
              <w:spacing w:line="360" w:lineRule="auto"/>
              <w:ind w:left="0" w:firstLine="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eastAsia="zh-CN"/>
              </w:rPr>
              <w:t>徐州市云龙区绿地商务城D座516室</w:t>
            </w:r>
          </w:p>
        </w:tc>
      </w:tr>
      <w:tr w14:paraId="6F8E4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68" w:type="dxa"/>
            <w:noWrap w:val="0"/>
            <w:vAlign w:val="center"/>
          </w:tcPr>
          <w:p w14:paraId="47DF9E01">
            <w:pPr>
              <w:keepNext w:val="0"/>
              <w:keepLines w:val="0"/>
              <w:pageBreakBefore w:val="0"/>
              <w:spacing w:line="360" w:lineRule="auto"/>
              <w:ind w:left="0" w:firstLine="0"/>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附加说明</w:t>
            </w:r>
          </w:p>
        </w:tc>
        <w:tc>
          <w:tcPr>
            <w:tcW w:w="7670" w:type="dxa"/>
            <w:noWrap w:val="0"/>
            <w:vAlign w:val="top"/>
          </w:tcPr>
          <w:p w14:paraId="4F3604F0">
            <w:pPr>
              <w:keepNext w:val="0"/>
              <w:keepLines w:val="0"/>
              <w:pageBreakBefore w:val="0"/>
              <w:spacing w:line="360" w:lineRule="auto"/>
              <w:ind w:lef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中标人在收到中标通知书时，须向采购代理机构提交《开标一览表》和《分项价格表》的数据文件（WORD格式）。</w:t>
            </w:r>
          </w:p>
        </w:tc>
      </w:tr>
    </w:tbl>
    <w:p w14:paraId="7AF6E409">
      <w:pPr>
        <w:pStyle w:val="17"/>
        <w:keepNext w:val="0"/>
        <w:keepLines w:val="0"/>
        <w:spacing w:line="360" w:lineRule="auto"/>
        <w:ind w:left="0" w:firstLine="0"/>
        <w:rPr>
          <w:rFonts w:hint="eastAsia" w:ascii="宋体" w:hAnsi="宋体" w:eastAsia="宋体" w:cs="宋体"/>
          <w:highlight w:val="none"/>
        </w:rPr>
      </w:pPr>
    </w:p>
    <w:p w14:paraId="2066F7C1">
      <w:pPr>
        <w:pStyle w:val="34"/>
        <w:keepLines w:val="0"/>
        <w:rPr>
          <w:rFonts w:hint="eastAsia" w:ascii="宋体" w:hAnsi="宋体" w:eastAsia="宋体" w:cs="宋体"/>
          <w:color w:val="auto"/>
          <w:sz w:val="24"/>
          <w:highlight w:val="none"/>
        </w:rPr>
        <w:sectPr>
          <w:pgSz w:w="11906" w:h="16838"/>
          <w:pgMar w:top="1440" w:right="1440" w:bottom="1440" w:left="1440" w:header="851" w:footer="992" w:gutter="0"/>
          <w:cols w:space="1701" w:num="1"/>
          <w:docGrid w:linePitch="360" w:charSpace="0"/>
        </w:sectPr>
      </w:pPr>
    </w:p>
    <w:p w14:paraId="2B01D1AD">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24"/>
          <w:highlight w:val="none"/>
        </w:rPr>
        <w:t>附件</w:t>
      </w:r>
    </w:p>
    <w:p w14:paraId="76E40B67">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480"/>
        <w:jc w:val="center"/>
        <w:rPr>
          <w:rFonts w:hint="eastAsia" w:ascii="宋体" w:hAnsi="宋体" w:eastAsia="宋体" w:cs="宋体"/>
          <w:color w:val="auto"/>
          <w:highlight w:val="none"/>
        </w:rPr>
      </w:pPr>
      <w:r>
        <w:rPr>
          <w:rFonts w:hint="eastAsia" w:ascii="宋体" w:hAnsi="宋体" w:eastAsia="宋体" w:cs="宋体"/>
          <w:b/>
          <w:color w:val="auto"/>
          <w:sz w:val="24"/>
          <w:highlight w:val="none"/>
        </w:rPr>
        <w:t>招标代理服务收费标准</w:t>
      </w:r>
    </w:p>
    <w:tbl>
      <w:tblPr>
        <w:tblStyle w:val="48"/>
        <w:tblW w:w="8600" w:type="dx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887"/>
        <w:gridCol w:w="2713"/>
      </w:tblGrid>
      <w:tr w14:paraId="477205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0" w:hRule="atLeast"/>
        </w:trPr>
        <w:tc>
          <w:tcPr>
            <w:tcW w:w="5887"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1194CB9">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中标或成交金额</w:t>
            </w:r>
          </w:p>
        </w:tc>
        <w:tc>
          <w:tcPr>
            <w:tcW w:w="2713"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4CBC257">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费率</w:t>
            </w:r>
          </w:p>
        </w:tc>
      </w:tr>
      <w:tr w14:paraId="1ECD25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9"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0EBF6AE">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最低收费金额(每个委托项目)</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1C6E27">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5000元</w:t>
            </w:r>
          </w:p>
        </w:tc>
      </w:tr>
      <w:tr w14:paraId="43F3827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34"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47B85D3">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50万元以</w:t>
            </w:r>
            <w:r>
              <w:rPr>
                <w:rFonts w:hint="eastAsia" w:ascii="宋体" w:hAnsi="宋体" w:eastAsia="宋体" w:cs="宋体"/>
                <w:color w:val="auto"/>
                <w:sz w:val="24"/>
                <w:highlight w:val="none"/>
                <w:lang w:val="en-US" w:eastAsia="zh-CN"/>
              </w:rPr>
              <w:t>下</w:t>
            </w:r>
            <w:r>
              <w:rPr>
                <w:rFonts w:hint="eastAsia" w:ascii="宋体" w:hAnsi="宋体" w:eastAsia="宋体" w:cs="宋体"/>
                <w:color w:val="auto"/>
                <w:sz w:val="24"/>
                <w:highlight w:val="none"/>
              </w:rPr>
              <w:t>（含50万元）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11D2AFF">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1.60%</w:t>
            </w:r>
          </w:p>
        </w:tc>
      </w:tr>
      <w:tr w14:paraId="36F77F1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4"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2D03030">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50-400万元（含400万元）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02AFFB">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1.50%</w:t>
            </w:r>
          </w:p>
        </w:tc>
      </w:tr>
      <w:tr w14:paraId="1442B52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05"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72B29BA">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400-1000万元（含1000万元）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68F371">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1.10%</w:t>
            </w:r>
          </w:p>
        </w:tc>
      </w:tr>
      <w:tr w14:paraId="3313EAF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0"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877C93">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1000-5000万元（含5000万元）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9C0E30">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0.80%</w:t>
            </w:r>
          </w:p>
        </w:tc>
      </w:tr>
      <w:tr w14:paraId="0D99BB3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6"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0FDCA56">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5000-1亿元（含1亿元）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6AB8AA8">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0.25%</w:t>
            </w:r>
          </w:p>
        </w:tc>
      </w:tr>
      <w:tr w14:paraId="06F7966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0"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1F272B4">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1-10亿（含10亿元）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0F8E6EF">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0.05%</w:t>
            </w:r>
          </w:p>
        </w:tc>
      </w:tr>
      <w:tr w14:paraId="22A16B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0"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711EA37">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10-50亿元（含50亿元）</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26B564A">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0.01%</w:t>
            </w:r>
          </w:p>
        </w:tc>
      </w:tr>
      <w:tr w14:paraId="62F25C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0" w:hRule="atLeast"/>
        </w:trPr>
        <w:tc>
          <w:tcPr>
            <w:tcW w:w="588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03E3966">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lang w:val="en-US" w:eastAsia="zh-CN"/>
              </w:rPr>
            </w:pPr>
            <w:r>
              <w:rPr>
                <w:rFonts w:hint="eastAsia" w:ascii="宋体" w:hAnsi="宋体" w:eastAsia="宋体" w:cs="宋体"/>
                <w:color w:val="auto"/>
                <w:sz w:val="24"/>
                <w:highlight w:val="none"/>
              </w:rPr>
              <w:t>50亿元</w:t>
            </w:r>
            <w:r>
              <w:rPr>
                <w:rFonts w:hint="eastAsia" w:ascii="宋体" w:hAnsi="宋体" w:eastAsia="宋体" w:cs="宋体"/>
                <w:color w:val="auto"/>
                <w:sz w:val="24"/>
                <w:highlight w:val="none"/>
                <w:lang w:val="en-US" w:eastAsia="zh-CN"/>
              </w:rPr>
              <w:t>以上</w:t>
            </w:r>
          </w:p>
        </w:tc>
        <w:tc>
          <w:tcPr>
            <w:tcW w:w="271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F395863">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sz w:val="24"/>
                <w:highlight w:val="none"/>
              </w:rPr>
              <w:t>0.01%</w:t>
            </w:r>
          </w:p>
        </w:tc>
      </w:tr>
    </w:tbl>
    <w:p w14:paraId="327446F6">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说明：</w:t>
      </w:r>
    </w:p>
    <w:p w14:paraId="41197FEE">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1.按上表计算的收费为代理服务全过程的收费金额。各社会代理机构不另外收取采购文件制作售卖费用。</w:t>
      </w:r>
    </w:p>
    <w:p w14:paraId="7E215D7D">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2.代理服务费按差额定率累进法计算。</w:t>
      </w:r>
    </w:p>
    <w:p w14:paraId="7F3759BD">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3.代理服务费基准金额（按差额定率累进法计算的）=中标金额（按差额定率累进法计算的）*费率（%）。</w:t>
      </w:r>
    </w:p>
    <w:p w14:paraId="1A1C0542">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4.代理服务费应收取金额=代理服务费基准金额（按差额定率累进法计算的）的合计数。</w:t>
      </w:r>
    </w:p>
    <w:p w14:paraId="7A31FFC9">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5.定点类等无金额或事先不能计算出价格总额的项目，按中标（成交）金额100万元计算服务费。</w:t>
      </w:r>
    </w:p>
    <w:p w14:paraId="422B357E">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highlight w:val="none"/>
        </w:rPr>
      </w:pPr>
      <w:r>
        <w:rPr>
          <w:rFonts w:hint="eastAsia" w:ascii="宋体" w:hAnsi="宋体" w:eastAsia="宋体" w:cs="宋体"/>
          <w:color w:val="auto"/>
          <w:sz w:val="24"/>
          <w:highlight w:val="none"/>
        </w:rPr>
        <w:t>6.有分包（分</w:t>
      </w:r>
      <w:r>
        <w:rPr>
          <w:rFonts w:hint="eastAsia" w:ascii="宋体" w:hAnsi="宋体" w:eastAsia="宋体" w:cs="宋体"/>
          <w:color w:val="auto"/>
          <w:sz w:val="24"/>
          <w:highlight w:val="none"/>
          <w:lang w:eastAsia="zh-CN"/>
        </w:rPr>
        <w:t>采购包</w:t>
      </w:r>
      <w:r>
        <w:rPr>
          <w:rFonts w:hint="eastAsia" w:ascii="宋体" w:hAnsi="宋体" w:eastAsia="宋体" w:cs="宋体"/>
          <w:color w:val="auto"/>
          <w:sz w:val="24"/>
          <w:highlight w:val="none"/>
        </w:rPr>
        <w:t>）的按一个项目计算。</w:t>
      </w:r>
    </w:p>
    <w:p w14:paraId="48B4C2C8">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7.以上价格为协会指导价，双方可根据项目难易程度和优质优价原则协商确定。</w:t>
      </w:r>
    </w:p>
    <w:p w14:paraId="2C17F900">
      <w:pPr>
        <w:pStyle w:val="16"/>
        <w:keepNext w:val="0"/>
        <w:keepLines w:val="0"/>
        <w:spacing w:line="360" w:lineRule="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8.账户信息</w:t>
      </w:r>
    </w:p>
    <w:p w14:paraId="4F34D175">
      <w:pPr>
        <w:keepNext w:val="0"/>
        <w:keepLines w:val="0"/>
        <w:pageBreakBefore w:val="0"/>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 xml:space="preserve">收款人：江苏瑞阳工程咨询有限公司 </w:t>
      </w:r>
    </w:p>
    <w:p w14:paraId="69FAF125">
      <w:pPr>
        <w:keepNext w:val="0"/>
        <w:keepLines w:val="0"/>
        <w:pageBreakBefore w:val="0"/>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 xml:space="preserve">开户银行：江苏银行股份有限公司徐州泰隆支行 </w:t>
      </w:r>
    </w:p>
    <w:p w14:paraId="29E28C4D">
      <w:pPr>
        <w:keepNext w:val="0"/>
        <w:keepLines w:val="0"/>
        <w:pageBreakBefore w:val="0"/>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账号：60120188000169389</w:t>
      </w:r>
    </w:p>
    <w:p w14:paraId="56C46F8F">
      <w:pPr>
        <w:keepNext w:val="0"/>
        <w:keepLines w:val="0"/>
        <w:spacing w:line="360" w:lineRule="auto"/>
        <w:rPr>
          <w:rFonts w:hint="eastAsia" w:ascii="宋体" w:hAnsi="宋体" w:eastAsia="宋体" w:cs="宋体"/>
          <w:highlight w:val="none"/>
        </w:rPr>
      </w:pPr>
    </w:p>
    <w:p w14:paraId="2870E6D7">
      <w:pPr>
        <w:keepNext w:val="0"/>
        <w:keepLines w:val="0"/>
        <w:widowControl/>
        <w:numPr>
          <w:ilvl w:val="0"/>
          <w:numId w:val="4"/>
        </w:num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评标标准</w:t>
      </w:r>
    </w:p>
    <w:tbl>
      <w:tblPr>
        <w:tblStyle w:val="47"/>
        <w:tblW w:w="88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3"/>
        <w:gridCol w:w="1202"/>
        <w:gridCol w:w="6505"/>
      </w:tblGrid>
      <w:tr w14:paraId="16922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jc w:val="center"/>
        </w:trPr>
        <w:tc>
          <w:tcPr>
            <w:tcW w:w="2490" w:type="dxa"/>
            <w:gridSpan w:val="2"/>
            <w:noWrap w:val="0"/>
            <w:vAlign w:val="center"/>
          </w:tcPr>
          <w:p w14:paraId="103E853F">
            <w:pPr>
              <w:keepNext w:val="0"/>
              <w:keepLines w:val="0"/>
              <w:pageBreakBefore w:val="0"/>
              <w:widowControl w:val="0"/>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6390" w:type="dxa"/>
            <w:noWrap w:val="0"/>
            <w:vAlign w:val="center"/>
          </w:tcPr>
          <w:p w14:paraId="6246C9A6">
            <w:pPr>
              <w:keepNext w:val="0"/>
              <w:keepLines w:val="0"/>
              <w:pageBreakBefore w:val="0"/>
              <w:widowControl w:val="0"/>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评审因素细则</w:t>
            </w:r>
          </w:p>
        </w:tc>
      </w:tr>
      <w:tr w14:paraId="6FB1F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jc w:val="center"/>
        </w:trPr>
        <w:tc>
          <w:tcPr>
            <w:tcW w:w="2490" w:type="dxa"/>
            <w:gridSpan w:val="2"/>
            <w:noWrap w:val="0"/>
            <w:vAlign w:val="center"/>
          </w:tcPr>
          <w:p w14:paraId="2C89C8C6">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价格部分</w:t>
            </w:r>
          </w:p>
          <w:p w14:paraId="7E908659">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（30分）</w:t>
            </w:r>
          </w:p>
        </w:tc>
        <w:tc>
          <w:tcPr>
            <w:tcW w:w="6390" w:type="dxa"/>
            <w:noWrap w:val="0"/>
            <w:vAlign w:val="center"/>
          </w:tcPr>
          <w:p w14:paraId="1150E1CB">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各投标人价格得分=最低报价（投标人的最低评审价格）÷各投标人评审价格×30。</w:t>
            </w:r>
          </w:p>
          <w:p w14:paraId="5FBCC68B">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投标人为“小型、微型、监狱企业、享受政府采购支持政策的残疾人福利性单位的（以投标人投标文件中提供的相关材料为准），投标人评审价格=《开标一览表》中的“总价” *（1-10%）得分四舍五入保留小数点后2位。</w:t>
            </w:r>
          </w:p>
          <w:p w14:paraId="1E70823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政府采购活动中既有本国产品又有非本国产品参与竞争的，依法对本国产品给予价格评审优惠，对本国产品的报价给予20%的价格扣除，用扣除后的价格参与评审。</w:t>
            </w:r>
          </w:p>
          <w:p w14:paraId="22074153">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67E385B">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该投标人的评审价格=《开标一览表》中的“总价”*（100%-20%）</w:t>
            </w:r>
          </w:p>
        </w:tc>
      </w:tr>
      <w:tr w14:paraId="382CD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jc w:val="center"/>
        </w:trPr>
        <w:tc>
          <w:tcPr>
            <w:tcW w:w="1229" w:type="dxa"/>
            <w:vMerge w:val="restart"/>
            <w:noWrap w:val="0"/>
            <w:vAlign w:val="center"/>
          </w:tcPr>
          <w:p w14:paraId="32B13F71">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商务部分</w:t>
            </w:r>
          </w:p>
          <w:p w14:paraId="6AA70BFA">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rPr>
              <w:t>分）</w:t>
            </w:r>
          </w:p>
        </w:tc>
        <w:tc>
          <w:tcPr>
            <w:tcW w:w="1261" w:type="dxa"/>
            <w:noWrap w:val="0"/>
            <w:vAlign w:val="center"/>
          </w:tcPr>
          <w:p w14:paraId="1AA16933">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企业综合实力</w:t>
            </w:r>
          </w:p>
          <w:p w14:paraId="1E59C5BD">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（3分）</w:t>
            </w:r>
          </w:p>
        </w:tc>
        <w:tc>
          <w:tcPr>
            <w:tcW w:w="6390" w:type="dxa"/>
            <w:noWrap w:val="0"/>
            <w:vAlign w:val="center"/>
          </w:tcPr>
          <w:p w14:paraId="5420DB9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投标人具有有效的ISO三体系认证（ISO9001质量管理体系认证、ISO14001环境管理体系认证、ISO45001职业健康安全管理体系）证书，每有一项得1分，最高得3分。</w:t>
            </w:r>
          </w:p>
          <w:p w14:paraId="0807D8C7">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注：认证须在国家市场监督管理总局全国认证认可信息公共服务平台(http://cx.cnca.cn/CertECloud/result/skipResultList)可查询，且证书状态须为有效，否则不得分。提供证书原件彩色扫描件及查询截图加盖公章，未提供的不得分。）</w:t>
            </w:r>
          </w:p>
        </w:tc>
      </w:tr>
      <w:tr w14:paraId="0E591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29" w:type="dxa"/>
            <w:vMerge w:val="continue"/>
            <w:noWrap w:val="0"/>
            <w:vAlign w:val="center"/>
          </w:tcPr>
          <w:p w14:paraId="07997252">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797A9B94">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公司资质</w:t>
            </w:r>
            <w:r>
              <w:rPr>
                <w:rFonts w:hint="eastAsia" w:ascii="宋体" w:hAnsi="宋体" w:eastAsia="宋体" w:cs="宋体"/>
                <w:sz w:val="24"/>
                <w:szCs w:val="24"/>
                <w:highlight w:val="none"/>
              </w:rPr>
              <w:t>（2分）</w:t>
            </w:r>
          </w:p>
        </w:tc>
        <w:tc>
          <w:tcPr>
            <w:tcW w:w="6390" w:type="dxa"/>
            <w:noWrap w:val="0"/>
            <w:vAlign w:val="center"/>
          </w:tcPr>
          <w:p w14:paraId="40D6F4E8">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投标人具有环保工程专业承包三级及以上证书，提供环保工程专业承包三级得1分；提供环保工程专业承包二级及以上得2分。本项最高得2分。</w:t>
            </w:r>
          </w:p>
          <w:p w14:paraId="06B06765">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（注：须提供证书原件的彩色扫描件，不提供不得分；证书须在有效期内。）</w:t>
            </w:r>
          </w:p>
        </w:tc>
      </w:tr>
      <w:tr w14:paraId="6AC54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jc w:val="center"/>
        </w:trPr>
        <w:tc>
          <w:tcPr>
            <w:tcW w:w="1229" w:type="dxa"/>
            <w:vMerge w:val="continue"/>
            <w:noWrap w:val="0"/>
            <w:vAlign w:val="center"/>
          </w:tcPr>
          <w:p w14:paraId="19FCF461">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4F88C857">
            <w:pPr>
              <w:keepNext w:val="0"/>
              <w:keepLines w:val="0"/>
              <w:pageBreakBefore w:val="0"/>
              <w:widowControl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项目人员配置</w:t>
            </w:r>
          </w:p>
          <w:p w14:paraId="73B53B57">
            <w:pPr>
              <w:keepNext w:val="0"/>
              <w:keepLines w:val="0"/>
              <w:pageBreakBefore w:val="0"/>
              <w:widowControl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分）</w:t>
            </w:r>
          </w:p>
        </w:tc>
        <w:tc>
          <w:tcPr>
            <w:tcW w:w="6390" w:type="dxa"/>
            <w:noWrap w:val="0"/>
            <w:vAlign w:val="center"/>
          </w:tcPr>
          <w:p w14:paraId="6807AE62">
            <w:pPr>
              <w:keepNext w:val="0"/>
              <w:keepLines w:val="0"/>
              <w:pageBreakBefore w:val="0"/>
              <w:widowControl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b w:val="0"/>
                <w:bCs w:val="0"/>
                <w:color w:val="000000" w:themeColor="text1"/>
                <w:sz w:val="24"/>
                <w:szCs w:val="24"/>
                <w:highlight w:val="none"/>
                <w:lang w:val="en-US" w:eastAsia="zh-CN" w:bidi="ar-SA"/>
                <w14:textFill>
                  <w14:solidFill>
                    <w14:schemeClr w14:val="tx1"/>
                  </w14:solidFill>
                </w14:textFill>
              </w:rPr>
              <w:t>项目技术负责人具有</w:t>
            </w:r>
            <w:r>
              <w:rPr>
                <w:rFonts w:hint="eastAsia" w:ascii="宋体" w:hAnsi="宋体" w:eastAsia="宋体" w:cs="宋体"/>
                <w:color w:val="000000" w:themeColor="text1"/>
                <w:sz w:val="24"/>
                <w:szCs w:val="24"/>
                <w:highlight w:val="none"/>
                <w14:textFill>
                  <w14:solidFill>
                    <w14:schemeClr w14:val="tx1"/>
                  </w14:solidFill>
                </w14:textFill>
              </w:rPr>
              <w:t>环保类高级及以上工程师</w:t>
            </w:r>
            <w:r>
              <w:rPr>
                <w:rFonts w:hint="eastAsia" w:ascii="宋体" w:hAnsi="宋体" w:eastAsia="宋体" w:cs="宋体"/>
                <w:color w:val="000000" w:themeColor="text1"/>
                <w:sz w:val="24"/>
                <w:szCs w:val="24"/>
                <w:highlight w:val="none"/>
                <w:lang w:val="en-US" w:eastAsia="zh-CN"/>
                <w14:textFill>
                  <w14:solidFill>
                    <w14:schemeClr w14:val="tx1"/>
                  </w14:solidFill>
                </w14:textFill>
              </w:rPr>
              <w:t>职称证书</w:t>
            </w:r>
            <w:r>
              <w:rPr>
                <w:rFonts w:hint="eastAsia" w:ascii="宋体" w:hAnsi="宋体" w:eastAsia="宋体" w:cs="宋体"/>
                <w:color w:val="000000" w:themeColor="text1"/>
                <w:sz w:val="24"/>
                <w:szCs w:val="24"/>
                <w:highlight w:val="none"/>
                <w14:textFill>
                  <w14:solidFill>
                    <w14:schemeClr w14:val="tx1"/>
                  </w14:solidFill>
                </w14:textFill>
              </w:rPr>
              <w:t>得2分</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；其他人员具有</w:t>
            </w:r>
            <w:r>
              <w:rPr>
                <w:rFonts w:hint="eastAsia" w:ascii="宋体" w:hAnsi="宋体" w:eastAsia="宋体" w:cs="宋体"/>
                <w:color w:val="000000" w:themeColor="text1"/>
                <w:sz w:val="24"/>
                <w:szCs w:val="24"/>
                <w:highlight w:val="none"/>
                <w14:textFill>
                  <w14:solidFill>
                    <w14:schemeClr w14:val="tx1"/>
                  </w14:solidFill>
                </w14:textFill>
              </w:rPr>
              <w:t>环保类中级</w:t>
            </w:r>
            <w:r>
              <w:rPr>
                <w:rFonts w:hint="eastAsia" w:ascii="宋体" w:hAnsi="宋体" w:eastAsia="宋体" w:cs="宋体"/>
                <w:color w:val="000000" w:themeColor="text1"/>
                <w:sz w:val="24"/>
                <w:szCs w:val="24"/>
                <w:highlight w:val="none"/>
                <w:lang w:val="en-US" w:eastAsia="zh-CN"/>
                <w14:textFill>
                  <w14:solidFill>
                    <w14:schemeClr w14:val="tx1"/>
                  </w14:solidFill>
                </w14:textFill>
              </w:rPr>
              <w:t>及以上</w:t>
            </w:r>
            <w:r>
              <w:rPr>
                <w:rFonts w:hint="eastAsia" w:ascii="宋体" w:hAnsi="宋体" w:eastAsia="宋体" w:cs="宋体"/>
                <w:color w:val="000000" w:themeColor="text1"/>
                <w:sz w:val="24"/>
                <w:szCs w:val="24"/>
                <w:highlight w:val="none"/>
                <w14:textFill>
                  <w14:solidFill>
                    <w14:schemeClr w14:val="tx1"/>
                  </w14:solidFill>
                </w14:textFill>
              </w:rPr>
              <w:t>工程师</w:t>
            </w:r>
            <w:r>
              <w:rPr>
                <w:rFonts w:hint="eastAsia" w:ascii="宋体" w:hAnsi="宋体" w:eastAsia="宋体" w:cs="宋体"/>
                <w:color w:val="000000" w:themeColor="text1"/>
                <w:sz w:val="24"/>
                <w:szCs w:val="24"/>
                <w:highlight w:val="none"/>
                <w:lang w:val="en-US" w:eastAsia="zh-CN"/>
                <w14:textFill>
                  <w14:solidFill>
                    <w14:schemeClr w14:val="tx1"/>
                  </w14:solidFill>
                </w14:textFill>
              </w:rPr>
              <w:t>职称证书</w:t>
            </w:r>
            <w:r>
              <w:rPr>
                <w:rFonts w:hint="eastAsia" w:ascii="宋体" w:hAnsi="宋体" w:eastAsia="宋体" w:cs="宋体"/>
                <w:color w:val="000000" w:themeColor="text1"/>
                <w:sz w:val="24"/>
                <w:szCs w:val="24"/>
                <w:highlight w:val="none"/>
                <w14:textFill>
                  <w14:solidFill>
                    <w14:schemeClr w14:val="tx1"/>
                  </w14:solidFill>
                </w14:textFill>
              </w:rPr>
              <w:t>得1分，本项最高得3分。</w:t>
            </w:r>
          </w:p>
          <w:p w14:paraId="0DDE1A92">
            <w:pPr>
              <w:keepNext w:val="0"/>
              <w:keepLines w:val="0"/>
              <w:pageBreakBefore w:val="0"/>
              <w:widowControl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拟投入</w:t>
            </w:r>
            <w:r>
              <w:rPr>
                <w:rFonts w:hint="eastAsia" w:ascii="宋体" w:hAnsi="宋体" w:eastAsia="宋体" w:cs="宋体"/>
                <w:color w:val="000000" w:themeColor="text1"/>
                <w:sz w:val="24"/>
                <w:szCs w:val="24"/>
                <w:highlight w:val="none"/>
                <w14:textFill>
                  <w14:solidFill>
                    <w14:schemeClr w14:val="tx1"/>
                  </w14:solidFill>
                </w14:textFill>
              </w:rPr>
              <w:t>本项目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服务团队中具有机电</w:t>
            </w:r>
            <w:r>
              <w:rPr>
                <w:rFonts w:hint="eastAsia" w:ascii="宋体" w:hAnsi="宋体" w:eastAsia="宋体" w:cs="宋体"/>
                <w:color w:val="000000" w:themeColor="text1"/>
                <w:sz w:val="24"/>
                <w:szCs w:val="24"/>
                <w:highlight w:val="none"/>
                <w:lang w:val="en-US" w:eastAsia="zh-CN"/>
                <w14:textFill>
                  <w14:solidFill>
                    <w14:schemeClr w14:val="tx1"/>
                  </w14:solidFill>
                </w14:textFill>
              </w:rPr>
              <w:t>专业</w:t>
            </w:r>
            <w:r>
              <w:rPr>
                <w:rFonts w:hint="eastAsia" w:ascii="宋体" w:hAnsi="宋体" w:eastAsia="宋体" w:cs="宋体"/>
                <w:color w:val="000000" w:themeColor="text1"/>
                <w:sz w:val="24"/>
                <w:szCs w:val="24"/>
                <w:highlight w:val="none"/>
                <w14:textFill>
                  <w14:solidFill>
                    <w14:schemeClr w14:val="tx1"/>
                  </w14:solidFill>
                </w14:textFill>
              </w:rPr>
              <w:t>二级</w:t>
            </w:r>
            <w:r>
              <w:rPr>
                <w:rFonts w:hint="eastAsia" w:ascii="宋体" w:hAnsi="宋体" w:eastAsia="宋体" w:cs="宋体"/>
                <w:color w:val="000000" w:themeColor="text1"/>
                <w:sz w:val="24"/>
                <w:szCs w:val="24"/>
                <w:highlight w:val="none"/>
                <w:lang w:val="en-US" w:eastAsia="zh-CN"/>
                <w14:textFill>
                  <w14:solidFill>
                    <w14:schemeClr w14:val="tx1"/>
                  </w14:solidFill>
                </w14:textFill>
              </w:rPr>
              <w:t>及以上</w:t>
            </w:r>
            <w:r>
              <w:rPr>
                <w:rFonts w:hint="eastAsia" w:ascii="宋体" w:hAnsi="宋体" w:eastAsia="宋体" w:cs="宋体"/>
                <w:color w:val="000000" w:themeColor="text1"/>
                <w:sz w:val="24"/>
                <w:szCs w:val="24"/>
                <w:highlight w:val="none"/>
                <w14:textFill>
                  <w14:solidFill>
                    <w14:schemeClr w14:val="tx1"/>
                  </w14:solidFill>
                </w14:textFill>
              </w:rPr>
              <w:t>建造师证书得</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分，最高得</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分。</w:t>
            </w:r>
          </w:p>
          <w:p w14:paraId="2E6F2637">
            <w:pPr>
              <w:keepNext w:val="0"/>
              <w:keepLines w:val="0"/>
              <w:pageBreakBefore w:val="0"/>
              <w:widowControl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以上人员不重复得分，满足多个条件的，仅计取一个。</w:t>
            </w:r>
          </w:p>
          <w:p w14:paraId="22BA0883">
            <w:pPr>
              <w:keepNext w:val="0"/>
              <w:keepLines w:val="0"/>
              <w:pageBreakBefore w:val="0"/>
              <w:widowControl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（注：须提供人员证书原件彩色扫描件，以及本单位开标前6个月内任意一月为其缴纳社保的证明，人员需为投标人自有人员，投标人以挂靠公司、投资子公司等方式提供的人员不予认可。）</w:t>
            </w:r>
          </w:p>
        </w:tc>
      </w:tr>
      <w:tr w14:paraId="1C05F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jc w:val="center"/>
        </w:trPr>
        <w:tc>
          <w:tcPr>
            <w:tcW w:w="1229" w:type="dxa"/>
            <w:vMerge w:val="continue"/>
            <w:noWrap w:val="0"/>
            <w:vAlign w:val="center"/>
          </w:tcPr>
          <w:p w14:paraId="34B8A1CA">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111174B4">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业绩</w:t>
            </w:r>
          </w:p>
          <w:p w14:paraId="7CB824A7">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（4分）</w:t>
            </w:r>
          </w:p>
        </w:tc>
        <w:tc>
          <w:tcPr>
            <w:tcW w:w="6390" w:type="dxa"/>
            <w:noWrap w:val="0"/>
            <w:vAlign w:val="center"/>
          </w:tcPr>
          <w:p w14:paraId="07CFCA7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投标人自2023年5月1日（含）以来承担过与本项目相同或类似项目业绩的，每个得2分，最高得4分。</w:t>
            </w:r>
          </w:p>
          <w:p w14:paraId="18C82735">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（注：</w:t>
            </w:r>
            <w:r>
              <w:rPr>
                <w:rFonts w:hint="eastAsia" w:ascii="宋体" w:hAnsi="宋体" w:eastAsia="宋体" w:cs="宋体"/>
                <w:b/>
                <w:bCs/>
                <w:color w:val="000000"/>
                <w:sz w:val="24"/>
                <w:szCs w:val="24"/>
                <w:highlight w:val="none"/>
              </w:rPr>
              <w:t>提供项目合同原件扫描件，时间以合同签订时间为准</w:t>
            </w:r>
            <w:r>
              <w:rPr>
                <w:rFonts w:hint="eastAsia" w:ascii="宋体" w:hAnsi="宋体" w:eastAsia="宋体" w:cs="宋体"/>
                <w:b/>
                <w:bCs/>
                <w:sz w:val="24"/>
                <w:szCs w:val="24"/>
                <w:highlight w:val="none"/>
              </w:rPr>
              <w:t>）</w:t>
            </w:r>
          </w:p>
        </w:tc>
      </w:tr>
      <w:tr w14:paraId="2089D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1229" w:type="dxa"/>
            <w:vMerge w:val="restart"/>
            <w:tcBorders>
              <w:top w:val="single" w:color="auto" w:sz="4" w:space="0"/>
            </w:tcBorders>
            <w:noWrap w:val="0"/>
            <w:vAlign w:val="center"/>
          </w:tcPr>
          <w:p w14:paraId="07787185">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w:t>
            </w:r>
          </w:p>
          <w:p w14:paraId="3012CE6A">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部分</w:t>
            </w:r>
          </w:p>
          <w:p w14:paraId="3F1F7A56">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56</w:t>
            </w:r>
            <w:r>
              <w:rPr>
                <w:rFonts w:hint="eastAsia" w:ascii="宋体" w:hAnsi="宋体" w:eastAsia="宋体" w:cs="宋体"/>
                <w:sz w:val="24"/>
                <w:szCs w:val="24"/>
                <w:highlight w:val="none"/>
              </w:rPr>
              <w:t>分）</w:t>
            </w:r>
          </w:p>
        </w:tc>
        <w:tc>
          <w:tcPr>
            <w:tcW w:w="1261" w:type="dxa"/>
            <w:noWrap w:val="0"/>
            <w:vAlign w:val="center"/>
          </w:tcPr>
          <w:p w14:paraId="04B7C37C">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工艺设计方案</w:t>
            </w:r>
          </w:p>
          <w:p w14:paraId="7F20E5FC">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（10分）</w:t>
            </w:r>
          </w:p>
        </w:tc>
        <w:tc>
          <w:tcPr>
            <w:tcW w:w="6390" w:type="dxa"/>
            <w:noWrap w:val="0"/>
            <w:vAlign w:val="center"/>
          </w:tcPr>
          <w:p w14:paraId="247AB3DD">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根据投标人工艺设计方案进行打分：</w:t>
            </w:r>
          </w:p>
          <w:p w14:paraId="3B972DB3">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1、包括但不限于工艺设计、工艺成熟程度、技术先进性、设备选型是否满足技术要求；</w:t>
            </w:r>
          </w:p>
          <w:p w14:paraId="49578FF6">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（1）方案合理、逻辑清晰，切实可行的得5分；</w:t>
            </w:r>
          </w:p>
          <w:p w14:paraId="31390B27">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（2）方案合理、逻辑清晰，较可行的得3分；</w:t>
            </w:r>
          </w:p>
          <w:p w14:paraId="455C3757">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（3）方案合理、逻辑清晰，基本可行的得1分；</w:t>
            </w:r>
          </w:p>
          <w:p w14:paraId="6B31B25F">
            <w:pPr>
              <w:keepNext w:val="0"/>
              <w:keepLines w:val="0"/>
              <w:pageBreakBefore w:val="0"/>
              <w:widowControl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1117522C">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2、包括但不限于药剂添加、系统完整度、自控程度及控制逻辑是否清晰等；</w:t>
            </w:r>
          </w:p>
          <w:p w14:paraId="2B1A272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（1）方案合理、逻辑清晰，切实可行的得5分；</w:t>
            </w:r>
          </w:p>
          <w:p w14:paraId="161CC50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（2）方案合理、逻辑清晰，较可行的得3分；</w:t>
            </w:r>
          </w:p>
          <w:p w14:paraId="3DA86842">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（3）方案合理、逻辑清晰，基本可行的得1分；</w:t>
            </w:r>
          </w:p>
          <w:p w14:paraId="0C1D8772">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706365E4">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本项最高得10分，最低得0分。</w:t>
            </w:r>
          </w:p>
        </w:tc>
      </w:tr>
      <w:tr w14:paraId="09D84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1229" w:type="dxa"/>
            <w:vMerge w:val="continue"/>
            <w:tcBorders>
              <w:top w:val="single" w:color="auto" w:sz="4" w:space="0"/>
            </w:tcBorders>
            <w:noWrap w:val="0"/>
            <w:vAlign w:val="center"/>
          </w:tcPr>
          <w:p w14:paraId="1454DE3B">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shd w:val="clear" w:color="auto" w:fill="auto"/>
            <w:noWrap w:val="0"/>
            <w:vAlign w:val="center"/>
          </w:tcPr>
          <w:p w14:paraId="7FB79044">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实施方案</w:t>
            </w:r>
          </w:p>
          <w:p w14:paraId="7C7F1AE8">
            <w:pPr>
              <w:keepNext w:val="0"/>
              <w:keepLines w:val="0"/>
              <w:pageBreakBefore w:val="0"/>
              <w:widowControl w:val="0"/>
              <w:spacing w:line="360" w:lineRule="auto"/>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（10分）</w:t>
            </w:r>
          </w:p>
        </w:tc>
        <w:tc>
          <w:tcPr>
            <w:tcW w:w="6390" w:type="dxa"/>
            <w:shd w:val="clear" w:color="auto" w:fill="auto"/>
            <w:noWrap w:val="0"/>
            <w:vAlign w:val="center"/>
          </w:tcPr>
          <w:p w14:paraId="4DE47DB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根据投标人提供的实施方案合理性和完备性进行打分：现场提出具体实施方案，按时保质的情况下完工，包括但不限于实施内容、进度要求等。</w:t>
            </w:r>
          </w:p>
          <w:p w14:paraId="0BB75A78">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（1）方案、流程合理、切实可行的得10分；</w:t>
            </w:r>
          </w:p>
          <w:p w14:paraId="167F079D">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（2）方案、流程较合理、较可行的得6分；</w:t>
            </w:r>
          </w:p>
          <w:p w14:paraId="70EAD54C">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（3）方案、流程不够合理、基本可行的得4分；</w:t>
            </w:r>
          </w:p>
          <w:p w14:paraId="6CF42A99">
            <w:pPr>
              <w:keepNext w:val="0"/>
              <w:keepLines w:val="0"/>
              <w:pageBreakBefore w:val="0"/>
              <w:widowControl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方案、流程不合理、</w:t>
            </w:r>
            <w:r>
              <w:rPr>
                <w:rFonts w:hint="eastAsia" w:ascii="宋体" w:hAnsi="宋体" w:eastAsia="宋体" w:cs="宋体"/>
                <w:sz w:val="24"/>
                <w:szCs w:val="24"/>
                <w:highlight w:val="none"/>
                <w:lang w:val="en-US" w:eastAsia="zh-CN"/>
              </w:rPr>
              <w:t>可行性低</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分；</w:t>
            </w:r>
          </w:p>
          <w:p w14:paraId="7CA759A0">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2A64814F">
            <w:pPr>
              <w:pStyle w:val="34"/>
              <w:keepNext w:val="0"/>
              <w:keepLines w:val="0"/>
              <w:pageBreakBefore w:val="0"/>
              <w:widowControl w:val="0"/>
              <w:spacing w:line="360" w:lineRule="auto"/>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rPr>
              <w:t>本项最高得10分，最低得0分。</w:t>
            </w:r>
          </w:p>
        </w:tc>
      </w:tr>
      <w:tr w14:paraId="4D65E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1229" w:type="dxa"/>
            <w:vMerge w:val="continue"/>
            <w:noWrap w:val="0"/>
            <w:vAlign w:val="center"/>
          </w:tcPr>
          <w:p w14:paraId="1A093B7F">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shd w:val="clear" w:color="auto" w:fill="auto"/>
            <w:noWrap w:val="0"/>
            <w:vAlign w:val="center"/>
          </w:tcPr>
          <w:p w14:paraId="4FE890AB">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安装、调试、培训方案</w:t>
            </w:r>
          </w:p>
          <w:p w14:paraId="5406775F">
            <w:pPr>
              <w:keepNext w:val="0"/>
              <w:keepLines w:val="0"/>
              <w:pageBreakBefore w:val="0"/>
              <w:widowControl w:val="0"/>
              <w:spacing w:line="360" w:lineRule="auto"/>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（10分）</w:t>
            </w:r>
          </w:p>
        </w:tc>
        <w:tc>
          <w:tcPr>
            <w:tcW w:w="6390" w:type="dxa"/>
            <w:shd w:val="clear" w:color="auto" w:fill="auto"/>
            <w:noWrap w:val="0"/>
            <w:vAlign w:val="center"/>
          </w:tcPr>
          <w:p w14:paraId="6406612D">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1、根据投标人提供的方案合理性和完备性进行打分：项目实施过程中有切实可行的运输、设备进场、吊装就位，及安装等内容。</w:t>
            </w:r>
          </w:p>
          <w:p w14:paraId="1CD107C3">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（1）方案、流程合理、切实可行的得5分；</w:t>
            </w:r>
          </w:p>
          <w:p w14:paraId="27DC20B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（2）方案、流程较合理、较可行的得3分；</w:t>
            </w:r>
          </w:p>
          <w:p w14:paraId="0749340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（3）方案、流程不够合理、基本可行的得1分；</w:t>
            </w:r>
          </w:p>
          <w:p w14:paraId="1CC55A44">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4E11FBF7">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2、根据投标人提供的培训、调试方案合理性和完备性进行打分：投标人的调试方案、试运行方案、培训方案等方面进行打分。</w:t>
            </w:r>
          </w:p>
          <w:p w14:paraId="0796EC3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（1）方案、流程合理、切实可行的得5分；</w:t>
            </w:r>
          </w:p>
          <w:p w14:paraId="16B1111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（2）方案、流程较合理、较可行的得3分；</w:t>
            </w:r>
          </w:p>
          <w:p w14:paraId="13751FA1">
            <w:pPr>
              <w:pStyle w:val="34"/>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（3）方案、流程不够合理、基本可行的得1分；</w:t>
            </w:r>
          </w:p>
          <w:p w14:paraId="55392472">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3FC27F0D">
            <w:pPr>
              <w:keepNext w:val="0"/>
              <w:keepLines w:val="0"/>
              <w:pageBreakBefore w:val="0"/>
              <w:widowControl w:val="0"/>
              <w:spacing w:line="360" w:lineRule="auto"/>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rPr>
              <w:t>本项最高得10分，最低得0分。</w:t>
            </w:r>
          </w:p>
        </w:tc>
      </w:tr>
      <w:tr w14:paraId="6EA84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1229" w:type="dxa"/>
            <w:vMerge w:val="continue"/>
            <w:noWrap w:val="0"/>
            <w:vAlign w:val="center"/>
          </w:tcPr>
          <w:p w14:paraId="1FF43BE2">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shd w:val="clear" w:color="auto" w:fill="auto"/>
            <w:noWrap w:val="0"/>
            <w:vAlign w:val="center"/>
          </w:tcPr>
          <w:p w14:paraId="7ED1C5EB">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环保措施</w:t>
            </w:r>
          </w:p>
          <w:p w14:paraId="4C3C6BE5">
            <w:pPr>
              <w:keepNext w:val="0"/>
              <w:keepLines w:val="0"/>
              <w:pageBreakBefore w:val="0"/>
              <w:widowControl w:val="0"/>
              <w:spacing w:line="360" w:lineRule="auto"/>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（5分）</w:t>
            </w:r>
          </w:p>
        </w:tc>
        <w:tc>
          <w:tcPr>
            <w:tcW w:w="6390" w:type="dxa"/>
            <w:shd w:val="clear" w:color="auto" w:fill="auto"/>
            <w:noWrap w:val="0"/>
            <w:vAlign w:val="center"/>
          </w:tcPr>
          <w:p w14:paraId="4827D461">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根据投标人采用的环保措施方案合理性和完备性进行打分：</w:t>
            </w:r>
          </w:p>
          <w:p w14:paraId="08D99520">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投标人应具备的减少环境影响的措施包括并不限于减少排放、减少噪音、减少能耗、减少水耗、减少废物产生等；</w:t>
            </w:r>
          </w:p>
          <w:p w14:paraId="5CBA4562">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（1）环保措施方案措施合理，切实可行的得5分；；</w:t>
            </w:r>
          </w:p>
          <w:p w14:paraId="76363C96">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（2）环保措施方案措施合理、较可行的得3分；</w:t>
            </w:r>
          </w:p>
          <w:p w14:paraId="3E9CB7C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（3）环保措施方案措施合理、基本可行的得1分；</w:t>
            </w:r>
          </w:p>
          <w:p w14:paraId="3C1349D4">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328B9FF5">
            <w:pPr>
              <w:pStyle w:val="34"/>
              <w:keepNext w:val="0"/>
              <w:keepLines w:val="0"/>
              <w:pageBreakBefore w:val="0"/>
              <w:widowControl w:val="0"/>
              <w:spacing w:line="360" w:lineRule="auto"/>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rPr>
              <w:t>本项最高得5分，最低得0分。</w:t>
            </w:r>
          </w:p>
        </w:tc>
      </w:tr>
      <w:tr w14:paraId="3EA51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1229" w:type="dxa"/>
            <w:vMerge w:val="continue"/>
            <w:noWrap w:val="0"/>
            <w:vAlign w:val="center"/>
          </w:tcPr>
          <w:p w14:paraId="236BE3BC">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0AA4D4BC">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应急预案</w:t>
            </w:r>
          </w:p>
          <w:p w14:paraId="3BF6B6CB">
            <w:pPr>
              <w:pStyle w:val="34"/>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6390" w:type="dxa"/>
            <w:noWrap w:val="0"/>
            <w:vAlign w:val="center"/>
          </w:tcPr>
          <w:p w14:paraId="7F1293D2">
            <w:pPr>
              <w:spacing w:line="360" w:lineRule="auto"/>
              <w:rPr>
                <w:rFonts w:ascii="宋体" w:hAnsi="宋体" w:cs="宋体"/>
                <w:sz w:val="24"/>
                <w:highlight w:val="none"/>
              </w:rPr>
            </w:pPr>
            <w:r>
              <w:rPr>
                <w:rFonts w:hint="eastAsia" w:ascii="宋体" w:hAnsi="宋体" w:cs="宋体"/>
                <w:sz w:val="24"/>
                <w:highlight w:val="none"/>
              </w:rPr>
              <w:t>根据投标人提供的应急预案合理性和完备性进行打分：项目实施过程中有切实可行的应急预案、安全施工预案等。</w:t>
            </w:r>
          </w:p>
          <w:p w14:paraId="5DD6BD2A">
            <w:pPr>
              <w:spacing w:line="360" w:lineRule="auto"/>
              <w:rPr>
                <w:rFonts w:ascii="宋体" w:hAnsi="宋体" w:cs="宋体"/>
                <w:sz w:val="24"/>
                <w:highlight w:val="none"/>
              </w:rPr>
            </w:pPr>
            <w:r>
              <w:rPr>
                <w:rFonts w:hint="eastAsia" w:ascii="宋体" w:hAnsi="宋体" w:cs="宋体"/>
                <w:sz w:val="24"/>
                <w:highlight w:val="none"/>
              </w:rPr>
              <w:t>（1）预案合理、切实可行的得5分；</w:t>
            </w:r>
          </w:p>
          <w:p w14:paraId="4370C3E6">
            <w:pPr>
              <w:spacing w:line="360" w:lineRule="auto"/>
              <w:rPr>
                <w:rFonts w:ascii="宋体" w:hAnsi="宋体" w:cs="宋体"/>
                <w:sz w:val="24"/>
                <w:highlight w:val="none"/>
              </w:rPr>
            </w:pPr>
            <w:r>
              <w:rPr>
                <w:rFonts w:hint="eastAsia" w:ascii="宋体" w:hAnsi="宋体" w:cs="宋体"/>
                <w:sz w:val="24"/>
                <w:highlight w:val="none"/>
              </w:rPr>
              <w:t>（2）预案较合理、较可行的得3分；</w:t>
            </w:r>
          </w:p>
          <w:p w14:paraId="11A9D54F">
            <w:pPr>
              <w:spacing w:line="360" w:lineRule="auto"/>
              <w:rPr>
                <w:rFonts w:ascii="宋体" w:hAnsi="宋体" w:cs="宋体"/>
                <w:sz w:val="24"/>
                <w:highlight w:val="none"/>
              </w:rPr>
            </w:pPr>
            <w:r>
              <w:rPr>
                <w:rFonts w:hint="eastAsia" w:ascii="宋体" w:hAnsi="宋体" w:cs="宋体"/>
                <w:sz w:val="24"/>
                <w:highlight w:val="none"/>
              </w:rPr>
              <w:t>（3）预案不够合理、基本可行的得1分；</w:t>
            </w:r>
          </w:p>
          <w:p w14:paraId="0E068682">
            <w:pPr>
              <w:spacing w:line="360" w:lineRule="auto"/>
              <w:rPr>
                <w:rFonts w:ascii="宋体" w:hAnsi="宋体" w:cs="宋体"/>
                <w:sz w:val="24"/>
                <w:highlight w:val="none"/>
              </w:rPr>
            </w:pPr>
            <w:r>
              <w:rPr>
                <w:rFonts w:hint="eastAsia" w:ascii="宋体" w:hAnsi="宋体" w:cs="宋体"/>
                <w:sz w:val="24"/>
                <w:highlight w:val="none"/>
              </w:rPr>
              <w:t>（4）未提供预案或预案不满足要求得0分。</w:t>
            </w:r>
          </w:p>
          <w:p w14:paraId="2A06BDB0">
            <w:pPr>
              <w:pStyle w:val="34"/>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cs="宋体"/>
                <w:b/>
                <w:bCs/>
                <w:sz w:val="24"/>
                <w:highlight w:val="none"/>
              </w:rPr>
              <w:t>本项最高得5分，最低得0分。</w:t>
            </w:r>
          </w:p>
        </w:tc>
      </w:tr>
      <w:tr w14:paraId="63207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1229" w:type="dxa"/>
            <w:vMerge w:val="continue"/>
            <w:noWrap w:val="0"/>
            <w:vAlign w:val="center"/>
          </w:tcPr>
          <w:p w14:paraId="5ABD998B">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2305922D">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合理化建议</w:t>
            </w:r>
          </w:p>
          <w:p w14:paraId="2DCED55C">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6390" w:type="dxa"/>
            <w:noWrap w:val="0"/>
            <w:vAlign w:val="center"/>
          </w:tcPr>
          <w:p w14:paraId="3E2510D2">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根据投标人提供有指导性的合理化建议进行评分。</w:t>
            </w:r>
          </w:p>
          <w:p w14:paraId="67FCF4E3">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（1）方案、流程合理、切实可行的得5分；</w:t>
            </w:r>
          </w:p>
          <w:p w14:paraId="10BFC89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（2）方案、流程较合理、较可行的得3分；</w:t>
            </w:r>
          </w:p>
          <w:p w14:paraId="028B5645">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（3）方案、流程不够合理、基本可行的得1分；</w:t>
            </w:r>
          </w:p>
          <w:p w14:paraId="726D9C9A">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2F47D9B9">
            <w:pPr>
              <w:pStyle w:val="34"/>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本项最高得5分，最低得0分。</w:t>
            </w:r>
          </w:p>
        </w:tc>
      </w:tr>
      <w:tr w14:paraId="65DB8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1229" w:type="dxa"/>
            <w:vMerge w:val="continue"/>
            <w:noWrap w:val="0"/>
            <w:vAlign w:val="center"/>
          </w:tcPr>
          <w:p w14:paraId="0A69B3C2">
            <w:pPr>
              <w:keepNext w:val="0"/>
              <w:keepLines w:val="0"/>
              <w:pageBreakBefore w:val="0"/>
              <w:widowControl w:val="0"/>
              <w:spacing w:line="360" w:lineRule="auto"/>
              <w:jc w:val="center"/>
              <w:rPr>
                <w:rFonts w:hint="eastAsia" w:ascii="宋体" w:hAnsi="宋体" w:eastAsia="宋体" w:cs="宋体"/>
                <w:sz w:val="24"/>
                <w:szCs w:val="24"/>
                <w:highlight w:val="none"/>
              </w:rPr>
            </w:pPr>
          </w:p>
        </w:tc>
        <w:tc>
          <w:tcPr>
            <w:tcW w:w="1261" w:type="dxa"/>
            <w:noWrap w:val="0"/>
            <w:vAlign w:val="center"/>
          </w:tcPr>
          <w:p w14:paraId="26327CD5">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售后服务</w:t>
            </w:r>
          </w:p>
          <w:p w14:paraId="2918089B">
            <w:pPr>
              <w:keepNext w:val="0"/>
              <w:keepLines w:val="0"/>
              <w:pageBreakBefore w:val="0"/>
              <w:widowControl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分）</w:t>
            </w:r>
          </w:p>
        </w:tc>
        <w:tc>
          <w:tcPr>
            <w:tcW w:w="6390" w:type="dxa"/>
            <w:noWrap w:val="0"/>
            <w:vAlign w:val="center"/>
          </w:tcPr>
          <w:p w14:paraId="02C82CD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1、根据投标人提供的售后服务方案（内容包括：技术服务、培训、售后服务响应等内容），由评审小组综合评审后打分；</w:t>
            </w:r>
          </w:p>
          <w:p w14:paraId="53E3D250">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（1）售后服务方案全面详尽、措施切实可行的得</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分；</w:t>
            </w:r>
          </w:p>
          <w:p w14:paraId="79622D9E">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（2）售后服务方案全面详尽、措施较可行的得4分；</w:t>
            </w:r>
          </w:p>
          <w:p w14:paraId="694396D9">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（3）售后服务方案全面详尽、措施可行的得2分；</w:t>
            </w:r>
          </w:p>
          <w:p w14:paraId="2AA5EE7A">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未提供方案或方案不满足要求得0分。</w:t>
            </w:r>
          </w:p>
          <w:p w14:paraId="03BFCAE1">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2、在满足招标文件要求的质保期时间上，每多一年加</w:t>
            </w:r>
            <w:r>
              <w:rPr>
                <w:rFonts w:hint="eastAsia" w:ascii="宋体" w:hAnsi="宋体" w:cs="宋体"/>
                <w:sz w:val="24"/>
                <w:szCs w:val="24"/>
                <w:highlight w:val="none"/>
                <w:lang w:val="en-US" w:eastAsia="zh-CN"/>
              </w:rPr>
              <w:t>0.5</w:t>
            </w:r>
            <w:r>
              <w:rPr>
                <w:rFonts w:hint="eastAsia" w:ascii="宋体" w:hAnsi="宋体" w:eastAsia="宋体" w:cs="宋体"/>
                <w:sz w:val="24"/>
                <w:szCs w:val="24"/>
                <w:highlight w:val="none"/>
              </w:rPr>
              <w:t>分，最多得</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分。</w:t>
            </w:r>
          </w:p>
          <w:p w14:paraId="7B9072C8">
            <w:pPr>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3、为保证该项目稳定运行，自项目验收合格交付后，投标人承诺提供免费运维服务，每一年加1分，最多得3分。</w:t>
            </w:r>
          </w:p>
          <w:p w14:paraId="0C659796">
            <w:pPr>
              <w:pStyle w:val="34"/>
              <w:keepNext w:val="0"/>
              <w:keepLines w:val="0"/>
              <w:pageBreakBefore w:val="0"/>
              <w:widowControl w:val="0"/>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本项最高得</w:t>
            </w:r>
            <w:r>
              <w:rPr>
                <w:rFonts w:hint="eastAsia" w:ascii="宋体" w:hAnsi="宋体" w:cs="宋体"/>
                <w:b/>
                <w:bCs/>
                <w:sz w:val="24"/>
                <w:szCs w:val="24"/>
                <w:highlight w:val="none"/>
                <w:lang w:val="en-US" w:eastAsia="zh-CN"/>
              </w:rPr>
              <w:t>11</w:t>
            </w:r>
            <w:r>
              <w:rPr>
                <w:rFonts w:hint="eastAsia" w:ascii="宋体" w:hAnsi="宋体" w:eastAsia="宋体" w:cs="宋体"/>
                <w:b/>
                <w:bCs/>
                <w:sz w:val="24"/>
                <w:szCs w:val="24"/>
                <w:highlight w:val="none"/>
                <w:lang w:val="en-US" w:eastAsia="zh-CN"/>
              </w:rPr>
              <w:t>分，最低得0分。</w:t>
            </w:r>
          </w:p>
        </w:tc>
      </w:tr>
    </w:tbl>
    <w:p w14:paraId="44DC82FA">
      <w:pPr>
        <w:pStyle w:val="56"/>
        <w:keepNext w:val="0"/>
        <w:keepLines w:val="0"/>
        <w:widowControl/>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highlight w:val="none"/>
        </w:rPr>
        <w:t>注：本项目采用综合评分法，评标结果精确到小数点后两位。</w:t>
      </w:r>
    </w:p>
    <w:p w14:paraId="2D267464">
      <w:pPr>
        <w:keepNext w:val="0"/>
        <w:keepLines w:val="0"/>
        <w:pageBreakBefore/>
        <w:numPr>
          <w:ilvl w:val="0"/>
          <w:numId w:val="4"/>
        </w:numPr>
        <w:spacing w:line="360" w:lineRule="auto"/>
        <w:ind w:lef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拟签订的合同文本</w:t>
      </w:r>
    </w:p>
    <w:p w14:paraId="1B368BA7">
      <w:pPr>
        <w:pStyle w:val="34"/>
        <w:keepLines w:val="0"/>
        <w:numPr>
          <w:ilvl w:val="0"/>
          <w:numId w:val="0"/>
        </w:numPr>
        <w:ind w:right="0"/>
        <w:rPr>
          <w:rFonts w:hint="eastAsia" w:ascii="宋体" w:hAnsi="宋体" w:eastAsia="宋体" w:cs="宋体"/>
          <w:highlight w:val="none"/>
        </w:rPr>
      </w:pPr>
    </w:p>
    <w:p w14:paraId="67F0B932">
      <w:pPr>
        <w:keepNext w:val="0"/>
        <w:keepLines w:val="0"/>
        <w:spacing w:line="360" w:lineRule="auto"/>
        <w:jc w:val="center"/>
        <w:rPr>
          <w:rFonts w:hint="eastAsia" w:ascii="宋体" w:hAnsi="宋体" w:eastAsia="宋体" w:cs="宋体"/>
          <w:b w:val="0"/>
          <w:bCs w:val="0"/>
          <w:color w:val="auto"/>
          <w:sz w:val="96"/>
          <w:szCs w:val="96"/>
          <w:highlight w:val="none"/>
        </w:rPr>
      </w:pPr>
      <w:r>
        <w:rPr>
          <w:rFonts w:hint="eastAsia" w:ascii="宋体" w:hAnsi="宋体" w:eastAsia="宋体" w:cs="宋体"/>
          <w:b/>
          <w:color w:val="auto"/>
          <w:sz w:val="24"/>
          <w:szCs w:val="24"/>
          <w:highlight w:val="none"/>
        </w:rPr>
        <w:t>（以采购人与</w:t>
      </w:r>
      <w:r>
        <w:rPr>
          <w:rFonts w:hint="eastAsia" w:ascii="宋体" w:hAnsi="宋体" w:eastAsia="宋体" w:cs="宋体"/>
          <w:b/>
          <w:color w:val="auto"/>
          <w:sz w:val="24"/>
          <w:szCs w:val="24"/>
          <w:highlight w:val="none"/>
          <w:lang w:val="en-US" w:eastAsia="zh-CN"/>
        </w:rPr>
        <w:t>中标人</w:t>
      </w:r>
      <w:r>
        <w:rPr>
          <w:rFonts w:hint="eastAsia" w:ascii="宋体" w:hAnsi="宋体" w:eastAsia="宋体" w:cs="宋体"/>
          <w:b/>
          <w:color w:val="auto"/>
          <w:sz w:val="24"/>
          <w:szCs w:val="24"/>
          <w:highlight w:val="none"/>
        </w:rPr>
        <w:t>最终签订版本为准）</w:t>
      </w:r>
    </w:p>
    <w:p w14:paraId="78FFB9F7">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政</w:t>
      </w:r>
    </w:p>
    <w:p w14:paraId="3C46C8F6">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府</w:t>
      </w:r>
    </w:p>
    <w:p w14:paraId="43BFF3D7">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采</w:t>
      </w:r>
    </w:p>
    <w:p w14:paraId="225AB73A">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购</w:t>
      </w:r>
    </w:p>
    <w:p w14:paraId="69A481B2">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合</w:t>
      </w:r>
    </w:p>
    <w:p w14:paraId="476E448A">
      <w:pPr>
        <w:keepNext w:val="0"/>
        <w:keepLines w:val="0"/>
        <w:pBdr>
          <w:top w:val="none" w:color="000000" w:sz="0" w:space="0"/>
          <w:left w:val="none" w:color="000000" w:sz="0" w:space="0"/>
          <w:bottom w:val="none" w:color="000000" w:sz="0" w:space="0"/>
          <w:right w:val="none" w:color="000000" w:sz="0" w:space="0"/>
        </w:pBdr>
        <w:spacing w:before="210" w:after="120" w:line="360" w:lineRule="auto"/>
        <w:jc w:val="center"/>
        <w:rPr>
          <w:rFonts w:hint="eastAsia" w:ascii="宋体" w:hAnsi="宋体" w:eastAsia="宋体" w:cs="宋体"/>
          <w:b w:val="0"/>
          <w:bCs w:val="0"/>
          <w:color w:val="auto"/>
          <w:sz w:val="52"/>
          <w:szCs w:val="52"/>
          <w:highlight w:val="none"/>
        </w:rPr>
      </w:pPr>
      <w:r>
        <w:rPr>
          <w:rFonts w:hint="eastAsia" w:ascii="宋体" w:hAnsi="宋体" w:eastAsia="宋体" w:cs="宋体"/>
          <w:b w:val="0"/>
          <w:bCs w:val="0"/>
          <w:color w:val="auto"/>
          <w:sz w:val="52"/>
          <w:szCs w:val="52"/>
          <w:highlight w:val="none"/>
        </w:rPr>
        <w:t>同</w:t>
      </w:r>
    </w:p>
    <w:p w14:paraId="01267EF6">
      <w:pPr>
        <w:pStyle w:val="34"/>
        <w:keepLines w:val="0"/>
        <w:rPr>
          <w:rFonts w:hint="eastAsia"/>
          <w:highlight w:val="none"/>
        </w:rPr>
      </w:pPr>
    </w:p>
    <w:p w14:paraId="6980EBC0">
      <w:pPr>
        <w:keepNext w:val="0"/>
        <w:keepLines w:val="0"/>
        <w:pBdr>
          <w:top w:val="none" w:color="000000" w:sz="0" w:space="0"/>
          <w:left w:val="none" w:color="000000" w:sz="0" w:space="0"/>
          <w:bottom w:val="none" w:color="000000" w:sz="0" w:space="0"/>
          <w:right w:val="none" w:color="000000" w:sz="0" w:space="0"/>
        </w:pBdr>
        <w:spacing w:before="210" w:after="120"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采购人（甲方）：</w:t>
      </w:r>
    </w:p>
    <w:p w14:paraId="5C42EEB3">
      <w:pPr>
        <w:keepNext w:val="0"/>
        <w:keepLines w:val="0"/>
        <w:pBdr>
          <w:top w:val="none" w:color="000000" w:sz="0" w:space="0"/>
          <w:left w:val="none" w:color="000000" w:sz="0" w:space="0"/>
          <w:bottom w:val="none" w:color="000000" w:sz="0" w:space="0"/>
          <w:right w:val="none" w:color="000000" w:sz="0" w:space="0"/>
        </w:pBdr>
        <w:spacing w:before="210" w:after="120"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中标人（乙方）：</w:t>
      </w:r>
    </w:p>
    <w:p w14:paraId="41DCAB09">
      <w:pPr>
        <w:keepNext w:val="0"/>
        <w:keepLines w:val="0"/>
        <w:pBdr>
          <w:top w:val="none" w:color="000000" w:sz="0" w:space="0"/>
          <w:left w:val="none" w:color="000000" w:sz="0" w:space="0"/>
          <w:bottom w:val="none" w:color="000000" w:sz="0" w:space="0"/>
          <w:right w:val="none" w:color="000000" w:sz="0" w:space="0"/>
        </w:pBdr>
        <w:spacing w:before="210" w:after="120" w:line="360" w:lineRule="auto"/>
        <w:rPr>
          <w:rFonts w:hint="eastAsia" w:ascii="宋体" w:hAnsi="宋体" w:eastAsia="宋体" w:cs="宋体"/>
          <w:highlight w:val="none"/>
        </w:rPr>
      </w:pPr>
      <w:r>
        <w:rPr>
          <w:rFonts w:hint="eastAsia" w:ascii="宋体" w:hAnsi="宋体" w:eastAsia="宋体" w:cs="宋体"/>
          <w:b/>
          <w:color w:val="auto"/>
          <w:sz w:val="24"/>
          <w:szCs w:val="24"/>
          <w:highlight w:val="none"/>
        </w:rPr>
        <w:t>合同签订日期：  年  月  日</w:t>
      </w:r>
    </w:p>
    <w:p w14:paraId="51D91F31">
      <w:pPr>
        <w:keepNext w:val="0"/>
        <w:keepLines w:val="0"/>
        <w:pBdr>
          <w:top w:val="none" w:color="000000" w:sz="0" w:space="0"/>
          <w:left w:val="none" w:color="000000" w:sz="0" w:space="0"/>
          <w:bottom w:val="none" w:color="000000" w:sz="0" w:space="0"/>
          <w:right w:val="none" w:color="000000" w:sz="0" w:space="0"/>
        </w:pBdr>
        <w:spacing w:line="360" w:lineRule="auto"/>
        <w:ind w:firstLine="562"/>
        <w:rPr>
          <w:rFonts w:hint="eastAsia" w:ascii="宋体" w:hAnsi="宋体" w:eastAsia="宋体" w:cs="宋体"/>
          <w:highlight w:val="none"/>
        </w:rPr>
      </w:pPr>
      <w:r>
        <w:rPr>
          <w:rFonts w:hint="eastAsia" w:ascii="宋体" w:hAnsi="宋体" w:eastAsia="宋体" w:cs="宋体"/>
          <w:b w:val="0"/>
          <w:bCs/>
          <w:color w:val="auto"/>
          <w:sz w:val="24"/>
          <w:szCs w:val="24"/>
          <w:highlight w:val="none"/>
        </w:rPr>
        <w:t>友情提醒：采购人与中标、成交供应商应当在中标、成交通知书发出之日起三十日内，按照采购文件确定的事项签订政府采购合同。</w:t>
      </w:r>
    </w:p>
    <w:p w14:paraId="4503642F">
      <w:pPr>
        <w:keepNext w:val="0"/>
        <w:keepLines w:val="0"/>
        <w:pBdr>
          <w:top w:val="none" w:color="000000" w:sz="0" w:space="0"/>
          <w:left w:val="none" w:color="000000" w:sz="0" w:space="0"/>
          <w:bottom w:val="none" w:color="000000" w:sz="0" w:space="0"/>
          <w:right w:val="none" w:color="000000" w:sz="0" w:space="0"/>
        </w:pBdr>
        <w:spacing w:line="360" w:lineRule="auto"/>
        <w:ind w:firstLine="562"/>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采购人应当自政府采购合同签订之日起2个工作日内，将政府采购合同在省级以上人民政府财政部门指定的媒体上公告，但政府采购合同中涉及国家秘密、商业秘密的内容除外。</w:t>
      </w:r>
    </w:p>
    <w:p w14:paraId="6CC960FB">
      <w:pPr>
        <w:pStyle w:val="56"/>
        <w:keepNext w:val="0"/>
        <w:keepLines w:val="0"/>
        <w:pageBreakBefore w:val="0"/>
        <w:spacing w:line="360" w:lineRule="auto"/>
        <w:ind w:right="480"/>
        <w:rPr>
          <w:rFonts w:hint="eastAsia" w:ascii="宋体" w:hAnsi="宋体" w:eastAsia="宋体" w:cs="宋体"/>
          <w:color w:val="auto"/>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rPr>
        <w:t xml:space="preserve">       </w:t>
      </w:r>
    </w:p>
    <w:p w14:paraId="32687449">
      <w:pPr>
        <w:keepNext w:val="0"/>
        <w:keepLines w:val="0"/>
        <w:pageBreakBefore w:val="0"/>
        <w:widowControl w:val="0"/>
        <w:spacing w:line="360" w:lineRule="auto"/>
        <w:ind w:right="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sz w:val="24"/>
          <w:szCs w:val="24"/>
          <w:highlight w:val="none"/>
          <w:u w:val="none"/>
          <w:lang w:val="en-US" w:eastAsia="zh-CN" w:bidi="ar-SA"/>
        </w:rPr>
        <w:t xml:space="preserve">   </w:t>
      </w:r>
    </w:p>
    <w:p w14:paraId="0F0E655B">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合同通用条款</w:t>
      </w:r>
    </w:p>
    <w:p w14:paraId="50799A26">
      <w:pPr>
        <w:keepNext w:val="0"/>
        <w:keepLines w:val="0"/>
        <w:pageBreakBefore w:val="0"/>
        <w:widowControl w:val="0"/>
        <w:spacing w:line="360" w:lineRule="auto"/>
        <w:jc w:val="center"/>
        <w:rPr>
          <w:rFonts w:hint="eastAsia" w:ascii="宋体" w:hAnsi="宋体" w:eastAsia="宋体" w:cs="宋体"/>
          <w:color w:val="auto"/>
          <w:sz w:val="24"/>
          <w:szCs w:val="24"/>
          <w:highlight w:val="none"/>
        </w:rPr>
      </w:pPr>
    </w:p>
    <w:p w14:paraId="5F4BB059">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目录</w:t>
      </w:r>
    </w:p>
    <w:p w14:paraId="03C8945D">
      <w:pPr>
        <w:keepNext w:val="0"/>
        <w:keepLines w:val="0"/>
        <w:pageBreakBefore w:val="0"/>
        <w:widowControl w:val="0"/>
        <w:spacing w:line="360" w:lineRule="auto"/>
        <w:jc w:val="center"/>
        <w:rPr>
          <w:rFonts w:hint="eastAsia" w:ascii="宋体" w:hAnsi="宋体" w:eastAsia="宋体" w:cs="宋体"/>
          <w:color w:val="auto"/>
          <w:sz w:val="24"/>
          <w:szCs w:val="24"/>
          <w:highlight w:val="none"/>
        </w:rPr>
      </w:pPr>
    </w:p>
    <w:p w14:paraId="6A374EF6">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第一条    定义</w:t>
      </w:r>
    </w:p>
    <w:p w14:paraId="1AA67B79">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第二条    合同范围</w:t>
      </w:r>
    </w:p>
    <w:p w14:paraId="0E60513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第三条    价格</w:t>
      </w:r>
    </w:p>
    <w:p w14:paraId="1AA2D21F">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第四条    支付</w:t>
      </w:r>
    </w:p>
    <w:p w14:paraId="1C6F1F15">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第五条    交货</w:t>
      </w:r>
    </w:p>
    <w:p w14:paraId="0CC4651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第六条    包装和标记</w:t>
      </w:r>
    </w:p>
    <w:p w14:paraId="216620A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第七条    技术资料</w:t>
      </w:r>
    </w:p>
    <w:p w14:paraId="445D8D62">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第八条    安装</w:t>
      </w:r>
    </w:p>
    <w:p w14:paraId="47633364">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第九条    验收</w:t>
      </w:r>
    </w:p>
    <w:p w14:paraId="5E4511B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第十条    售后服务和技术培训</w:t>
      </w:r>
    </w:p>
    <w:p w14:paraId="228F7CDF">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第十一条  索赔</w:t>
      </w:r>
    </w:p>
    <w:p w14:paraId="43DF15C5">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第十二条  不可抗力</w:t>
      </w:r>
    </w:p>
    <w:p w14:paraId="317BD68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第十三条  合同的终止</w:t>
      </w:r>
    </w:p>
    <w:p w14:paraId="60192966">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第十四条  争议的解决</w:t>
      </w:r>
    </w:p>
    <w:p w14:paraId="77AA8F72">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第十五条  适用法律</w:t>
      </w:r>
    </w:p>
    <w:p w14:paraId="5D5BFCF2">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第十六条  权利保证</w:t>
      </w:r>
    </w:p>
    <w:p w14:paraId="6ED56951">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第十七条  保密</w:t>
      </w:r>
    </w:p>
    <w:p w14:paraId="21ECBBDD">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第十八条  合同生效及其他</w:t>
      </w:r>
    </w:p>
    <w:p w14:paraId="4492E9D2">
      <w:pPr>
        <w:keepNext w:val="0"/>
        <w:keepLines w:val="0"/>
        <w:pageBreakBefore w:val="0"/>
        <w:widowControl w:val="0"/>
        <w:spacing w:line="360" w:lineRule="auto"/>
        <w:rPr>
          <w:rFonts w:hint="eastAsia" w:ascii="宋体" w:hAnsi="宋体" w:eastAsia="宋体" w:cs="宋体"/>
          <w:color w:val="auto"/>
          <w:sz w:val="24"/>
          <w:szCs w:val="24"/>
          <w:highlight w:val="none"/>
        </w:rPr>
      </w:pPr>
    </w:p>
    <w:p w14:paraId="5D9EFBFF">
      <w:pPr>
        <w:keepNext w:val="0"/>
        <w:keepLines w:val="0"/>
        <w:pageBreakBefore w:val="0"/>
        <w:widowControl w:val="0"/>
        <w:spacing w:line="360" w:lineRule="auto"/>
        <w:rPr>
          <w:rFonts w:hint="eastAsia" w:ascii="宋体" w:hAnsi="宋体" w:eastAsia="宋体" w:cs="宋体"/>
          <w:color w:val="auto"/>
          <w:sz w:val="24"/>
          <w:szCs w:val="24"/>
          <w:highlight w:val="none"/>
        </w:rPr>
      </w:pPr>
    </w:p>
    <w:p w14:paraId="47BC0F69">
      <w:pPr>
        <w:keepNext w:val="0"/>
        <w:keepLines w:val="0"/>
        <w:pageBreakBefore w:val="0"/>
        <w:widowControl w:val="0"/>
        <w:spacing w:line="360" w:lineRule="auto"/>
        <w:rPr>
          <w:rFonts w:hint="eastAsia" w:ascii="宋体" w:hAnsi="宋体" w:eastAsia="宋体" w:cs="宋体"/>
          <w:color w:val="auto"/>
          <w:sz w:val="24"/>
          <w:szCs w:val="24"/>
          <w:highlight w:val="none"/>
        </w:rPr>
      </w:pPr>
    </w:p>
    <w:p w14:paraId="3D6FFFB5">
      <w:pPr>
        <w:keepNext w:val="0"/>
        <w:keepLines w:val="0"/>
        <w:pageBreakBefore w:val="0"/>
        <w:widowControl w:val="0"/>
        <w:spacing w:line="360" w:lineRule="auto"/>
        <w:rPr>
          <w:rFonts w:hint="eastAsia" w:ascii="宋体" w:hAnsi="宋体" w:eastAsia="宋体" w:cs="宋体"/>
          <w:color w:val="auto"/>
          <w:sz w:val="24"/>
          <w:szCs w:val="24"/>
          <w:highlight w:val="none"/>
        </w:rPr>
      </w:pPr>
    </w:p>
    <w:p w14:paraId="204EF44D">
      <w:pPr>
        <w:keepNext w:val="0"/>
        <w:keepLines w:val="0"/>
        <w:pageBreakBefore w:val="0"/>
        <w:widowControl w:val="0"/>
        <w:spacing w:line="360" w:lineRule="auto"/>
        <w:rPr>
          <w:rFonts w:hint="eastAsia" w:ascii="宋体" w:hAnsi="宋体" w:eastAsia="宋体" w:cs="宋体"/>
          <w:color w:val="auto"/>
          <w:sz w:val="24"/>
          <w:szCs w:val="24"/>
          <w:highlight w:val="none"/>
        </w:rPr>
      </w:pPr>
    </w:p>
    <w:p w14:paraId="123F8664">
      <w:pPr>
        <w:keepNext w:val="0"/>
        <w:keepLines w:val="0"/>
        <w:pageBreakBefore w:val="0"/>
        <w:widowControl w:val="0"/>
        <w:spacing w:line="360" w:lineRule="auto"/>
        <w:rPr>
          <w:rFonts w:hint="eastAsia" w:ascii="宋体" w:hAnsi="宋体" w:eastAsia="宋体" w:cs="宋体"/>
          <w:color w:val="auto"/>
          <w:sz w:val="24"/>
          <w:szCs w:val="24"/>
          <w:highlight w:val="none"/>
        </w:rPr>
      </w:pPr>
    </w:p>
    <w:p w14:paraId="728BE695">
      <w:pPr>
        <w:keepNext w:val="0"/>
        <w:keepLines w:val="0"/>
        <w:pageBreakBefore w:val="0"/>
        <w:widowControl w:val="0"/>
        <w:spacing w:line="360" w:lineRule="auto"/>
        <w:rPr>
          <w:rFonts w:hint="eastAsia" w:ascii="宋体" w:hAnsi="宋体" w:eastAsia="宋体" w:cs="宋体"/>
          <w:color w:val="auto"/>
          <w:sz w:val="24"/>
          <w:szCs w:val="24"/>
          <w:highlight w:val="none"/>
        </w:rPr>
      </w:pPr>
    </w:p>
    <w:p w14:paraId="3E98AB57">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合同通用条款</w:t>
      </w:r>
    </w:p>
    <w:p w14:paraId="64AB2633">
      <w:pPr>
        <w:keepNext w:val="0"/>
        <w:keepLines w:val="0"/>
        <w:pageBreakBefore w:val="0"/>
        <w:widowControl w:val="0"/>
        <w:spacing w:line="360" w:lineRule="auto"/>
        <w:jc w:val="center"/>
        <w:rPr>
          <w:rFonts w:hint="eastAsia" w:ascii="宋体" w:hAnsi="宋体" w:eastAsia="宋体" w:cs="宋体"/>
          <w:color w:val="auto"/>
          <w:sz w:val="24"/>
          <w:szCs w:val="24"/>
          <w:highlight w:val="none"/>
        </w:rPr>
      </w:pPr>
    </w:p>
    <w:p w14:paraId="6657BD4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第一条  定义</w:t>
      </w:r>
    </w:p>
    <w:p w14:paraId="58F0FD8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除本合同上下文中另有规定外，下列各词语定义如下： </w:t>
      </w:r>
    </w:p>
    <w:p w14:paraId="742296C0">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1.1“买方”见《合同专用条款》。</w:t>
      </w:r>
    </w:p>
    <w:p w14:paraId="4CDA76A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1.2“卖方”见《合同专用条款》。</w:t>
      </w:r>
    </w:p>
    <w:p w14:paraId="205B0BC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1.3“工作现场”见《合同专用条款》。</w:t>
      </w:r>
    </w:p>
    <w:p w14:paraId="5375A6E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1.4“合同标的”见合同附件4。</w:t>
      </w:r>
    </w:p>
    <w:p w14:paraId="34795D6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1.5“技术资料”是指与合同标的的安装、试运行、验收、操作以及维修有关的技术指标、规格、图纸和文件。</w:t>
      </w:r>
    </w:p>
    <w:p w14:paraId="495DDD1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1.6“技术培训”是指在合同标的的安装、试运行、验收、操作、维修以及其他方面卖方给予买方的培训。</w:t>
      </w:r>
    </w:p>
    <w:p w14:paraId="773AED1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1.7“安装”是指有关合同标的、备件和材料的安装工作。</w:t>
      </w:r>
    </w:p>
    <w:p w14:paraId="39AAB48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1.8“试运行”是指为验明合同标的的技术性能，在安装完毕后对合同标的进行的测试。</w:t>
      </w:r>
    </w:p>
    <w:p w14:paraId="60A459A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1.9“验收”是指根据合同附件2的规定进行的，用以确定合同标的是否达到合同附件2 所规定的技术性能的检验，以及合同标的在达到合同附件2 规定的技术性能之后，买方对合同标的的接受。</w:t>
      </w:r>
    </w:p>
    <w:p w14:paraId="3891E3A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1.10“合同货币”见《合同专用条款》。</w:t>
      </w:r>
    </w:p>
    <w:p w14:paraId="604D9EA0">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1.11“合同价格”见合同附件4。</w:t>
      </w:r>
    </w:p>
    <w:p w14:paraId="033BFBC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1.12“合同生效日”见《合同协议书》（合同附件1）第5 条。</w:t>
      </w:r>
    </w:p>
    <w:p w14:paraId="472C8B44">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1.13“日”是指日历天数。</w:t>
      </w:r>
    </w:p>
    <w:p w14:paraId="6E9EAC7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1.14“月”是指日历月数。</w:t>
      </w:r>
    </w:p>
    <w:p w14:paraId="2684BD0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1.15“采购需求” 见合同附件6。</w:t>
      </w:r>
    </w:p>
    <w:p w14:paraId="2614C741">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第二条 合同范围</w:t>
      </w:r>
    </w:p>
    <w:p w14:paraId="6744FAA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2.1买方同意从卖方购买、卖方同意向买方出售和提供的合同标的以及相关售后服务、技术培训和技术资料。</w:t>
      </w:r>
    </w:p>
    <w:p w14:paraId="1B24C61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第三条 价格</w:t>
      </w:r>
    </w:p>
    <w:p w14:paraId="5E940F7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合同总价见《合同专用条款》。</w:t>
      </w:r>
    </w:p>
    <w:p w14:paraId="7A0645C0">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合同总价是固定价格。</w:t>
      </w:r>
    </w:p>
    <w:p w14:paraId="253705E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第四条 支付（采购资金的支付方式、时间、条件）</w:t>
      </w:r>
    </w:p>
    <w:p w14:paraId="5136096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4.1买方应按照《合同专用条款》的规定进行支付。如果卖方未能按照《合同专用条款》的要求提交支付文件，由此产生的所有责任和发生的所有费用，均由卖方承担。</w:t>
      </w:r>
    </w:p>
    <w:p w14:paraId="613D630B">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4.2卖方有义务根据合同的规定向买方支付违约金和/或赔偿金时，买方有权从任何一笔应付款或卖方的履约保证金中予以扣除。</w:t>
      </w:r>
    </w:p>
    <w:p w14:paraId="4C52E81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第五条 交货（货物、服务提供的时间、地点、方式）</w:t>
      </w:r>
    </w:p>
    <w:p w14:paraId="7906863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5.1交货期限、批次和交货条件见《合同专用条款》。</w:t>
      </w:r>
    </w:p>
    <w:p w14:paraId="442F215B">
      <w:pPr>
        <w:keepNext w:val="0"/>
        <w:keepLines w:val="0"/>
        <w:pageBreakBefore w:val="0"/>
        <w:widowControl w:val="0"/>
        <w:spacing w:line="360" w:lineRule="auto"/>
        <w:ind w:firstLine="480"/>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5.2交货地点见《合同专用条款》。</w:t>
      </w:r>
    </w:p>
    <w:p w14:paraId="2B7B46FB">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5.3在《合同专用条款》规定的期限内，卖方应将合同号、合同标的的名称、数量、金额、包装件数以及交货的时间以书面方式通知买方。</w:t>
      </w:r>
    </w:p>
    <w:p w14:paraId="06662A1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5.4卖方应按下列规定交付合同标的：</w:t>
      </w:r>
    </w:p>
    <w:p w14:paraId="638F774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5.4.1卖方负责将合同标的送至《合同专用条款》规定的交货地点。</w:t>
      </w:r>
    </w:p>
    <w:p w14:paraId="4C6CF54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5.4.2买方出具的收据日期是合同标的的实际交货日期。</w:t>
      </w:r>
    </w:p>
    <w:p w14:paraId="791D8C4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5.5如果卖方未能按照合同规定的交货期限交货，卖方应按《合同专用条款》的规定支付违约金或提供其他救济。</w:t>
      </w:r>
    </w:p>
    <w:p w14:paraId="34FFCF16">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第六条 包装与标记</w:t>
      </w:r>
    </w:p>
    <w:p w14:paraId="0AF8D191">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6.1除非合同中另有规定，合同标的应保持产品制造企业原包装完好。</w:t>
      </w:r>
    </w:p>
    <w:p w14:paraId="01E5CA01">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6.2在合同标的的每件包装中都应附有下列单据： </w:t>
      </w:r>
    </w:p>
    <w:p w14:paraId="5E588556">
      <w:pPr>
        <w:keepNext w:val="0"/>
        <w:keepLines w:val="0"/>
        <w:pageBreakBefore w:val="0"/>
        <w:widowControl w:val="0"/>
        <w:spacing w:line="360" w:lineRule="auto"/>
        <w:ind w:firstLine="480"/>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 xml:space="preserve">A. 装箱明细单； </w:t>
      </w:r>
    </w:p>
    <w:p w14:paraId="6DEFC8E8">
      <w:pPr>
        <w:keepNext w:val="0"/>
        <w:keepLines w:val="0"/>
        <w:pageBreakBefore w:val="0"/>
        <w:widowControl w:val="0"/>
        <w:spacing w:line="360" w:lineRule="auto"/>
        <w:ind w:firstLine="480"/>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 xml:space="preserve">B. 质量合格证； </w:t>
      </w:r>
    </w:p>
    <w:p w14:paraId="2D18DC7B">
      <w:pPr>
        <w:keepNext w:val="0"/>
        <w:keepLines w:val="0"/>
        <w:pageBreakBefore w:val="0"/>
        <w:widowControl w:val="0"/>
        <w:spacing w:line="360" w:lineRule="auto"/>
        <w:ind w:firstLine="480"/>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C. 技术资料。</w:t>
      </w:r>
    </w:p>
    <w:p w14:paraId="07020FD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凡由于对合同标的包装不当或采取防护措施不充分致使合同标的损坏或丢失时，卖方均应负责修理、更换或赔偿。如果因卖方在包装和标记方面发生的错误或混淆不清造成合同标的的误运，卖方应承担由此发生的额外费用。</w:t>
      </w:r>
    </w:p>
    <w:p w14:paraId="1489E05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第七条 技术资料</w:t>
      </w:r>
    </w:p>
    <w:p w14:paraId="1BF7AA2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技术资料交付的期限和方式见《合同专用条款》。</w:t>
      </w:r>
    </w:p>
    <w:p w14:paraId="72B460C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第八条 安装</w:t>
      </w:r>
    </w:p>
    <w:p w14:paraId="5658F50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合同标的的安装期限见《合同专用条款》。</w:t>
      </w:r>
    </w:p>
    <w:p w14:paraId="3D24841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r>
        <w:rPr>
          <w:rFonts w:hint="eastAsia" w:ascii="宋体" w:hAnsi="宋体" w:eastAsia="宋体" w:cs="宋体"/>
          <w:color w:val="auto"/>
          <w:sz w:val="24"/>
          <w:szCs w:val="24"/>
          <w:highlight w:val="none"/>
          <w:lang w:eastAsia="zh-CN"/>
        </w:rPr>
        <w:t>项目实施</w:t>
      </w:r>
      <w:r>
        <w:rPr>
          <w:rFonts w:hint="eastAsia" w:ascii="宋体" w:hAnsi="宋体" w:eastAsia="宋体" w:cs="宋体"/>
          <w:color w:val="auto"/>
          <w:sz w:val="24"/>
          <w:szCs w:val="24"/>
          <w:highlight w:val="none"/>
        </w:rPr>
        <w:t>方案详见合同附件7。</w:t>
      </w:r>
    </w:p>
    <w:p w14:paraId="1534C89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第九条 验收</w:t>
      </w:r>
    </w:p>
    <w:p w14:paraId="699CF096">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9.1合同标的的试运行、验收见《合同专用条款》。</w:t>
      </w:r>
    </w:p>
    <w:p w14:paraId="3B0CFA52">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9.2如果合同附件2 所规定的所有技术性能在验收中都已经达到，双方应在验收合格后5日内签署验收书。</w:t>
      </w:r>
    </w:p>
    <w:p w14:paraId="3439A7CD">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9.3验收标准（验收要求、验收标准和程序）：见合同附件5。</w:t>
      </w:r>
    </w:p>
    <w:p w14:paraId="2785D31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第十条 售后服务和技术培训</w:t>
      </w:r>
    </w:p>
    <w:p w14:paraId="1C48208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10.1售后服务和技术培训见合同附件3。</w:t>
      </w:r>
    </w:p>
    <w:p w14:paraId="42DF2111">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第十一条 索赔</w:t>
      </w:r>
    </w:p>
    <w:p w14:paraId="5743FB70">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11.1如果合同标的在安装、试运行和验收中卖方未能履行其在本合同项下承担的义务，买方有权向卖方提出索赔并寻求《合同专用条款》中规定的救济方式，救济方式包括：</w:t>
      </w:r>
    </w:p>
    <w:p w14:paraId="7D1C017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 卖方替换不符合合同规定的合同标的。</w:t>
      </w:r>
    </w:p>
    <w:p w14:paraId="51CD520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 按质量低劣的程度、买方受损害的程度及损失的数额对合同标的进行降价。</w:t>
      </w:r>
    </w:p>
    <w:p w14:paraId="56BCAFE2">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 拒收合同标的。</w:t>
      </w:r>
    </w:p>
    <w:p w14:paraId="03212B7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 赔偿由卖方违约引起的其他损失。</w:t>
      </w:r>
    </w:p>
    <w:p w14:paraId="437CE39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如果卖方在收到买方索赔要求后未在《合同专用条款》规定的期限内作出书面回复，该索赔要求将被视为已被卖方接受。如卖方未能在买方发出索赔要求后《合同专用条款》规定的期限内或买方同意的延长期限内，按照买方选择的救济方式解决索赔事宜，买方有权从合同总价或从卖方的履约保证金中扣除索赔金额。</w:t>
      </w:r>
    </w:p>
    <w:p w14:paraId="42472D56">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第十二条 不可抗力</w:t>
      </w:r>
    </w:p>
    <w:p w14:paraId="28C0FF1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如果合同任何一方受诸如战争、严重的火灾、台风、地震、洪水以及任何其他不能预见、不能避免且不能克服的不可抗力事件的影响而无法履行合同项下的任何义务，受影响的一方应将此类事件的发生以书面方式通知另一方并应在不可抗力事件发生后14日内将有关部门或机构出具的证明文件提交给另一方。</w:t>
      </w:r>
    </w:p>
    <w:p w14:paraId="500F74A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12.2受不可抗力事件影响的合同一方对于不可抗力事件导致的任何合同义务的迟延履行或不能履行不承担责任。但该方应尽快以书面方式将不可抗力事件结束或其影响消除的情况通知另一方。</w:t>
      </w:r>
    </w:p>
    <w:p w14:paraId="693A725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12.3合同双方应在不可抗力事件结束或其影响消除后立即继续履行其合同义务，如果不可抗力事件的影响持续超过《合同专用条款》规定的期限，合同任何一方均有权发出书面通知终止合同。</w:t>
      </w:r>
    </w:p>
    <w:p w14:paraId="2EF50236">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p>
    <w:p w14:paraId="3FC4856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第十三条 合同的终止</w:t>
      </w:r>
    </w:p>
    <w:p w14:paraId="5DD41499">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13.1如果卖方有下述违约行为之一或《合同专用条款》中规定的其他违约行为，在不妨碍买方采取其它救济手段的情况下，买方可以向卖方发出书面违约通知，全部或部分地终止合同。</w:t>
      </w:r>
    </w:p>
    <w:p w14:paraId="03F2D28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A. 卖方在合同规定的交货期限后未能按《合同专用条款》中规定的最终期限交付合同标的和/或技术资料； </w:t>
      </w:r>
    </w:p>
    <w:p w14:paraId="536ECF9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B. 合同标的未能达到合同附件2 规定的技术性能； </w:t>
      </w:r>
    </w:p>
    <w:p w14:paraId="1018DFC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 卖方未能履行合同项下任何其它义务，并且在收到买方违约通知后未能按《合同专用条款》中规定的期限对其违约行为作出补救。</w:t>
      </w:r>
    </w:p>
    <w:p w14:paraId="64297E4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13.2如果一方破产或发生资不抵债的情况,合同另一方有权在任何时候发出书面通知终止合同。此种情况下合同的终止不妨碍或影响行使任何可能的其它救济手段。</w:t>
      </w:r>
    </w:p>
    <w:p w14:paraId="1EFC5A3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13.3如果买方认定卖方在投标或执行合同中有腐败或欺诈行为,买方有权在任何时候发出书面通知终止合同。</w:t>
      </w:r>
    </w:p>
    <w:p w14:paraId="701FD790">
      <w:pPr>
        <w:keepNext w:val="0"/>
        <w:keepLines w:val="0"/>
        <w:pageBreakBefore w:val="0"/>
        <w:widowControl w:val="0"/>
        <w:spacing w:line="360" w:lineRule="auto"/>
        <w:ind w:left="1" w:firstLine="5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A.“腐败行为”系指在招标、采购和合同执行等过程中，为谋求利益、影响相关人员而提供、给予、接受或索取任何有价物的行为。</w:t>
      </w:r>
    </w:p>
    <w:p w14:paraId="6D69B26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B.“欺诈行为”系指为了影响招标、采购和合同执行等过程而隐瞒事实，从而给买方造成损害的行为，其中包括投标人之间的串通行为。</w:t>
      </w:r>
    </w:p>
    <w:p w14:paraId="378EEA4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 在买方全部或部分终止合同的情况下，卖方应按《合同专用条款》的规定对买方给予补偿。</w:t>
      </w:r>
    </w:p>
    <w:p w14:paraId="78B0805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第十四条 争议的解决</w:t>
      </w:r>
    </w:p>
    <w:p w14:paraId="6C2F8F42">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因执行本合同所发生的或者与本合同有关的一切争议由合同双方通过友好协商解决，如果不能协商一致，按《合同专用条款》规定的方式解决。</w:t>
      </w:r>
    </w:p>
    <w:p w14:paraId="2112075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第十五条 适用法律</w:t>
      </w:r>
    </w:p>
    <w:p w14:paraId="52D0E779">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本合同的执行和争议的解决适用中华人民共和国的法律并按中华人民共和国的法律进行解释。</w:t>
      </w:r>
    </w:p>
    <w:p w14:paraId="1F329636">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第十六条  权利保证</w:t>
      </w:r>
    </w:p>
    <w:p w14:paraId="7391A941">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16.1卖方应保证买方在使用合同标的时不受第三方提出侵犯其专利权、版权、商标权或其他权利的起诉。一旦出现侵权，卖方承担全部责任。</w:t>
      </w:r>
    </w:p>
    <w:p w14:paraId="589A7AB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第十七条  保密 </w:t>
      </w:r>
    </w:p>
    <w:p w14:paraId="55FC4190">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卖方在本合同履行的过程中，或为履行本合同的需要，从买方所获得的、有关买方和/或属于买方的任何信息包括买方工作方式方法与资料、技术资料、用户名单、发展战略及其他被认为是买方的信息，都是买方的秘密，卖方不得泄露给任何第三方。</w:t>
      </w:r>
    </w:p>
    <w:p w14:paraId="4379E2E9">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17.2上述秘密，卖方只能用于本合同，而且只能由卖方相应的人员使用；没有必要接触的卖方人员，不得接触。</w:t>
      </w:r>
    </w:p>
    <w:p w14:paraId="1B54AF3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17.3卖方应当采取适当有效的方式保护所获取的上述秘密。</w:t>
      </w:r>
    </w:p>
    <w:p w14:paraId="0412E68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卖方违反本合同所规定的在保密方面的义务，应按合同总价的50%承担违约金或按照实际损失支付赔偿金；买方有权选择以上两种方式之一要求卖方承担违约责任。本违约金和赔偿金的支付义务独立于其它违约义务。</w:t>
      </w:r>
    </w:p>
    <w:p w14:paraId="654EBB02">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第十八条 合同生效及其他</w:t>
      </w:r>
    </w:p>
    <w:p w14:paraId="06D304D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本合同在合同协议书（合同附件1）规定的条件全部满足后生效。</w:t>
      </w:r>
    </w:p>
    <w:p w14:paraId="228985D2">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18.2合同项下全部权利义务履行完毕后，本合同自动失效。合同履行期满后，合同项下任何尚未了结的债权和债务不受合同履行期的影响，债务人仍应向债权人履行其义务。</w:t>
      </w:r>
    </w:p>
    <w:p w14:paraId="3A7BC333">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合同双方各自承担与本合同有关的应负税费。</w:t>
      </w:r>
    </w:p>
    <w:p w14:paraId="68CD2F54">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18.4合同双方除非《合同专用条款》另有规定，所有合同文件及相关的修订和合同双方之间的书面联络，应使用中文书就并按中文解释。</w:t>
      </w:r>
    </w:p>
    <w:p w14:paraId="3032C72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18.5对本合同的任何补充、增添或修改以书面方式进行。</w:t>
      </w:r>
    </w:p>
    <w:p w14:paraId="5E2BA09E">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18.6没有另一方的事先书面同意，合同任何一方不得将合同项下的任何权利和义务转让给第三方。</w:t>
      </w:r>
    </w:p>
    <w:p w14:paraId="407F087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18.7任何一方在执行任何合同条款和条件时准予对方的放松、宽容、延迟、放纵或时间，不得损害、影响或限制该方在合同之下的权利；任何一方对合同的任何违背、任何免责也不应导致对任何后面或延续的合同的免责或弃权。</w:t>
      </w:r>
    </w:p>
    <w:p w14:paraId="4B0FA8B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18.8合同条款中的标题和边注仅供参考使用，不应视为合同的一部分，也不影响本文的解释。</w:t>
      </w:r>
    </w:p>
    <w:p w14:paraId="6001F23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18.9合同构成买方和卖方之间就合同主要内容方面的完整协议，并且取代合同签订前所有关于这方面的通讯、协商、协议(不论是书面的，还是口头的)。</w:t>
      </w:r>
    </w:p>
    <w:p w14:paraId="1BD50CF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18.10买方应当自政府采购合同签订之日起2个工作日内，将政府采购合同在省级以上人民政府财政部门指定的媒体上公告，但政府采购合同中涉及国家秘密、商业秘密的内容除外。</w:t>
      </w:r>
    </w:p>
    <w:p w14:paraId="13CE8DED">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18.11合同双方之间的一切联络往来应以书面形式按《合同专用条款》中规定的通讯地址发往合同另一方。有关重要事项的传真应及时用挂号信或快件确认。</w:t>
      </w:r>
    </w:p>
    <w:p w14:paraId="4763962F">
      <w:pPr>
        <w:keepNext w:val="0"/>
        <w:keepLines w:val="0"/>
        <w:pageBreakBefore w:val="0"/>
        <w:widowControl w:val="0"/>
        <w:spacing w:line="360" w:lineRule="auto"/>
        <w:ind w:firstLine="600"/>
        <w:jc w:val="center"/>
        <w:rPr>
          <w:rFonts w:hint="eastAsia" w:ascii="宋体" w:hAnsi="宋体" w:eastAsia="宋体" w:cs="宋体"/>
          <w:color w:val="auto"/>
          <w:sz w:val="24"/>
          <w:szCs w:val="24"/>
          <w:highlight w:val="none"/>
        </w:rPr>
      </w:pPr>
    </w:p>
    <w:p w14:paraId="32BA6458">
      <w:pPr>
        <w:keepNext w:val="0"/>
        <w:keepLines w:val="0"/>
        <w:pageBreakBefore w:val="0"/>
        <w:widowControl w:val="0"/>
        <w:spacing w:line="360" w:lineRule="auto"/>
        <w:jc w:val="both"/>
        <w:rPr>
          <w:rFonts w:hint="eastAsia" w:ascii="宋体" w:hAnsi="宋体" w:eastAsia="宋体" w:cs="宋体"/>
          <w:color w:val="auto"/>
          <w:sz w:val="24"/>
          <w:szCs w:val="24"/>
          <w:highlight w:val="none"/>
          <w:lang w:val="en-US" w:eastAsia="zh-CN" w:bidi="ar-SA"/>
        </w:rPr>
      </w:pPr>
    </w:p>
    <w:p w14:paraId="0E7FF766">
      <w:pPr>
        <w:keepNext w:val="0"/>
        <w:keepLines w:val="0"/>
        <w:pageBreakBefore w:val="0"/>
        <w:widowControl w:val="0"/>
        <w:spacing w:line="360" w:lineRule="auto"/>
        <w:jc w:val="both"/>
        <w:rPr>
          <w:rFonts w:hint="eastAsia" w:ascii="宋体" w:hAnsi="宋体" w:eastAsia="宋体" w:cs="宋体"/>
          <w:color w:val="auto"/>
          <w:sz w:val="24"/>
          <w:szCs w:val="24"/>
          <w:highlight w:val="none"/>
          <w:lang w:val="en-US" w:eastAsia="zh-CN" w:bidi="ar-SA"/>
        </w:rPr>
      </w:pPr>
    </w:p>
    <w:p w14:paraId="455062E1">
      <w:pPr>
        <w:keepNext w:val="0"/>
        <w:keepLines w:val="0"/>
        <w:pageBreakBefore w:val="0"/>
        <w:widowControl w:val="0"/>
        <w:spacing w:line="360" w:lineRule="auto"/>
        <w:jc w:val="both"/>
        <w:rPr>
          <w:rFonts w:hint="eastAsia" w:ascii="宋体" w:hAnsi="宋体" w:eastAsia="宋体" w:cs="宋体"/>
          <w:color w:val="auto"/>
          <w:sz w:val="24"/>
          <w:szCs w:val="24"/>
          <w:highlight w:val="none"/>
          <w:lang w:val="en-US" w:eastAsia="zh-CN" w:bidi="ar-SA"/>
        </w:rPr>
      </w:pPr>
    </w:p>
    <w:p w14:paraId="4CA1D1D4">
      <w:pPr>
        <w:tabs>
          <w:tab w:val="left" w:pos="810"/>
          <w:tab w:val="left" w:pos="907"/>
          <w:tab w:val="left" w:pos="1265"/>
        </w:tabs>
        <w:spacing w:before="0" w:after="0"/>
        <w:ind w:left="907" w:hanging="907"/>
        <w:jc w:val="both"/>
        <w:outlineLvl w:val="2"/>
        <w:rPr>
          <w:rFonts w:hint="eastAsia" w:ascii="宋体" w:hAnsi="宋体" w:eastAsia="宋体" w:cs="宋体"/>
          <w:color w:val="auto"/>
          <w:sz w:val="24"/>
          <w:szCs w:val="24"/>
          <w:highlight w:val="none"/>
          <w:lang w:val="en-US" w:eastAsia="zh-CN" w:bidi="ar-SA"/>
        </w:rPr>
      </w:pPr>
    </w:p>
    <w:p w14:paraId="77F0C2D9">
      <w:pPr>
        <w:widowControl/>
        <w:ind w:firstLine="200"/>
        <w:jc w:val="both"/>
        <w:rPr>
          <w:rFonts w:hint="eastAsia" w:ascii="宋体" w:hAnsi="宋体" w:eastAsia="宋体" w:cs="宋体"/>
          <w:color w:val="auto"/>
          <w:sz w:val="24"/>
          <w:szCs w:val="24"/>
          <w:highlight w:val="none"/>
          <w:lang w:val="en-US" w:eastAsia="zh-CN" w:bidi="ar-SA"/>
        </w:rPr>
      </w:pPr>
    </w:p>
    <w:p w14:paraId="7B1608CE">
      <w:pPr>
        <w:rPr>
          <w:rFonts w:hint="eastAsia" w:ascii="宋体" w:hAnsi="宋体" w:eastAsia="宋体" w:cs="宋体"/>
          <w:color w:val="auto"/>
          <w:sz w:val="24"/>
          <w:szCs w:val="24"/>
          <w:highlight w:val="none"/>
        </w:rPr>
      </w:pPr>
    </w:p>
    <w:p w14:paraId="6D17FFF0">
      <w:pPr>
        <w:widowControl w:val="0"/>
        <w:jc w:val="both"/>
        <w:rPr>
          <w:rFonts w:hint="eastAsia" w:ascii="宋体" w:hAnsi="宋体" w:eastAsia="宋体" w:cs="宋体"/>
          <w:color w:val="auto"/>
          <w:sz w:val="24"/>
          <w:szCs w:val="24"/>
          <w:highlight w:val="none"/>
          <w:lang w:val="en-US" w:eastAsia="zh-CN" w:bidi="ar-SA"/>
        </w:rPr>
      </w:pPr>
    </w:p>
    <w:p w14:paraId="6D253C6C">
      <w:pPr>
        <w:tabs>
          <w:tab w:val="left" w:pos="810"/>
          <w:tab w:val="left" w:pos="907"/>
          <w:tab w:val="left" w:pos="1265"/>
        </w:tabs>
        <w:spacing w:before="0" w:after="0"/>
        <w:ind w:left="907" w:hanging="907"/>
        <w:jc w:val="both"/>
        <w:outlineLvl w:val="2"/>
        <w:rPr>
          <w:rFonts w:hint="eastAsia" w:ascii="宋体" w:hAnsi="宋体" w:eastAsia="宋体" w:cs="宋体"/>
          <w:color w:val="auto"/>
          <w:sz w:val="24"/>
          <w:szCs w:val="24"/>
          <w:highlight w:val="none"/>
          <w:lang w:val="en-US" w:eastAsia="zh-CN" w:bidi="ar-SA"/>
        </w:rPr>
      </w:pPr>
    </w:p>
    <w:p w14:paraId="32FF6D36">
      <w:pPr>
        <w:widowControl/>
        <w:ind w:firstLine="200"/>
        <w:jc w:val="both"/>
        <w:rPr>
          <w:rFonts w:hint="eastAsia" w:ascii="宋体" w:hAnsi="宋体" w:eastAsia="宋体" w:cs="宋体"/>
          <w:color w:val="auto"/>
          <w:sz w:val="24"/>
          <w:szCs w:val="24"/>
          <w:highlight w:val="none"/>
          <w:lang w:val="en-US" w:eastAsia="zh-CN" w:bidi="ar-SA"/>
        </w:rPr>
      </w:pPr>
    </w:p>
    <w:p w14:paraId="064E9185">
      <w:pPr>
        <w:rPr>
          <w:rFonts w:hint="eastAsia" w:ascii="宋体" w:hAnsi="宋体" w:eastAsia="宋体" w:cs="宋体"/>
          <w:color w:val="auto"/>
          <w:sz w:val="24"/>
          <w:szCs w:val="24"/>
          <w:highlight w:val="none"/>
        </w:rPr>
      </w:pPr>
    </w:p>
    <w:p w14:paraId="53B8A95F">
      <w:pPr>
        <w:widowControl w:val="0"/>
        <w:jc w:val="both"/>
        <w:rPr>
          <w:rFonts w:hint="eastAsia" w:ascii="宋体" w:hAnsi="宋体" w:eastAsia="宋体" w:cs="宋体"/>
          <w:color w:val="auto"/>
          <w:sz w:val="24"/>
          <w:szCs w:val="24"/>
          <w:highlight w:val="none"/>
          <w:lang w:val="en-US" w:eastAsia="zh-CN" w:bidi="ar-SA"/>
        </w:rPr>
      </w:pPr>
    </w:p>
    <w:p w14:paraId="76BEB3CC">
      <w:pPr>
        <w:tabs>
          <w:tab w:val="left" w:pos="810"/>
          <w:tab w:val="left" w:pos="907"/>
          <w:tab w:val="left" w:pos="1265"/>
        </w:tabs>
        <w:spacing w:before="0" w:after="0"/>
        <w:ind w:left="907" w:hanging="907"/>
        <w:jc w:val="both"/>
        <w:outlineLvl w:val="2"/>
        <w:rPr>
          <w:rFonts w:hint="eastAsia" w:ascii="宋体" w:hAnsi="宋体" w:eastAsia="宋体" w:cs="宋体"/>
          <w:color w:val="auto"/>
          <w:sz w:val="24"/>
          <w:szCs w:val="24"/>
          <w:highlight w:val="none"/>
          <w:lang w:val="en-US" w:eastAsia="zh-CN" w:bidi="ar-SA"/>
        </w:rPr>
      </w:pPr>
    </w:p>
    <w:p w14:paraId="17C854FC">
      <w:pPr>
        <w:widowControl/>
        <w:ind w:firstLine="200"/>
        <w:jc w:val="both"/>
        <w:rPr>
          <w:rFonts w:hint="eastAsia" w:ascii="宋体" w:hAnsi="宋体" w:eastAsia="宋体" w:cs="宋体"/>
          <w:color w:val="auto"/>
          <w:sz w:val="24"/>
          <w:szCs w:val="24"/>
          <w:highlight w:val="none"/>
          <w:lang w:val="en-US" w:eastAsia="zh-CN" w:bidi="ar-SA"/>
        </w:rPr>
      </w:pPr>
    </w:p>
    <w:p w14:paraId="1599EEAA">
      <w:pPr>
        <w:rPr>
          <w:rFonts w:hint="eastAsia" w:ascii="宋体" w:hAnsi="宋体" w:eastAsia="宋体" w:cs="宋体"/>
          <w:color w:val="auto"/>
          <w:sz w:val="24"/>
          <w:szCs w:val="24"/>
          <w:highlight w:val="none"/>
        </w:rPr>
      </w:pPr>
    </w:p>
    <w:p w14:paraId="761918C9">
      <w:pPr>
        <w:widowControl w:val="0"/>
        <w:jc w:val="both"/>
        <w:rPr>
          <w:rFonts w:hint="eastAsia" w:ascii="宋体" w:hAnsi="宋体" w:eastAsia="宋体" w:cs="宋体"/>
          <w:color w:val="auto"/>
          <w:sz w:val="24"/>
          <w:szCs w:val="24"/>
          <w:highlight w:val="none"/>
          <w:lang w:val="en-US" w:eastAsia="zh-CN" w:bidi="ar-SA"/>
        </w:rPr>
      </w:pPr>
    </w:p>
    <w:p w14:paraId="2674B5F0">
      <w:pPr>
        <w:tabs>
          <w:tab w:val="left" w:pos="810"/>
          <w:tab w:val="left" w:pos="907"/>
          <w:tab w:val="left" w:pos="1265"/>
        </w:tabs>
        <w:spacing w:before="0" w:after="0"/>
        <w:ind w:left="907" w:hanging="907"/>
        <w:jc w:val="both"/>
        <w:outlineLvl w:val="2"/>
        <w:rPr>
          <w:rFonts w:hint="eastAsia" w:ascii="宋体" w:hAnsi="宋体" w:eastAsia="宋体" w:cs="宋体"/>
          <w:color w:val="auto"/>
          <w:sz w:val="24"/>
          <w:szCs w:val="24"/>
          <w:highlight w:val="none"/>
          <w:lang w:val="en-US" w:eastAsia="zh-CN" w:bidi="ar-SA"/>
        </w:rPr>
      </w:pPr>
    </w:p>
    <w:p w14:paraId="02B71C66">
      <w:pPr>
        <w:widowControl/>
        <w:ind w:firstLine="200"/>
        <w:jc w:val="both"/>
        <w:rPr>
          <w:rFonts w:hint="eastAsia" w:ascii="宋体" w:hAnsi="宋体" w:eastAsia="宋体" w:cs="宋体"/>
          <w:color w:val="auto"/>
          <w:sz w:val="24"/>
          <w:szCs w:val="24"/>
          <w:highlight w:val="none"/>
          <w:lang w:val="en-US" w:eastAsia="zh-CN" w:bidi="ar-SA"/>
        </w:rPr>
      </w:pPr>
    </w:p>
    <w:p w14:paraId="52713812">
      <w:pPr>
        <w:rPr>
          <w:rFonts w:hint="eastAsia" w:ascii="宋体" w:hAnsi="宋体" w:eastAsia="宋体" w:cs="宋体"/>
          <w:color w:val="auto"/>
          <w:sz w:val="24"/>
          <w:szCs w:val="24"/>
          <w:highlight w:val="none"/>
        </w:rPr>
      </w:pPr>
    </w:p>
    <w:p w14:paraId="77EC59C6">
      <w:pPr>
        <w:widowControl w:val="0"/>
        <w:jc w:val="both"/>
        <w:rPr>
          <w:rFonts w:hint="eastAsia" w:ascii="宋体" w:hAnsi="宋体" w:eastAsia="宋体" w:cs="宋体"/>
          <w:color w:val="auto"/>
          <w:sz w:val="24"/>
          <w:szCs w:val="24"/>
          <w:highlight w:val="none"/>
          <w:lang w:val="en-US" w:eastAsia="zh-CN" w:bidi="ar-SA"/>
        </w:rPr>
      </w:pPr>
    </w:p>
    <w:p w14:paraId="1AE01C67">
      <w:pPr>
        <w:tabs>
          <w:tab w:val="left" w:pos="810"/>
          <w:tab w:val="left" w:pos="907"/>
          <w:tab w:val="left" w:pos="1265"/>
        </w:tabs>
        <w:spacing w:before="0" w:after="0"/>
        <w:ind w:left="907" w:hanging="907"/>
        <w:jc w:val="both"/>
        <w:outlineLvl w:val="2"/>
        <w:rPr>
          <w:rFonts w:hint="eastAsia" w:ascii="宋体" w:hAnsi="宋体" w:eastAsia="宋体" w:cs="宋体"/>
          <w:color w:val="auto"/>
          <w:sz w:val="24"/>
          <w:szCs w:val="24"/>
          <w:highlight w:val="none"/>
          <w:lang w:val="en-US" w:eastAsia="zh-CN" w:bidi="ar-SA"/>
        </w:rPr>
      </w:pPr>
    </w:p>
    <w:p w14:paraId="7E9E2F84">
      <w:pPr>
        <w:widowControl/>
        <w:ind w:firstLine="200"/>
        <w:jc w:val="both"/>
        <w:rPr>
          <w:rFonts w:hint="eastAsia" w:ascii="宋体" w:hAnsi="宋体" w:eastAsia="宋体" w:cs="宋体"/>
          <w:color w:val="auto"/>
          <w:sz w:val="24"/>
          <w:szCs w:val="24"/>
          <w:highlight w:val="none"/>
          <w:lang w:val="en-US" w:eastAsia="zh-CN" w:bidi="ar-SA"/>
        </w:rPr>
      </w:pPr>
    </w:p>
    <w:p w14:paraId="2DBA6ADE">
      <w:pPr>
        <w:rPr>
          <w:rFonts w:hint="eastAsia" w:ascii="宋体" w:hAnsi="宋体" w:eastAsia="宋体" w:cs="宋体"/>
          <w:color w:val="auto"/>
          <w:sz w:val="24"/>
          <w:szCs w:val="24"/>
          <w:highlight w:val="none"/>
        </w:rPr>
      </w:pPr>
    </w:p>
    <w:p w14:paraId="16F8FD30">
      <w:pPr>
        <w:widowControl w:val="0"/>
        <w:jc w:val="both"/>
        <w:rPr>
          <w:rFonts w:hint="eastAsia" w:ascii="宋体" w:hAnsi="宋体" w:eastAsia="宋体" w:cs="宋体"/>
          <w:color w:val="auto"/>
          <w:sz w:val="24"/>
          <w:szCs w:val="24"/>
          <w:highlight w:val="none"/>
          <w:lang w:val="en-US" w:eastAsia="zh-CN" w:bidi="ar-SA"/>
        </w:rPr>
      </w:pPr>
    </w:p>
    <w:p w14:paraId="57975DCF">
      <w:pPr>
        <w:keepNext w:val="0"/>
        <w:keepLines w:val="0"/>
        <w:pageBreakBefore w:val="0"/>
        <w:widowControl w:val="0"/>
        <w:spacing w:line="360" w:lineRule="auto"/>
        <w:jc w:val="both"/>
        <w:rPr>
          <w:rFonts w:hint="eastAsia" w:ascii="宋体" w:hAnsi="宋体" w:eastAsia="宋体" w:cs="宋体"/>
          <w:color w:val="auto"/>
          <w:sz w:val="24"/>
          <w:szCs w:val="24"/>
          <w:highlight w:val="none"/>
          <w:lang w:val="en-US" w:eastAsia="zh-CN" w:bidi="ar-SA"/>
        </w:rPr>
        <w:sectPr>
          <w:pgSz w:w="11906" w:h="16838"/>
          <w:pgMar w:top="1440" w:right="1440" w:bottom="1440" w:left="1440" w:header="851" w:footer="992" w:gutter="0"/>
          <w:cols w:space="1701" w:num="1"/>
          <w:docGrid w:linePitch="360" w:charSpace="0"/>
        </w:sectPr>
      </w:pPr>
    </w:p>
    <w:p w14:paraId="453E97CC">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合同专用条款</w:t>
      </w:r>
    </w:p>
    <w:p w14:paraId="0F90FE30">
      <w:pPr>
        <w:keepNext w:val="0"/>
        <w:keepLines w:val="0"/>
        <w:pageBreakBefore w:val="0"/>
        <w:widowControl w:val="0"/>
        <w:spacing w:line="360" w:lineRule="auto"/>
        <w:jc w:val="center"/>
        <w:rPr>
          <w:rFonts w:hint="eastAsia" w:ascii="宋体" w:hAnsi="宋体" w:eastAsia="宋体" w:cs="宋体"/>
          <w:color w:val="auto"/>
          <w:sz w:val="24"/>
          <w:szCs w:val="24"/>
          <w:highlight w:val="none"/>
        </w:rPr>
      </w:pPr>
    </w:p>
    <w:p w14:paraId="09176E35">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《合同专用条款》中的条款项号是与《合同通用条款》中的条款项号对应的，其增加的内容和条款，是对《合同通用条款》的补充、修改和完善，如果有矛盾的话，以《合同专用条款》为准。</w:t>
      </w:r>
    </w:p>
    <w:p w14:paraId="39900F6D">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第一条 定义</w:t>
      </w:r>
    </w:p>
    <w:p w14:paraId="0479909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“买方”为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C304379">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 “卖方”为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26C8B88">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 “工作现场”为</w:t>
      </w:r>
      <w:r>
        <w:rPr>
          <w:rFonts w:hint="eastAsia" w:ascii="宋体" w:hAnsi="宋体" w:eastAsia="宋体" w:cs="宋体"/>
          <w:color w:val="auto"/>
          <w:sz w:val="24"/>
          <w:szCs w:val="24"/>
          <w:highlight w:val="none"/>
          <w:u w:val="single"/>
        </w:rPr>
        <w:t>买方指定地点</w:t>
      </w:r>
      <w:r>
        <w:rPr>
          <w:rFonts w:hint="eastAsia" w:ascii="宋体" w:hAnsi="宋体" w:eastAsia="宋体" w:cs="宋体"/>
          <w:color w:val="auto"/>
          <w:sz w:val="24"/>
          <w:szCs w:val="24"/>
          <w:highlight w:val="none"/>
        </w:rPr>
        <w:t>。</w:t>
      </w:r>
    </w:p>
    <w:p w14:paraId="1E75CB13">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 “合同货币”即</w:t>
      </w:r>
      <w:r>
        <w:rPr>
          <w:rFonts w:hint="eastAsia" w:ascii="宋体" w:hAnsi="宋体" w:eastAsia="宋体" w:cs="宋体"/>
          <w:color w:val="auto"/>
          <w:sz w:val="24"/>
          <w:szCs w:val="24"/>
          <w:highlight w:val="none"/>
          <w:u w:val="single"/>
        </w:rPr>
        <w:t>人民币</w:t>
      </w:r>
      <w:r>
        <w:rPr>
          <w:rFonts w:hint="eastAsia" w:ascii="宋体" w:hAnsi="宋体" w:eastAsia="宋体" w:cs="宋体"/>
          <w:color w:val="auto"/>
          <w:sz w:val="24"/>
          <w:szCs w:val="24"/>
          <w:highlight w:val="none"/>
        </w:rPr>
        <w:t>。</w:t>
      </w:r>
    </w:p>
    <w:p w14:paraId="58403FF9">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第三条 价格</w:t>
      </w:r>
    </w:p>
    <w:p w14:paraId="06ABC10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3.1合同总价为￥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495B86C">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第四条 支付（采购资金的支付方式、时间、条件）</w:t>
      </w:r>
    </w:p>
    <w:p w14:paraId="0FDDD1C9">
      <w:pPr>
        <w:keepNext w:val="0"/>
        <w:keepLines w:val="0"/>
        <w:pageBreakBefore w:val="0"/>
        <w:widowControl w:val="0"/>
        <w:spacing w:line="360" w:lineRule="auto"/>
        <w:ind w:firstLine="5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4.1本合同总金额为人民币大写金额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），经双方协商一致，选择以下第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种付款方式：</w:t>
      </w:r>
    </w:p>
    <w:p w14:paraId="3F540243">
      <w:pPr>
        <w:keepNext w:val="0"/>
        <w:keepLines w:val="0"/>
        <w:pageBreakBefore w:val="0"/>
        <w:widowControl w:val="0"/>
        <w:spacing w:line="360" w:lineRule="auto"/>
        <w:ind w:firstLine="54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（一）付款方式（提交预付款保函的）</w:t>
      </w:r>
    </w:p>
    <w:p w14:paraId="169B1D44">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（1）合同签订且乙方向甲方出具</w:t>
      </w:r>
      <w:r>
        <w:rPr>
          <w:rFonts w:hint="eastAsia" w:ascii="宋体" w:hAnsi="宋体" w:eastAsia="宋体" w:cs="宋体"/>
          <w:color w:val="auto"/>
          <w:sz w:val="24"/>
          <w:szCs w:val="24"/>
          <w:highlight w:val="none"/>
          <w:lang w:eastAsia="zh-CN"/>
        </w:rPr>
        <w:t>等额</w:t>
      </w:r>
      <w:r>
        <w:rPr>
          <w:rFonts w:hint="eastAsia" w:ascii="宋体" w:hAnsi="宋体" w:eastAsia="宋体" w:cs="宋体"/>
          <w:color w:val="auto"/>
          <w:sz w:val="24"/>
          <w:szCs w:val="24"/>
          <w:highlight w:val="none"/>
        </w:rPr>
        <w:t>预付款保函后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15</w:t>
      </w:r>
      <w:r>
        <w:rPr>
          <w:rFonts w:hint="eastAsia" w:ascii="宋体" w:hAnsi="宋体" w:eastAsia="宋体" w:cs="宋体"/>
          <w:color w:val="auto"/>
          <w:sz w:val="24"/>
          <w:szCs w:val="24"/>
          <w:highlight w:val="none"/>
        </w:rPr>
        <w:t>个工作日内，甲方应支付合同价款的百分之</w:t>
      </w:r>
      <w:r>
        <w:rPr>
          <w:rFonts w:hint="eastAsia" w:ascii="宋体" w:hAnsi="宋体" w:eastAsia="宋体" w:cs="宋体"/>
          <w:color w:val="auto"/>
          <w:sz w:val="24"/>
          <w:szCs w:val="24"/>
          <w:highlight w:val="none"/>
          <w:u w:val="single"/>
          <w:lang w:eastAsia="zh-CN"/>
        </w:rPr>
        <w:t>四十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40</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。将资金支付到合同约定的卖方账户。</w:t>
      </w:r>
    </w:p>
    <w:p w14:paraId="40301FAB">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卖方需提交的支付文件包括：</w:t>
      </w:r>
    </w:p>
    <w:p w14:paraId="7198AC19">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卖方出具的相应金额的正式发票；如卖方未提供发票的，买方有权拒绝付款。</w:t>
      </w:r>
    </w:p>
    <w:p w14:paraId="2612DCA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（2）合同标的全部交付并安装完毕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验收合格后</w:t>
      </w:r>
      <w:r>
        <w:rPr>
          <w:rFonts w:hint="eastAsia" w:ascii="宋体" w:hAnsi="宋体" w:eastAsia="宋体" w:cs="宋体"/>
          <w:color w:val="auto"/>
          <w:sz w:val="24"/>
          <w:szCs w:val="24"/>
          <w:highlight w:val="none"/>
          <w:u w:val="single"/>
          <w:lang w:val="en-US" w:eastAsia="zh-CN"/>
        </w:rPr>
        <w:t>15</w:t>
      </w:r>
      <w:r>
        <w:rPr>
          <w:rFonts w:hint="eastAsia" w:ascii="宋体" w:hAnsi="宋体" w:eastAsia="宋体" w:cs="宋体"/>
          <w:color w:val="auto"/>
          <w:sz w:val="24"/>
          <w:szCs w:val="24"/>
          <w:highlight w:val="none"/>
        </w:rPr>
        <w:t>个工作日内，甲方应支付合同价款的百分之</w:t>
      </w:r>
      <w:r>
        <w:rPr>
          <w:rFonts w:hint="eastAsia" w:ascii="宋体" w:hAnsi="宋体" w:eastAsia="宋体" w:cs="宋体"/>
          <w:color w:val="auto"/>
          <w:sz w:val="24"/>
          <w:szCs w:val="24"/>
          <w:highlight w:val="none"/>
          <w:u w:val="single"/>
          <w:lang w:eastAsia="zh-CN"/>
        </w:rPr>
        <w:t>六十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60</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。将资金支付到合同约定的卖方账户。</w:t>
      </w:r>
    </w:p>
    <w:p w14:paraId="3FF0D09B">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卖方需提交的支付文件包括：</w:t>
      </w:r>
    </w:p>
    <w:p w14:paraId="4CB5D280">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1、卖方出具的相应金额的正式发票；如卖方未提供发票的，买方有权拒绝付款。</w:t>
      </w:r>
    </w:p>
    <w:p w14:paraId="1D2444E3">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2、买方出具的验收合格证明。</w:t>
      </w:r>
    </w:p>
    <w:p w14:paraId="7C069587">
      <w:pPr>
        <w:keepNext w:val="0"/>
        <w:keepLines w:val="0"/>
        <w:pageBreakBefore w:val="0"/>
        <w:widowControl w:val="0"/>
        <w:spacing w:line="360" w:lineRule="auto"/>
        <w:ind w:firstLine="54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（二）付款方式（不提交预付款保函的）</w:t>
      </w:r>
    </w:p>
    <w:p w14:paraId="37D7E6C4">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（1）合同签订后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15</w:t>
      </w:r>
      <w:r>
        <w:rPr>
          <w:rFonts w:hint="eastAsia" w:ascii="宋体" w:hAnsi="宋体" w:eastAsia="宋体" w:cs="宋体"/>
          <w:color w:val="auto"/>
          <w:sz w:val="24"/>
          <w:szCs w:val="24"/>
          <w:highlight w:val="none"/>
        </w:rPr>
        <w:t>个工作日内，甲方应支付合同价款的百分之</w:t>
      </w:r>
      <w:r>
        <w:rPr>
          <w:rFonts w:hint="eastAsia" w:ascii="宋体" w:hAnsi="宋体" w:eastAsia="宋体" w:cs="宋体"/>
          <w:color w:val="auto"/>
          <w:sz w:val="24"/>
          <w:szCs w:val="24"/>
          <w:highlight w:val="none"/>
          <w:u w:val="single"/>
          <w:lang w:val="en-US" w:eastAsia="zh-CN"/>
        </w:rPr>
        <w:t>三十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。将资金支付到合同约定的卖方账户。</w:t>
      </w:r>
    </w:p>
    <w:p w14:paraId="3A2A58F2">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卖方需提交的支付文件包括：</w:t>
      </w:r>
    </w:p>
    <w:p w14:paraId="092E23D3">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卖方出具的相应金额的正式发票；如卖方未提供发票的，买方有权拒绝付款。</w:t>
      </w:r>
    </w:p>
    <w:p w14:paraId="6B4C03DF">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（2）合同标的全部交付并安装完毕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验收合格后</w:t>
      </w:r>
      <w:r>
        <w:rPr>
          <w:rFonts w:hint="eastAsia" w:ascii="宋体" w:hAnsi="宋体" w:eastAsia="宋体" w:cs="宋体"/>
          <w:color w:val="auto"/>
          <w:sz w:val="24"/>
          <w:szCs w:val="24"/>
          <w:highlight w:val="none"/>
          <w:u w:val="single"/>
          <w:lang w:val="en-US" w:eastAsia="zh-CN"/>
        </w:rPr>
        <w:t>15</w:t>
      </w:r>
      <w:r>
        <w:rPr>
          <w:rFonts w:hint="eastAsia" w:ascii="宋体" w:hAnsi="宋体" w:eastAsia="宋体" w:cs="宋体"/>
          <w:color w:val="auto"/>
          <w:sz w:val="24"/>
          <w:szCs w:val="24"/>
          <w:highlight w:val="none"/>
        </w:rPr>
        <w:t>个工作日内，甲方应支付合同价款的百分之</w:t>
      </w:r>
      <w:r>
        <w:rPr>
          <w:rFonts w:hint="eastAsia" w:ascii="宋体" w:hAnsi="宋体" w:eastAsia="宋体" w:cs="宋体"/>
          <w:color w:val="auto"/>
          <w:sz w:val="24"/>
          <w:szCs w:val="24"/>
          <w:highlight w:val="none"/>
          <w:u w:val="single"/>
          <w:lang w:val="en-US" w:eastAsia="zh-CN"/>
        </w:rPr>
        <w:t>七十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70</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。将资金支付到合同约定的卖方账户。</w:t>
      </w:r>
    </w:p>
    <w:p w14:paraId="61D214E7">
      <w:pPr>
        <w:keepNext w:val="0"/>
        <w:keepLines w:val="0"/>
        <w:pageBreakBefore w:val="0"/>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卖方需提交的支付文件包括：</w:t>
      </w:r>
    </w:p>
    <w:p w14:paraId="1538F077">
      <w:pPr>
        <w:keepNext w:val="0"/>
        <w:keepLines w:val="0"/>
        <w:pageBreakBefore w:val="0"/>
        <w:widowControl w:val="0"/>
        <w:spacing w:line="360" w:lineRule="auto"/>
        <w:ind w:left="0" w:firstLine="48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1、卖方出具的相应金额的正式发票；如卖方未提供发票的，买方有权拒绝付款。</w:t>
      </w:r>
    </w:p>
    <w:p w14:paraId="43A5874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2、买方出具的验收合格证明。</w:t>
      </w:r>
    </w:p>
    <w:p w14:paraId="12C6D1CA">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合同约定的卖方账户：</w:t>
      </w:r>
    </w:p>
    <w:p w14:paraId="337D866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p w14:paraId="5E00C558">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w:t>
      </w:r>
      <w:r>
        <w:rPr>
          <w:rFonts w:hint="eastAsia" w:ascii="宋体" w:hAnsi="宋体" w:eastAsia="宋体" w:cs="宋体"/>
          <w:color w:val="auto"/>
          <w:sz w:val="24"/>
          <w:szCs w:val="24"/>
          <w:highlight w:val="none"/>
          <w:lang w:eastAsia="zh-CN"/>
        </w:rPr>
        <w:t>账</w:t>
      </w:r>
      <w:r>
        <w:rPr>
          <w:rFonts w:hint="eastAsia" w:ascii="宋体" w:hAnsi="宋体" w:eastAsia="宋体" w:cs="宋体"/>
          <w:color w:val="auto"/>
          <w:sz w:val="24"/>
          <w:szCs w:val="24"/>
          <w:highlight w:val="none"/>
        </w:rPr>
        <w:t>号：</w:t>
      </w:r>
    </w:p>
    <w:p w14:paraId="56B63EC9">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收</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款</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人：</w:t>
      </w:r>
    </w:p>
    <w:p w14:paraId="2E06447A">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第五条 交货（货物、服务提供的时间、地点、方式）</w:t>
      </w:r>
    </w:p>
    <w:p w14:paraId="39FFDD74">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5.1卖方应于合同生效日后，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日内将合同标的全部交付并安装完毕。</w:t>
      </w:r>
    </w:p>
    <w:p w14:paraId="7EC1A456">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交货地点为</w:t>
      </w:r>
      <w:r>
        <w:rPr>
          <w:rFonts w:hint="eastAsia" w:ascii="宋体" w:hAnsi="宋体" w:eastAsia="宋体" w:cs="宋体"/>
          <w:color w:val="auto"/>
          <w:sz w:val="24"/>
          <w:szCs w:val="24"/>
          <w:highlight w:val="none"/>
          <w:u w:val="single"/>
        </w:rPr>
        <w:t>买方指定地点</w:t>
      </w:r>
      <w:r>
        <w:rPr>
          <w:rFonts w:hint="eastAsia" w:ascii="宋体" w:hAnsi="宋体" w:eastAsia="宋体" w:cs="宋体"/>
          <w:color w:val="auto"/>
          <w:sz w:val="24"/>
          <w:szCs w:val="24"/>
          <w:highlight w:val="none"/>
        </w:rPr>
        <w:t>。</w:t>
      </w:r>
    </w:p>
    <w:p w14:paraId="7998E603">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5.3卖方应在不迟于每批合同标的备妥待运前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日通知买方。</w:t>
      </w:r>
    </w:p>
    <w:p w14:paraId="4800729E">
      <w:pPr>
        <w:keepNext w:val="0"/>
        <w:keepLines w:val="0"/>
        <w:pageBreakBefore w:val="0"/>
        <w:widowControl w:val="0"/>
        <w:spacing w:line="360" w:lineRule="auto"/>
        <w:ind w:firstLine="54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5.5如果卖方未能按照合同规定的交货期限交货，卖方应按每天迟交合同标的金额的百分之</w:t>
      </w:r>
      <w:r>
        <w:rPr>
          <w:rFonts w:hint="eastAsia" w:ascii="宋体" w:hAnsi="宋体" w:eastAsia="宋体" w:cs="宋体"/>
          <w:color w:val="auto"/>
          <w:sz w:val="24"/>
          <w:szCs w:val="24"/>
          <w:highlight w:val="none"/>
          <w:u w:val="single"/>
        </w:rPr>
        <w:t>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rPr>
        <w:t>%)的比率支付违约金。违约金的支付不能免除卖方继续交付相关合同标的的义务。</w:t>
      </w:r>
      <w:r>
        <w:rPr>
          <w:rFonts w:hint="eastAsia" w:ascii="宋体" w:hAnsi="宋体" w:cs="宋体"/>
          <w:color w:val="auto"/>
          <w:sz w:val="24"/>
          <w:szCs w:val="24"/>
          <w:highlight w:val="none"/>
          <w:lang w:val="en-US" w:eastAsia="zh-CN"/>
        </w:rPr>
        <w:t>逾期超过  日的，买方有权解除合同追究卖方违约责任，卖方应退还已收取的全部费用。卖方造成买方损失的，还应全额赔偿。</w:t>
      </w:r>
    </w:p>
    <w:p w14:paraId="30FFE9C2">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如果卖方在合同规定的交货期限后</w:t>
      </w:r>
      <w:r>
        <w:rPr>
          <w:rFonts w:hint="eastAsia" w:ascii="宋体" w:hAnsi="宋体" w:eastAsia="宋体" w:cs="宋体"/>
          <w:color w:val="auto"/>
          <w:sz w:val="24"/>
          <w:szCs w:val="24"/>
          <w:highlight w:val="none"/>
          <w:u w:val="single"/>
        </w:rPr>
        <w:t>十</w:t>
      </w:r>
      <w:r>
        <w:rPr>
          <w:rFonts w:hint="eastAsia" w:ascii="宋体" w:hAnsi="宋体" w:eastAsia="宋体" w:cs="宋体"/>
          <w:color w:val="auto"/>
          <w:sz w:val="24"/>
          <w:szCs w:val="24"/>
          <w:highlight w:val="none"/>
        </w:rPr>
        <w:t>日内仍未能交付全部或部分标的，在不妨碍买方采取其他救济手段的情况下，买方可以向卖方发出书面违约通知从而全部或部分地终止合同。</w:t>
      </w:r>
    </w:p>
    <w:p w14:paraId="3051AB3E">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第七条 技术资料</w:t>
      </w:r>
    </w:p>
    <w:p w14:paraId="7D1D6F77">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技术资料随合同标的同时交付给买方。</w:t>
      </w:r>
    </w:p>
    <w:p w14:paraId="3203BB0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第八条 安装</w:t>
      </w:r>
    </w:p>
    <w:p w14:paraId="66954252">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8.1卖方应于合同生效日后，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日内将合同标的全部交付并安装完毕。</w:t>
      </w:r>
    </w:p>
    <w:p w14:paraId="018400FC">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r>
        <w:rPr>
          <w:rFonts w:hint="eastAsia" w:ascii="宋体" w:hAnsi="宋体" w:eastAsia="宋体" w:cs="宋体"/>
          <w:color w:val="auto"/>
          <w:sz w:val="24"/>
          <w:szCs w:val="24"/>
          <w:highlight w:val="none"/>
          <w:lang w:eastAsia="zh-CN"/>
        </w:rPr>
        <w:t>项目实施</w:t>
      </w:r>
      <w:r>
        <w:rPr>
          <w:rFonts w:hint="eastAsia" w:ascii="宋体" w:hAnsi="宋体" w:eastAsia="宋体" w:cs="宋体"/>
          <w:color w:val="auto"/>
          <w:sz w:val="24"/>
          <w:szCs w:val="24"/>
          <w:highlight w:val="none"/>
        </w:rPr>
        <w:t>方案详见合同附件7。</w:t>
      </w:r>
    </w:p>
    <w:p w14:paraId="71A2AD24">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第九条 验收</w:t>
      </w:r>
    </w:p>
    <w:p w14:paraId="32372C4B">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合同标的的试运行、验收应在卖方的协助下进行。合同标的全部交付并安装完毕后，卖方可向买方书面提出试运行、验收要求，买方在接到书面要求后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日进行试运行、验收。如果试运行和/或验收因卖方原因发生迟延和/ 或在其它情况下发生额外费用，买方有权就因迟延发生的损害和损失和/或任何额外费用请求赔偿。</w:t>
      </w:r>
    </w:p>
    <w:p w14:paraId="23F9DB57">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第十一条 索赔</w:t>
      </w:r>
    </w:p>
    <w:p w14:paraId="1278770D">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11.1买方有权选择本条款规定的任意或全部救济方式。</w:t>
      </w:r>
    </w:p>
    <w:p w14:paraId="4BCDB325">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11.2卖方应在收到买方索赔要求后14日内作出书面回复，否则该索赔要求将被视为已被卖方接受。卖方应在买方发出索赔要求后14日内，按照买方选择的救济方法解决索赔事宜。</w:t>
      </w:r>
    </w:p>
    <w:p w14:paraId="7A367C7D">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第十二条 不可抗力</w:t>
      </w:r>
    </w:p>
    <w:p w14:paraId="390E3C0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如果不可抗力事件的影响持续超过20日，合同任何一方均有权发出书面通知终止合同。</w:t>
      </w:r>
    </w:p>
    <w:p w14:paraId="5EB91A1A">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第十三条 合同的终止</w:t>
      </w:r>
    </w:p>
    <w:p w14:paraId="1228444A">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13.1如果卖方有下述违约行为，买方可以全部或部分地终止合同：</w:t>
      </w:r>
    </w:p>
    <w:p w14:paraId="61F739F7">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卖方在合同规定的交货期限后</w:t>
      </w:r>
      <w:r>
        <w:rPr>
          <w:rFonts w:hint="eastAsia" w:ascii="宋体" w:hAnsi="宋体" w:eastAsia="宋体" w:cs="宋体"/>
          <w:color w:val="auto"/>
          <w:sz w:val="24"/>
          <w:szCs w:val="24"/>
          <w:highlight w:val="none"/>
          <w:u w:val="single"/>
        </w:rPr>
        <w:t>10</w:t>
      </w:r>
      <w:r>
        <w:rPr>
          <w:rFonts w:hint="eastAsia" w:ascii="宋体" w:hAnsi="宋体" w:eastAsia="宋体" w:cs="宋体"/>
          <w:color w:val="auto"/>
          <w:sz w:val="24"/>
          <w:szCs w:val="24"/>
          <w:highlight w:val="none"/>
        </w:rPr>
        <w:t>日内仍未能交付合同标的和/或技术资料；或者卖方未能履行合同项下任何其它义务，并且在收到买方违约通知后</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日内仍未能对其违约行为作出补救。</w:t>
      </w:r>
    </w:p>
    <w:p w14:paraId="25D278A6">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 在买方全部或部分终止合同的情况下，买方可以以适当的条件取得与未按合同规定交付的标的和/或文件和/或未提供的服务类似的标的和/或文件和/或服务，卖方应承担买方由此发生的额外费用。但是，卖方仍应继续履行合同义务中没有终止的部分。</w:t>
      </w:r>
    </w:p>
    <w:p w14:paraId="16970286">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第十四条 争议的解决</w:t>
      </w:r>
    </w:p>
    <w:p w14:paraId="14180F6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14.1如果不能协商一致，合同任何一方有权向买方所在地人民法院提起诉讼。</w:t>
      </w:r>
    </w:p>
    <w:p w14:paraId="6A5140AC">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第十八条 合同生效及其他</w:t>
      </w:r>
    </w:p>
    <w:p w14:paraId="45284405">
      <w:pPr>
        <w:keepNext w:val="0"/>
        <w:keepLines w:val="0"/>
        <w:pageBreakBefore w:val="0"/>
        <w:widowControl w:val="0"/>
        <w:spacing w:line="360" w:lineRule="auto"/>
        <w:ind w:firstLine="54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18.10 按照《财政部关于做好政府采购信息公开工作的通知》（财库〔2015〕135号），买方依据《保守国家秘密法》等法律制度规定确定本合同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部分涉及国家秘密，该涉及国家秘密部分不公告；买方依据《反不正当竞争法》等法律制度的规定与卖方约定本合同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部分涉及商业秘密，该涉及商业秘密部分不公告。</w:t>
      </w:r>
    </w:p>
    <w:p w14:paraId="157854EC">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18.11 合同双方的通讯地址： </w:t>
      </w:r>
    </w:p>
    <w:p w14:paraId="79DEDA4B">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买方:</w:t>
      </w:r>
    </w:p>
    <w:p w14:paraId="15D1B341">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05082963">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邮编: </w:t>
      </w:r>
    </w:p>
    <w:p w14:paraId="3DD1AB45">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电话: </w:t>
      </w:r>
    </w:p>
    <w:p w14:paraId="6A130A63">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p>
    <w:p w14:paraId="284D6355">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p>
    <w:p w14:paraId="4A24B064">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卖方: </w:t>
      </w:r>
    </w:p>
    <w:p w14:paraId="7B24B01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36C34224">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邮编: </w:t>
      </w:r>
    </w:p>
    <w:p w14:paraId="2862C19A">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电话: </w:t>
      </w:r>
    </w:p>
    <w:p w14:paraId="4A8CF8F0">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p>
    <w:p w14:paraId="025D591C">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clear="all"/>
      </w:r>
      <w:r>
        <w:rPr>
          <w:rFonts w:hint="eastAsia" w:ascii="宋体" w:hAnsi="宋体" w:eastAsia="宋体" w:cs="宋体"/>
          <w:color w:val="auto"/>
          <w:sz w:val="24"/>
          <w:szCs w:val="24"/>
          <w:highlight w:val="none"/>
        </w:rPr>
        <w:t>合同附件</w:t>
      </w:r>
    </w:p>
    <w:p w14:paraId="623882D4">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目录</w:t>
      </w:r>
    </w:p>
    <w:p w14:paraId="59DC22F2">
      <w:pPr>
        <w:keepNext w:val="0"/>
        <w:keepLines w:val="0"/>
        <w:pageBreakBefore w:val="0"/>
        <w:widowControl w:val="0"/>
        <w:spacing w:line="360" w:lineRule="auto"/>
        <w:jc w:val="center"/>
        <w:rPr>
          <w:rFonts w:hint="eastAsia" w:ascii="宋体" w:hAnsi="宋体" w:eastAsia="宋体" w:cs="宋体"/>
          <w:color w:val="auto"/>
          <w:sz w:val="24"/>
          <w:szCs w:val="24"/>
          <w:highlight w:val="none"/>
        </w:rPr>
      </w:pPr>
    </w:p>
    <w:p w14:paraId="3B995588">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合同附件1：合同协议书</w:t>
      </w:r>
    </w:p>
    <w:p w14:paraId="7A8DB176">
      <w:pPr>
        <w:keepNext w:val="0"/>
        <w:keepLines w:val="0"/>
        <w:pageBreakBefore w:val="0"/>
        <w:widowControl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合同附件2：技术规格和技术</w:t>
      </w:r>
      <w:r>
        <w:rPr>
          <w:rFonts w:hint="eastAsia" w:ascii="宋体" w:hAnsi="宋体" w:eastAsia="宋体" w:cs="宋体"/>
          <w:color w:val="auto"/>
          <w:sz w:val="24"/>
          <w:szCs w:val="24"/>
          <w:highlight w:val="none"/>
          <w:lang w:eastAsia="zh-CN"/>
        </w:rPr>
        <w:t>性能</w:t>
      </w:r>
    </w:p>
    <w:p w14:paraId="4EB6DC38">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(要求见招标文件第六章《采购需求》；合同见卖方投标文件中《所投产品的技术规格</w:t>
      </w:r>
      <w:r>
        <w:rPr>
          <w:rFonts w:hint="eastAsia" w:ascii="宋体" w:hAnsi="宋体" w:eastAsia="宋体" w:cs="宋体"/>
          <w:color w:val="auto"/>
          <w:sz w:val="24"/>
          <w:szCs w:val="24"/>
          <w:highlight w:val="none"/>
          <w:lang w:eastAsia="zh-CN"/>
        </w:rPr>
        <w:t>和技术参数</w:t>
      </w:r>
      <w:r>
        <w:rPr>
          <w:rFonts w:hint="eastAsia" w:ascii="宋体" w:hAnsi="宋体" w:eastAsia="宋体" w:cs="宋体"/>
          <w:color w:val="auto"/>
          <w:sz w:val="24"/>
          <w:szCs w:val="24"/>
          <w:highlight w:val="none"/>
        </w:rPr>
        <w:t>》。)</w:t>
      </w:r>
    </w:p>
    <w:p w14:paraId="1CF58112">
      <w:pPr>
        <w:keepNext w:val="0"/>
        <w:keepLines w:val="0"/>
        <w:pageBreakBefore w:val="0"/>
        <w:widowControl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合同附件3：售后服务</w:t>
      </w:r>
    </w:p>
    <w:p w14:paraId="179F19CB">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(要求见招标文件第六章《采购需求》；合同见卖方投标文件中《售后服务方案》。)</w:t>
      </w:r>
    </w:p>
    <w:p w14:paraId="54487CE9">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合同附件4：供货范围和价格清单</w:t>
      </w:r>
    </w:p>
    <w:p w14:paraId="343216E0">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(要求见招标文件第七章《投标文件相关格式》中《开标一览表》和《分项价格表》；合同见卖方投标文件中《开标一览表》和《分项价格表》。)</w:t>
      </w:r>
    </w:p>
    <w:p w14:paraId="788D41E1">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合同附件5：验收标准（验收要求、验收标准和程序）</w:t>
      </w:r>
    </w:p>
    <w:p w14:paraId="3A70C997">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(要求见招标文件第六章《采购需求》。</w:t>
      </w:r>
    </w:p>
    <w:p w14:paraId="5E517A3D">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合同附件6：采购需求</w:t>
      </w:r>
    </w:p>
    <w:p w14:paraId="69A73D16">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(见招标文件第六章《采购需求》。)</w:t>
      </w:r>
    </w:p>
    <w:p w14:paraId="654FFD61">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合同附件7：项目实施</w:t>
      </w:r>
      <w:r>
        <w:rPr>
          <w:rFonts w:hint="eastAsia" w:ascii="宋体" w:hAnsi="宋体" w:eastAsia="宋体" w:cs="宋体"/>
          <w:color w:val="auto"/>
          <w:sz w:val="24"/>
          <w:szCs w:val="24"/>
          <w:highlight w:val="none"/>
          <w:lang w:eastAsia="zh-CN"/>
        </w:rPr>
        <w:t>方案</w:t>
      </w:r>
    </w:p>
    <w:p w14:paraId="48C06E87">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(要求见招标文件第六章《采购需求》；合同见卖方投标文件中《项目实施方案》。)</w:t>
      </w:r>
    </w:p>
    <w:p w14:paraId="63958ECE">
      <w:pPr>
        <w:keepNext w:val="0"/>
        <w:keepLines w:val="0"/>
        <w:pageBreakBefore w:val="0"/>
        <w:widowControl w:val="0"/>
        <w:spacing w:line="360" w:lineRule="auto"/>
        <w:rPr>
          <w:rFonts w:hint="eastAsia" w:ascii="宋体" w:hAnsi="宋体" w:eastAsia="宋体" w:cs="宋体"/>
          <w:color w:val="auto"/>
          <w:sz w:val="24"/>
          <w:szCs w:val="24"/>
          <w:highlight w:val="none"/>
        </w:rPr>
      </w:pPr>
    </w:p>
    <w:p w14:paraId="5C058375">
      <w:pPr>
        <w:keepNext w:val="0"/>
        <w:keepLines w:val="0"/>
        <w:pageBreakBefore w:val="0"/>
        <w:widowControl w:val="0"/>
        <w:spacing w:line="360" w:lineRule="auto"/>
        <w:ind w:firstLine="2700"/>
        <w:rPr>
          <w:rFonts w:hint="eastAsia" w:ascii="宋体" w:hAnsi="宋体" w:eastAsia="宋体" w:cs="宋体"/>
          <w:color w:val="auto"/>
          <w:sz w:val="24"/>
          <w:szCs w:val="24"/>
          <w:highlight w:val="none"/>
        </w:rPr>
      </w:pPr>
    </w:p>
    <w:p w14:paraId="2252BDD4">
      <w:pPr>
        <w:keepNext w:val="0"/>
        <w:keepLines w:val="0"/>
        <w:pageBreakBefore w:val="0"/>
        <w:widowControl w:val="0"/>
        <w:spacing w:line="360" w:lineRule="auto"/>
        <w:ind w:firstLine="2700"/>
        <w:rPr>
          <w:rFonts w:hint="eastAsia" w:ascii="宋体" w:hAnsi="宋体" w:eastAsia="宋体" w:cs="宋体"/>
          <w:color w:val="auto"/>
          <w:sz w:val="24"/>
          <w:szCs w:val="24"/>
          <w:highlight w:val="none"/>
        </w:rPr>
      </w:pPr>
    </w:p>
    <w:p w14:paraId="2AF7F118">
      <w:pPr>
        <w:keepNext w:val="0"/>
        <w:keepLines w:val="0"/>
        <w:pageBreakBefore w:val="0"/>
        <w:widowControl w:val="0"/>
        <w:spacing w:line="360" w:lineRule="auto"/>
        <w:ind w:firstLine="2700"/>
        <w:rPr>
          <w:rFonts w:hint="eastAsia" w:ascii="宋体" w:hAnsi="宋体" w:eastAsia="宋体" w:cs="宋体"/>
          <w:color w:val="auto"/>
          <w:sz w:val="24"/>
          <w:szCs w:val="24"/>
          <w:highlight w:val="none"/>
        </w:rPr>
      </w:pPr>
    </w:p>
    <w:p w14:paraId="49C4B285">
      <w:pPr>
        <w:keepNext w:val="0"/>
        <w:keepLines w:val="0"/>
        <w:pageBreakBefore w:val="0"/>
        <w:widowControl w:val="0"/>
        <w:spacing w:line="360" w:lineRule="auto"/>
        <w:ind w:firstLine="420"/>
        <w:jc w:val="both"/>
        <w:rPr>
          <w:rFonts w:hint="eastAsia" w:ascii="宋体" w:hAnsi="宋体" w:eastAsia="宋体" w:cs="宋体"/>
          <w:color w:val="auto"/>
          <w:sz w:val="24"/>
          <w:szCs w:val="24"/>
          <w:highlight w:val="none"/>
          <w:lang w:val="en-US" w:eastAsia="zh-CN" w:bidi="ar-SA"/>
        </w:rPr>
      </w:pPr>
    </w:p>
    <w:p w14:paraId="5C6BF631">
      <w:pPr>
        <w:keepNext w:val="0"/>
        <w:keepLines w:val="0"/>
        <w:pageBreakBefore w:val="0"/>
        <w:widowControl w:val="0"/>
        <w:spacing w:line="360" w:lineRule="auto"/>
        <w:ind w:firstLine="2700"/>
        <w:rPr>
          <w:rFonts w:hint="eastAsia" w:ascii="宋体" w:hAnsi="宋体" w:eastAsia="宋体" w:cs="宋体"/>
          <w:color w:val="auto"/>
          <w:sz w:val="24"/>
          <w:szCs w:val="24"/>
          <w:highlight w:val="none"/>
        </w:rPr>
      </w:pPr>
    </w:p>
    <w:p w14:paraId="3C941230">
      <w:pPr>
        <w:keepNext w:val="0"/>
        <w:keepLines w:val="0"/>
        <w:pageBreakBefore w:val="0"/>
        <w:widowControl w:val="0"/>
        <w:spacing w:line="360" w:lineRule="auto"/>
        <w:jc w:val="both"/>
        <w:rPr>
          <w:rFonts w:hint="eastAsia" w:ascii="宋体" w:hAnsi="宋体" w:eastAsia="宋体" w:cs="宋体"/>
          <w:color w:val="auto"/>
          <w:sz w:val="24"/>
          <w:szCs w:val="24"/>
          <w:highlight w:val="none"/>
        </w:rPr>
      </w:pPr>
    </w:p>
    <w:p w14:paraId="7EAB9CAD">
      <w:pPr>
        <w:keepNext w:val="0"/>
        <w:keepLines w:val="0"/>
        <w:pageBreakBefore w:val="0"/>
        <w:widowControl w:val="0"/>
        <w:spacing w:line="360" w:lineRule="auto"/>
        <w:rPr>
          <w:rFonts w:hint="eastAsia" w:ascii="宋体" w:hAnsi="宋体" w:eastAsia="宋体" w:cs="宋体"/>
          <w:color w:val="auto"/>
          <w:sz w:val="24"/>
          <w:szCs w:val="24"/>
          <w:highlight w:val="none"/>
        </w:rPr>
      </w:pPr>
    </w:p>
    <w:p w14:paraId="6A7327C9">
      <w:pPr>
        <w:keepNext w:val="0"/>
        <w:keepLines w:val="0"/>
        <w:pageBreakBefore w:val="0"/>
        <w:widowControl w:val="0"/>
        <w:spacing w:line="360" w:lineRule="auto"/>
        <w:rPr>
          <w:rFonts w:hint="eastAsia" w:ascii="宋体" w:hAnsi="宋体" w:eastAsia="宋体" w:cs="宋体"/>
          <w:color w:val="auto"/>
          <w:sz w:val="24"/>
          <w:szCs w:val="24"/>
          <w:highlight w:val="none"/>
        </w:rPr>
      </w:pPr>
    </w:p>
    <w:p w14:paraId="26D2DBCB">
      <w:pPr>
        <w:keepNext w:val="0"/>
        <w:keepLines w:val="0"/>
        <w:pageBreakBefore w:val="0"/>
        <w:widowControl w:val="0"/>
        <w:spacing w:line="360" w:lineRule="auto"/>
        <w:rPr>
          <w:rFonts w:hint="eastAsia" w:ascii="宋体" w:hAnsi="宋体" w:eastAsia="宋体" w:cs="宋体"/>
          <w:color w:val="auto"/>
          <w:sz w:val="24"/>
          <w:szCs w:val="24"/>
          <w:highlight w:val="none"/>
        </w:rPr>
      </w:pPr>
    </w:p>
    <w:p w14:paraId="02F54ED6">
      <w:pPr>
        <w:keepNext w:val="0"/>
        <w:keepLines w:val="0"/>
        <w:pageBreakBefore w:val="0"/>
        <w:widowControl w:val="0"/>
        <w:spacing w:line="360" w:lineRule="auto"/>
        <w:rPr>
          <w:rFonts w:hint="eastAsia" w:ascii="宋体" w:hAnsi="宋体" w:eastAsia="宋体" w:cs="宋体"/>
          <w:color w:val="auto"/>
          <w:sz w:val="24"/>
          <w:szCs w:val="24"/>
          <w:highlight w:val="none"/>
        </w:rPr>
      </w:pPr>
    </w:p>
    <w:p w14:paraId="69C2026D">
      <w:pPr>
        <w:pStyle w:val="34"/>
        <w:rPr>
          <w:rFonts w:hint="eastAsia"/>
          <w:highlight w:val="none"/>
        </w:rPr>
      </w:pPr>
    </w:p>
    <w:p w14:paraId="09F4BE89">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合同附件1：</w:t>
      </w:r>
    </w:p>
    <w:p w14:paraId="4DA61990">
      <w:pPr>
        <w:keepNext w:val="0"/>
        <w:keepLines w:val="0"/>
        <w:pageBreakBefore w:val="0"/>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643C1ACD">
      <w:pPr>
        <w:keepNext w:val="0"/>
        <w:keepLines w:val="0"/>
        <w:pageBreakBefore w:val="0"/>
        <w:widowControl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合同编号:____________ </w:t>
      </w:r>
    </w:p>
    <w:p w14:paraId="7503FA93">
      <w:pPr>
        <w:keepNext w:val="0"/>
        <w:keepLines w:val="0"/>
        <w:pageBreakBefore w:val="0"/>
        <w:widowControl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签字日期:____________ </w:t>
      </w:r>
    </w:p>
    <w:p w14:paraId="3D4D5F66">
      <w:pPr>
        <w:keepNext w:val="0"/>
        <w:keepLines w:val="0"/>
        <w:pageBreakBefore w:val="0"/>
        <w:widowControl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签字地点:____________ </w:t>
      </w:r>
    </w:p>
    <w:p w14:paraId="6CC1E284">
      <w:pPr>
        <w:keepNext w:val="0"/>
        <w:keepLines w:val="0"/>
        <w:pageBreakBefore w:val="0"/>
        <w:widowControl w:val="0"/>
        <w:spacing w:line="360" w:lineRule="auto"/>
        <w:ind w:firstLine="410"/>
        <w:rPr>
          <w:rFonts w:hint="eastAsia" w:ascii="宋体" w:hAnsi="宋体" w:eastAsia="宋体" w:cs="宋体"/>
          <w:color w:val="auto"/>
          <w:sz w:val="24"/>
          <w:szCs w:val="24"/>
          <w:highlight w:val="none"/>
        </w:rPr>
      </w:pPr>
    </w:p>
    <w:p w14:paraId="3176DEE9">
      <w:pPr>
        <w:keepNext w:val="0"/>
        <w:keepLines w:val="0"/>
        <w:pageBreakBefore w:val="0"/>
        <w:widowControl w:val="0"/>
        <w:spacing w:line="360" w:lineRule="auto"/>
        <w:ind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 xml:space="preserve">徐州市云龙区城市管理局 </w:t>
      </w:r>
      <w:r>
        <w:rPr>
          <w:rFonts w:hint="eastAsia" w:ascii="宋体" w:hAnsi="宋体" w:eastAsia="宋体" w:cs="宋体"/>
          <w:color w:val="auto"/>
          <w:sz w:val="24"/>
          <w:szCs w:val="24"/>
          <w:highlight w:val="none"/>
        </w:rPr>
        <w:t>（买方名称）（以下简称“买方”）已接受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（卖方名称）（以下简称“卖方”）对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（项目名称）（项目编号：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）的投标。买方和卖方共同达成如下协议。</w:t>
      </w:r>
    </w:p>
    <w:p w14:paraId="4B8343C6">
      <w:pPr>
        <w:keepNext w:val="0"/>
        <w:keepLines w:val="0"/>
        <w:pageBreakBefore w:val="0"/>
        <w:widowControl w:val="0"/>
        <w:numPr>
          <w:ilvl w:val="0"/>
          <w:numId w:val="0"/>
        </w:num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本合同协议书中的词语和术语的含义与合同条款中定义的相同。</w:t>
      </w:r>
    </w:p>
    <w:p w14:paraId="6F79877E">
      <w:pPr>
        <w:keepNext w:val="0"/>
        <w:keepLines w:val="0"/>
        <w:pageBreakBefore w:val="0"/>
        <w:widowControl w:val="0"/>
        <w:numPr>
          <w:ilvl w:val="0"/>
          <w:numId w:val="0"/>
        </w:num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以下文件应构成买方和卖方之间达成的合同，若各文件之间存在含糊不清或互相冲突之处，优先顺序应按下列文件顺序解释。</w:t>
      </w:r>
    </w:p>
    <w:p w14:paraId="22FE25C6">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合同协议书</w:t>
      </w:r>
    </w:p>
    <w:p w14:paraId="58DD0A62">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中标通知书</w:t>
      </w:r>
    </w:p>
    <w:p w14:paraId="2881E6B2">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合同专用条款</w:t>
      </w:r>
    </w:p>
    <w:p w14:paraId="5FC9E2A4">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合同通用条款</w:t>
      </w:r>
    </w:p>
    <w:p w14:paraId="5BD2AE54">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除合同附件1外的合同附件</w:t>
      </w:r>
    </w:p>
    <w:p w14:paraId="7353A67B">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其他文件</w:t>
      </w:r>
    </w:p>
    <w:p w14:paraId="11BC7B41">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3.考虑到买方将按照本合同向卖方支付合同价款，卖方在此保证全部按照合同的规定向买方提供合同标的、技术资料、售后服务及技术培训。</w:t>
      </w:r>
    </w:p>
    <w:p w14:paraId="026D9A38">
      <w:pPr>
        <w:keepNext w:val="0"/>
        <w:keepLines w:val="0"/>
        <w:pageBreakBefore w:val="0"/>
        <w:widowControl w:val="0"/>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4.考虑到卖方将按合同规定提供合同标的、技术资料、售后服务及技术培训，买方在此保证按照合同规定的时间和方式向卖方支付合同价款。</w:t>
      </w:r>
    </w:p>
    <w:p w14:paraId="7EF04A4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5.本合同在下列条件全部满足后生效，生效日期以下列条件全部满足的最晚日期为准： </w:t>
      </w:r>
    </w:p>
    <w:p w14:paraId="5DFBD617">
      <w:pPr>
        <w:keepNext w:val="0"/>
        <w:keepLines w:val="0"/>
        <w:pageBreakBefore w:val="0"/>
        <w:widowControl w:val="0"/>
        <w:spacing w:line="360"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 双方加盖公章或合同专用章； </w:t>
      </w:r>
    </w:p>
    <w:p w14:paraId="1AD90A17">
      <w:pPr>
        <w:keepNext w:val="0"/>
        <w:keepLines w:val="0"/>
        <w:pageBreakBefore w:val="0"/>
        <w:widowControl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买方收到卖方按政府采购合同金额（合同总价）的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%提交的履约保证金（不得超过政府采购合同金额的10%）。</w:t>
      </w:r>
    </w:p>
    <w:p w14:paraId="6D78B5CC">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份，具有同等法律效力，买方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份，卖方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eastAsia="zh-CN"/>
        </w:rPr>
        <w:t>江苏沛源工程项目管理有限公司</w:t>
      </w:r>
      <w:r>
        <w:rPr>
          <w:rFonts w:hint="eastAsia" w:ascii="宋体" w:hAnsi="宋体" w:eastAsia="宋体" w:cs="宋体"/>
          <w:color w:val="auto"/>
          <w:sz w:val="24"/>
          <w:szCs w:val="24"/>
          <w:highlight w:val="none"/>
        </w:rPr>
        <w:t>一份存档。</w:t>
      </w:r>
    </w:p>
    <w:p w14:paraId="1F814DA7">
      <w:pPr>
        <w:keepNext w:val="0"/>
        <w:keepLines w:val="0"/>
        <w:pageBreakBefore w:val="0"/>
        <w:widowControl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7.本合同其他未尽事宜及与采购文件有矛盾之处，以采购文件[项目编号：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为准。</w:t>
      </w:r>
    </w:p>
    <w:p w14:paraId="5A499D33">
      <w:pPr>
        <w:keepNext w:val="0"/>
        <w:keepLines w:val="0"/>
        <w:pageBreakBefore w:val="0"/>
        <w:widowControl w:val="0"/>
        <w:spacing w:line="360" w:lineRule="auto"/>
        <w:ind w:firstLine="360"/>
        <w:rPr>
          <w:rFonts w:hint="eastAsia" w:ascii="宋体" w:hAnsi="宋体" w:eastAsia="宋体" w:cs="宋体"/>
          <w:color w:val="auto"/>
          <w:sz w:val="24"/>
          <w:szCs w:val="24"/>
          <w:highlight w:val="none"/>
        </w:rPr>
      </w:pPr>
    </w:p>
    <w:p w14:paraId="63DD4EE3">
      <w:pPr>
        <w:keepNext w:val="0"/>
        <w:keepLines w:val="0"/>
        <w:pageBreakBefore w:val="0"/>
        <w:widowControl w:val="0"/>
        <w:spacing w:line="360" w:lineRule="auto"/>
        <w:ind w:firstLine="3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买方和卖方由其正式授权代表于上述所写日期和地点签订本合同。</w:t>
      </w:r>
    </w:p>
    <w:p w14:paraId="7362505A">
      <w:pPr>
        <w:keepNext w:val="0"/>
        <w:keepLines w:val="0"/>
        <w:pageBreakBefore w:val="0"/>
        <w:widowControl w:val="0"/>
        <w:spacing w:line="360" w:lineRule="auto"/>
        <w:rPr>
          <w:rFonts w:hint="eastAsia" w:ascii="宋体" w:hAnsi="宋体" w:eastAsia="宋体" w:cs="宋体"/>
          <w:color w:val="auto"/>
          <w:sz w:val="24"/>
          <w:szCs w:val="24"/>
          <w:highlight w:val="none"/>
        </w:rPr>
      </w:pPr>
    </w:p>
    <w:p w14:paraId="22BDE5EC">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买方（签章）：_________________________________  </w:t>
      </w:r>
    </w:p>
    <w:p w14:paraId="430A5E9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 __________________ </w:t>
      </w:r>
    </w:p>
    <w:p w14:paraId="29DFF598">
      <w:pPr>
        <w:keepNext w:val="0"/>
        <w:keepLines w:val="0"/>
        <w:pageBreakBefore w:val="0"/>
        <w:widowControl w:val="0"/>
        <w:spacing w:line="360" w:lineRule="auto"/>
        <w:ind w:firstLine="3360"/>
        <w:rPr>
          <w:rFonts w:hint="eastAsia" w:ascii="宋体" w:hAnsi="宋体" w:eastAsia="宋体" w:cs="宋体"/>
          <w:color w:val="auto"/>
          <w:sz w:val="24"/>
          <w:szCs w:val="24"/>
          <w:highlight w:val="none"/>
        </w:rPr>
      </w:pPr>
    </w:p>
    <w:p w14:paraId="37AABE6F">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卖方（签章）： ________________________________ </w:t>
      </w:r>
    </w:p>
    <w:p w14:paraId="7465E53A">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法定代表人：___________________ </w:t>
      </w:r>
    </w:p>
    <w:p w14:paraId="48C58B7F">
      <w:pPr>
        <w:keepNext w:val="0"/>
        <w:keepLines w:val="0"/>
        <w:pageBreakBefore w:val="0"/>
        <w:widowControl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rPr>
        <w:t xml:space="preserve">___________________ </w:t>
      </w:r>
    </w:p>
    <w:p w14:paraId="56C2996E">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开户银行：_____________________________________ </w:t>
      </w:r>
    </w:p>
    <w:p w14:paraId="741A2718">
      <w:pPr>
        <w:keepNext w:val="0"/>
        <w:keepLines w:val="0"/>
        <w:pageBreakBefore w:val="0"/>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银行帐号：_____________________________________</w:t>
      </w:r>
      <w:r>
        <w:rPr>
          <w:rFonts w:hint="eastAsia" w:ascii="宋体" w:hAnsi="宋体" w:eastAsia="宋体" w:cs="宋体"/>
          <w:color w:val="auto"/>
          <w:sz w:val="24"/>
          <w:szCs w:val="24"/>
          <w:highlight w:val="none"/>
          <w:lang w:val="en-US" w:eastAsia="zh-CN"/>
        </w:rPr>
        <w:t xml:space="preserve"> </w:t>
      </w:r>
    </w:p>
    <w:p w14:paraId="0120D958">
      <w:pPr>
        <w:keepNext w:val="0"/>
        <w:keepLines w:val="0"/>
        <w:pageBreakBefore w:val="0"/>
        <w:widowControl w:val="0"/>
        <w:spacing w:line="360" w:lineRule="auto"/>
        <w:ind w:left="420" w:right="33"/>
        <w:jc w:val="left"/>
        <w:rPr>
          <w:rFonts w:hint="eastAsia" w:ascii="宋体" w:hAnsi="宋体" w:eastAsia="宋体" w:cs="宋体"/>
          <w:color w:val="auto"/>
          <w:sz w:val="24"/>
          <w:szCs w:val="24"/>
          <w:highlight w:val="none"/>
          <w:lang w:val="en-US" w:eastAsia="zh-CN" w:bidi="ar-SA"/>
        </w:rPr>
      </w:pPr>
    </w:p>
    <w:p w14:paraId="57CEDA49">
      <w:pPr>
        <w:keepNext w:val="0"/>
        <w:keepLines w:val="0"/>
        <w:pageBreakBefore w:val="0"/>
        <w:spacing w:line="360" w:lineRule="auto"/>
        <w:rPr>
          <w:rFonts w:hint="eastAsia" w:ascii="宋体" w:hAnsi="宋体" w:eastAsia="宋体" w:cs="宋体"/>
          <w:sz w:val="24"/>
          <w:szCs w:val="24"/>
          <w:highlight w:val="none"/>
        </w:rPr>
      </w:pPr>
    </w:p>
    <w:p w14:paraId="1A9C0293">
      <w:pPr>
        <w:rPr>
          <w:highlight w:val="none"/>
        </w:rPr>
      </w:pPr>
    </w:p>
    <w:p w14:paraId="3E62E970">
      <w:pPr>
        <w:keepNext w:val="0"/>
        <w:keepLines w:val="0"/>
        <w:pageBreakBefore w:val="0"/>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2680B680">
      <w:pPr>
        <w:pStyle w:val="25"/>
        <w:keepNext w:val="0"/>
        <w:keepLines w:val="0"/>
        <w:pageBreakBefore w:val="0"/>
        <w:widowControl w:val="0"/>
        <w:spacing w:line="360" w:lineRule="auto"/>
        <w:rPr>
          <w:rFonts w:hint="eastAsia" w:ascii="宋体" w:hAnsi="宋体" w:eastAsia="宋体" w:cs="宋体"/>
          <w:color w:val="auto"/>
          <w:sz w:val="24"/>
          <w:szCs w:val="24"/>
          <w:highlight w:val="none"/>
        </w:rPr>
      </w:pPr>
    </w:p>
    <w:p w14:paraId="698C2039">
      <w:pPr>
        <w:keepNext w:val="0"/>
        <w:keepLines w:val="0"/>
        <w:pageBreakBefore w:val="0"/>
        <w:spacing w:line="360" w:lineRule="auto"/>
        <w:rPr>
          <w:rFonts w:hint="eastAsia" w:ascii="宋体" w:hAnsi="宋体" w:eastAsia="宋体" w:cs="宋体"/>
          <w:sz w:val="24"/>
          <w:szCs w:val="24"/>
          <w:highlight w:val="none"/>
        </w:rPr>
      </w:pPr>
    </w:p>
    <w:p w14:paraId="3A55DA20">
      <w:pPr>
        <w:pStyle w:val="20"/>
        <w:keepNext w:val="0"/>
        <w:keepLines w:val="0"/>
        <w:pageBreakBefore/>
        <w:spacing w:line="360" w:lineRule="auto"/>
        <w:jc w:val="center"/>
        <w:rPr>
          <w:rFonts w:hint="eastAsia" w:ascii="宋体" w:hAnsi="宋体" w:eastAsia="宋体" w:cs="宋体"/>
          <w:sz w:val="22"/>
          <w:szCs w:val="22"/>
          <w:highlight w:val="none"/>
          <w:lang w:val="en-US" w:eastAsia="zh-CN" w:bidi="ar-SA"/>
        </w:rPr>
      </w:pPr>
      <w:r>
        <w:rPr>
          <w:rFonts w:hint="eastAsia" w:ascii="宋体" w:hAnsi="宋体" w:eastAsia="宋体" w:cs="宋体"/>
          <w:b/>
          <w:color w:val="auto"/>
          <w:sz w:val="28"/>
          <w:szCs w:val="28"/>
          <w:highlight w:val="none"/>
        </w:rPr>
        <w:t>第六章</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采购需求</w:t>
      </w:r>
    </w:p>
    <w:p w14:paraId="3B817145">
      <w:pPr>
        <w:keepNext w:val="0"/>
        <w:keepLines w:val="0"/>
        <w:pageBreakBefore w:val="0"/>
        <w:widowControl w:val="0"/>
        <w:spacing w:line="440" w:lineRule="exact"/>
        <w:rPr>
          <w:rFonts w:ascii="宋体" w:hAnsi="宋体" w:cs="宋体"/>
          <w:b/>
          <w:color w:val="auto"/>
          <w:sz w:val="24"/>
          <w:highlight w:val="none"/>
        </w:rPr>
      </w:pPr>
      <w:r>
        <w:rPr>
          <w:rFonts w:ascii="宋体" w:hAnsi="宋体" w:cs="宋体"/>
          <w:b/>
          <w:bCs/>
          <w:color w:val="auto"/>
          <w:sz w:val="24"/>
          <w:highlight w:val="none"/>
        </w:rPr>
        <w:t>一、</w:t>
      </w:r>
      <w:r>
        <w:rPr>
          <w:rFonts w:ascii="宋体" w:hAnsi="宋体" w:cs="宋体"/>
          <w:b/>
          <w:color w:val="auto"/>
          <w:sz w:val="24"/>
          <w:highlight w:val="none"/>
        </w:rPr>
        <w:t>本项目采购的是非进口产品。</w:t>
      </w:r>
    </w:p>
    <w:p w14:paraId="0E3C6120">
      <w:pPr>
        <w:keepNext w:val="0"/>
        <w:keepLines w:val="0"/>
        <w:pageBreakBefore w:val="0"/>
        <w:widowControl w:val="0"/>
        <w:spacing w:line="440" w:lineRule="exact"/>
        <w:rPr>
          <w:rFonts w:ascii="宋体" w:hAnsi="宋体" w:cs="宋体"/>
          <w:b/>
          <w:bCs/>
          <w:color w:val="auto"/>
          <w:sz w:val="24"/>
          <w:highlight w:val="none"/>
        </w:rPr>
      </w:pPr>
      <w:r>
        <w:rPr>
          <w:rFonts w:ascii="宋体" w:hAnsi="宋体" w:cs="宋体"/>
          <w:b/>
          <w:color w:val="auto"/>
          <w:sz w:val="24"/>
          <w:highlight w:val="none"/>
        </w:rPr>
        <w:t>二、本项目不接受超过</w:t>
      </w:r>
      <w:r>
        <w:rPr>
          <w:rFonts w:hint="eastAsia" w:ascii="宋体" w:hAnsi="宋体" w:cs="宋体"/>
          <w:b/>
          <w:color w:val="auto"/>
          <w:sz w:val="24"/>
          <w:highlight w:val="none"/>
          <w:lang w:val="en-US" w:eastAsia="zh-CN"/>
        </w:rPr>
        <w:t>1500</w:t>
      </w:r>
      <w:r>
        <w:rPr>
          <w:rFonts w:ascii="宋体" w:hAnsi="宋体" w:cs="宋体"/>
          <w:b/>
          <w:color w:val="auto"/>
          <w:sz w:val="24"/>
          <w:highlight w:val="none"/>
        </w:rPr>
        <w:t>万元（采购项目预算金额）</w:t>
      </w:r>
      <w:r>
        <w:rPr>
          <w:rFonts w:hint="eastAsia" w:ascii="宋体" w:hAnsi="宋体" w:cs="宋体"/>
          <w:b/>
          <w:color w:val="auto"/>
          <w:sz w:val="24"/>
          <w:highlight w:val="none"/>
          <w:lang w:val="en-US" w:eastAsia="zh-CN"/>
        </w:rPr>
        <w:t>的投标报价</w:t>
      </w:r>
      <w:r>
        <w:rPr>
          <w:rFonts w:ascii="宋体" w:hAnsi="宋体" w:cs="宋体"/>
          <w:b/>
          <w:color w:val="auto"/>
          <w:sz w:val="24"/>
          <w:highlight w:val="none"/>
        </w:rPr>
        <w:t>，</w:t>
      </w:r>
      <w:r>
        <w:rPr>
          <w:rFonts w:ascii="宋体" w:hAnsi="宋体" w:cs="宋体"/>
          <w:b/>
          <w:bCs/>
          <w:color w:val="auto"/>
          <w:sz w:val="24"/>
          <w:highlight w:val="none"/>
        </w:rPr>
        <w:t>报价包括但不限于产品价、税金、运费、安装、</w:t>
      </w:r>
      <w:r>
        <w:rPr>
          <w:rFonts w:hint="eastAsia" w:ascii="宋体" w:hAnsi="宋体" w:cs="宋体"/>
          <w:b/>
          <w:bCs/>
          <w:color w:val="auto"/>
          <w:sz w:val="24"/>
          <w:highlight w:val="none"/>
          <w:lang w:val="en-US" w:eastAsia="zh-CN"/>
        </w:rPr>
        <w:t>调试</w:t>
      </w:r>
      <w:r>
        <w:rPr>
          <w:rFonts w:ascii="宋体" w:hAnsi="宋体" w:cs="宋体"/>
          <w:b/>
          <w:bCs/>
          <w:color w:val="auto"/>
          <w:sz w:val="24"/>
          <w:highlight w:val="none"/>
        </w:rPr>
        <w:t>、</w:t>
      </w:r>
      <w:r>
        <w:rPr>
          <w:rFonts w:hint="eastAsia" w:ascii="宋体" w:hAnsi="宋体" w:cs="宋体"/>
          <w:b/>
          <w:bCs/>
          <w:color w:val="auto"/>
          <w:sz w:val="24"/>
          <w:highlight w:val="none"/>
          <w:lang w:val="en-US" w:eastAsia="zh-CN"/>
        </w:rPr>
        <w:t>运行维护、</w:t>
      </w:r>
      <w:r>
        <w:rPr>
          <w:rFonts w:ascii="宋体" w:hAnsi="宋体" w:cs="宋体"/>
          <w:b/>
          <w:bCs/>
          <w:color w:val="auto"/>
          <w:sz w:val="24"/>
          <w:highlight w:val="none"/>
        </w:rPr>
        <w:t>保险、培训、售后服务、投标人的利润等全部费用。采购人不再支付报价以外的任何费用。</w:t>
      </w:r>
    </w:p>
    <w:p w14:paraId="4C56053C">
      <w:pPr>
        <w:pStyle w:val="20"/>
        <w:keepNext w:val="0"/>
        <w:keepLines w:val="0"/>
        <w:pageBreakBefore w:val="0"/>
        <w:spacing w:line="360" w:lineRule="auto"/>
        <w:jc w:val="left"/>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项目说明</w:t>
      </w:r>
    </w:p>
    <w:p w14:paraId="04C3E776">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eastAsia="宋体" w:cs="宋体"/>
          <w:b w:val="0"/>
          <w:bCs w:val="0"/>
          <w:color w:val="000000"/>
          <w:sz w:val="24"/>
          <w:szCs w:val="24"/>
          <w:highlight w:val="none"/>
          <w:lang w:eastAsia="zh-CN"/>
        </w:rPr>
        <w:t>、</w:t>
      </w:r>
      <w:r>
        <w:rPr>
          <w:rFonts w:hint="eastAsia" w:ascii="宋体" w:hAnsi="宋体" w:eastAsia="宋体" w:cs="宋体"/>
          <w:b w:val="0"/>
          <w:bCs w:val="0"/>
          <w:color w:val="000000"/>
          <w:sz w:val="24"/>
          <w:szCs w:val="24"/>
          <w:highlight w:val="none"/>
        </w:rPr>
        <w:t>采购人：</w:t>
      </w:r>
      <w:r>
        <w:rPr>
          <w:rFonts w:hint="eastAsia" w:ascii="宋体" w:hAnsi="宋体" w:eastAsia="宋体" w:cs="宋体"/>
          <w:b w:val="0"/>
          <w:bCs w:val="0"/>
          <w:color w:val="000000"/>
          <w:sz w:val="24"/>
          <w:szCs w:val="24"/>
          <w:highlight w:val="none"/>
          <w:lang w:eastAsia="zh-CN"/>
        </w:rPr>
        <w:t>徐州市云龙区城市管理局</w:t>
      </w:r>
      <w:r>
        <w:rPr>
          <w:rFonts w:hint="eastAsia" w:ascii="宋体" w:hAnsi="宋体" w:eastAsia="宋体" w:cs="宋体"/>
          <w:b w:val="0"/>
          <w:bCs w:val="0"/>
          <w:color w:val="000000"/>
          <w:sz w:val="24"/>
          <w:szCs w:val="24"/>
          <w:highlight w:val="none"/>
        </w:rPr>
        <w:t>。</w:t>
      </w:r>
    </w:p>
    <w:p w14:paraId="42A24141">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2</w:t>
      </w:r>
      <w:r>
        <w:rPr>
          <w:rFonts w:hint="eastAsia" w:ascii="宋体" w:hAnsi="宋体" w:eastAsia="宋体" w:cs="宋体"/>
          <w:b w:val="0"/>
          <w:bCs w:val="0"/>
          <w:color w:val="000000"/>
          <w:sz w:val="24"/>
          <w:szCs w:val="24"/>
          <w:highlight w:val="none"/>
          <w:lang w:eastAsia="zh-CN"/>
        </w:rPr>
        <w:t>、</w:t>
      </w:r>
      <w:r>
        <w:rPr>
          <w:rFonts w:hint="eastAsia" w:ascii="宋体" w:hAnsi="宋体" w:eastAsia="宋体" w:cs="宋体"/>
          <w:b w:val="0"/>
          <w:bCs w:val="0"/>
          <w:color w:val="000000"/>
          <w:sz w:val="24"/>
          <w:szCs w:val="24"/>
          <w:highlight w:val="none"/>
          <w:lang w:val="en-US" w:eastAsia="zh-CN"/>
        </w:rPr>
        <w:t>项目名称</w:t>
      </w:r>
      <w:r>
        <w:rPr>
          <w:rFonts w:hint="eastAsia" w:ascii="宋体" w:hAnsi="宋体" w:eastAsia="宋体" w:cs="宋体"/>
          <w:b w:val="0"/>
          <w:bCs w:val="0"/>
          <w:color w:val="000000"/>
          <w:sz w:val="24"/>
          <w:szCs w:val="24"/>
          <w:highlight w:val="none"/>
        </w:rPr>
        <w:t>：</w:t>
      </w:r>
      <w:r>
        <w:rPr>
          <w:rFonts w:hint="eastAsia" w:ascii="宋体" w:hAnsi="宋体" w:cs="宋体"/>
          <w:b w:val="0"/>
          <w:bCs w:val="0"/>
          <w:color w:val="000000"/>
          <w:sz w:val="24"/>
          <w:szCs w:val="24"/>
          <w:highlight w:val="none"/>
          <w:lang w:eastAsia="zh-CN"/>
        </w:rPr>
        <w:t>徐州市云龙区垃圾资源转运及处理建设项目-渗滤液处理设备采购</w:t>
      </w:r>
      <w:r>
        <w:rPr>
          <w:rFonts w:hint="eastAsia" w:ascii="宋体" w:hAnsi="宋体" w:eastAsia="宋体" w:cs="宋体"/>
          <w:b w:val="0"/>
          <w:bCs w:val="0"/>
          <w:color w:val="000000"/>
          <w:sz w:val="24"/>
          <w:szCs w:val="24"/>
          <w:highlight w:val="none"/>
          <w:lang w:eastAsia="zh-CN"/>
        </w:rPr>
        <w:t>。</w:t>
      </w:r>
    </w:p>
    <w:p w14:paraId="1CEAF7CA">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3、采购包划分：本项目共分为1个采购包。</w:t>
      </w:r>
    </w:p>
    <w:p w14:paraId="2F08BAF2">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4、项目概况：</w:t>
      </w:r>
      <w:r>
        <w:rPr>
          <w:rFonts w:hint="eastAsia" w:ascii="宋体" w:hAnsi="宋体" w:cs="宋体"/>
          <w:b w:val="0"/>
          <w:bCs w:val="0"/>
          <w:color w:val="000000"/>
          <w:sz w:val="24"/>
          <w:szCs w:val="24"/>
          <w:highlight w:val="none"/>
          <w:lang w:val="en-US" w:eastAsia="zh-CN"/>
        </w:rPr>
        <w:t>徐州市云龙区垃圾资源转运及处理建设项目-渗滤液处理设备采购</w:t>
      </w:r>
      <w:r>
        <w:rPr>
          <w:rFonts w:hint="eastAsia" w:ascii="宋体" w:hAnsi="宋体" w:eastAsia="宋体" w:cs="宋体"/>
          <w:b w:val="0"/>
          <w:bCs w:val="0"/>
          <w:color w:val="000000"/>
          <w:sz w:val="24"/>
          <w:szCs w:val="24"/>
          <w:highlight w:val="none"/>
          <w:lang w:val="en-US" w:eastAsia="zh-CN"/>
        </w:rPr>
        <w:t>；包含但不限于采购、安装、调试一体化。</w:t>
      </w:r>
    </w:p>
    <w:p w14:paraId="52B462A0">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供货期（含安装调试工期）：</w:t>
      </w:r>
      <w:r>
        <w:rPr>
          <w:rFonts w:hint="eastAsia" w:ascii="宋体" w:hAnsi="宋体" w:eastAsia="宋体" w:cs="宋体"/>
          <w:b w:val="0"/>
          <w:bCs w:val="0"/>
          <w:color w:val="000000"/>
          <w:sz w:val="24"/>
          <w:szCs w:val="24"/>
          <w:highlight w:val="none"/>
          <w:lang w:val="en-US" w:eastAsia="zh-CN" w:bidi="ar-SA"/>
        </w:rPr>
        <w:t>120日历天，签订合同且接到采购人通知后 120 日历天内完成所有设备供货、安装、调试。</w:t>
      </w:r>
    </w:p>
    <w:p w14:paraId="08B2A162">
      <w:pPr>
        <w:keepNext w:val="0"/>
        <w:keepLines w:val="0"/>
        <w:pageBreakBefore w:val="0"/>
        <w:widowControl w:val="0"/>
        <w:spacing w:line="440" w:lineRule="exact"/>
        <w:rPr>
          <w:rFonts w:hint="eastAsia" w:ascii="宋体" w:hAnsi="宋体" w:cs="宋体"/>
          <w:b/>
          <w:bCs/>
          <w:color w:val="auto"/>
          <w:sz w:val="24"/>
          <w:highlight w:val="none"/>
        </w:rPr>
      </w:pPr>
      <w:r>
        <w:rPr>
          <w:rFonts w:hint="eastAsia" w:ascii="宋体" w:hAnsi="宋体" w:cs="宋体"/>
          <w:b/>
          <w:color w:val="auto"/>
          <w:sz w:val="24"/>
          <w:highlight w:val="none"/>
          <w:lang w:val="en-US" w:eastAsia="zh-CN"/>
        </w:rPr>
        <w:t>四</w:t>
      </w:r>
      <w:r>
        <w:rPr>
          <w:rFonts w:ascii="宋体" w:hAnsi="宋体" w:cs="宋体"/>
          <w:b/>
          <w:color w:val="auto"/>
          <w:sz w:val="24"/>
          <w:highlight w:val="none"/>
        </w:rPr>
        <w:t>、项目内容</w:t>
      </w:r>
      <w:r>
        <w:rPr>
          <w:rFonts w:hint="eastAsia" w:ascii="宋体" w:hAnsi="宋体" w:cs="宋体"/>
          <w:b/>
          <w:color w:val="auto"/>
          <w:sz w:val="24"/>
          <w:highlight w:val="none"/>
          <w:lang w:val="en-US" w:eastAsia="zh-CN"/>
        </w:rPr>
        <w:t>及技术参数要求</w:t>
      </w:r>
    </w:p>
    <w:p w14:paraId="5C4A18C8">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rPr>
      </w:pPr>
      <w:bookmarkStart w:id="3" w:name="_Toc255822703"/>
      <w:bookmarkEnd w:id="3"/>
      <w:bookmarkStart w:id="4" w:name="_Toc484743320"/>
      <w:bookmarkEnd w:id="4"/>
      <w:bookmarkStart w:id="5" w:name="_Toc152043787"/>
      <w:bookmarkEnd w:id="5"/>
      <w:bookmarkStart w:id="6" w:name="_Toc497019427"/>
      <w:bookmarkEnd w:id="6"/>
      <w:bookmarkStart w:id="7" w:name="_Toc255822704"/>
      <w:bookmarkEnd w:id="7"/>
      <w:bookmarkStart w:id="8" w:name="_Toc493005306"/>
      <w:bookmarkEnd w:id="8"/>
      <w:r>
        <w:rPr>
          <w:rFonts w:hint="eastAsia" w:ascii="宋体" w:hAnsi="宋体" w:cs="宋体"/>
          <w:b w:val="0"/>
          <w:bCs w:val="0"/>
          <w:color w:val="000000"/>
          <w:sz w:val="24"/>
          <w:szCs w:val="24"/>
          <w:highlight w:val="none"/>
          <w:lang w:eastAsia="zh-CN"/>
        </w:rPr>
        <w:t>（</w:t>
      </w:r>
      <w:r>
        <w:rPr>
          <w:rFonts w:hint="eastAsia" w:ascii="宋体" w:hAnsi="宋体" w:cs="宋体"/>
          <w:b w:val="0"/>
          <w:bCs w:val="0"/>
          <w:color w:val="000000"/>
          <w:sz w:val="24"/>
          <w:szCs w:val="24"/>
          <w:highlight w:val="none"/>
          <w:lang w:val="en-US" w:eastAsia="zh-CN"/>
        </w:rPr>
        <w:t>一</w:t>
      </w:r>
      <w:r>
        <w:rPr>
          <w:rFonts w:hint="eastAsia" w:ascii="宋体" w:hAnsi="宋体" w:cs="宋体"/>
          <w:b w:val="0"/>
          <w:bCs w:val="0"/>
          <w:color w:val="000000"/>
          <w:sz w:val="24"/>
          <w:szCs w:val="24"/>
          <w:highlight w:val="none"/>
          <w:lang w:eastAsia="zh-CN"/>
        </w:rPr>
        <w:t>）</w:t>
      </w:r>
      <w:r>
        <w:rPr>
          <w:rFonts w:hint="eastAsia" w:ascii="宋体" w:hAnsi="宋体" w:eastAsia="宋体" w:cs="宋体"/>
          <w:b w:val="0"/>
          <w:bCs w:val="0"/>
          <w:color w:val="000000"/>
          <w:sz w:val="24"/>
          <w:szCs w:val="24"/>
          <w:highlight w:val="none"/>
        </w:rPr>
        <w:t>项目背景</w:t>
      </w:r>
    </w:p>
    <w:p w14:paraId="0996977F">
      <w:pPr>
        <w:pStyle w:val="20"/>
        <w:keepNext w:val="0"/>
        <w:keepLines w:val="0"/>
        <w:pageBreakBefore w:val="0"/>
        <w:spacing w:line="360" w:lineRule="auto"/>
        <w:ind w:firstLine="480"/>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本项目渗滤液处理系统处理对象为新鲜渗滤液、设备冲洗水、场地冲洗水、除臭废水的混合污水，处理规模为150 t/d，采用“预处理+两级AO+外置式膜生物反应器UF+高级氧化/NF（保障）”工艺，排水执行污水排入城镇下水道要求。</w:t>
      </w:r>
    </w:p>
    <w:p w14:paraId="04D000EE">
      <w:pPr>
        <w:pStyle w:val="20"/>
        <w:keepNext w:val="0"/>
        <w:keepLines w:val="0"/>
        <w:pageBreakBefore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（二）主要内容及要求</w:t>
      </w:r>
    </w:p>
    <w:p w14:paraId="4C0F415B">
      <w:pPr>
        <w:pageBreakBefore w:val="0"/>
        <w:spacing w:after="0" w:line="360" w:lineRule="auto"/>
        <w:outlineLvl w:val="0"/>
        <w:rPr>
          <w:rFonts w:hint="eastAsia" w:ascii="宋体" w:hAnsi="宋体" w:eastAsia="宋体" w:cs="宋体"/>
          <w:b/>
          <w:sz w:val="24"/>
          <w:szCs w:val="24"/>
          <w:highlight w:val="none"/>
        </w:rPr>
      </w:pPr>
      <w:bookmarkStart w:id="9" w:name="_Toc229738162"/>
      <w:r>
        <w:rPr>
          <w:rFonts w:hint="eastAsia" w:ascii="宋体" w:hAnsi="宋体" w:eastAsia="宋体" w:cs="宋体"/>
          <w:b/>
          <w:sz w:val="24"/>
          <w:szCs w:val="24"/>
          <w:highlight w:val="none"/>
        </w:rPr>
        <w:t>1．总体要求</w:t>
      </w:r>
      <w:bookmarkEnd w:id="9"/>
    </w:p>
    <w:p w14:paraId="02C8EE1C">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本项目为</w:t>
      </w:r>
      <w:r>
        <w:rPr>
          <w:rFonts w:hint="eastAsia" w:ascii="宋体" w:hAnsi="宋体" w:eastAsia="宋体" w:cs="宋体"/>
          <w:sz w:val="24"/>
          <w:szCs w:val="24"/>
          <w:highlight w:val="none"/>
        </w:rPr>
        <w:t>徐州市云龙区垃圾资源化转运及处理建设项目污水处理系统，对项目污水处理系统的功能设计、设备构成、供货、结构、性能、安装和调试试验、培训等方面提出了具体技术要求。投标人应提供满足本技术规格书要求所必需的全套设备及各项服务，包括：水泵、电机、轴承等所有附件及随机备品配件等，并对系统完整性、成熟性及先进性负责。如有遗漏投标人应予以免费提供补充。</w:t>
      </w:r>
    </w:p>
    <w:p w14:paraId="3B4E7641">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保证所供货物的安全性、可靠性、先进性、经济性和实用性，并为全新、未使用过的原装合格正品，完全符合采购文件规定的质量、规格和性能的要求，达到中国最新版的法律、法规或行业规定的相关标准、规范的要求，符合项目所在地政府有关特殊要求，同时满足招标人使用要求，保证能通过招标人的质量验收、竣工验收等各类验收。</w:t>
      </w:r>
    </w:p>
    <w:p w14:paraId="7AC88410">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保证招标人在使用其所供货物时不受第三方提出侵犯其专利权、著作权和工业产权等知识产权的起诉。一旦出现侵权，一律由投标人承担全部责任。同时，供应商对招标人采购的货物所涉及的技术、产能等信息负有保密义务。</w:t>
      </w:r>
    </w:p>
    <w:p w14:paraId="2E4B0843">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投标人中标后须与招标人在投标产品的“功能配置、技术要求等”方面及时交底沟通；中标人开始制造产品之前，招标人有权要求中标人对产品进行微调，最终的产品须经招标人确认同意。</w:t>
      </w:r>
    </w:p>
    <w:p w14:paraId="6B9ACFE4">
      <w:pPr>
        <w:pageBreakBefore w:val="0"/>
        <w:spacing w:after="0" w:line="360" w:lineRule="auto"/>
        <w:outlineLvl w:val="0"/>
        <w:rPr>
          <w:rFonts w:hint="eastAsia" w:ascii="宋体" w:hAnsi="宋体" w:eastAsia="宋体" w:cs="宋体"/>
          <w:b/>
          <w:sz w:val="24"/>
          <w:szCs w:val="24"/>
          <w:highlight w:val="none"/>
        </w:rPr>
      </w:pPr>
      <w:bookmarkStart w:id="10" w:name="_Toc14586"/>
      <w:bookmarkStart w:id="11" w:name="_Toc229738163"/>
      <w:r>
        <w:rPr>
          <w:rFonts w:hint="eastAsia" w:ascii="宋体" w:hAnsi="宋体" w:eastAsia="宋体" w:cs="宋体"/>
          <w:b/>
          <w:sz w:val="24"/>
          <w:szCs w:val="24"/>
          <w:highlight w:val="none"/>
        </w:rPr>
        <w:t>2．项目分界面</w:t>
      </w:r>
      <w:bookmarkEnd w:id="10"/>
      <w:bookmarkEnd w:id="11"/>
    </w:p>
    <w:p w14:paraId="334BB130">
      <w:pPr>
        <w:pageBreakBefore w:val="0"/>
        <w:spacing w:after="0" w:line="360" w:lineRule="auto"/>
        <w:outlineLvl w:val="0"/>
        <w:rPr>
          <w:rFonts w:hint="eastAsia" w:ascii="宋体" w:hAnsi="宋体" w:eastAsia="宋体" w:cs="宋体"/>
          <w:b/>
          <w:sz w:val="24"/>
          <w:szCs w:val="24"/>
          <w:highlight w:val="none"/>
        </w:rPr>
      </w:pPr>
      <w:bookmarkStart w:id="12" w:name="_Toc229738164"/>
      <w:bookmarkStart w:id="13" w:name="_Toc22328"/>
      <w:r>
        <w:rPr>
          <w:rFonts w:hint="eastAsia" w:ascii="宋体" w:hAnsi="宋体" w:eastAsia="宋体" w:cs="宋体"/>
          <w:b/>
          <w:sz w:val="24"/>
          <w:szCs w:val="24"/>
          <w:highlight w:val="none"/>
        </w:rPr>
        <w:t>2.1 与各工艺设备</w:t>
      </w:r>
      <w:r>
        <w:rPr>
          <w:rFonts w:hint="eastAsia" w:ascii="宋体" w:hAnsi="宋体" w:eastAsia="宋体" w:cs="宋体"/>
          <w:b/>
          <w:sz w:val="24"/>
          <w:szCs w:val="24"/>
          <w:highlight w:val="none"/>
          <w:lang w:eastAsia="zh-CN"/>
        </w:rPr>
        <w:t>项目</w:t>
      </w:r>
      <w:r>
        <w:rPr>
          <w:rFonts w:hint="eastAsia" w:ascii="宋体" w:hAnsi="宋体" w:eastAsia="宋体" w:cs="宋体"/>
          <w:b/>
          <w:sz w:val="24"/>
          <w:szCs w:val="24"/>
          <w:highlight w:val="none"/>
        </w:rPr>
        <w:t>界面</w:t>
      </w:r>
      <w:bookmarkEnd w:id="12"/>
      <w:bookmarkEnd w:id="13"/>
    </w:p>
    <w:p w14:paraId="780FB6E4">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进水（渗滤液及生产废水）：垃圾压缩转运系统</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负责将渗滤液泵送至调节池指定位置，冲洗废水由排水沟、管道收集至地下一层集水坑内。地下一层集水坑及之后、调节池及之后的设备、管道、阀门均在本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范围内。出水池应预留接至槽罐车的泵送系统，含输送泵、管道及阀门，泵送系统属于本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范围内。</w:t>
      </w:r>
    </w:p>
    <w:p w14:paraId="53369507">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出水：本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负责将达标尾水送至污水在线监测井。</w:t>
      </w:r>
    </w:p>
    <w:p w14:paraId="4B3BEDA9">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污泥：污水处理系统产生的所有污泥均需要妥善处理，污泥处理相关的所有设备、管道、阀门均属于本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范围内，</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将污泥的含水率降至80%以下，并输送至转运卸料槽。</w:t>
      </w:r>
    </w:p>
    <w:p w14:paraId="35614372">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臭气：气浮设备需配备除臭罩，其他需除臭的设备、或水池（水罐）预留臭气接口法兰，并提供臭气指标及除臭风量。</w:t>
      </w:r>
    </w:p>
    <w:p w14:paraId="4EE353BB">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污水处理系统水池池上空间及风管设置有毒有害气体及易燃气体在线监测报警装置，属于自控</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w:t>
      </w:r>
    </w:p>
    <w:p w14:paraId="169CA4B1">
      <w:pPr>
        <w:pageBreakBefore w:val="0"/>
        <w:spacing w:after="0" w:line="360" w:lineRule="auto"/>
        <w:outlineLvl w:val="0"/>
        <w:rPr>
          <w:rFonts w:hint="eastAsia" w:ascii="宋体" w:hAnsi="宋体" w:eastAsia="宋体" w:cs="宋体"/>
          <w:b/>
          <w:sz w:val="24"/>
          <w:szCs w:val="24"/>
          <w:highlight w:val="none"/>
        </w:rPr>
      </w:pPr>
      <w:bookmarkStart w:id="14" w:name="_Toc26269"/>
      <w:bookmarkStart w:id="15" w:name="_Toc229738165"/>
      <w:r>
        <w:rPr>
          <w:rFonts w:hint="eastAsia" w:ascii="宋体" w:hAnsi="宋体" w:eastAsia="宋体" w:cs="宋体"/>
          <w:b/>
          <w:sz w:val="24"/>
          <w:szCs w:val="24"/>
          <w:highlight w:val="none"/>
        </w:rPr>
        <w:t>2.2 与土建工程界面</w:t>
      </w:r>
      <w:bookmarkEnd w:id="14"/>
      <w:bookmarkEnd w:id="15"/>
    </w:p>
    <w:p w14:paraId="0054B02B">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1）设备基础等</w:t>
      </w:r>
    </w:p>
    <w:p w14:paraId="1E4680FA">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设备基础、预埋件、预埋管、预埋套管、水池墙体的预留洞等由设备安装单位出条件图，设备基础、预留洞及盖板由土建单位施工，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进行现场指导并确认；预埋管、预埋套管、预埋件由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供货，土建单位施工，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进行现场指导并确认。设备需要的钢结构基础/支撑、减振装置由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供货并施工。</w:t>
      </w:r>
    </w:p>
    <w:p w14:paraId="05F44D28">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2）给水</w:t>
      </w:r>
    </w:p>
    <w:p w14:paraId="0D83184B">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土建单位敷设给水管道至污水处理设备间指定位置，土建预留接口和手动控制阀门。接口至各用水点（包含接口施工、含生产用水点、洗手盆、洗涤池等用水点）均属于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实施范围。供水管支路设水表（水表由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负责，水表安装位置应满足规范测量的相关要求）。</w:t>
      </w:r>
    </w:p>
    <w:p w14:paraId="080EE3FB">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3）污水</w:t>
      </w:r>
    </w:p>
    <w:p w14:paraId="7876AE22">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工艺排水采用管道收集，排至调节池后，由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负责安装。</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需明确工艺排水量，膜组件规模的配置必须考虑这部分水量。</w:t>
      </w:r>
    </w:p>
    <w:p w14:paraId="02399C57">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4）电气</w:t>
      </w:r>
    </w:p>
    <w:p w14:paraId="54C4D897">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污水处理系统设备安装范围内的电气设备以设备控制柜的进线电源电缆头为界，电缆头以下为本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范围，电缆头以上（包括电缆头）为土建范围。</w:t>
      </w:r>
    </w:p>
    <w:p w14:paraId="02F2BF26">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接地系统（工作接地，保护接地等）以接地预埋连接板为界，界面以上室内外接地连接线、电缆支架接地、桥架接地以及各设备接地（包括上述但不限于此）的供货及施工等属本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其余内容（包括接地预埋连接板、利用构筑物自然金属体的接地装置以及构筑物防雷保护装置）属土建范围。除利用构筑物自然金属体作为接地装置外，因电气设备接地所需的人工接地极的供货及施工等属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w:t>
      </w:r>
    </w:p>
    <w:p w14:paraId="158C7767">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污水处理系统设备安装范围内的需室外直埋敷设的电缆所需沟槽的开挖及电缆敷设完毕后的回填均属本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w:t>
      </w:r>
    </w:p>
    <w:p w14:paraId="095EBC0A">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5）管架、桥架等</w:t>
      </w:r>
    </w:p>
    <w:p w14:paraId="33FC822D">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所有室内管道、电缆所需的管道支架、吊架、电缆桥架等均由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实施。室外工艺管廊架基础（若有）由土建单位实施，管廊架、工艺管道及管道固定支架等（若有）由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实施。</w:t>
      </w:r>
    </w:p>
    <w:p w14:paraId="44EF6731">
      <w:pPr>
        <w:pageBreakBefore w:val="0"/>
        <w:spacing w:after="0" w:line="360" w:lineRule="auto"/>
        <w:outlineLvl w:val="0"/>
        <w:rPr>
          <w:rFonts w:hint="eastAsia" w:ascii="宋体" w:hAnsi="宋体" w:eastAsia="宋体" w:cs="宋体"/>
          <w:b/>
          <w:sz w:val="24"/>
          <w:szCs w:val="24"/>
          <w:highlight w:val="none"/>
        </w:rPr>
      </w:pPr>
      <w:bookmarkStart w:id="16" w:name="_Toc21886"/>
      <w:bookmarkStart w:id="17" w:name="_Toc229738166"/>
      <w:r>
        <w:rPr>
          <w:rFonts w:hint="eastAsia" w:ascii="宋体" w:hAnsi="宋体" w:eastAsia="宋体" w:cs="宋体"/>
          <w:b/>
          <w:sz w:val="24"/>
          <w:szCs w:val="24"/>
          <w:highlight w:val="none"/>
        </w:rPr>
        <w:t>2.3 与全厂自控系统</w:t>
      </w:r>
      <w:r>
        <w:rPr>
          <w:rFonts w:hint="eastAsia" w:ascii="宋体" w:hAnsi="宋体" w:eastAsia="宋体" w:cs="宋体"/>
          <w:b/>
          <w:sz w:val="24"/>
          <w:szCs w:val="24"/>
          <w:highlight w:val="none"/>
          <w:lang w:eastAsia="zh-CN"/>
        </w:rPr>
        <w:t>项目</w:t>
      </w:r>
      <w:r>
        <w:rPr>
          <w:rFonts w:hint="eastAsia" w:ascii="宋体" w:hAnsi="宋体" w:eastAsia="宋体" w:cs="宋体"/>
          <w:b/>
          <w:sz w:val="24"/>
          <w:szCs w:val="24"/>
          <w:highlight w:val="none"/>
        </w:rPr>
        <w:t>界面</w:t>
      </w:r>
      <w:bookmarkEnd w:id="16"/>
      <w:bookmarkEnd w:id="17"/>
    </w:p>
    <w:p w14:paraId="6E1EB803">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PLC接口形式采用以太网光口或电口，现场配套工业以太网交换机，以配套工业以太网交换机通讯接口为界，接口以下为本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范围，接口连接至厂区整体监控系统的光缆或网线及其敷设由全厂自控系统</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负责，不属本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w:t>
      </w:r>
    </w:p>
    <w:p w14:paraId="793AF16F">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需对上位全厂自控系统开放通讯协议，使上位系统对污水处理系统实现监控及远程控制功能，本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需要配合全厂自控系统标完成整个控制系统的数据采集及联动调试。</w:t>
      </w:r>
    </w:p>
    <w:p w14:paraId="29153178">
      <w:pPr>
        <w:pageBreakBefore w:val="0"/>
        <w:spacing w:after="0" w:line="360" w:lineRule="auto"/>
        <w:outlineLvl w:val="0"/>
        <w:rPr>
          <w:rFonts w:hint="eastAsia" w:ascii="宋体" w:hAnsi="宋体" w:eastAsia="宋体" w:cs="宋体"/>
          <w:b/>
          <w:sz w:val="24"/>
          <w:szCs w:val="24"/>
          <w:highlight w:val="none"/>
        </w:rPr>
      </w:pPr>
      <w:bookmarkStart w:id="18" w:name="_Toc24411"/>
      <w:bookmarkStart w:id="19" w:name="_Toc229738167"/>
      <w:r>
        <w:rPr>
          <w:rFonts w:hint="eastAsia" w:ascii="宋体" w:hAnsi="宋体" w:eastAsia="宋体" w:cs="宋体"/>
          <w:b/>
          <w:sz w:val="24"/>
          <w:szCs w:val="24"/>
          <w:highlight w:val="none"/>
        </w:rPr>
        <w:t>3．主要技术参数、性能</w:t>
      </w:r>
      <w:bookmarkEnd w:id="18"/>
      <w:bookmarkEnd w:id="19"/>
    </w:p>
    <w:p w14:paraId="3E877A0C">
      <w:pPr>
        <w:pageBreakBefore w:val="0"/>
        <w:spacing w:after="0" w:line="360" w:lineRule="auto"/>
        <w:outlineLvl w:val="0"/>
        <w:rPr>
          <w:rFonts w:hint="eastAsia" w:ascii="宋体" w:hAnsi="宋体" w:eastAsia="宋体" w:cs="宋体"/>
          <w:b/>
          <w:sz w:val="24"/>
          <w:szCs w:val="24"/>
          <w:highlight w:val="none"/>
        </w:rPr>
      </w:pPr>
      <w:bookmarkStart w:id="20" w:name="_Toc229738168"/>
      <w:bookmarkStart w:id="21" w:name="_Toc30001"/>
      <w:r>
        <w:rPr>
          <w:rFonts w:hint="eastAsia" w:ascii="宋体" w:hAnsi="宋体" w:eastAsia="宋体" w:cs="宋体"/>
          <w:b/>
          <w:sz w:val="24"/>
          <w:szCs w:val="24"/>
          <w:highlight w:val="none"/>
        </w:rPr>
        <w:t>3.1 设计条件</w:t>
      </w:r>
      <w:bookmarkEnd w:id="20"/>
      <w:bookmarkEnd w:id="21"/>
    </w:p>
    <w:p w14:paraId="68054E02">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22" w:name="_Toc13464"/>
      <w:bookmarkStart w:id="23" w:name="_Toc229738169"/>
      <w:r>
        <w:rPr>
          <w:rFonts w:hint="eastAsia" w:ascii="宋体" w:hAnsi="宋体" w:eastAsia="宋体" w:cs="宋体"/>
          <w:b/>
          <w:bCs/>
          <w:sz w:val="24"/>
          <w:szCs w:val="24"/>
          <w:highlight w:val="none"/>
        </w:rPr>
        <w:t>3.1.1 处理对象及设计规模</w:t>
      </w:r>
      <w:bookmarkEnd w:id="22"/>
      <w:bookmarkEnd w:id="23"/>
    </w:p>
    <w:p w14:paraId="7517602B">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本渗滤液处理系统处理对象为渗滤液、冲洗废水、废气处理系统废水、生活污水的混合污水，处理规模为150 t/d。</w:t>
      </w:r>
    </w:p>
    <w:p w14:paraId="75E9E675">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24" w:name="_Toc229738170"/>
      <w:bookmarkStart w:id="25" w:name="_Toc25113"/>
      <w:r>
        <w:rPr>
          <w:rFonts w:hint="eastAsia" w:ascii="宋体" w:hAnsi="宋体" w:eastAsia="宋体" w:cs="宋体"/>
          <w:b/>
          <w:bCs/>
          <w:sz w:val="24"/>
          <w:szCs w:val="24"/>
          <w:highlight w:val="none"/>
        </w:rPr>
        <w:t>3.1.2 设计进水水质</w:t>
      </w:r>
      <w:bookmarkEnd w:id="24"/>
      <w:bookmarkEnd w:id="25"/>
    </w:p>
    <w:p w14:paraId="770723F9">
      <w:pPr>
        <w:pageBreakBefore w:val="0"/>
        <w:numPr>
          <w:ilvl w:val="5"/>
          <w:numId w:val="0"/>
        </w:numPr>
        <w:tabs>
          <w:tab w:val="left" w:pos="420"/>
        </w:tabs>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垃圾转运站产生的渗滤液均为新鲜渗滤液，其污染物浓度很高，设备冲洗水中掺杂了部分的渗滤液，其污染物浓度相对较高，场地冲洗水中污染物浓度相对较低。根据工程设计基础资料及类似工程经验，预测进水水质指标见下表：</w:t>
      </w:r>
    </w:p>
    <w:p w14:paraId="46F72592">
      <w:pPr>
        <w:pageBreakBefore w:val="0"/>
        <w:spacing w:after="0" w:line="360" w:lineRule="auto"/>
        <w:jc w:val="center"/>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表 设计进水主要水质</w:t>
      </w:r>
    </w:p>
    <w:tbl>
      <w:tblPr>
        <w:tblStyle w:val="47"/>
        <w:tblW w:w="49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4"/>
        <w:gridCol w:w="1176"/>
        <w:gridCol w:w="1176"/>
        <w:gridCol w:w="1176"/>
        <w:gridCol w:w="1176"/>
        <w:gridCol w:w="1176"/>
        <w:gridCol w:w="1177"/>
        <w:gridCol w:w="817"/>
      </w:tblGrid>
      <w:tr w14:paraId="319B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710" w:type="pct"/>
            <w:noWrap w:val="0"/>
            <w:vAlign w:val="center"/>
          </w:tcPr>
          <w:p w14:paraId="445CA4D8">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类别</w:t>
            </w:r>
          </w:p>
        </w:tc>
        <w:tc>
          <w:tcPr>
            <w:tcW w:w="654" w:type="pct"/>
            <w:noWrap w:val="0"/>
            <w:vAlign w:val="center"/>
          </w:tcPr>
          <w:p w14:paraId="052AE31D">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COD（mg/L）</w:t>
            </w:r>
          </w:p>
        </w:tc>
        <w:tc>
          <w:tcPr>
            <w:tcW w:w="654" w:type="pct"/>
            <w:noWrap w:val="0"/>
            <w:vAlign w:val="center"/>
          </w:tcPr>
          <w:p w14:paraId="01D5751E">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BOD（mg/L）</w:t>
            </w:r>
          </w:p>
        </w:tc>
        <w:tc>
          <w:tcPr>
            <w:tcW w:w="654" w:type="pct"/>
            <w:noWrap w:val="0"/>
            <w:vAlign w:val="center"/>
          </w:tcPr>
          <w:p w14:paraId="2C08C02D">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NH</w:t>
            </w:r>
            <w:r>
              <w:rPr>
                <w:rFonts w:hint="eastAsia" w:ascii="宋体" w:hAnsi="宋体" w:eastAsia="宋体" w:cs="宋体"/>
                <w:sz w:val="24"/>
                <w:szCs w:val="24"/>
                <w:highlight w:val="none"/>
                <w:vertAlign w:val="subscript"/>
                <w14:ligatures w14:val="none"/>
              </w:rPr>
              <w:t>3</w:t>
            </w:r>
            <w:r>
              <w:rPr>
                <w:rFonts w:hint="eastAsia" w:ascii="宋体" w:hAnsi="宋体" w:eastAsia="宋体" w:cs="宋体"/>
                <w:sz w:val="24"/>
                <w:szCs w:val="24"/>
                <w:highlight w:val="none"/>
                <w14:ligatures w14:val="none"/>
              </w:rPr>
              <w:t>-N（mg/L）</w:t>
            </w:r>
          </w:p>
        </w:tc>
        <w:tc>
          <w:tcPr>
            <w:tcW w:w="656" w:type="pct"/>
            <w:noWrap w:val="0"/>
            <w:vAlign w:val="center"/>
          </w:tcPr>
          <w:p w14:paraId="49D6AADC">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TN（mg/L）</w:t>
            </w:r>
          </w:p>
        </w:tc>
        <w:tc>
          <w:tcPr>
            <w:tcW w:w="656" w:type="pct"/>
            <w:noWrap w:val="0"/>
            <w:vAlign w:val="center"/>
          </w:tcPr>
          <w:p w14:paraId="5626B586">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SS</w:t>
            </w:r>
          </w:p>
          <w:p w14:paraId="3299B1EA">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510" w:type="pct"/>
            <w:noWrap w:val="0"/>
            <w:vAlign w:val="center"/>
          </w:tcPr>
          <w:p w14:paraId="5BA3EBF5">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T</w:t>
            </w:r>
            <w:r>
              <w:rPr>
                <w:rFonts w:hint="eastAsia" w:ascii="宋体" w:hAnsi="宋体" w:cs="宋体"/>
                <w:sz w:val="24"/>
                <w:szCs w:val="24"/>
                <w:highlight w:val="none"/>
                <w:lang w:val="en-US" w:eastAsia="zh-CN"/>
                <w14:ligatures w14:val="none"/>
              </w:rPr>
              <w:t>P</w:t>
            </w:r>
            <w:r>
              <w:rPr>
                <w:rFonts w:hint="eastAsia" w:ascii="宋体" w:hAnsi="宋体" w:eastAsia="宋体" w:cs="宋体"/>
                <w:sz w:val="24"/>
                <w:szCs w:val="24"/>
                <w:highlight w:val="none"/>
                <w14:ligatures w14:val="none"/>
              </w:rPr>
              <w:t>（mg/L）</w:t>
            </w:r>
          </w:p>
        </w:tc>
        <w:tc>
          <w:tcPr>
            <w:tcW w:w="502" w:type="pct"/>
            <w:noWrap w:val="0"/>
            <w:vAlign w:val="center"/>
          </w:tcPr>
          <w:p w14:paraId="0790DDEE">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pH</w:t>
            </w:r>
          </w:p>
        </w:tc>
      </w:tr>
      <w:tr w14:paraId="64B5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710" w:type="pct"/>
            <w:noWrap w:val="0"/>
            <w:vAlign w:val="center"/>
          </w:tcPr>
          <w:p w14:paraId="33195F57">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综合设计进水水质</w:t>
            </w:r>
          </w:p>
        </w:tc>
        <w:tc>
          <w:tcPr>
            <w:tcW w:w="654" w:type="pct"/>
            <w:noWrap w:val="0"/>
            <w:vAlign w:val="center"/>
          </w:tcPr>
          <w:p w14:paraId="0CD46259">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40000</w:t>
            </w:r>
          </w:p>
        </w:tc>
        <w:tc>
          <w:tcPr>
            <w:tcW w:w="654" w:type="pct"/>
            <w:noWrap w:val="0"/>
            <w:vAlign w:val="center"/>
          </w:tcPr>
          <w:p w14:paraId="4EEDD754">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20000</w:t>
            </w:r>
          </w:p>
        </w:tc>
        <w:tc>
          <w:tcPr>
            <w:tcW w:w="654" w:type="pct"/>
            <w:noWrap w:val="0"/>
            <w:vAlign w:val="center"/>
          </w:tcPr>
          <w:p w14:paraId="1D0CA142">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600</w:t>
            </w:r>
          </w:p>
        </w:tc>
        <w:tc>
          <w:tcPr>
            <w:tcW w:w="656" w:type="pct"/>
            <w:noWrap w:val="0"/>
            <w:vAlign w:val="center"/>
          </w:tcPr>
          <w:p w14:paraId="2F43C743">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800</w:t>
            </w:r>
          </w:p>
        </w:tc>
        <w:tc>
          <w:tcPr>
            <w:tcW w:w="656" w:type="pct"/>
            <w:noWrap w:val="0"/>
            <w:vAlign w:val="center"/>
          </w:tcPr>
          <w:p w14:paraId="5750E740">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3000</w:t>
            </w:r>
          </w:p>
        </w:tc>
        <w:tc>
          <w:tcPr>
            <w:tcW w:w="510" w:type="pct"/>
            <w:noWrap w:val="0"/>
            <w:vAlign w:val="center"/>
          </w:tcPr>
          <w:p w14:paraId="707411B0">
            <w:pPr>
              <w:pageBreakBefore w:val="0"/>
              <w:spacing w:after="0" w:line="360" w:lineRule="auto"/>
              <w:jc w:val="center"/>
              <w:rPr>
                <w:rFonts w:hint="eastAsia" w:ascii="宋体" w:hAnsi="宋体" w:eastAsia="宋体" w:cs="宋体"/>
                <w:sz w:val="24"/>
                <w:szCs w:val="24"/>
                <w:highlight w:val="none"/>
                <w:lang w:bidi="zh-CN"/>
                <w14:ligatures w14:val="none"/>
              </w:rPr>
            </w:pPr>
            <w:r>
              <w:rPr>
                <w:rFonts w:hint="eastAsia" w:ascii="宋体" w:hAnsi="宋体" w:eastAsia="宋体" w:cs="宋体"/>
                <w:sz w:val="24"/>
                <w:szCs w:val="24"/>
                <w:highlight w:val="none"/>
                <w14:ligatures w14:val="none"/>
              </w:rPr>
              <w:t>100</w:t>
            </w:r>
          </w:p>
        </w:tc>
        <w:tc>
          <w:tcPr>
            <w:tcW w:w="502" w:type="pct"/>
            <w:noWrap w:val="0"/>
            <w:vAlign w:val="center"/>
          </w:tcPr>
          <w:p w14:paraId="123507E0">
            <w:pPr>
              <w:pageBreakBefore w:val="0"/>
              <w:spacing w:after="0" w:line="360" w:lineRule="auto"/>
              <w:jc w:val="center"/>
              <w:rPr>
                <w:rFonts w:hint="eastAsia" w:ascii="宋体" w:hAnsi="宋体" w:eastAsia="宋体" w:cs="宋体"/>
                <w:sz w:val="24"/>
                <w:szCs w:val="24"/>
                <w:highlight w:val="none"/>
                <w:lang w:bidi="zh-CN"/>
                <w14:ligatures w14:val="none"/>
              </w:rPr>
            </w:pPr>
            <w:r>
              <w:rPr>
                <w:rFonts w:hint="eastAsia" w:ascii="宋体" w:hAnsi="宋体" w:eastAsia="宋体" w:cs="宋体"/>
                <w:sz w:val="24"/>
                <w:szCs w:val="24"/>
                <w:highlight w:val="none"/>
                <w:lang w:bidi="zh-CN"/>
                <w14:ligatures w14:val="none"/>
              </w:rPr>
              <w:t>6-9</w:t>
            </w:r>
          </w:p>
        </w:tc>
      </w:tr>
    </w:tbl>
    <w:p w14:paraId="417567D7">
      <w:pPr>
        <w:pageBreakBefore w:val="0"/>
        <w:spacing w:after="0" w:line="360" w:lineRule="auto"/>
        <w:jc w:val="both"/>
        <w:rPr>
          <w:rFonts w:hint="eastAsia" w:ascii="宋体" w:hAnsi="宋体" w:eastAsia="宋体" w:cs="宋体"/>
          <w:b/>
          <w:bCs/>
          <w:sz w:val="24"/>
          <w:szCs w:val="24"/>
          <w:highlight w:val="none"/>
          <w14:ligatures w14:val="none"/>
        </w:rPr>
      </w:pPr>
    </w:p>
    <w:p w14:paraId="4F551C75">
      <w:pPr>
        <w:pageBreakBefore w:val="0"/>
        <w:spacing w:after="0" w:line="360" w:lineRule="auto"/>
        <w:jc w:val="both"/>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设计水质指标供参考，具体需投标人根据以往运行经验进行复核确定。</w:t>
      </w:r>
    </w:p>
    <w:p w14:paraId="2EBB4505">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26" w:name="_Toc229738171"/>
      <w:r>
        <w:rPr>
          <w:rFonts w:hint="eastAsia" w:ascii="宋体" w:hAnsi="宋体" w:eastAsia="宋体" w:cs="宋体"/>
          <w:b/>
          <w:bCs/>
          <w:sz w:val="24"/>
          <w:szCs w:val="24"/>
          <w:highlight w:val="none"/>
        </w:rPr>
        <w:t>3.1.3 设计出水水质</w:t>
      </w:r>
      <w:bookmarkEnd w:id="26"/>
    </w:p>
    <w:p w14:paraId="5691DE7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根据环评批复，本项目排水pH值、COD、BOD</w:t>
      </w:r>
      <w:r>
        <w:rPr>
          <w:rFonts w:hint="eastAsia" w:ascii="宋体" w:hAnsi="宋体" w:eastAsia="宋体" w:cs="宋体"/>
          <w:sz w:val="24"/>
          <w:szCs w:val="24"/>
          <w:highlight w:val="none"/>
          <w:vertAlign w:val="subscript"/>
          <w14:ligatures w14:val="none"/>
        </w:rPr>
        <w:t>5</w:t>
      </w:r>
      <w:r>
        <w:rPr>
          <w:rFonts w:hint="eastAsia" w:ascii="宋体" w:hAnsi="宋体" w:eastAsia="宋体" w:cs="宋体"/>
          <w:sz w:val="24"/>
          <w:szCs w:val="24"/>
          <w:highlight w:val="none"/>
          <w14:ligatures w14:val="none"/>
        </w:rPr>
        <w:t>、SS、NH</w:t>
      </w:r>
      <w:r>
        <w:rPr>
          <w:rFonts w:hint="eastAsia" w:ascii="宋体" w:hAnsi="宋体" w:eastAsia="宋体" w:cs="宋体"/>
          <w:sz w:val="24"/>
          <w:szCs w:val="24"/>
          <w:highlight w:val="none"/>
          <w:vertAlign w:val="subscript"/>
          <w14:ligatures w14:val="none"/>
        </w:rPr>
        <w:t>3</w:t>
      </w:r>
      <w:r>
        <w:rPr>
          <w:rFonts w:hint="eastAsia" w:ascii="宋体" w:hAnsi="宋体" w:eastAsia="宋体" w:cs="宋体"/>
          <w:sz w:val="24"/>
          <w:szCs w:val="24"/>
          <w:highlight w:val="none"/>
          <w14:ligatures w14:val="none"/>
        </w:rPr>
        <w:t>-N、TN、TP执行徐州市新城区污水处理厂接管标准，具体要求见下表：</w:t>
      </w:r>
    </w:p>
    <w:p w14:paraId="076CF944">
      <w:pPr>
        <w:pageBreakBefore w:val="0"/>
        <w:spacing w:after="0" w:line="360" w:lineRule="auto"/>
        <w:jc w:val="center"/>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 xml:space="preserve">表 </w:t>
      </w:r>
      <w:r>
        <w:rPr>
          <w:rFonts w:hint="eastAsia" w:ascii="宋体" w:hAnsi="宋体" w:eastAsia="宋体" w:cs="宋体"/>
          <w:sz w:val="24"/>
          <w:szCs w:val="24"/>
          <w:highlight w:val="none"/>
          <w14:ligatures w14:val="none"/>
        </w:rPr>
        <w:t>★</w:t>
      </w:r>
      <w:r>
        <w:rPr>
          <w:rFonts w:hint="eastAsia" w:ascii="宋体" w:hAnsi="宋体" w:eastAsia="宋体" w:cs="宋体"/>
          <w:b/>
          <w:bCs/>
          <w:sz w:val="24"/>
          <w:szCs w:val="24"/>
          <w:highlight w:val="none"/>
          <w14:ligatures w14:val="none"/>
        </w:rPr>
        <w:t>出水主要水质指标</w:t>
      </w:r>
    </w:p>
    <w:tbl>
      <w:tblPr>
        <w:tblStyle w:val="47"/>
        <w:tblW w:w="48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176"/>
        <w:gridCol w:w="1308"/>
        <w:gridCol w:w="1302"/>
        <w:gridCol w:w="1176"/>
        <w:gridCol w:w="1176"/>
        <w:gridCol w:w="1176"/>
        <w:gridCol w:w="802"/>
      </w:tblGrid>
      <w:tr w14:paraId="18F4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1" w:hRule="atLeast"/>
          <w:jc w:val="center"/>
        </w:trPr>
        <w:tc>
          <w:tcPr>
            <w:tcW w:w="459" w:type="pct"/>
            <w:noWrap w:val="0"/>
            <w:vAlign w:val="center"/>
          </w:tcPr>
          <w:p w14:paraId="6F16F0AF">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指标</w:t>
            </w:r>
          </w:p>
        </w:tc>
        <w:tc>
          <w:tcPr>
            <w:tcW w:w="650" w:type="pct"/>
            <w:noWrap w:val="0"/>
            <w:vAlign w:val="center"/>
          </w:tcPr>
          <w:p w14:paraId="18574E14">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CODcr</w:t>
            </w:r>
          </w:p>
          <w:p w14:paraId="4F1F1131">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744" w:type="pct"/>
            <w:noWrap w:val="0"/>
            <w:vAlign w:val="center"/>
          </w:tcPr>
          <w:p w14:paraId="2D9C5337">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BOD</w:t>
            </w:r>
            <w:r>
              <w:rPr>
                <w:rFonts w:hint="eastAsia" w:ascii="宋体" w:hAnsi="宋体" w:eastAsia="宋体" w:cs="宋体"/>
                <w:sz w:val="24"/>
                <w:szCs w:val="24"/>
                <w:highlight w:val="none"/>
                <w:vertAlign w:val="subscript"/>
                <w14:ligatures w14:val="none"/>
              </w:rPr>
              <w:t>5</w:t>
            </w:r>
          </w:p>
          <w:p w14:paraId="42250206">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740" w:type="pct"/>
            <w:noWrap w:val="0"/>
            <w:vAlign w:val="center"/>
          </w:tcPr>
          <w:p w14:paraId="1DA03E67">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NH</w:t>
            </w:r>
            <w:r>
              <w:rPr>
                <w:rFonts w:hint="eastAsia" w:ascii="宋体" w:hAnsi="宋体" w:eastAsia="宋体" w:cs="宋体"/>
                <w:sz w:val="24"/>
                <w:szCs w:val="24"/>
                <w:highlight w:val="none"/>
                <w:vertAlign w:val="subscript"/>
                <w14:ligatures w14:val="none"/>
              </w:rPr>
              <w:t>3</w:t>
            </w:r>
            <w:r>
              <w:rPr>
                <w:rFonts w:hint="eastAsia" w:ascii="宋体" w:hAnsi="宋体" w:eastAsia="宋体" w:cs="宋体"/>
                <w:sz w:val="24"/>
                <w:szCs w:val="24"/>
                <w:highlight w:val="none"/>
                <w14:ligatures w14:val="none"/>
              </w:rPr>
              <w:t>-N</w:t>
            </w:r>
          </w:p>
          <w:p w14:paraId="4D72485A">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647" w:type="pct"/>
            <w:noWrap w:val="0"/>
            <w:vAlign w:val="center"/>
          </w:tcPr>
          <w:p w14:paraId="35991F6E">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TN</w:t>
            </w:r>
          </w:p>
          <w:p w14:paraId="64A43C1E">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647" w:type="pct"/>
            <w:noWrap w:val="0"/>
            <w:vAlign w:val="center"/>
          </w:tcPr>
          <w:p w14:paraId="05567F98">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TP</w:t>
            </w:r>
          </w:p>
          <w:p w14:paraId="06461AE5">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648" w:type="pct"/>
            <w:noWrap w:val="0"/>
            <w:vAlign w:val="center"/>
          </w:tcPr>
          <w:p w14:paraId="4C483A92">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SS</w:t>
            </w:r>
          </w:p>
          <w:p w14:paraId="6E91DDE2">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（mg/L）</w:t>
            </w:r>
          </w:p>
        </w:tc>
        <w:tc>
          <w:tcPr>
            <w:tcW w:w="460" w:type="pct"/>
            <w:noWrap w:val="0"/>
            <w:vAlign w:val="center"/>
          </w:tcPr>
          <w:p w14:paraId="49050454">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pH值</w:t>
            </w:r>
          </w:p>
        </w:tc>
      </w:tr>
      <w:tr w14:paraId="1B24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1" w:hRule="atLeast"/>
          <w:jc w:val="center"/>
        </w:trPr>
        <w:tc>
          <w:tcPr>
            <w:tcW w:w="459" w:type="pct"/>
            <w:noWrap w:val="0"/>
            <w:vAlign w:val="center"/>
          </w:tcPr>
          <w:p w14:paraId="62C96EDB">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限值</w:t>
            </w:r>
          </w:p>
        </w:tc>
        <w:tc>
          <w:tcPr>
            <w:tcW w:w="650" w:type="pct"/>
            <w:noWrap w:val="0"/>
            <w:vAlign w:val="center"/>
          </w:tcPr>
          <w:p w14:paraId="320D33E3">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≤350</w:t>
            </w:r>
          </w:p>
        </w:tc>
        <w:tc>
          <w:tcPr>
            <w:tcW w:w="744" w:type="pct"/>
            <w:noWrap w:val="0"/>
            <w:vAlign w:val="center"/>
          </w:tcPr>
          <w:p w14:paraId="5824D62B">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≤200</w:t>
            </w:r>
          </w:p>
        </w:tc>
        <w:tc>
          <w:tcPr>
            <w:tcW w:w="740" w:type="pct"/>
            <w:noWrap w:val="0"/>
            <w:vAlign w:val="center"/>
          </w:tcPr>
          <w:p w14:paraId="55BA2CE3">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≤30</w:t>
            </w:r>
          </w:p>
        </w:tc>
        <w:tc>
          <w:tcPr>
            <w:tcW w:w="647" w:type="pct"/>
            <w:noWrap w:val="0"/>
            <w:vAlign w:val="center"/>
          </w:tcPr>
          <w:p w14:paraId="07BF54AE">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≤40</w:t>
            </w:r>
          </w:p>
        </w:tc>
        <w:tc>
          <w:tcPr>
            <w:tcW w:w="647" w:type="pct"/>
            <w:noWrap w:val="0"/>
            <w:vAlign w:val="center"/>
          </w:tcPr>
          <w:p w14:paraId="14D90202">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w:t>
            </w:r>
          </w:p>
        </w:tc>
        <w:tc>
          <w:tcPr>
            <w:tcW w:w="648" w:type="pct"/>
            <w:noWrap w:val="0"/>
            <w:vAlign w:val="center"/>
          </w:tcPr>
          <w:p w14:paraId="0E6F264B">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≤250</w:t>
            </w:r>
          </w:p>
        </w:tc>
        <w:tc>
          <w:tcPr>
            <w:tcW w:w="460" w:type="pct"/>
            <w:noWrap w:val="0"/>
            <w:vAlign w:val="center"/>
          </w:tcPr>
          <w:p w14:paraId="0181BF37">
            <w:pPr>
              <w:pageBreakBefore w:val="0"/>
              <w:spacing w:after="0" w:line="360" w:lineRule="auto"/>
              <w:jc w:val="center"/>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6~9</w:t>
            </w:r>
          </w:p>
        </w:tc>
      </w:tr>
    </w:tbl>
    <w:p w14:paraId="2E87006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其他要求：色度、总汞、总镉、总铬、六价铬、总砷、总铅执行《生活垃圾填埋场污染控制标准》（GB16889-2024）中表4排放浓度限值，粪大肠菌群排放浓度参照执行《生活垃圾填埋场污染控制标准》（GB16889-2024）中表2排放浓度限值，动植物油参照执行《污水排入城镇下水道水质标准》（GB/T 31962-2015）中B级标准。</w:t>
      </w:r>
    </w:p>
    <w:p w14:paraId="146A50F5">
      <w:pPr>
        <w:pageBreakBefore w:val="0"/>
        <w:spacing w:after="0" w:line="360" w:lineRule="auto"/>
        <w:outlineLvl w:val="0"/>
        <w:rPr>
          <w:rFonts w:hint="eastAsia" w:ascii="宋体" w:hAnsi="宋体" w:eastAsia="宋体" w:cs="宋体"/>
          <w:b/>
          <w:sz w:val="24"/>
          <w:szCs w:val="24"/>
          <w:highlight w:val="none"/>
        </w:rPr>
      </w:pPr>
      <w:bookmarkStart w:id="27" w:name="_Toc229738172"/>
      <w:r>
        <w:rPr>
          <w:rFonts w:hint="eastAsia" w:ascii="宋体" w:hAnsi="宋体" w:eastAsia="宋体" w:cs="宋体"/>
          <w:b/>
          <w:sz w:val="24"/>
          <w:szCs w:val="24"/>
          <w:highlight w:val="none"/>
        </w:rPr>
        <w:t>3.2 工艺系统描述</w:t>
      </w:r>
      <w:bookmarkEnd w:id="27"/>
    </w:p>
    <w:p w14:paraId="5DCD77A1">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★本项目工艺流程为：预处理+两级AO+外置式膜生物反应器UF+高级氧化/NF（保障）。具体工艺流程如下：</w:t>
      </w:r>
    </w:p>
    <w:p w14:paraId="6D4E363E">
      <w:pPr>
        <w:pStyle w:val="12"/>
        <w:pageBreakBefore w:val="0"/>
        <w:spacing w:line="360" w:lineRule="auto"/>
        <w:ind w:firstLine="48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0" distR="0">
            <wp:extent cx="2504440" cy="6858000"/>
            <wp:effectExtent l="0" t="0" r="1016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2504925" cy="6858067"/>
                    </a:xfrm>
                    <a:prstGeom prst="rect">
                      <a:avLst/>
                    </a:prstGeom>
                  </pic:spPr>
                </pic:pic>
              </a:graphicData>
            </a:graphic>
          </wp:inline>
        </w:drawing>
      </w:r>
    </w:p>
    <w:p w14:paraId="53290218">
      <w:pPr>
        <w:pageBreakBefore w:val="0"/>
        <w:spacing w:after="0" w:line="360" w:lineRule="auto"/>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14:ligatures w14:val="none"/>
        </w:rPr>
        <w:t>图 工艺流程图</w:t>
      </w:r>
    </w:p>
    <w:p w14:paraId="587E8600">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混合污水首先通过格栅去除大颗粒污染物后进入暂存池，达到设定液位时，提升泵将污水泵送至微滤机/隔油设备等，去除污水中的小颗粒污染物、悬浮物和油类。</w:t>
      </w:r>
    </w:p>
    <w:p w14:paraId="7C40A12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之后污水通过提升泵进入混凝气浮单元，该单元需要分别投加混凝剂PAC和助凝剂PAM，进一步去除污水中的油类、部分悬浮物和总磷，混凝气浮产生的浮渣（物化污泥）经储泥池暂存后泵送至叠螺脱水机进行处理。混凝气浮出水自流进入调节池，进行水质水量的调节。</w:t>
      </w:r>
    </w:p>
    <w:p w14:paraId="35A9DF7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调节池的污水通过提升泵送入A/O池（缺氧/好氧池）进行生化处理，降解污水中的大部分有机物（COD）和氨氮、总氮。A/O池的混合液出水进入外置式超滤（UF）系统实现泥水分离；超滤膜截留的活性污泥浓缩液回流至A/O池以维持系统污泥浓度，确保生化反应高效进行，同时产生生化污泥经储泥池暂存后泵送至叠螺脱水机处理。</w:t>
      </w:r>
    </w:p>
    <w:p w14:paraId="5BA25AC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超滤产生的清液进入高级氧化系统或NF系统，出水最终通过泵输送至室外污水管网达标排放。</w:t>
      </w:r>
    </w:p>
    <w:p w14:paraId="08115EF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叠螺脱水机同时处理预处理污泥、生化段产生的污泥以及后续高级氧化段产生的污泥。叠螺处理后的出水进入调节池，脱水产生的干污泥则通过螺旋输送机输送至垃圾坑外运处置。</w:t>
      </w:r>
    </w:p>
    <w:p w14:paraId="03B3C25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污水设备生化区和污泥脱水区以及调节池区域存在臭气，由中转站除臭系统统一设计。</w:t>
      </w:r>
    </w:p>
    <w:p w14:paraId="73213AB5">
      <w:pPr>
        <w:pageBreakBefore w:val="0"/>
        <w:spacing w:after="0" w:line="360" w:lineRule="auto"/>
        <w:outlineLvl w:val="0"/>
        <w:rPr>
          <w:rFonts w:hint="eastAsia" w:ascii="宋体" w:hAnsi="宋体" w:eastAsia="宋体" w:cs="宋体"/>
          <w:b/>
          <w:sz w:val="24"/>
          <w:szCs w:val="24"/>
          <w:highlight w:val="none"/>
        </w:rPr>
      </w:pPr>
      <w:bookmarkStart w:id="28" w:name="_Toc6489"/>
      <w:bookmarkStart w:id="29" w:name="_Toc229738173"/>
      <w:r>
        <w:rPr>
          <w:rFonts w:hint="eastAsia" w:ascii="宋体" w:hAnsi="宋体" w:eastAsia="宋体" w:cs="宋体"/>
          <w:b/>
          <w:sz w:val="24"/>
          <w:szCs w:val="24"/>
          <w:highlight w:val="none"/>
        </w:rPr>
        <w:t>3.3 基本技术要求</w:t>
      </w:r>
      <w:bookmarkEnd w:id="28"/>
      <w:bookmarkEnd w:id="29"/>
    </w:p>
    <w:p w14:paraId="3C6B9F32">
      <w:pPr>
        <w:pageBreakBefore w:val="0"/>
        <w:spacing w:after="0" w:line="360" w:lineRule="auto"/>
        <w:ind w:firstLine="482"/>
        <w:jc w:val="both"/>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以下处理系统各单体部分的工艺要求描述</w:t>
      </w:r>
      <w:r>
        <w:rPr>
          <w:rFonts w:hint="eastAsia" w:ascii="宋体" w:hAnsi="宋体" w:eastAsia="宋体" w:cs="宋体"/>
          <w:b/>
          <w:bCs/>
          <w:sz w:val="24"/>
          <w:szCs w:val="24"/>
          <w:highlight w:val="none"/>
          <w:lang w:val="en-US" w:eastAsia="zh-CN"/>
          <w14:ligatures w14:val="none"/>
        </w:rPr>
        <w:t>包括但不限于</w:t>
      </w:r>
      <w:r>
        <w:rPr>
          <w:rFonts w:hint="eastAsia" w:ascii="宋体" w:hAnsi="宋体" w:eastAsia="宋体" w:cs="宋体"/>
          <w:b/>
          <w:bCs/>
          <w:sz w:val="24"/>
          <w:szCs w:val="24"/>
          <w:highlight w:val="none"/>
          <w14:ligatures w14:val="none"/>
        </w:rPr>
        <w:t>采购需求已限定处理工艺及所含单元与设备，投标人应根据科学实效的垃圾渗滤液处理工艺理论，实际设备的规格、材质与性能，确定应采用的工艺流程与单元设计，并按工艺流程的路线顺序提具所有单元及设备的设计参数等。</w:t>
      </w:r>
    </w:p>
    <w:p w14:paraId="6E0DE524">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30" w:name="_Toc10954"/>
      <w:bookmarkStart w:id="31" w:name="_Toc229738174"/>
      <w:r>
        <w:rPr>
          <w:rFonts w:hint="eastAsia" w:ascii="宋体" w:hAnsi="宋体" w:eastAsia="宋体" w:cs="宋体"/>
          <w:b/>
          <w:bCs/>
          <w:sz w:val="24"/>
          <w:szCs w:val="24"/>
          <w:highlight w:val="none"/>
        </w:rPr>
        <w:t>3.3.1 预处理系统</w:t>
      </w:r>
      <w:bookmarkEnd w:id="30"/>
      <w:bookmarkEnd w:id="31"/>
    </w:p>
    <w:p w14:paraId="150F83E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1、调节池</w:t>
      </w:r>
    </w:p>
    <w:p w14:paraId="452F68F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调节池对渗滤液及生产废水进行水量、水质调节。</w:t>
      </w:r>
    </w:p>
    <w:p w14:paraId="4E1C933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调节池2格，设置潜水搅拌器和调节池提升泵。</w:t>
      </w:r>
    </w:p>
    <w:p w14:paraId="252D64F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2、混凝气浮单元</w:t>
      </w:r>
    </w:p>
    <w:p w14:paraId="1346B0F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包含混凝气浮设备及配套的加药系统。</w:t>
      </w:r>
    </w:p>
    <w:p w14:paraId="35CB7EA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加药系统应配备准确的计量装置。</w:t>
      </w:r>
    </w:p>
    <w:p w14:paraId="573F739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加药罐体需设置液位计，信号上传至PLC，并配备低液位报警。</w:t>
      </w:r>
    </w:p>
    <w:p w14:paraId="2548EAD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w:t>
      </w:r>
    </w:p>
    <w:p w14:paraId="4DDD491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3、中间水池/调节池</w:t>
      </w:r>
    </w:p>
    <w:p w14:paraId="4C28238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中间水池1格，设置潜水搅拌器和中间水池提升泵。</w:t>
      </w:r>
    </w:p>
    <w:p w14:paraId="3DABA2E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★调节池内所有设备电机、仪表均需考虑防爆，防爆等级为EX、IIA、T1，仪表采用隔爆型。</w:t>
      </w:r>
    </w:p>
    <w:p w14:paraId="172A31F0">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w:t>
      </w:r>
    </w:p>
    <w:p w14:paraId="1BF9E813">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32" w:name="_Toc229738175"/>
      <w:bookmarkStart w:id="33" w:name="_Toc32513"/>
      <w:r>
        <w:rPr>
          <w:rFonts w:hint="eastAsia" w:ascii="宋体" w:hAnsi="宋体" w:eastAsia="宋体" w:cs="宋体"/>
          <w:b/>
          <w:bCs/>
          <w:sz w:val="24"/>
          <w:szCs w:val="24"/>
          <w:highlight w:val="none"/>
        </w:rPr>
        <w:t>3.3.2 MBR生化系统</w:t>
      </w:r>
      <w:bookmarkEnd w:id="32"/>
      <w:bookmarkEnd w:id="33"/>
    </w:p>
    <w:p w14:paraId="6695C7C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MBR系统由“AO生化反应池+外置式超滤膜”组成，主要作用为削减大部分污染物。MBR系统需具备较强的脱除氨氮和总氮的能力。</w:t>
      </w:r>
    </w:p>
    <w:p w14:paraId="0801650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MBR系统包括反硝化池、硝化池、超滤系统（采用外置式超滤膜）、冷却系统、曝气系统、消泡剂投加系统等。</w:t>
      </w:r>
    </w:p>
    <w:p w14:paraId="231795A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★MBR系统需采用较高充氧能力的曝气系统。</w:t>
      </w:r>
    </w:p>
    <w:p w14:paraId="35D46C61">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鼓风机采用空气悬浮鼓风机，安装在室内。</w:t>
      </w:r>
    </w:p>
    <w:p w14:paraId="32DCF3A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风机进硝化池曝气管需设置电动调节阀，信号上传至PLC，同时中央控制室能远程控制电动调节阀的开度，并满足超风量运转。</w:t>
      </w:r>
    </w:p>
    <w:p w14:paraId="30B7086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反硝化池、硝化池内的设备需耐受本项目污水的腐蚀。</w:t>
      </w:r>
    </w:p>
    <w:p w14:paraId="0B8AE92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★硝化池需配备溶解氧、pH、温度、液位、污泥浓度等在线测量仪表，并将测量数据传输至在线控制系统。</w:t>
      </w:r>
    </w:p>
    <w:p w14:paraId="1120A334">
      <w:pPr>
        <w:pageBreakBefore w:val="0"/>
        <w:spacing w:after="0" w:line="360" w:lineRule="auto"/>
        <w:ind w:firstLine="480"/>
        <w:jc w:val="both"/>
        <w:rPr>
          <w:rFonts w:hint="eastAsia" w:ascii="宋体" w:hAnsi="宋体" w:eastAsia="宋体" w:cs="宋体"/>
          <w:color w:val="FF0000"/>
          <w:sz w:val="24"/>
          <w:szCs w:val="24"/>
          <w:highlight w:val="none"/>
          <w14:ligatures w14:val="none"/>
        </w:rPr>
      </w:pPr>
      <w:r>
        <w:rPr>
          <w:rFonts w:hint="eastAsia" w:ascii="宋体" w:hAnsi="宋体" w:eastAsia="宋体" w:cs="宋体"/>
          <w:color w:val="FF0000"/>
          <w:sz w:val="24"/>
          <w:szCs w:val="24"/>
          <w:highlight w:val="none"/>
          <w14:ligatures w14:val="none"/>
        </w:rPr>
        <w:t>★投标方应采用外置式管式超滤系统，为集成式一体化设备，投标方按照招标文件对资料的要求提供详细的资料和图纸。</w:t>
      </w:r>
    </w:p>
    <w:p w14:paraId="2D2CAC1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color w:val="FF0000"/>
          <w:sz w:val="24"/>
          <w:szCs w:val="24"/>
          <w:highlight w:val="none"/>
          <w14:ligatures w14:val="none"/>
        </w:rPr>
        <w:t>★投标方在投标文件中需提供超滤膜类型的选取说明，</w:t>
      </w:r>
      <w:r>
        <w:rPr>
          <w:rFonts w:hint="eastAsia" w:ascii="宋体" w:hAnsi="宋体" w:eastAsia="宋体" w:cs="宋体"/>
          <w:sz w:val="24"/>
          <w:szCs w:val="24"/>
          <w:highlight w:val="none"/>
          <w14:ligatures w14:val="none"/>
        </w:rPr>
        <w:t>包括膜材质、孔径、规格型号、设计通量、设计使用面积、运行压力及各项参数等；列出膜壳的选取，规格型号、材质、各项参数；超滤膜的清洗条件、周期、清洗方式与设置；膜的使用寿命、更换周期、年通量衰减率。</w:t>
      </w:r>
    </w:p>
    <w:p w14:paraId="277F3A2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211CD21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MBR系统需采取有效的泡沫控制措施，避免泡沫外溢。</w:t>
      </w:r>
    </w:p>
    <w:p w14:paraId="5EC61C3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MBR系统需采取有效的温度控制措施，在夏天和设计流量下，曝气池温度不超过38 ℃。</w:t>
      </w:r>
    </w:p>
    <w:p w14:paraId="639E7310">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MBR系统需设置完善的自控系统，自控仪表、PLC等需为知名品牌。</w:t>
      </w:r>
    </w:p>
    <w:p w14:paraId="73B3D00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MBR系统中液下搅拌器、泵类、加药设备需为国内或国际知名品牌。</w:t>
      </w:r>
    </w:p>
    <w:p w14:paraId="4FF0984D">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34" w:name="_Toc32959088"/>
      <w:bookmarkStart w:id="35" w:name="_Toc594"/>
      <w:bookmarkStart w:id="36" w:name="_Toc229738176"/>
      <w:r>
        <w:rPr>
          <w:rFonts w:hint="eastAsia" w:ascii="宋体" w:hAnsi="宋体" w:eastAsia="宋体" w:cs="宋体"/>
          <w:b/>
          <w:bCs/>
          <w:sz w:val="24"/>
          <w:szCs w:val="24"/>
          <w:highlight w:val="none"/>
        </w:rPr>
        <w:t>3.3.3 加热恒温与冷却系统</w:t>
      </w:r>
      <w:bookmarkEnd w:id="34"/>
      <w:bookmarkEnd w:id="35"/>
      <w:bookmarkEnd w:id="36"/>
    </w:p>
    <w:p w14:paraId="042916E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（1）如需对好氧反应装置内的水体进行冷却，可根据水量大小，自行合理设计冷却水系统。</w:t>
      </w:r>
    </w:p>
    <w:p w14:paraId="6826BEA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（2）加热与冷却系统，需根据在线温度监控仪表的数据，进行在线连续控制。</w:t>
      </w:r>
    </w:p>
    <w:p w14:paraId="2A70C97A">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37" w:name="_Toc17057"/>
      <w:bookmarkStart w:id="38" w:name="_Toc229738177"/>
      <w:r>
        <w:rPr>
          <w:rFonts w:hint="eastAsia" w:ascii="宋体" w:hAnsi="宋体" w:eastAsia="宋体" w:cs="宋体"/>
          <w:b/>
          <w:bCs/>
          <w:sz w:val="24"/>
          <w:szCs w:val="24"/>
          <w:highlight w:val="none"/>
        </w:rPr>
        <w:t>3.3.4 高级氧化系统</w:t>
      </w:r>
      <w:bookmarkEnd w:id="37"/>
      <w:bookmarkEnd w:id="38"/>
    </w:p>
    <w:p w14:paraId="78927DC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高级氧化系统作为本项目的污水处理系统的保安系统，需保证最终出水能达到本工程出水要求。</w:t>
      </w:r>
    </w:p>
    <w:p w14:paraId="73AF3E4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3A55EE75">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39" w:name="_Toc229738178"/>
      <w:r>
        <w:rPr>
          <w:rFonts w:hint="eastAsia" w:ascii="宋体" w:hAnsi="宋体" w:eastAsia="宋体" w:cs="宋体"/>
          <w:b/>
          <w:bCs/>
          <w:sz w:val="24"/>
          <w:szCs w:val="24"/>
          <w:highlight w:val="none"/>
        </w:rPr>
        <w:t>3.3.5 纳滤系统</w:t>
      </w:r>
      <w:bookmarkEnd w:id="39"/>
    </w:p>
    <w:p w14:paraId="07B2B03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纳滤系统在工艺中主要对渗滤液中COD</w:t>
      </w:r>
      <w:r>
        <w:rPr>
          <w:rFonts w:hint="eastAsia" w:ascii="宋体" w:hAnsi="宋体" w:eastAsia="宋体" w:cs="宋体"/>
          <w:sz w:val="24"/>
          <w:szCs w:val="24"/>
          <w:highlight w:val="none"/>
          <w:vertAlign w:val="subscript"/>
          <w14:ligatures w14:val="none"/>
        </w:rPr>
        <w:t>Cr</w:t>
      </w:r>
      <w:r>
        <w:rPr>
          <w:rFonts w:hint="eastAsia" w:ascii="宋体" w:hAnsi="宋体" w:eastAsia="宋体" w:cs="宋体"/>
          <w:sz w:val="24"/>
          <w:szCs w:val="24"/>
          <w:highlight w:val="none"/>
          <w14:ligatures w14:val="none"/>
        </w:rPr>
        <w:t>及重金属的去除。</w:t>
      </w:r>
    </w:p>
    <w:p w14:paraId="0415D90A">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投标方应采用一体化撬装设备，投标方按照招标文件要求提供详细资料。</w:t>
      </w:r>
    </w:p>
    <w:p w14:paraId="59D9864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color w:val="FF0000"/>
          <w:sz w:val="24"/>
          <w:szCs w:val="24"/>
          <w:highlight w:val="none"/>
          <w14:ligatures w14:val="none"/>
        </w:rPr>
        <w:t>★投标方在投标文件中需提供纳滤膜类型的选取说明，</w:t>
      </w:r>
      <w:r>
        <w:rPr>
          <w:rFonts w:hint="eastAsia" w:ascii="宋体" w:hAnsi="宋体" w:eastAsia="宋体" w:cs="宋体"/>
          <w:sz w:val="24"/>
          <w:szCs w:val="24"/>
          <w:highlight w:val="none"/>
          <w14:ligatures w14:val="none"/>
        </w:rPr>
        <w:t>包括膜材质、孔径、规格型号、设计通量、设计使用面积、运行压力及各项参数等；列出膜壳的选取，规格型号、材质、各项参数；纳滤膜的清洗条件、周期、清洗方式与设置；膜的使用寿命、更换周期、年通量衰减率；浓液的产量及处理方式。</w:t>
      </w:r>
    </w:p>
    <w:p w14:paraId="62CD422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51810802">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40" w:name="_Toc229738179"/>
      <w:r>
        <w:rPr>
          <w:rFonts w:hint="eastAsia" w:ascii="宋体" w:hAnsi="宋体" w:eastAsia="宋体" w:cs="宋体"/>
          <w:b/>
          <w:bCs/>
          <w:sz w:val="24"/>
          <w:szCs w:val="24"/>
          <w:highlight w:val="none"/>
        </w:rPr>
        <w:t xml:space="preserve">3.3.6 </w:t>
      </w:r>
      <w:bookmarkStart w:id="41" w:name="_Toc19813"/>
      <w:r>
        <w:rPr>
          <w:rFonts w:hint="eastAsia" w:ascii="宋体" w:hAnsi="宋体" w:eastAsia="宋体" w:cs="宋体"/>
          <w:b/>
          <w:bCs/>
          <w:sz w:val="24"/>
          <w:szCs w:val="24"/>
          <w:highlight w:val="none"/>
        </w:rPr>
        <w:t>叠螺脱水系统</w:t>
      </w:r>
      <w:bookmarkEnd w:id="40"/>
      <w:bookmarkEnd w:id="41"/>
    </w:p>
    <w:p w14:paraId="1ACA17F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叠螺脱水系统处理的对象包括预处理、MBR单元产生的剩余污泥和混凝气浮单元产生的化学污泥，叠螺脱水系统位于车间一层的污泥脱水车间。</w:t>
      </w:r>
    </w:p>
    <w:p w14:paraId="023EAEB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★污泥脱水后的含水率应不高于80%，输送至垃圾斗，后续由</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负责外运处置。</w:t>
      </w:r>
    </w:p>
    <w:p w14:paraId="67E2ACE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叠螺脱水系统设备需为国内知名品牌。</w:t>
      </w:r>
    </w:p>
    <w:p w14:paraId="0ABF330D">
      <w:pPr>
        <w:pageBreakBefore w:val="0"/>
        <w:spacing w:after="0" w:line="360" w:lineRule="auto"/>
        <w:ind w:firstLine="480"/>
        <w:jc w:val="both"/>
        <w:rPr>
          <w:rFonts w:hint="eastAsia" w:ascii="宋体" w:hAnsi="宋体" w:eastAsia="宋体" w:cs="宋体"/>
          <w:sz w:val="24"/>
          <w:szCs w:val="24"/>
          <w:highlight w:val="none"/>
          <w14:ligatures w14:val="none"/>
        </w:rPr>
      </w:pPr>
      <w:bookmarkStart w:id="42" w:name="OLE_LINK3"/>
      <w:r>
        <w:rPr>
          <w:rFonts w:hint="eastAsia" w:ascii="宋体" w:hAnsi="宋体" w:eastAsia="宋体" w:cs="宋体"/>
          <w:sz w:val="24"/>
          <w:szCs w:val="24"/>
          <w:highlight w:val="none"/>
          <w14:ligatures w14:val="none"/>
        </w:rPr>
        <w:t>叠螺脱水系统需配套加药系统。</w:t>
      </w:r>
      <w:bookmarkEnd w:id="42"/>
    </w:p>
    <w:p w14:paraId="19D8EFA3">
      <w:pPr>
        <w:pageBreakBefore w:val="0"/>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1540FA85">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43" w:name="_Toc10976"/>
      <w:bookmarkStart w:id="44" w:name="_Toc229738180"/>
      <w:r>
        <w:rPr>
          <w:rFonts w:hint="eastAsia" w:ascii="宋体" w:hAnsi="宋体" w:eastAsia="宋体" w:cs="宋体"/>
          <w:b/>
          <w:bCs/>
          <w:sz w:val="24"/>
          <w:szCs w:val="24"/>
          <w:highlight w:val="none"/>
        </w:rPr>
        <w:t>3.3.7 噪声控制</w:t>
      </w:r>
      <w:bookmarkEnd w:id="43"/>
      <w:bookmarkEnd w:id="44"/>
    </w:p>
    <w:p w14:paraId="49684F8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选用低噪声设备，对高噪声设各采取有效的减振、隔声、消声等降噪措施，确保厂界噪声满足《工业企业厂界环境噪声排放标准》（GB 12348-2008）2类标准。相关降噪标准同时符合环评及其批复要求。</w:t>
      </w:r>
    </w:p>
    <w:p w14:paraId="65717B6D">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45" w:name="_Toc32959093"/>
      <w:bookmarkStart w:id="46" w:name="_Toc7885"/>
      <w:bookmarkStart w:id="47" w:name="_Toc229738181"/>
      <w:r>
        <w:rPr>
          <w:rFonts w:hint="eastAsia" w:ascii="宋体" w:hAnsi="宋体" w:eastAsia="宋体" w:cs="宋体"/>
          <w:b/>
          <w:bCs/>
          <w:sz w:val="24"/>
          <w:szCs w:val="24"/>
          <w:highlight w:val="none"/>
        </w:rPr>
        <w:t>3.3.8 管道系统</w:t>
      </w:r>
      <w:bookmarkEnd w:id="45"/>
      <w:bookmarkEnd w:id="46"/>
      <w:bookmarkEnd w:id="47"/>
    </w:p>
    <w:p w14:paraId="5C94CFC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管道系统设计寿命30年。</w:t>
      </w:r>
    </w:p>
    <w:p w14:paraId="3B0021A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所有管道要求能耐受1.6 MPa压力。</w:t>
      </w:r>
    </w:p>
    <w:p w14:paraId="67B6744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所有管道系统必须采用防腐材料，管道适应渗滤液的水质要求。</w:t>
      </w:r>
    </w:p>
    <w:p w14:paraId="49B5E11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★鼓风机向MBR生反池供气的空气管道全部采用304不锈钢材质；室内≤DN200的重力流污水管道采用UPVC，其他污水重力流管道均采用HDPE双壁波纹管；所有压力流污水管道采用PE实壁管，压力等级1.6 MPa。</w:t>
      </w:r>
    </w:p>
    <w:p w14:paraId="4657F153">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48" w:name="_Toc1142"/>
      <w:bookmarkStart w:id="49" w:name="_Toc229738182"/>
      <w:r>
        <w:rPr>
          <w:rFonts w:hint="eastAsia" w:ascii="宋体" w:hAnsi="宋体" w:eastAsia="宋体" w:cs="宋体"/>
          <w:b/>
          <w:bCs/>
          <w:sz w:val="24"/>
          <w:szCs w:val="24"/>
          <w:highlight w:val="none"/>
        </w:rPr>
        <w:t>3.3.9 在线监测要求</w:t>
      </w:r>
      <w:bookmarkEnd w:id="48"/>
      <w:bookmarkEnd w:id="49"/>
    </w:p>
    <w:p w14:paraId="1686134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系统中需设置的在线检测项目如下：</w:t>
      </w:r>
    </w:p>
    <w:p w14:paraId="7E04B3B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调节池仪表采用隔爆型。</w:t>
      </w:r>
    </w:p>
    <w:p w14:paraId="16E9EB2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生产废水进水流量；初期雨水进水流量；渗滤液进水流量；调节池出水管流量。</w:t>
      </w:r>
    </w:p>
    <w:p w14:paraId="37AF307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各水池（根据需要）、药剂罐液位，且具备高低液位报警。</w:t>
      </w:r>
    </w:p>
    <w:p w14:paraId="78A42F9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加药泵出口流量计。</w:t>
      </w:r>
    </w:p>
    <w:p w14:paraId="0AD3DD8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自清洗过滤器进出口压力。</w:t>
      </w:r>
    </w:p>
    <w:p w14:paraId="3B1730B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反硝化池温度、ORP；硝化池DO、pH、温度；风机风量、风压；生反池污泥浓度。</w:t>
      </w:r>
    </w:p>
    <w:p w14:paraId="7F42DED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冷却塔温度、污泥进水口温度；冷却污泥泵出口温度、冷却污泥回流管温度、冷却水管换热前后温度。</w:t>
      </w:r>
    </w:p>
    <w:p w14:paraId="4DAB0D6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各排泥管流量计。</w:t>
      </w:r>
    </w:p>
    <w:p w14:paraId="3D5A411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膜组件进出水流量、pH、电导率、温度；膜组件进水过滤器进出口压力；膜组件回流流量、压力；膜组件清液罐液位（需现场显示）、pH。</w:t>
      </w:r>
    </w:p>
    <w:p w14:paraId="7A20294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脱水机进口流量计。</w:t>
      </w:r>
    </w:p>
    <w:p w14:paraId="6E580F4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对可能存在可燃或有毒气体泄漏的场所设置可燃及有毒气体探测器，并在危险区域外设置声光报警器。</w:t>
      </w:r>
    </w:p>
    <w:p w14:paraId="555B9486">
      <w:pPr>
        <w:spacing w:line="360" w:lineRule="auto"/>
        <w:ind w:firstLine="480"/>
        <w:jc w:val="both"/>
        <w:rPr>
          <w:rFonts w:ascii="Times New Roman" w:hAnsi="Times New Roman" w:eastAsia="宋体" w:cs="Times New Roman"/>
          <w:color w:val="FF0000"/>
          <w:sz w:val="24"/>
        </w:rPr>
      </w:pPr>
      <w:bookmarkStart w:id="50" w:name="_Toc229738184"/>
      <w:r>
        <w:rPr>
          <w:rFonts w:ascii="Times New Roman" w:hAnsi="Times New Roman" w:eastAsia="宋体" w:cs="Times New Roman"/>
          <w:color w:val="FF0000"/>
          <w:sz w:val="24"/>
        </w:rPr>
        <w:t>出水在线监测仪表（位于在线监测间）如下表所示，信号上传至中控室及当地环保局。应满足当地环保局要求并通过相关验收。</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
        <w:gridCol w:w="2379"/>
        <w:gridCol w:w="5027"/>
        <w:gridCol w:w="1071"/>
        <w:gridCol w:w="281"/>
      </w:tblGrid>
      <w:tr w14:paraId="368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5BC876C9">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w:t>
            </w:r>
          </w:p>
        </w:tc>
        <w:tc>
          <w:tcPr>
            <w:tcW w:w="1286" w:type="pct"/>
            <w:noWrap w:val="0"/>
            <w:vAlign w:val="center"/>
          </w:tcPr>
          <w:p w14:paraId="5BC45ED5">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pH/T在线检测仪</w:t>
            </w:r>
          </w:p>
        </w:tc>
        <w:tc>
          <w:tcPr>
            <w:tcW w:w="2718" w:type="pct"/>
            <w:noWrap w:val="0"/>
            <w:vAlign w:val="center"/>
          </w:tcPr>
          <w:p w14:paraId="2BBED8F6">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pH：1~14、T：0～100℃，满足环保要求</w:t>
            </w:r>
          </w:p>
        </w:tc>
        <w:tc>
          <w:tcPr>
            <w:tcW w:w="579" w:type="pct"/>
            <w:noWrap w:val="0"/>
            <w:vAlign w:val="center"/>
          </w:tcPr>
          <w:p w14:paraId="5096CAEA">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155BF994">
            <w:pPr>
              <w:pageBreakBefore w:val="0"/>
              <w:widowControl/>
              <w:spacing w:after="0" w:line="360" w:lineRule="auto"/>
              <w:rPr>
                <w:rFonts w:hint="eastAsia" w:ascii="宋体" w:hAnsi="宋体" w:eastAsia="宋体" w:cs="宋体"/>
                <w:color w:val="FF0000"/>
                <w:sz w:val="24"/>
                <w:szCs w:val="24"/>
                <w:highlight w:val="none"/>
              </w:rPr>
            </w:pPr>
          </w:p>
        </w:tc>
      </w:tr>
      <w:tr w14:paraId="3378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4E6CA00F">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2</w:t>
            </w:r>
          </w:p>
        </w:tc>
        <w:tc>
          <w:tcPr>
            <w:tcW w:w="1286" w:type="pct"/>
            <w:noWrap w:val="0"/>
            <w:vAlign w:val="center"/>
          </w:tcPr>
          <w:p w14:paraId="2C6AA514">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COD在线检测仪</w:t>
            </w:r>
          </w:p>
        </w:tc>
        <w:tc>
          <w:tcPr>
            <w:tcW w:w="2718" w:type="pct"/>
            <w:noWrap w:val="0"/>
            <w:vAlign w:val="center"/>
          </w:tcPr>
          <w:p w14:paraId="52330FA3">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重铬酸钾法0～1000 mg/L，满足环保要求</w:t>
            </w:r>
          </w:p>
        </w:tc>
        <w:tc>
          <w:tcPr>
            <w:tcW w:w="579" w:type="pct"/>
            <w:noWrap w:val="0"/>
            <w:vAlign w:val="center"/>
          </w:tcPr>
          <w:p w14:paraId="5D6DCD00">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07D796AC">
            <w:pPr>
              <w:pageBreakBefore w:val="0"/>
              <w:widowControl/>
              <w:spacing w:after="0" w:line="360" w:lineRule="auto"/>
              <w:rPr>
                <w:rFonts w:hint="eastAsia" w:ascii="宋体" w:hAnsi="宋体" w:eastAsia="宋体" w:cs="宋体"/>
                <w:color w:val="FF0000"/>
                <w:sz w:val="24"/>
                <w:szCs w:val="24"/>
                <w:highlight w:val="none"/>
              </w:rPr>
            </w:pPr>
          </w:p>
        </w:tc>
      </w:tr>
      <w:tr w14:paraId="0E8E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7E01A571">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3</w:t>
            </w:r>
          </w:p>
        </w:tc>
        <w:tc>
          <w:tcPr>
            <w:tcW w:w="1286" w:type="pct"/>
            <w:noWrap w:val="0"/>
            <w:vAlign w:val="center"/>
          </w:tcPr>
          <w:p w14:paraId="65C61FCF">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NH3-N在线检测仪</w:t>
            </w:r>
          </w:p>
        </w:tc>
        <w:tc>
          <w:tcPr>
            <w:tcW w:w="2718" w:type="pct"/>
            <w:noWrap w:val="0"/>
            <w:vAlign w:val="center"/>
          </w:tcPr>
          <w:p w14:paraId="715CFA05">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0~100 mg/L，满足环保要求</w:t>
            </w:r>
          </w:p>
        </w:tc>
        <w:tc>
          <w:tcPr>
            <w:tcW w:w="579" w:type="pct"/>
            <w:noWrap w:val="0"/>
            <w:vAlign w:val="center"/>
          </w:tcPr>
          <w:p w14:paraId="30F40E9E">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177E5195">
            <w:pPr>
              <w:pageBreakBefore w:val="0"/>
              <w:widowControl/>
              <w:spacing w:after="0" w:line="360" w:lineRule="auto"/>
              <w:rPr>
                <w:rFonts w:hint="eastAsia" w:ascii="宋体" w:hAnsi="宋体" w:eastAsia="宋体" w:cs="宋体"/>
                <w:color w:val="FF0000"/>
                <w:sz w:val="24"/>
                <w:szCs w:val="24"/>
                <w:highlight w:val="none"/>
              </w:rPr>
            </w:pPr>
          </w:p>
        </w:tc>
      </w:tr>
      <w:tr w14:paraId="3B70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45F0E373">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4</w:t>
            </w:r>
          </w:p>
        </w:tc>
        <w:tc>
          <w:tcPr>
            <w:tcW w:w="1286" w:type="pct"/>
            <w:noWrap w:val="0"/>
            <w:vAlign w:val="center"/>
          </w:tcPr>
          <w:p w14:paraId="43A6BDEA">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总磷在线检测仪</w:t>
            </w:r>
          </w:p>
        </w:tc>
        <w:tc>
          <w:tcPr>
            <w:tcW w:w="2718" w:type="pct"/>
            <w:noWrap w:val="0"/>
            <w:vAlign w:val="center"/>
          </w:tcPr>
          <w:p w14:paraId="3948EF77">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0~10 mg/L，满足环保要求</w:t>
            </w:r>
          </w:p>
        </w:tc>
        <w:tc>
          <w:tcPr>
            <w:tcW w:w="579" w:type="pct"/>
            <w:noWrap w:val="0"/>
            <w:vAlign w:val="center"/>
          </w:tcPr>
          <w:p w14:paraId="33A4C018">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7810FA9D">
            <w:pPr>
              <w:pageBreakBefore w:val="0"/>
              <w:widowControl/>
              <w:spacing w:after="0" w:line="360" w:lineRule="auto"/>
              <w:rPr>
                <w:rFonts w:hint="eastAsia" w:ascii="宋体" w:hAnsi="宋体" w:eastAsia="宋体" w:cs="宋体"/>
                <w:color w:val="FF0000"/>
                <w:sz w:val="24"/>
                <w:szCs w:val="24"/>
                <w:highlight w:val="none"/>
              </w:rPr>
            </w:pPr>
          </w:p>
        </w:tc>
      </w:tr>
      <w:tr w14:paraId="144D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163E3CE0">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5</w:t>
            </w:r>
          </w:p>
        </w:tc>
        <w:tc>
          <w:tcPr>
            <w:tcW w:w="1286" w:type="pct"/>
            <w:noWrap w:val="0"/>
            <w:vAlign w:val="center"/>
          </w:tcPr>
          <w:p w14:paraId="383EAFB9">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TN在线检测仪</w:t>
            </w:r>
          </w:p>
        </w:tc>
        <w:tc>
          <w:tcPr>
            <w:tcW w:w="2718" w:type="pct"/>
            <w:noWrap w:val="0"/>
            <w:vAlign w:val="center"/>
          </w:tcPr>
          <w:p w14:paraId="5DD2AC3C">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0~100 mg/L，满足环保要求</w:t>
            </w:r>
          </w:p>
        </w:tc>
        <w:tc>
          <w:tcPr>
            <w:tcW w:w="579" w:type="pct"/>
            <w:noWrap w:val="0"/>
            <w:vAlign w:val="center"/>
          </w:tcPr>
          <w:p w14:paraId="151EDA73">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542D1B92">
            <w:pPr>
              <w:pageBreakBefore w:val="0"/>
              <w:widowControl/>
              <w:spacing w:after="0" w:line="360" w:lineRule="auto"/>
              <w:rPr>
                <w:rFonts w:hint="eastAsia" w:ascii="宋体" w:hAnsi="宋体" w:eastAsia="宋体" w:cs="宋体"/>
                <w:color w:val="FF0000"/>
                <w:sz w:val="24"/>
                <w:szCs w:val="24"/>
                <w:highlight w:val="none"/>
              </w:rPr>
            </w:pPr>
          </w:p>
        </w:tc>
      </w:tr>
      <w:tr w14:paraId="0534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24D01CA6">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6</w:t>
            </w:r>
          </w:p>
        </w:tc>
        <w:tc>
          <w:tcPr>
            <w:tcW w:w="1286" w:type="pct"/>
            <w:noWrap w:val="0"/>
            <w:vAlign w:val="center"/>
          </w:tcPr>
          <w:p w14:paraId="27308584">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数采仪</w:t>
            </w:r>
          </w:p>
        </w:tc>
        <w:tc>
          <w:tcPr>
            <w:tcW w:w="2718" w:type="pct"/>
            <w:noWrap w:val="0"/>
            <w:vAlign w:val="center"/>
          </w:tcPr>
          <w:p w14:paraId="4847EE00">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带Modbus接口，预留与环保部门通讯接口，满足环保要求</w:t>
            </w:r>
          </w:p>
        </w:tc>
        <w:tc>
          <w:tcPr>
            <w:tcW w:w="579" w:type="pct"/>
            <w:noWrap w:val="0"/>
            <w:vAlign w:val="center"/>
          </w:tcPr>
          <w:p w14:paraId="2E7B8D9A">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3F3CC96A">
            <w:pPr>
              <w:pageBreakBefore w:val="0"/>
              <w:widowControl/>
              <w:spacing w:after="0" w:line="360" w:lineRule="auto"/>
              <w:rPr>
                <w:rFonts w:hint="eastAsia" w:ascii="宋体" w:hAnsi="宋体" w:eastAsia="宋体" w:cs="宋体"/>
                <w:color w:val="FF0000"/>
                <w:sz w:val="24"/>
                <w:szCs w:val="24"/>
                <w:highlight w:val="none"/>
              </w:rPr>
            </w:pPr>
          </w:p>
        </w:tc>
      </w:tr>
      <w:tr w14:paraId="47A0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62" w:type="pct"/>
            <w:noWrap w:val="0"/>
            <w:vAlign w:val="center"/>
          </w:tcPr>
          <w:p w14:paraId="679A2AAA">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7</w:t>
            </w:r>
          </w:p>
        </w:tc>
        <w:tc>
          <w:tcPr>
            <w:tcW w:w="1286" w:type="pct"/>
            <w:noWrap w:val="0"/>
            <w:vAlign w:val="center"/>
          </w:tcPr>
          <w:p w14:paraId="3A654866">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取样系统</w:t>
            </w:r>
          </w:p>
        </w:tc>
        <w:tc>
          <w:tcPr>
            <w:tcW w:w="2718" w:type="pct"/>
            <w:noWrap w:val="0"/>
            <w:vAlign w:val="center"/>
          </w:tcPr>
          <w:p w14:paraId="379AB672">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包含采样泵、采样管路等，满足环保要求</w:t>
            </w:r>
          </w:p>
        </w:tc>
        <w:tc>
          <w:tcPr>
            <w:tcW w:w="579" w:type="pct"/>
            <w:noWrap w:val="0"/>
            <w:vAlign w:val="center"/>
          </w:tcPr>
          <w:p w14:paraId="1EBAADA2">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1套</w:t>
            </w:r>
          </w:p>
        </w:tc>
        <w:tc>
          <w:tcPr>
            <w:tcW w:w="152" w:type="pct"/>
            <w:noWrap w:val="0"/>
            <w:vAlign w:val="center"/>
          </w:tcPr>
          <w:p w14:paraId="75E7587C">
            <w:pPr>
              <w:pageBreakBefore w:val="0"/>
              <w:widowControl/>
              <w:spacing w:after="0" w:line="360" w:lineRule="auto"/>
              <w:rPr>
                <w:rFonts w:hint="eastAsia" w:ascii="宋体" w:hAnsi="宋体" w:eastAsia="宋体" w:cs="宋体"/>
                <w:color w:val="FF0000"/>
                <w:sz w:val="24"/>
                <w:szCs w:val="24"/>
                <w:highlight w:val="none"/>
              </w:rPr>
            </w:pPr>
          </w:p>
        </w:tc>
      </w:tr>
    </w:tbl>
    <w:p w14:paraId="2B89FDB0">
      <w:pPr>
        <w:pageBreakBefore w:val="0"/>
        <w:spacing w:after="0" w:line="360" w:lineRule="auto"/>
        <w:outlineLvl w:val="0"/>
        <w:rPr>
          <w:rFonts w:hint="eastAsia" w:ascii="宋体" w:hAnsi="宋体" w:eastAsia="宋体" w:cs="宋体"/>
          <w:b/>
          <w:sz w:val="24"/>
          <w:szCs w:val="24"/>
          <w:highlight w:val="none"/>
        </w:rPr>
      </w:pPr>
    </w:p>
    <w:p w14:paraId="28777319">
      <w:pPr>
        <w:pageBreakBefore w:val="0"/>
        <w:spacing w:after="0" w:line="360" w:lineRule="auto"/>
        <w:outlineLvl w:val="0"/>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3.4 </w:t>
      </w:r>
      <w:bookmarkStart w:id="51" w:name="_Toc11885"/>
      <w:r>
        <w:rPr>
          <w:rFonts w:hint="eastAsia" w:ascii="宋体" w:hAnsi="宋体" w:eastAsia="宋体" w:cs="宋体"/>
          <w:b/>
          <w:sz w:val="24"/>
          <w:szCs w:val="24"/>
          <w:highlight w:val="none"/>
        </w:rPr>
        <w:t>主要设备清单（参考）</w:t>
      </w:r>
      <w:bookmarkEnd w:id="50"/>
      <w:bookmarkEnd w:id="51"/>
    </w:p>
    <w:tbl>
      <w:tblPr>
        <w:tblStyle w:val="47"/>
        <w:tblW w:w="8926" w:type="dxa"/>
        <w:tblInd w:w="0" w:type="dxa"/>
        <w:tblLayout w:type="fixed"/>
        <w:tblCellMar>
          <w:top w:w="0" w:type="dxa"/>
          <w:left w:w="108" w:type="dxa"/>
          <w:bottom w:w="0" w:type="dxa"/>
          <w:right w:w="108" w:type="dxa"/>
        </w:tblCellMar>
      </w:tblPr>
      <w:tblGrid>
        <w:gridCol w:w="562"/>
        <w:gridCol w:w="939"/>
        <w:gridCol w:w="1368"/>
        <w:gridCol w:w="3331"/>
        <w:gridCol w:w="856"/>
        <w:gridCol w:w="736"/>
        <w:gridCol w:w="1134"/>
      </w:tblGrid>
      <w:tr w14:paraId="1EC6064E">
        <w:tblPrEx>
          <w:tblCellMar>
            <w:top w:w="0" w:type="dxa"/>
            <w:left w:w="108" w:type="dxa"/>
            <w:bottom w:w="0" w:type="dxa"/>
            <w:right w:w="108" w:type="dxa"/>
          </w:tblCellMar>
        </w:tblPrEx>
        <w:trPr>
          <w:trHeight w:val="278"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14:paraId="195DC432">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939" w:type="dxa"/>
            <w:tcBorders>
              <w:top w:val="single" w:color="auto" w:sz="4" w:space="0"/>
              <w:left w:val="nil"/>
              <w:bottom w:val="single" w:color="auto" w:sz="4" w:space="0"/>
              <w:right w:val="single" w:color="auto" w:sz="4" w:space="0"/>
            </w:tcBorders>
            <w:noWrap w:val="0"/>
            <w:vAlign w:val="center"/>
          </w:tcPr>
          <w:p w14:paraId="7AB2A832">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系统</w:t>
            </w:r>
          </w:p>
        </w:tc>
        <w:tc>
          <w:tcPr>
            <w:tcW w:w="1368" w:type="dxa"/>
            <w:tcBorders>
              <w:top w:val="single" w:color="auto" w:sz="4" w:space="0"/>
              <w:left w:val="nil"/>
              <w:bottom w:val="single" w:color="auto" w:sz="4" w:space="0"/>
              <w:right w:val="single" w:color="auto" w:sz="4" w:space="0"/>
            </w:tcBorders>
            <w:noWrap w:val="0"/>
            <w:vAlign w:val="center"/>
          </w:tcPr>
          <w:p w14:paraId="583A15AE">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设备名称</w:t>
            </w:r>
          </w:p>
        </w:tc>
        <w:tc>
          <w:tcPr>
            <w:tcW w:w="3331" w:type="dxa"/>
            <w:tcBorders>
              <w:top w:val="single" w:color="auto" w:sz="4" w:space="0"/>
              <w:left w:val="nil"/>
              <w:bottom w:val="single" w:color="auto" w:sz="4" w:space="0"/>
              <w:right w:val="single" w:color="auto" w:sz="4" w:space="0"/>
            </w:tcBorders>
            <w:noWrap w:val="0"/>
            <w:vAlign w:val="center"/>
          </w:tcPr>
          <w:p w14:paraId="5B16C484">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核心参数</w:t>
            </w:r>
          </w:p>
        </w:tc>
        <w:tc>
          <w:tcPr>
            <w:tcW w:w="856" w:type="dxa"/>
            <w:tcBorders>
              <w:top w:val="single" w:color="auto" w:sz="4" w:space="0"/>
              <w:left w:val="nil"/>
              <w:bottom w:val="single" w:color="auto" w:sz="4" w:space="0"/>
              <w:right w:val="single" w:color="auto" w:sz="4" w:space="0"/>
            </w:tcBorders>
            <w:noWrap w:val="0"/>
            <w:vAlign w:val="center"/>
          </w:tcPr>
          <w:p w14:paraId="50CED107">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单位</w:t>
            </w:r>
          </w:p>
        </w:tc>
        <w:tc>
          <w:tcPr>
            <w:tcW w:w="736" w:type="dxa"/>
            <w:tcBorders>
              <w:top w:val="single" w:color="auto" w:sz="4" w:space="0"/>
              <w:left w:val="nil"/>
              <w:bottom w:val="single" w:color="auto" w:sz="4" w:space="0"/>
              <w:right w:val="single" w:color="auto" w:sz="4" w:space="0"/>
            </w:tcBorders>
            <w:noWrap w:val="0"/>
            <w:vAlign w:val="center"/>
          </w:tcPr>
          <w:p w14:paraId="7532D9B2">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数量</w:t>
            </w:r>
          </w:p>
        </w:tc>
        <w:tc>
          <w:tcPr>
            <w:tcW w:w="1134" w:type="dxa"/>
            <w:tcBorders>
              <w:top w:val="single" w:color="auto" w:sz="4" w:space="0"/>
              <w:left w:val="nil"/>
              <w:bottom w:val="single" w:color="auto" w:sz="4" w:space="0"/>
              <w:right w:val="single" w:color="auto" w:sz="4" w:space="0"/>
            </w:tcBorders>
            <w:noWrap w:val="0"/>
            <w:vAlign w:val="center"/>
          </w:tcPr>
          <w:p w14:paraId="62C6B4A2">
            <w:pPr>
              <w:pageBreakBefore w:val="0"/>
              <w:widowControl/>
              <w:spacing w:after="0"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备注</w:t>
            </w:r>
          </w:p>
        </w:tc>
      </w:tr>
      <w:tr w14:paraId="07A0F73E">
        <w:tblPrEx>
          <w:tblCellMar>
            <w:top w:w="0" w:type="dxa"/>
            <w:left w:w="108" w:type="dxa"/>
            <w:bottom w:w="0" w:type="dxa"/>
            <w:right w:w="108" w:type="dxa"/>
          </w:tblCellMar>
        </w:tblPrEx>
        <w:trPr>
          <w:trHeight w:val="555"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554C0C1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39" w:type="dxa"/>
            <w:vMerge w:val="restart"/>
            <w:tcBorders>
              <w:top w:val="nil"/>
              <w:left w:val="single" w:color="auto" w:sz="4" w:space="0"/>
              <w:bottom w:val="single" w:color="auto" w:sz="4" w:space="0"/>
              <w:right w:val="single" w:color="auto" w:sz="4" w:space="0"/>
            </w:tcBorders>
            <w:noWrap w:val="0"/>
            <w:vAlign w:val="center"/>
          </w:tcPr>
          <w:p w14:paraId="49ADC84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收集池系统</w:t>
            </w:r>
          </w:p>
        </w:tc>
        <w:tc>
          <w:tcPr>
            <w:tcW w:w="1368" w:type="dxa"/>
            <w:tcBorders>
              <w:top w:val="nil"/>
              <w:left w:val="nil"/>
              <w:bottom w:val="single" w:color="auto" w:sz="4" w:space="0"/>
              <w:right w:val="single" w:color="auto" w:sz="4" w:space="0"/>
            </w:tcBorders>
            <w:noWrap w:val="0"/>
            <w:vAlign w:val="center"/>
          </w:tcPr>
          <w:p w14:paraId="27C983A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格栅机</w:t>
            </w:r>
          </w:p>
        </w:tc>
        <w:tc>
          <w:tcPr>
            <w:tcW w:w="3331" w:type="dxa"/>
            <w:tcBorders>
              <w:top w:val="nil"/>
              <w:left w:val="nil"/>
              <w:bottom w:val="single" w:color="auto" w:sz="4" w:space="0"/>
              <w:right w:val="single" w:color="auto" w:sz="4" w:space="0"/>
            </w:tcBorders>
            <w:noWrap w:val="0"/>
            <w:vAlign w:val="center"/>
          </w:tcPr>
          <w:p w14:paraId="4CCD1A0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栅间隙3 mm，流量&gt;8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/h，安装角度75°材质：304，耙齿：ABS</w:t>
            </w:r>
          </w:p>
        </w:tc>
        <w:tc>
          <w:tcPr>
            <w:tcW w:w="856" w:type="dxa"/>
            <w:tcBorders>
              <w:top w:val="nil"/>
              <w:left w:val="nil"/>
              <w:bottom w:val="single" w:color="auto" w:sz="4" w:space="0"/>
              <w:right w:val="single" w:color="auto" w:sz="4" w:space="0"/>
            </w:tcBorders>
            <w:noWrap/>
            <w:vAlign w:val="center"/>
          </w:tcPr>
          <w:p w14:paraId="641174D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3F6B3CA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1FB36EAA">
            <w:pPr>
              <w:pageBreakBefore w:val="0"/>
              <w:widowControl/>
              <w:spacing w:after="0" w:line="360" w:lineRule="auto"/>
              <w:ind w:firstLine="420"/>
              <w:jc w:val="center"/>
              <w:rPr>
                <w:rFonts w:hint="eastAsia" w:ascii="宋体" w:hAnsi="宋体" w:eastAsia="宋体" w:cs="宋体"/>
                <w:sz w:val="24"/>
                <w:szCs w:val="24"/>
                <w:highlight w:val="none"/>
              </w:rPr>
            </w:pPr>
          </w:p>
        </w:tc>
      </w:tr>
      <w:tr w14:paraId="11EBE882">
        <w:tblPrEx>
          <w:tblCellMar>
            <w:top w:w="0" w:type="dxa"/>
            <w:left w:w="108" w:type="dxa"/>
            <w:bottom w:w="0" w:type="dxa"/>
            <w:right w:w="108" w:type="dxa"/>
          </w:tblCellMar>
        </w:tblPrEx>
        <w:trPr>
          <w:trHeight w:val="593"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5E2B018B">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485A435">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0"/>
            <w:vAlign w:val="center"/>
          </w:tcPr>
          <w:p w14:paraId="5BC680A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搅拌机</w:t>
            </w:r>
          </w:p>
        </w:tc>
        <w:tc>
          <w:tcPr>
            <w:tcW w:w="3331" w:type="dxa"/>
            <w:tcBorders>
              <w:top w:val="nil"/>
              <w:left w:val="nil"/>
              <w:bottom w:val="single" w:color="auto" w:sz="4" w:space="0"/>
              <w:right w:val="single" w:color="auto" w:sz="4" w:space="0"/>
            </w:tcBorders>
            <w:noWrap w:val="0"/>
            <w:vAlign w:val="center"/>
          </w:tcPr>
          <w:p w14:paraId="05BB699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潜水搅拌器，功率大于1.5 kW，主机材质304材质，导轨及提升材质SUS304</w:t>
            </w:r>
          </w:p>
        </w:tc>
        <w:tc>
          <w:tcPr>
            <w:tcW w:w="856" w:type="dxa"/>
            <w:tcBorders>
              <w:top w:val="nil"/>
              <w:left w:val="nil"/>
              <w:bottom w:val="single" w:color="auto" w:sz="4" w:space="0"/>
              <w:right w:val="single" w:color="auto" w:sz="4" w:space="0"/>
            </w:tcBorders>
            <w:noWrap w:val="0"/>
            <w:vAlign w:val="center"/>
          </w:tcPr>
          <w:p w14:paraId="3C5A5DA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0"/>
            <w:vAlign w:val="center"/>
          </w:tcPr>
          <w:p w14:paraId="5452B5E6">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129812E0">
            <w:pPr>
              <w:pageBreakBefore w:val="0"/>
              <w:widowControl/>
              <w:spacing w:after="0" w:line="360" w:lineRule="auto"/>
              <w:ind w:firstLine="420"/>
              <w:jc w:val="center"/>
              <w:rPr>
                <w:rFonts w:hint="eastAsia" w:ascii="宋体" w:hAnsi="宋体" w:eastAsia="宋体" w:cs="宋体"/>
                <w:sz w:val="24"/>
                <w:szCs w:val="24"/>
                <w:highlight w:val="none"/>
              </w:rPr>
            </w:pPr>
          </w:p>
        </w:tc>
      </w:tr>
      <w:tr w14:paraId="18645708">
        <w:tblPrEx>
          <w:tblCellMar>
            <w:top w:w="0" w:type="dxa"/>
            <w:left w:w="108" w:type="dxa"/>
            <w:bottom w:w="0" w:type="dxa"/>
            <w:right w:w="108" w:type="dxa"/>
          </w:tblCellMar>
        </w:tblPrEx>
        <w:trPr>
          <w:trHeight w:val="66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5BB00ADE">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56B50239">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0"/>
            <w:vAlign w:val="center"/>
          </w:tcPr>
          <w:p w14:paraId="0B89F1E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提升泵</w:t>
            </w:r>
          </w:p>
        </w:tc>
        <w:tc>
          <w:tcPr>
            <w:tcW w:w="3331" w:type="dxa"/>
            <w:tcBorders>
              <w:top w:val="nil"/>
              <w:left w:val="nil"/>
              <w:bottom w:val="single" w:color="auto" w:sz="4" w:space="0"/>
              <w:right w:val="single" w:color="auto" w:sz="4" w:space="0"/>
            </w:tcBorders>
            <w:noWrap w:val="0"/>
            <w:vAlign w:val="center"/>
          </w:tcPr>
          <w:p w14:paraId="2A8646E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切割潜污泵泵，流量15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/h，扬程20 m，过流部件不锈钢304</w:t>
            </w:r>
          </w:p>
        </w:tc>
        <w:tc>
          <w:tcPr>
            <w:tcW w:w="856" w:type="dxa"/>
            <w:tcBorders>
              <w:top w:val="nil"/>
              <w:left w:val="nil"/>
              <w:bottom w:val="single" w:color="auto" w:sz="4" w:space="0"/>
              <w:right w:val="single" w:color="auto" w:sz="4" w:space="0"/>
            </w:tcBorders>
            <w:noWrap w:val="0"/>
            <w:vAlign w:val="center"/>
          </w:tcPr>
          <w:p w14:paraId="500C707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0"/>
            <w:vAlign w:val="center"/>
          </w:tcPr>
          <w:p w14:paraId="14D4288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0"/>
            <w:vAlign w:val="center"/>
          </w:tcPr>
          <w:p w14:paraId="5705C60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24AE44C7">
        <w:tblPrEx>
          <w:tblCellMar>
            <w:top w:w="0" w:type="dxa"/>
            <w:left w:w="108" w:type="dxa"/>
            <w:bottom w:w="0" w:type="dxa"/>
            <w:right w:w="108" w:type="dxa"/>
          </w:tblCellMar>
        </w:tblPrEx>
        <w:trPr>
          <w:trHeight w:val="525"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63B5FCE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39" w:type="dxa"/>
            <w:vMerge w:val="restart"/>
            <w:tcBorders>
              <w:top w:val="nil"/>
              <w:left w:val="single" w:color="auto" w:sz="4" w:space="0"/>
              <w:bottom w:val="single" w:color="auto" w:sz="4" w:space="0"/>
              <w:right w:val="single" w:color="auto" w:sz="4" w:space="0"/>
            </w:tcBorders>
            <w:noWrap w:val="0"/>
            <w:vAlign w:val="center"/>
          </w:tcPr>
          <w:p w14:paraId="28D0B62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预处理系统</w:t>
            </w:r>
          </w:p>
        </w:tc>
        <w:tc>
          <w:tcPr>
            <w:tcW w:w="1368" w:type="dxa"/>
            <w:tcBorders>
              <w:top w:val="nil"/>
              <w:left w:val="nil"/>
              <w:bottom w:val="single" w:color="auto" w:sz="4" w:space="0"/>
              <w:right w:val="single" w:color="auto" w:sz="4" w:space="0"/>
            </w:tcBorders>
            <w:noWrap w:val="0"/>
            <w:vAlign w:val="center"/>
          </w:tcPr>
          <w:p w14:paraId="0637592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微滤机</w:t>
            </w:r>
          </w:p>
        </w:tc>
        <w:tc>
          <w:tcPr>
            <w:tcW w:w="3331" w:type="dxa"/>
            <w:tcBorders>
              <w:top w:val="nil"/>
              <w:left w:val="nil"/>
              <w:bottom w:val="single" w:color="auto" w:sz="4" w:space="0"/>
              <w:right w:val="single" w:color="auto" w:sz="4" w:space="0"/>
            </w:tcBorders>
            <w:noWrap w:val="0"/>
            <w:vAlign w:val="center"/>
          </w:tcPr>
          <w:p w14:paraId="3F9DB78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进水流量Q=20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/h，不锈钢304材质，内网60目</w:t>
            </w:r>
          </w:p>
        </w:tc>
        <w:tc>
          <w:tcPr>
            <w:tcW w:w="856" w:type="dxa"/>
            <w:tcBorders>
              <w:top w:val="nil"/>
              <w:left w:val="nil"/>
              <w:bottom w:val="single" w:color="auto" w:sz="4" w:space="0"/>
              <w:right w:val="single" w:color="auto" w:sz="4" w:space="0"/>
            </w:tcBorders>
            <w:noWrap w:val="0"/>
            <w:vAlign w:val="center"/>
          </w:tcPr>
          <w:p w14:paraId="272816C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0"/>
            <w:vAlign w:val="center"/>
          </w:tcPr>
          <w:p w14:paraId="2769CF4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6585FE92">
            <w:pPr>
              <w:pageBreakBefore w:val="0"/>
              <w:widowControl/>
              <w:spacing w:after="0" w:line="360" w:lineRule="auto"/>
              <w:ind w:firstLine="420"/>
              <w:jc w:val="center"/>
              <w:rPr>
                <w:rFonts w:hint="eastAsia" w:ascii="宋体" w:hAnsi="宋体" w:eastAsia="宋体" w:cs="宋体"/>
                <w:sz w:val="24"/>
                <w:szCs w:val="24"/>
                <w:highlight w:val="none"/>
              </w:rPr>
            </w:pPr>
          </w:p>
        </w:tc>
      </w:tr>
      <w:tr w14:paraId="6A5BDC29">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5A0EF0B1">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19D0217A">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0"/>
            <w:vAlign w:val="center"/>
          </w:tcPr>
          <w:p w14:paraId="1C1E78A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隔油设备</w:t>
            </w:r>
          </w:p>
        </w:tc>
        <w:tc>
          <w:tcPr>
            <w:tcW w:w="3331" w:type="dxa"/>
            <w:tcBorders>
              <w:top w:val="nil"/>
              <w:left w:val="nil"/>
              <w:bottom w:val="single" w:color="auto" w:sz="4" w:space="0"/>
              <w:right w:val="single" w:color="auto" w:sz="4" w:space="0"/>
            </w:tcBorders>
            <w:noWrap w:val="0"/>
            <w:vAlign w:val="center"/>
          </w:tcPr>
          <w:p w14:paraId="0D0EA0E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进水流量Q=20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/h，不锈钢304材质</w:t>
            </w:r>
          </w:p>
        </w:tc>
        <w:tc>
          <w:tcPr>
            <w:tcW w:w="856" w:type="dxa"/>
            <w:tcBorders>
              <w:top w:val="nil"/>
              <w:left w:val="nil"/>
              <w:bottom w:val="single" w:color="auto" w:sz="4" w:space="0"/>
              <w:right w:val="single" w:color="auto" w:sz="4" w:space="0"/>
            </w:tcBorders>
            <w:noWrap w:val="0"/>
            <w:vAlign w:val="center"/>
          </w:tcPr>
          <w:p w14:paraId="415A4F7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0"/>
            <w:vAlign w:val="center"/>
          </w:tcPr>
          <w:p w14:paraId="172A69C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35D889BF">
            <w:pPr>
              <w:pageBreakBefore w:val="0"/>
              <w:widowControl/>
              <w:spacing w:after="0" w:line="360" w:lineRule="auto"/>
              <w:ind w:firstLine="420"/>
              <w:jc w:val="center"/>
              <w:rPr>
                <w:rFonts w:hint="eastAsia" w:ascii="宋体" w:hAnsi="宋体" w:eastAsia="宋体" w:cs="宋体"/>
                <w:sz w:val="24"/>
                <w:szCs w:val="24"/>
                <w:highlight w:val="none"/>
              </w:rPr>
            </w:pPr>
          </w:p>
        </w:tc>
      </w:tr>
      <w:tr w14:paraId="2397E4FC">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6C67FB08">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6D7879BC">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68D091A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排泥泵</w:t>
            </w:r>
          </w:p>
        </w:tc>
        <w:tc>
          <w:tcPr>
            <w:tcW w:w="3331" w:type="dxa"/>
            <w:tcBorders>
              <w:top w:val="nil"/>
              <w:left w:val="nil"/>
              <w:bottom w:val="single" w:color="auto" w:sz="4" w:space="0"/>
              <w:right w:val="single" w:color="auto" w:sz="4" w:space="0"/>
            </w:tcBorders>
            <w:noWrap w:val="0"/>
            <w:vAlign w:val="center"/>
          </w:tcPr>
          <w:p w14:paraId="3204AEA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Q=5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/h，H=20 m，不锈钢304，</w:t>
            </w:r>
          </w:p>
        </w:tc>
        <w:tc>
          <w:tcPr>
            <w:tcW w:w="856" w:type="dxa"/>
            <w:tcBorders>
              <w:top w:val="nil"/>
              <w:left w:val="nil"/>
              <w:bottom w:val="single" w:color="auto" w:sz="4" w:space="0"/>
              <w:right w:val="single" w:color="auto" w:sz="4" w:space="0"/>
            </w:tcBorders>
            <w:noWrap/>
            <w:vAlign w:val="center"/>
          </w:tcPr>
          <w:p w14:paraId="525D9AA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454FE90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000F3A1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00492F2E">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0A0AB95A">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1952B81">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7B1D90D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搅拌机</w:t>
            </w:r>
          </w:p>
        </w:tc>
        <w:tc>
          <w:tcPr>
            <w:tcW w:w="3331" w:type="dxa"/>
            <w:tcBorders>
              <w:top w:val="nil"/>
              <w:left w:val="nil"/>
              <w:bottom w:val="single" w:color="auto" w:sz="4" w:space="0"/>
              <w:right w:val="single" w:color="auto" w:sz="4" w:space="0"/>
            </w:tcBorders>
            <w:noWrap w:val="0"/>
            <w:vAlign w:val="center"/>
          </w:tcPr>
          <w:p w14:paraId="74D6761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潜水搅拌器，功率大于1.5 kW，主机材质304材质，导轨及提升材质SUS304</w:t>
            </w:r>
          </w:p>
        </w:tc>
        <w:tc>
          <w:tcPr>
            <w:tcW w:w="856" w:type="dxa"/>
            <w:tcBorders>
              <w:top w:val="nil"/>
              <w:left w:val="nil"/>
              <w:bottom w:val="single" w:color="auto" w:sz="4" w:space="0"/>
              <w:right w:val="single" w:color="auto" w:sz="4" w:space="0"/>
            </w:tcBorders>
            <w:noWrap/>
            <w:vAlign w:val="center"/>
          </w:tcPr>
          <w:p w14:paraId="234E3CA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26795FE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7CD21938">
            <w:pPr>
              <w:pageBreakBefore w:val="0"/>
              <w:widowControl/>
              <w:spacing w:after="0" w:line="360" w:lineRule="auto"/>
              <w:ind w:firstLine="400"/>
              <w:jc w:val="center"/>
              <w:rPr>
                <w:rFonts w:hint="eastAsia" w:ascii="宋体" w:hAnsi="宋体" w:eastAsia="宋体" w:cs="宋体"/>
                <w:sz w:val="24"/>
                <w:szCs w:val="24"/>
                <w:highlight w:val="none"/>
              </w:rPr>
            </w:pPr>
          </w:p>
        </w:tc>
      </w:tr>
      <w:tr w14:paraId="50AA37A3">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041B4207">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3DF5DFDF">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68CC607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提升泵</w:t>
            </w:r>
          </w:p>
        </w:tc>
        <w:tc>
          <w:tcPr>
            <w:tcW w:w="3331" w:type="dxa"/>
            <w:tcBorders>
              <w:top w:val="nil"/>
              <w:left w:val="nil"/>
              <w:bottom w:val="single" w:color="auto" w:sz="4" w:space="0"/>
              <w:right w:val="single" w:color="auto" w:sz="4" w:space="0"/>
            </w:tcBorders>
            <w:noWrap w:val="0"/>
            <w:vAlign w:val="center"/>
          </w:tcPr>
          <w:p w14:paraId="1BF94B1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潜污泵，流量15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/h，扬程20 m，不锈钢304</w:t>
            </w:r>
          </w:p>
        </w:tc>
        <w:tc>
          <w:tcPr>
            <w:tcW w:w="856" w:type="dxa"/>
            <w:tcBorders>
              <w:top w:val="nil"/>
              <w:left w:val="nil"/>
              <w:bottom w:val="single" w:color="auto" w:sz="4" w:space="0"/>
              <w:right w:val="single" w:color="auto" w:sz="4" w:space="0"/>
            </w:tcBorders>
            <w:noWrap/>
            <w:vAlign w:val="center"/>
          </w:tcPr>
          <w:p w14:paraId="204C557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5A3D28D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493B102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6013BF9A">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7C14CADA">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21401435">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4F98B5A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气浮机</w:t>
            </w:r>
          </w:p>
        </w:tc>
        <w:tc>
          <w:tcPr>
            <w:tcW w:w="3331" w:type="dxa"/>
            <w:tcBorders>
              <w:top w:val="nil"/>
              <w:left w:val="nil"/>
              <w:bottom w:val="single" w:color="auto" w:sz="4" w:space="0"/>
              <w:right w:val="single" w:color="auto" w:sz="4" w:space="0"/>
            </w:tcBorders>
            <w:noWrap w:val="0"/>
            <w:vAlign w:val="center"/>
          </w:tcPr>
          <w:p w14:paraId="2BE17FB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溶气气浮，处理量20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/h，带2个反应槽，碳钢防腐材质</w:t>
            </w:r>
          </w:p>
        </w:tc>
        <w:tc>
          <w:tcPr>
            <w:tcW w:w="856" w:type="dxa"/>
            <w:tcBorders>
              <w:top w:val="nil"/>
              <w:left w:val="nil"/>
              <w:bottom w:val="single" w:color="auto" w:sz="4" w:space="0"/>
              <w:right w:val="single" w:color="auto" w:sz="4" w:space="0"/>
            </w:tcBorders>
            <w:noWrap/>
            <w:vAlign w:val="center"/>
          </w:tcPr>
          <w:p w14:paraId="0092E07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27F94D4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4CD3B240">
            <w:pPr>
              <w:pageBreakBefore w:val="0"/>
              <w:widowControl/>
              <w:spacing w:after="0" w:line="360" w:lineRule="auto"/>
              <w:ind w:firstLine="400"/>
              <w:jc w:val="center"/>
              <w:rPr>
                <w:rFonts w:hint="eastAsia" w:ascii="宋体" w:hAnsi="宋体" w:eastAsia="宋体" w:cs="宋体"/>
                <w:sz w:val="24"/>
                <w:szCs w:val="24"/>
                <w:highlight w:val="none"/>
              </w:rPr>
            </w:pPr>
          </w:p>
        </w:tc>
      </w:tr>
      <w:tr w14:paraId="65A488D3">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43D95AE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39" w:type="dxa"/>
            <w:vMerge w:val="restart"/>
            <w:tcBorders>
              <w:top w:val="nil"/>
              <w:left w:val="single" w:color="auto" w:sz="4" w:space="0"/>
              <w:bottom w:val="single" w:color="auto" w:sz="4" w:space="0"/>
              <w:right w:val="single" w:color="auto" w:sz="4" w:space="0"/>
            </w:tcBorders>
            <w:noWrap w:val="0"/>
            <w:vAlign w:val="center"/>
          </w:tcPr>
          <w:p w14:paraId="2425DD4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调节池系统</w:t>
            </w:r>
          </w:p>
        </w:tc>
        <w:tc>
          <w:tcPr>
            <w:tcW w:w="1368" w:type="dxa"/>
            <w:tcBorders>
              <w:top w:val="nil"/>
              <w:left w:val="nil"/>
              <w:bottom w:val="single" w:color="auto" w:sz="4" w:space="0"/>
              <w:right w:val="single" w:color="auto" w:sz="4" w:space="0"/>
            </w:tcBorders>
            <w:noWrap/>
            <w:vAlign w:val="center"/>
          </w:tcPr>
          <w:p w14:paraId="7B35894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搅拌机</w:t>
            </w:r>
          </w:p>
        </w:tc>
        <w:tc>
          <w:tcPr>
            <w:tcW w:w="3331" w:type="dxa"/>
            <w:tcBorders>
              <w:top w:val="nil"/>
              <w:left w:val="nil"/>
              <w:bottom w:val="single" w:color="auto" w:sz="4" w:space="0"/>
              <w:right w:val="single" w:color="auto" w:sz="4" w:space="0"/>
            </w:tcBorders>
            <w:noWrap w:val="0"/>
            <w:vAlign w:val="center"/>
          </w:tcPr>
          <w:p w14:paraId="24FDFD5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潜水搅拌器，功率大于2.5 kW，主机材质304材质，导轨及提升材质SUS304</w:t>
            </w:r>
          </w:p>
        </w:tc>
        <w:tc>
          <w:tcPr>
            <w:tcW w:w="856" w:type="dxa"/>
            <w:tcBorders>
              <w:top w:val="nil"/>
              <w:left w:val="nil"/>
              <w:bottom w:val="single" w:color="auto" w:sz="4" w:space="0"/>
              <w:right w:val="single" w:color="auto" w:sz="4" w:space="0"/>
            </w:tcBorders>
            <w:noWrap/>
            <w:vAlign w:val="center"/>
          </w:tcPr>
          <w:p w14:paraId="4E8C1CE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7209414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1BF06CB0">
            <w:pPr>
              <w:pageBreakBefore w:val="0"/>
              <w:widowControl/>
              <w:spacing w:after="0" w:line="360" w:lineRule="auto"/>
              <w:ind w:firstLine="400"/>
              <w:jc w:val="center"/>
              <w:rPr>
                <w:rFonts w:hint="eastAsia" w:ascii="宋体" w:hAnsi="宋体" w:eastAsia="宋体" w:cs="宋体"/>
                <w:sz w:val="24"/>
                <w:szCs w:val="24"/>
                <w:highlight w:val="none"/>
              </w:rPr>
            </w:pPr>
          </w:p>
        </w:tc>
      </w:tr>
      <w:tr w14:paraId="4DACB3B6">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7725DCEC">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D94D41D">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1CF04D5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提升泵</w:t>
            </w:r>
          </w:p>
        </w:tc>
        <w:tc>
          <w:tcPr>
            <w:tcW w:w="3331" w:type="dxa"/>
            <w:tcBorders>
              <w:top w:val="nil"/>
              <w:left w:val="nil"/>
              <w:bottom w:val="single" w:color="auto" w:sz="4" w:space="0"/>
              <w:right w:val="single" w:color="auto" w:sz="4" w:space="0"/>
            </w:tcBorders>
            <w:noWrap w:val="0"/>
            <w:vAlign w:val="center"/>
          </w:tcPr>
          <w:p w14:paraId="1688F8D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流量8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/h，扬程15 m，不锈钢304</w:t>
            </w:r>
          </w:p>
        </w:tc>
        <w:tc>
          <w:tcPr>
            <w:tcW w:w="856" w:type="dxa"/>
            <w:tcBorders>
              <w:top w:val="nil"/>
              <w:left w:val="nil"/>
              <w:bottom w:val="single" w:color="auto" w:sz="4" w:space="0"/>
              <w:right w:val="single" w:color="auto" w:sz="4" w:space="0"/>
            </w:tcBorders>
            <w:noWrap/>
            <w:vAlign w:val="center"/>
          </w:tcPr>
          <w:p w14:paraId="6E188B1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6405533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338D086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40A097A8">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ign w:val="center"/>
          </w:tcPr>
          <w:p w14:paraId="2FA7E99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939" w:type="dxa"/>
            <w:vMerge w:val="restart"/>
            <w:tcBorders>
              <w:top w:val="nil"/>
              <w:left w:val="single" w:color="auto" w:sz="4" w:space="0"/>
              <w:bottom w:val="single" w:color="auto" w:sz="4" w:space="0"/>
              <w:right w:val="single" w:color="auto" w:sz="4" w:space="0"/>
            </w:tcBorders>
            <w:noWrap w:val="0"/>
            <w:vAlign w:val="center"/>
          </w:tcPr>
          <w:p w14:paraId="0BF12AB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缺氧生化系统</w:t>
            </w:r>
          </w:p>
        </w:tc>
        <w:tc>
          <w:tcPr>
            <w:tcW w:w="1368" w:type="dxa"/>
            <w:tcBorders>
              <w:top w:val="nil"/>
              <w:left w:val="nil"/>
              <w:bottom w:val="single" w:color="auto" w:sz="4" w:space="0"/>
              <w:right w:val="single" w:color="auto" w:sz="4" w:space="0"/>
            </w:tcBorders>
            <w:noWrap/>
            <w:vAlign w:val="center"/>
          </w:tcPr>
          <w:p w14:paraId="08A6C38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进水过滤器</w:t>
            </w:r>
          </w:p>
        </w:tc>
        <w:tc>
          <w:tcPr>
            <w:tcW w:w="3331" w:type="dxa"/>
            <w:tcBorders>
              <w:top w:val="nil"/>
              <w:left w:val="nil"/>
              <w:bottom w:val="single" w:color="auto" w:sz="4" w:space="0"/>
              <w:right w:val="single" w:color="auto" w:sz="4" w:space="0"/>
            </w:tcBorders>
            <w:noWrap w:val="0"/>
            <w:vAlign w:val="center"/>
          </w:tcPr>
          <w:p w14:paraId="417C1ED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袋式过滤器，过流量20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/h，壳体SUS304</w:t>
            </w:r>
          </w:p>
        </w:tc>
        <w:tc>
          <w:tcPr>
            <w:tcW w:w="856" w:type="dxa"/>
            <w:tcBorders>
              <w:top w:val="nil"/>
              <w:left w:val="nil"/>
              <w:bottom w:val="single" w:color="auto" w:sz="4" w:space="0"/>
              <w:right w:val="single" w:color="auto" w:sz="4" w:space="0"/>
            </w:tcBorders>
            <w:noWrap/>
            <w:vAlign w:val="center"/>
          </w:tcPr>
          <w:p w14:paraId="446239E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48F1398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12F2FFB6">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5A8866A1">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287833D7">
            <w:pPr>
              <w:pageBreakBefore w:val="0"/>
              <w:widowControl/>
              <w:spacing w:after="0" w:line="360" w:lineRule="auto"/>
              <w:ind w:firstLine="48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1DE6084E">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4C82F0F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搅拌机</w:t>
            </w:r>
          </w:p>
        </w:tc>
        <w:tc>
          <w:tcPr>
            <w:tcW w:w="3331" w:type="dxa"/>
            <w:tcBorders>
              <w:top w:val="nil"/>
              <w:left w:val="nil"/>
              <w:bottom w:val="single" w:color="auto" w:sz="4" w:space="0"/>
              <w:right w:val="single" w:color="auto" w:sz="4" w:space="0"/>
            </w:tcBorders>
            <w:noWrap w:val="0"/>
            <w:vAlign w:val="center"/>
          </w:tcPr>
          <w:p w14:paraId="3835704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潜水搅拌器，功率3.0 kW，主机材质304材质，导轨及提升材质SUS304</w:t>
            </w:r>
          </w:p>
        </w:tc>
        <w:tc>
          <w:tcPr>
            <w:tcW w:w="856" w:type="dxa"/>
            <w:tcBorders>
              <w:top w:val="nil"/>
              <w:left w:val="nil"/>
              <w:bottom w:val="single" w:color="auto" w:sz="4" w:space="0"/>
              <w:right w:val="single" w:color="auto" w:sz="4" w:space="0"/>
            </w:tcBorders>
            <w:noWrap/>
            <w:vAlign w:val="center"/>
          </w:tcPr>
          <w:p w14:paraId="25BC644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2E4332D6">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134" w:type="dxa"/>
            <w:tcBorders>
              <w:top w:val="nil"/>
              <w:left w:val="nil"/>
              <w:bottom w:val="single" w:color="auto" w:sz="4" w:space="0"/>
              <w:right w:val="single" w:color="auto" w:sz="4" w:space="0"/>
            </w:tcBorders>
            <w:noWrap/>
            <w:vAlign w:val="center"/>
          </w:tcPr>
          <w:p w14:paraId="22D1E391">
            <w:pPr>
              <w:pageBreakBefore w:val="0"/>
              <w:widowControl/>
              <w:spacing w:after="0" w:line="360" w:lineRule="auto"/>
              <w:ind w:firstLine="400"/>
              <w:jc w:val="center"/>
              <w:rPr>
                <w:rFonts w:hint="eastAsia" w:ascii="宋体" w:hAnsi="宋体" w:eastAsia="宋体" w:cs="宋体"/>
                <w:sz w:val="24"/>
                <w:szCs w:val="24"/>
                <w:highlight w:val="none"/>
              </w:rPr>
            </w:pPr>
          </w:p>
        </w:tc>
      </w:tr>
      <w:tr w14:paraId="587E14BC">
        <w:tblPrEx>
          <w:tblCellMar>
            <w:top w:w="0" w:type="dxa"/>
            <w:left w:w="108" w:type="dxa"/>
            <w:bottom w:w="0" w:type="dxa"/>
            <w:right w:w="108" w:type="dxa"/>
          </w:tblCellMar>
        </w:tblPrEx>
        <w:trPr>
          <w:trHeight w:val="278"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45A0EF7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939" w:type="dxa"/>
            <w:vMerge w:val="restart"/>
            <w:tcBorders>
              <w:top w:val="nil"/>
              <w:left w:val="single" w:color="auto" w:sz="4" w:space="0"/>
              <w:bottom w:val="single" w:color="auto" w:sz="4" w:space="0"/>
              <w:right w:val="single" w:color="auto" w:sz="4" w:space="0"/>
            </w:tcBorders>
            <w:noWrap w:val="0"/>
            <w:vAlign w:val="center"/>
          </w:tcPr>
          <w:p w14:paraId="1D8D228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好氧生化系统</w:t>
            </w:r>
          </w:p>
        </w:tc>
        <w:tc>
          <w:tcPr>
            <w:tcW w:w="1368" w:type="dxa"/>
            <w:tcBorders>
              <w:top w:val="nil"/>
              <w:left w:val="nil"/>
              <w:bottom w:val="single" w:color="auto" w:sz="4" w:space="0"/>
              <w:right w:val="single" w:color="auto" w:sz="4" w:space="0"/>
            </w:tcBorders>
            <w:noWrap/>
            <w:vAlign w:val="center"/>
          </w:tcPr>
          <w:p w14:paraId="610F4AC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空气悬浮</w:t>
            </w:r>
          </w:p>
          <w:p w14:paraId="7DC0FDD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风机</w:t>
            </w:r>
          </w:p>
        </w:tc>
        <w:tc>
          <w:tcPr>
            <w:tcW w:w="3331" w:type="dxa"/>
            <w:tcBorders>
              <w:top w:val="nil"/>
              <w:left w:val="nil"/>
              <w:bottom w:val="single" w:color="auto" w:sz="4" w:space="0"/>
              <w:right w:val="single" w:color="auto" w:sz="4" w:space="0"/>
            </w:tcBorders>
            <w:noWrap w:val="0"/>
            <w:vAlign w:val="center"/>
          </w:tcPr>
          <w:p w14:paraId="5E2E836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风量大于50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/min，水深大于6000 mm</w:t>
            </w:r>
          </w:p>
        </w:tc>
        <w:tc>
          <w:tcPr>
            <w:tcW w:w="856" w:type="dxa"/>
            <w:tcBorders>
              <w:top w:val="nil"/>
              <w:left w:val="nil"/>
              <w:bottom w:val="single" w:color="auto" w:sz="4" w:space="0"/>
              <w:right w:val="single" w:color="auto" w:sz="4" w:space="0"/>
            </w:tcBorders>
            <w:noWrap/>
            <w:vAlign w:val="center"/>
          </w:tcPr>
          <w:p w14:paraId="376981D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6EF8EE2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134" w:type="dxa"/>
            <w:tcBorders>
              <w:top w:val="nil"/>
              <w:left w:val="nil"/>
              <w:bottom w:val="single" w:color="auto" w:sz="4" w:space="0"/>
              <w:right w:val="single" w:color="auto" w:sz="4" w:space="0"/>
            </w:tcBorders>
            <w:noWrap/>
            <w:vAlign w:val="center"/>
          </w:tcPr>
          <w:p w14:paraId="6B57AFF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2用1备</w:t>
            </w:r>
          </w:p>
        </w:tc>
      </w:tr>
      <w:tr w14:paraId="719077B7">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6AA8CE1D">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3CB98238">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1BD9B90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曝气器</w:t>
            </w:r>
          </w:p>
        </w:tc>
        <w:tc>
          <w:tcPr>
            <w:tcW w:w="3331" w:type="dxa"/>
            <w:tcBorders>
              <w:top w:val="nil"/>
              <w:left w:val="nil"/>
              <w:bottom w:val="single" w:color="auto" w:sz="4" w:space="0"/>
              <w:right w:val="single" w:color="auto" w:sz="4" w:space="0"/>
            </w:tcBorders>
            <w:noWrap w:val="0"/>
            <w:vAlign w:val="center"/>
          </w:tcPr>
          <w:p w14:paraId="4190A1A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专用曝气器，PP材质，总曝气风量大于100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/min</w:t>
            </w:r>
          </w:p>
        </w:tc>
        <w:tc>
          <w:tcPr>
            <w:tcW w:w="856" w:type="dxa"/>
            <w:tcBorders>
              <w:top w:val="nil"/>
              <w:left w:val="nil"/>
              <w:bottom w:val="single" w:color="auto" w:sz="4" w:space="0"/>
              <w:right w:val="single" w:color="auto" w:sz="4" w:space="0"/>
            </w:tcBorders>
            <w:noWrap/>
            <w:vAlign w:val="center"/>
          </w:tcPr>
          <w:p w14:paraId="25FA3E9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736" w:type="dxa"/>
            <w:tcBorders>
              <w:top w:val="nil"/>
              <w:left w:val="nil"/>
              <w:bottom w:val="single" w:color="auto" w:sz="4" w:space="0"/>
              <w:right w:val="single" w:color="auto" w:sz="4" w:space="0"/>
            </w:tcBorders>
            <w:noWrap/>
            <w:vAlign w:val="center"/>
          </w:tcPr>
          <w:p w14:paraId="215F459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7E6A0E3E">
            <w:pPr>
              <w:pageBreakBefore w:val="0"/>
              <w:widowControl/>
              <w:spacing w:after="0" w:line="360" w:lineRule="auto"/>
              <w:ind w:firstLine="400"/>
              <w:jc w:val="center"/>
              <w:rPr>
                <w:rFonts w:hint="eastAsia" w:ascii="宋体" w:hAnsi="宋体" w:eastAsia="宋体" w:cs="宋体"/>
                <w:sz w:val="24"/>
                <w:szCs w:val="24"/>
                <w:highlight w:val="none"/>
              </w:rPr>
            </w:pPr>
          </w:p>
        </w:tc>
      </w:tr>
      <w:tr w14:paraId="2CA7B035">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237D17F3">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5750214">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7D5143D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内回流泵</w:t>
            </w:r>
          </w:p>
        </w:tc>
        <w:tc>
          <w:tcPr>
            <w:tcW w:w="3331" w:type="dxa"/>
            <w:tcBorders>
              <w:top w:val="nil"/>
              <w:left w:val="nil"/>
              <w:bottom w:val="single" w:color="auto" w:sz="4" w:space="0"/>
              <w:right w:val="single" w:color="auto" w:sz="4" w:space="0"/>
            </w:tcBorders>
            <w:noWrap w:val="0"/>
            <w:vAlign w:val="center"/>
          </w:tcPr>
          <w:p w14:paraId="4A7ACA7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卧式离心泵，Q=15 0m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/h，H=13 m，过流材质304不锈钢</w:t>
            </w:r>
          </w:p>
        </w:tc>
        <w:tc>
          <w:tcPr>
            <w:tcW w:w="856" w:type="dxa"/>
            <w:tcBorders>
              <w:top w:val="nil"/>
              <w:left w:val="nil"/>
              <w:bottom w:val="single" w:color="auto" w:sz="4" w:space="0"/>
              <w:right w:val="single" w:color="auto" w:sz="4" w:space="0"/>
            </w:tcBorders>
            <w:noWrap/>
            <w:vAlign w:val="center"/>
          </w:tcPr>
          <w:p w14:paraId="489D834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6DE2FF5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5A5A9D3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71CCF761">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5C158C1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939" w:type="dxa"/>
            <w:vMerge w:val="restart"/>
            <w:tcBorders>
              <w:top w:val="nil"/>
              <w:left w:val="single" w:color="auto" w:sz="4" w:space="0"/>
              <w:bottom w:val="single" w:color="auto" w:sz="4" w:space="0"/>
              <w:right w:val="single" w:color="auto" w:sz="4" w:space="0"/>
            </w:tcBorders>
            <w:noWrap w:val="0"/>
            <w:vAlign w:val="center"/>
          </w:tcPr>
          <w:p w14:paraId="4715360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生化冷却系统</w:t>
            </w:r>
          </w:p>
        </w:tc>
        <w:tc>
          <w:tcPr>
            <w:tcW w:w="1368" w:type="dxa"/>
            <w:tcBorders>
              <w:top w:val="nil"/>
              <w:left w:val="nil"/>
              <w:bottom w:val="single" w:color="auto" w:sz="4" w:space="0"/>
              <w:right w:val="single" w:color="auto" w:sz="4" w:space="0"/>
            </w:tcBorders>
            <w:noWrap/>
            <w:vAlign w:val="center"/>
          </w:tcPr>
          <w:p w14:paraId="103CF8A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冷却污泥泵</w:t>
            </w:r>
          </w:p>
        </w:tc>
        <w:tc>
          <w:tcPr>
            <w:tcW w:w="3331" w:type="dxa"/>
            <w:tcBorders>
              <w:top w:val="nil"/>
              <w:left w:val="nil"/>
              <w:bottom w:val="single" w:color="auto" w:sz="4" w:space="0"/>
              <w:right w:val="single" w:color="auto" w:sz="4" w:space="0"/>
            </w:tcBorders>
            <w:noWrap w:val="0"/>
            <w:vAlign w:val="center"/>
          </w:tcPr>
          <w:p w14:paraId="2FA1A97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卧式离心泵，Q=150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/h，H=20 m，过流材质304不锈钢</w:t>
            </w:r>
          </w:p>
        </w:tc>
        <w:tc>
          <w:tcPr>
            <w:tcW w:w="856" w:type="dxa"/>
            <w:tcBorders>
              <w:top w:val="nil"/>
              <w:left w:val="nil"/>
              <w:bottom w:val="single" w:color="auto" w:sz="4" w:space="0"/>
              <w:right w:val="single" w:color="auto" w:sz="4" w:space="0"/>
            </w:tcBorders>
            <w:noWrap/>
            <w:vAlign w:val="center"/>
          </w:tcPr>
          <w:p w14:paraId="4F0A151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6B397BB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65C125D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738C8F0E">
        <w:tblPrEx>
          <w:tblCellMar>
            <w:top w:w="0" w:type="dxa"/>
            <w:left w:w="108" w:type="dxa"/>
            <w:bottom w:w="0" w:type="dxa"/>
            <w:right w:w="108" w:type="dxa"/>
          </w:tblCellMar>
        </w:tblPrEx>
        <w:trPr>
          <w:trHeight w:val="54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664E1F0A">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1AFFD573">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0CA0B29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换热器</w:t>
            </w:r>
          </w:p>
        </w:tc>
        <w:tc>
          <w:tcPr>
            <w:tcW w:w="3331" w:type="dxa"/>
            <w:tcBorders>
              <w:top w:val="nil"/>
              <w:left w:val="nil"/>
              <w:bottom w:val="single" w:color="auto" w:sz="4" w:space="0"/>
              <w:right w:val="single" w:color="auto" w:sz="4" w:space="0"/>
            </w:tcBorders>
            <w:noWrap w:val="0"/>
            <w:vAlign w:val="center"/>
          </w:tcPr>
          <w:p w14:paraId="5A36404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热端流量150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/h，40-35 ℃，冷端流量150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/h，27-32 ℃，换热面积板大于70 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；片材质SS304</w:t>
            </w:r>
          </w:p>
        </w:tc>
        <w:tc>
          <w:tcPr>
            <w:tcW w:w="856" w:type="dxa"/>
            <w:tcBorders>
              <w:top w:val="nil"/>
              <w:left w:val="nil"/>
              <w:bottom w:val="single" w:color="auto" w:sz="4" w:space="0"/>
              <w:right w:val="single" w:color="auto" w:sz="4" w:space="0"/>
            </w:tcBorders>
            <w:noWrap/>
            <w:vAlign w:val="center"/>
          </w:tcPr>
          <w:p w14:paraId="468BC3F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7297979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272E6E87">
            <w:pPr>
              <w:pageBreakBefore w:val="0"/>
              <w:widowControl/>
              <w:spacing w:after="0" w:line="360" w:lineRule="auto"/>
              <w:ind w:firstLine="400"/>
              <w:jc w:val="center"/>
              <w:rPr>
                <w:rFonts w:hint="eastAsia" w:ascii="宋体" w:hAnsi="宋体" w:eastAsia="宋体" w:cs="宋体"/>
                <w:sz w:val="24"/>
                <w:szCs w:val="24"/>
                <w:highlight w:val="none"/>
              </w:rPr>
            </w:pPr>
          </w:p>
        </w:tc>
      </w:tr>
      <w:tr w14:paraId="65BEFEA3">
        <w:tblPrEx>
          <w:tblCellMar>
            <w:top w:w="0" w:type="dxa"/>
            <w:left w:w="108" w:type="dxa"/>
            <w:bottom w:w="0" w:type="dxa"/>
            <w:right w:w="108" w:type="dxa"/>
          </w:tblCellMar>
        </w:tblPrEx>
        <w:trPr>
          <w:trHeight w:val="54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1553EB60">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4762390B">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666175C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冷却塔</w:t>
            </w:r>
          </w:p>
        </w:tc>
        <w:tc>
          <w:tcPr>
            <w:tcW w:w="3331" w:type="dxa"/>
            <w:tcBorders>
              <w:top w:val="nil"/>
              <w:left w:val="nil"/>
              <w:bottom w:val="single" w:color="auto" w:sz="4" w:space="0"/>
              <w:right w:val="single" w:color="auto" w:sz="4" w:space="0"/>
            </w:tcBorders>
            <w:noWrap w:val="0"/>
            <w:vAlign w:val="center"/>
          </w:tcPr>
          <w:p w14:paraId="3D8467C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循环量150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/h，材质FRP，进出温度37~32 ℃，湿球温度28 ℃</w:t>
            </w:r>
          </w:p>
        </w:tc>
        <w:tc>
          <w:tcPr>
            <w:tcW w:w="856" w:type="dxa"/>
            <w:tcBorders>
              <w:top w:val="nil"/>
              <w:left w:val="nil"/>
              <w:bottom w:val="single" w:color="auto" w:sz="4" w:space="0"/>
              <w:right w:val="single" w:color="auto" w:sz="4" w:space="0"/>
            </w:tcBorders>
            <w:noWrap/>
            <w:vAlign w:val="center"/>
          </w:tcPr>
          <w:p w14:paraId="6BDF5546">
            <w:pPr>
              <w:pageBreakBefore w:val="0"/>
              <w:widowControl/>
              <w:spacing w:after="0" w:line="360" w:lineRule="auto"/>
              <w:ind w:firstLine="400"/>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7BF085BA">
            <w:pPr>
              <w:pageBreakBefore w:val="0"/>
              <w:widowControl/>
              <w:spacing w:after="0" w:line="360" w:lineRule="auto"/>
              <w:ind w:firstLine="400"/>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6A7AEC8C">
            <w:pPr>
              <w:pageBreakBefore w:val="0"/>
              <w:widowControl/>
              <w:spacing w:after="0" w:line="360" w:lineRule="auto"/>
              <w:ind w:firstLine="400"/>
              <w:jc w:val="center"/>
              <w:rPr>
                <w:rFonts w:hint="eastAsia" w:ascii="宋体" w:hAnsi="宋体" w:eastAsia="宋体" w:cs="宋体"/>
                <w:sz w:val="24"/>
                <w:szCs w:val="24"/>
                <w:highlight w:val="none"/>
              </w:rPr>
            </w:pPr>
          </w:p>
        </w:tc>
      </w:tr>
      <w:tr w14:paraId="571504F5">
        <w:tblPrEx>
          <w:tblCellMar>
            <w:top w:w="0" w:type="dxa"/>
            <w:left w:w="108" w:type="dxa"/>
            <w:bottom w:w="0" w:type="dxa"/>
            <w:right w:w="108" w:type="dxa"/>
          </w:tblCellMar>
        </w:tblPrEx>
        <w:trPr>
          <w:trHeight w:val="525"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2DA15F6B">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393C88E0">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03CC97B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清水泵</w:t>
            </w:r>
          </w:p>
        </w:tc>
        <w:tc>
          <w:tcPr>
            <w:tcW w:w="3331" w:type="dxa"/>
            <w:tcBorders>
              <w:top w:val="nil"/>
              <w:left w:val="nil"/>
              <w:bottom w:val="single" w:color="auto" w:sz="4" w:space="0"/>
              <w:right w:val="single" w:color="auto" w:sz="4" w:space="0"/>
            </w:tcBorders>
            <w:noWrap w:val="0"/>
            <w:vAlign w:val="center"/>
          </w:tcPr>
          <w:p w14:paraId="5181B98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立式离心泵，流量150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/h，扬程15 m，泵体及叶轮材质铸铁</w:t>
            </w:r>
          </w:p>
        </w:tc>
        <w:tc>
          <w:tcPr>
            <w:tcW w:w="856" w:type="dxa"/>
            <w:tcBorders>
              <w:top w:val="nil"/>
              <w:left w:val="nil"/>
              <w:bottom w:val="single" w:color="auto" w:sz="4" w:space="0"/>
              <w:right w:val="single" w:color="auto" w:sz="4" w:space="0"/>
            </w:tcBorders>
            <w:noWrap/>
            <w:vAlign w:val="center"/>
          </w:tcPr>
          <w:p w14:paraId="1F11AFC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13099EC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1205E589">
            <w:pPr>
              <w:pageBreakBefore w:val="0"/>
              <w:widowControl/>
              <w:spacing w:after="0" w:line="360" w:lineRule="auto"/>
              <w:ind w:firstLine="400"/>
              <w:jc w:val="center"/>
              <w:rPr>
                <w:rFonts w:hint="eastAsia" w:ascii="宋体" w:hAnsi="宋体" w:eastAsia="宋体" w:cs="宋体"/>
                <w:sz w:val="24"/>
                <w:szCs w:val="24"/>
                <w:highlight w:val="none"/>
              </w:rPr>
            </w:pPr>
          </w:p>
        </w:tc>
      </w:tr>
      <w:tr w14:paraId="5F050B98">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599FEAF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939" w:type="dxa"/>
            <w:vMerge w:val="restart"/>
            <w:tcBorders>
              <w:top w:val="nil"/>
              <w:left w:val="single" w:color="auto" w:sz="4" w:space="0"/>
              <w:bottom w:val="single" w:color="auto" w:sz="4" w:space="0"/>
              <w:right w:val="single" w:color="auto" w:sz="4" w:space="0"/>
            </w:tcBorders>
            <w:noWrap w:val="0"/>
            <w:vAlign w:val="center"/>
          </w:tcPr>
          <w:p w14:paraId="5583BBF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超滤系统</w:t>
            </w:r>
          </w:p>
        </w:tc>
        <w:tc>
          <w:tcPr>
            <w:tcW w:w="1368" w:type="dxa"/>
            <w:tcBorders>
              <w:top w:val="nil"/>
              <w:left w:val="nil"/>
              <w:bottom w:val="single" w:color="auto" w:sz="4" w:space="0"/>
              <w:right w:val="single" w:color="auto" w:sz="4" w:space="0"/>
            </w:tcBorders>
            <w:noWrap/>
            <w:vAlign w:val="center"/>
          </w:tcPr>
          <w:p w14:paraId="0B99EAD6">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超滤进水泵</w:t>
            </w:r>
          </w:p>
        </w:tc>
        <w:tc>
          <w:tcPr>
            <w:tcW w:w="3331" w:type="dxa"/>
            <w:tcBorders>
              <w:top w:val="nil"/>
              <w:left w:val="nil"/>
              <w:bottom w:val="single" w:color="auto" w:sz="4" w:space="0"/>
              <w:right w:val="single" w:color="auto" w:sz="4" w:space="0"/>
            </w:tcBorders>
            <w:noWrap w:val="0"/>
            <w:vAlign w:val="center"/>
          </w:tcPr>
          <w:p w14:paraId="43E8393B">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卧式离心泵，污水流量7</w:t>
            </w:r>
            <w:r>
              <w:rPr>
                <w:rFonts w:hint="eastAsia" w:ascii="宋体" w:hAnsi="宋体" w:cs="宋体"/>
                <w:color w:val="FF0000"/>
                <w:sz w:val="24"/>
                <w:szCs w:val="24"/>
                <w:highlight w:val="none"/>
                <w:lang w:val="en-US" w:eastAsia="zh-CN"/>
              </w:rPr>
              <w:t>.</w:t>
            </w:r>
            <w:r>
              <w:rPr>
                <w:rFonts w:hint="eastAsia" w:ascii="宋体" w:hAnsi="宋体" w:eastAsia="宋体" w:cs="宋体"/>
                <w:color w:val="FF0000"/>
                <w:sz w:val="24"/>
                <w:szCs w:val="24"/>
                <w:highlight w:val="none"/>
              </w:rPr>
              <w:t>5 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rPr>
              <w:t>/h，扬程35 m，泵体及叶轮材质SS304</w:t>
            </w:r>
          </w:p>
        </w:tc>
        <w:tc>
          <w:tcPr>
            <w:tcW w:w="856" w:type="dxa"/>
            <w:tcBorders>
              <w:top w:val="nil"/>
              <w:left w:val="nil"/>
              <w:bottom w:val="single" w:color="auto" w:sz="4" w:space="0"/>
              <w:right w:val="single" w:color="auto" w:sz="4" w:space="0"/>
            </w:tcBorders>
            <w:noWrap/>
            <w:vAlign w:val="center"/>
          </w:tcPr>
          <w:p w14:paraId="0400098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52F4D12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5457C450">
            <w:pPr>
              <w:pageBreakBefore w:val="0"/>
              <w:widowControl/>
              <w:spacing w:after="0" w:line="360" w:lineRule="auto"/>
              <w:ind w:firstLine="400"/>
              <w:jc w:val="center"/>
              <w:rPr>
                <w:rFonts w:hint="eastAsia" w:ascii="宋体" w:hAnsi="宋体" w:eastAsia="宋体" w:cs="宋体"/>
                <w:sz w:val="24"/>
                <w:szCs w:val="24"/>
                <w:highlight w:val="none"/>
              </w:rPr>
            </w:pPr>
          </w:p>
        </w:tc>
      </w:tr>
      <w:tr w14:paraId="3011B5F8">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08788390">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3839E2EB">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3D8CCF7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超滤系统</w:t>
            </w:r>
          </w:p>
        </w:tc>
        <w:tc>
          <w:tcPr>
            <w:tcW w:w="3331" w:type="dxa"/>
            <w:tcBorders>
              <w:top w:val="nil"/>
              <w:left w:val="nil"/>
              <w:bottom w:val="single" w:color="auto" w:sz="4" w:space="0"/>
              <w:right w:val="single" w:color="auto" w:sz="4" w:space="0"/>
            </w:tcBorders>
            <w:noWrap w:val="0"/>
            <w:vAlign w:val="center"/>
          </w:tcPr>
          <w:p w14:paraId="4CB3B9D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外置管式超滤膜系统，处理能力150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/d，含进水过滤器、循环泵、膜、集成支架、电气自控等。</w:t>
            </w:r>
          </w:p>
        </w:tc>
        <w:tc>
          <w:tcPr>
            <w:tcW w:w="856" w:type="dxa"/>
            <w:tcBorders>
              <w:top w:val="nil"/>
              <w:left w:val="nil"/>
              <w:bottom w:val="single" w:color="auto" w:sz="4" w:space="0"/>
              <w:right w:val="single" w:color="auto" w:sz="4" w:space="0"/>
            </w:tcBorders>
            <w:noWrap/>
            <w:vAlign w:val="center"/>
          </w:tcPr>
          <w:p w14:paraId="6E070726">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736" w:type="dxa"/>
            <w:tcBorders>
              <w:top w:val="nil"/>
              <w:left w:val="nil"/>
              <w:bottom w:val="single" w:color="auto" w:sz="4" w:space="0"/>
              <w:right w:val="single" w:color="auto" w:sz="4" w:space="0"/>
            </w:tcBorders>
            <w:noWrap/>
            <w:vAlign w:val="center"/>
          </w:tcPr>
          <w:p w14:paraId="6E0D1BD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43280DAB">
            <w:pPr>
              <w:pageBreakBefore w:val="0"/>
              <w:widowControl/>
              <w:spacing w:after="0" w:line="360" w:lineRule="auto"/>
              <w:ind w:firstLine="400"/>
              <w:jc w:val="center"/>
              <w:rPr>
                <w:rFonts w:hint="eastAsia" w:ascii="宋体" w:hAnsi="宋体" w:eastAsia="宋体" w:cs="宋体"/>
                <w:sz w:val="24"/>
                <w:szCs w:val="24"/>
                <w:highlight w:val="none"/>
              </w:rPr>
            </w:pPr>
          </w:p>
        </w:tc>
      </w:tr>
      <w:tr w14:paraId="2F61A309">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77572DE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939" w:type="dxa"/>
            <w:vMerge w:val="restart"/>
            <w:tcBorders>
              <w:top w:val="nil"/>
              <w:left w:val="single" w:color="auto" w:sz="4" w:space="0"/>
              <w:bottom w:val="single" w:color="auto" w:sz="4" w:space="0"/>
              <w:right w:val="single" w:color="auto" w:sz="4" w:space="0"/>
            </w:tcBorders>
            <w:noWrap w:val="0"/>
            <w:vAlign w:val="center"/>
          </w:tcPr>
          <w:p w14:paraId="52951D5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纳滤系统</w:t>
            </w:r>
          </w:p>
        </w:tc>
        <w:tc>
          <w:tcPr>
            <w:tcW w:w="1368" w:type="dxa"/>
            <w:tcBorders>
              <w:top w:val="nil"/>
              <w:left w:val="nil"/>
              <w:bottom w:val="single" w:color="auto" w:sz="4" w:space="0"/>
              <w:right w:val="single" w:color="auto" w:sz="4" w:space="0"/>
            </w:tcBorders>
            <w:noWrap/>
            <w:vAlign w:val="center"/>
          </w:tcPr>
          <w:p w14:paraId="5D0B4DFF">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纳滤进水泵</w:t>
            </w:r>
          </w:p>
        </w:tc>
        <w:tc>
          <w:tcPr>
            <w:tcW w:w="3331" w:type="dxa"/>
            <w:tcBorders>
              <w:top w:val="nil"/>
              <w:left w:val="nil"/>
              <w:bottom w:val="single" w:color="auto" w:sz="4" w:space="0"/>
              <w:right w:val="single" w:color="auto" w:sz="4" w:space="0"/>
            </w:tcBorders>
            <w:noWrap w:val="0"/>
            <w:vAlign w:val="center"/>
          </w:tcPr>
          <w:p w14:paraId="358587C6">
            <w:pPr>
              <w:pageBreakBefore w:val="0"/>
              <w:widowControl/>
              <w:spacing w:after="0" w:line="360" w:lineRule="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卧式离心泵，污水流量7</w:t>
            </w:r>
            <w:r>
              <w:rPr>
                <w:rFonts w:hint="eastAsia" w:ascii="宋体" w:hAnsi="宋体" w:cs="宋体"/>
                <w:color w:val="FF0000"/>
                <w:sz w:val="24"/>
                <w:szCs w:val="24"/>
                <w:highlight w:val="none"/>
                <w:lang w:val="en-US" w:eastAsia="zh-CN"/>
              </w:rPr>
              <w:t>.</w:t>
            </w:r>
            <w:r>
              <w:rPr>
                <w:rFonts w:hint="eastAsia" w:ascii="宋体" w:hAnsi="宋体" w:eastAsia="宋体" w:cs="宋体"/>
                <w:color w:val="FF0000"/>
                <w:sz w:val="24"/>
                <w:szCs w:val="24"/>
                <w:highlight w:val="none"/>
              </w:rPr>
              <w:t>5 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rPr>
              <w:t>/h，扬程35 m，泵体及叶轮材质SS304</w:t>
            </w:r>
          </w:p>
        </w:tc>
        <w:tc>
          <w:tcPr>
            <w:tcW w:w="856" w:type="dxa"/>
            <w:tcBorders>
              <w:top w:val="nil"/>
              <w:left w:val="nil"/>
              <w:bottom w:val="single" w:color="auto" w:sz="4" w:space="0"/>
              <w:right w:val="single" w:color="auto" w:sz="4" w:space="0"/>
            </w:tcBorders>
            <w:noWrap/>
            <w:vAlign w:val="center"/>
          </w:tcPr>
          <w:p w14:paraId="3EAEE05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18277D4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31292312">
            <w:pPr>
              <w:pageBreakBefore w:val="0"/>
              <w:widowControl/>
              <w:spacing w:after="0" w:line="360" w:lineRule="auto"/>
              <w:ind w:firstLine="400"/>
              <w:jc w:val="center"/>
              <w:rPr>
                <w:rFonts w:hint="eastAsia" w:ascii="宋体" w:hAnsi="宋体" w:eastAsia="宋体" w:cs="宋体"/>
                <w:sz w:val="24"/>
                <w:szCs w:val="24"/>
                <w:highlight w:val="none"/>
              </w:rPr>
            </w:pPr>
          </w:p>
        </w:tc>
      </w:tr>
      <w:tr w14:paraId="1CE69C1A">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56773050">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70FBD148">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5114458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纳滤系统</w:t>
            </w:r>
          </w:p>
        </w:tc>
        <w:tc>
          <w:tcPr>
            <w:tcW w:w="3331" w:type="dxa"/>
            <w:tcBorders>
              <w:top w:val="nil"/>
              <w:left w:val="nil"/>
              <w:bottom w:val="single" w:color="auto" w:sz="4" w:space="0"/>
              <w:right w:val="single" w:color="auto" w:sz="4" w:space="0"/>
            </w:tcBorders>
            <w:noWrap w:val="0"/>
            <w:vAlign w:val="center"/>
          </w:tcPr>
          <w:p w14:paraId="7001D00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处理能力150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/d，含进水过滤器、循环泵、膜、集成支架、电气自控等。</w:t>
            </w:r>
          </w:p>
        </w:tc>
        <w:tc>
          <w:tcPr>
            <w:tcW w:w="856" w:type="dxa"/>
            <w:tcBorders>
              <w:top w:val="nil"/>
              <w:left w:val="nil"/>
              <w:bottom w:val="single" w:color="auto" w:sz="4" w:space="0"/>
              <w:right w:val="single" w:color="auto" w:sz="4" w:space="0"/>
            </w:tcBorders>
            <w:noWrap/>
            <w:vAlign w:val="center"/>
          </w:tcPr>
          <w:p w14:paraId="6B5A554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736" w:type="dxa"/>
            <w:tcBorders>
              <w:top w:val="nil"/>
              <w:left w:val="nil"/>
              <w:bottom w:val="single" w:color="auto" w:sz="4" w:space="0"/>
              <w:right w:val="single" w:color="auto" w:sz="4" w:space="0"/>
            </w:tcBorders>
            <w:noWrap/>
            <w:vAlign w:val="center"/>
          </w:tcPr>
          <w:p w14:paraId="7498254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685FBC7B">
            <w:pPr>
              <w:pageBreakBefore w:val="0"/>
              <w:widowControl/>
              <w:spacing w:after="0" w:line="360" w:lineRule="auto"/>
              <w:ind w:firstLine="400"/>
              <w:jc w:val="center"/>
              <w:rPr>
                <w:rFonts w:hint="eastAsia" w:ascii="宋体" w:hAnsi="宋体" w:eastAsia="宋体" w:cs="宋体"/>
                <w:sz w:val="24"/>
                <w:szCs w:val="24"/>
                <w:highlight w:val="none"/>
              </w:rPr>
            </w:pPr>
          </w:p>
        </w:tc>
      </w:tr>
      <w:tr w14:paraId="3DB90C95">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5B959BAD">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F3F4194">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11EC237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产水外排泵</w:t>
            </w:r>
          </w:p>
        </w:tc>
        <w:tc>
          <w:tcPr>
            <w:tcW w:w="3331" w:type="dxa"/>
            <w:tcBorders>
              <w:top w:val="nil"/>
              <w:left w:val="nil"/>
              <w:bottom w:val="single" w:color="auto" w:sz="4" w:space="0"/>
              <w:right w:val="single" w:color="auto" w:sz="4" w:space="0"/>
            </w:tcBorders>
            <w:noWrap w:val="0"/>
            <w:vAlign w:val="center"/>
          </w:tcPr>
          <w:p w14:paraId="5A4DDE6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立式离心泵，流量8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/h，扬程20 m，泵体及叶轮材质SS304</w:t>
            </w:r>
          </w:p>
        </w:tc>
        <w:tc>
          <w:tcPr>
            <w:tcW w:w="856" w:type="dxa"/>
            <w:tcBorders>
              <w:top w:val="nil"/>
              <w:left w:val="nil"/>
              <w:bottom w:val="single" w:color="auto" w:sz="4" w:space="0"/>
              <w:right w:val="single" w:color="auto" w:sz="4" w:space="0"/>
            </w:tcBorders>
            <w:noWrap/>
            <w:vAlign w:val="center"/>
          </w:tcPr>
          <w:p w14:paraId="32E92D5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34F6B1D8">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01FB9BBD">
            <w:pPr>
              <w:pageBreakBefore w:val="0"/>
              <w:widowControl/>
              <w:spacing w:after="0" w:line="360" w:lineRule="auto"/>
              <w:ind w:firstLine="400"/>
              <w:jc w:val="center"/>
              <w:rPr>
                <w:rFonts w:hint="eastAsia" w:ascii="宋体" w:hAnsi="宋体" w:eastAsia="宋体" w:cs="宋体"/>
                <w:sz w:val="24"/>
                <w:szCs w:val="24"/>
                <w:highlight w:val="none"/>
              </w:rPr>
            </w:pPr>
          </w:p>
        </w:tc>
      </w:tr>
      <w:tr w14:paraId="54BB68B6">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noWrap w:val="0"/>
            <w:vAlign w:val="center"/>
          </w:tcPr>
          <w:p w14:paraId="6032AE1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939" w:type="dxa"/>
            <w:tcBorders>
              <w:top w:val="nil"/>
              <w:left w:val="nil"/>
              <w:bottom w:val="single" w:color="auto" w:sz="4" w:space="0"/>
              <w:right w:val="single" w:color="auto" w:sz="4" w:space="0"/>
            </w:tcBorders>
            <w:noWrap w:val="0"/>
            <w:vAlign w:val="center"/>
          </w:tcPr>
          <w:p w14:paraId="7C218EE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高级氧化系统</w:t>
            </w:r>
          </w:p>
        </w:tc>
        <w:tc>
          <w:tcPr>
            <w:tcW w:w="1368" w:type="dxa"/>
            <w:tcBorders>
              <w:top w:val="nil"/>
              <w:left w:val="nil"/>
              <w:bottom w:val="single" w:color="auto" w:sz="4" w:space="0"/>
              <w:right w:val="single" w:color="auto" w:sz="4" w:space="0"/>
            </w:tcBorders>
            <w:noWrap/>
            <w:vAlign w:val="center"/>
          </w:tcPr>
          <w:p w14:paraId="51426D72">
            <w:pPr>
              <w:pageBreakBefore w:val="0"/>
              <w:widowControl/>
              <w:spacing w:after="0" w:line="360" w:lineRule="auto"/>
              <w:ind w:firstLine="400"/>
              <w:jc w:val="center"/>
              <w:rPr>
                <w:rFonts w:hint="eastAsia" w:ascii="宋体" w:hAnsi="宋体" w:eastAsia="宋体" w:cs="宋体"/>
                <w:sz w:val="24"/>
                <w:szCs w:val="24"/>
                <w:highlight w:val="none"/>
              </w:rPr>
            </w:pPr>
          </w:p>
        </w:tc>
        <w:tc>
          <w:tcPr>
            <w:tcW w:w="3331" w:type="dxa"/>
            <w:tcBorders>
              <w:top w:val="nil"/>
              <w:left w:val="nil"/>
              <w:bottom w:val="single" w:color="auto" w:sz="4" w:space="0"/>
              <w:right w:val="single" w:color="auto" w:sz="4" w:space="0"/>
            </w:tcBorders>
            <w:noWrap w:val="0"/>
            <w:vAlign w:val="center"/>
          </w:tcPr>
          <w:p w14:paraId="3B4A24A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设计配套，处理规模10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/h，碳钢防腐材质</w:t>
            </w:r>
          </w:p>
        </w:tc>
        <w:tc>
          <w:tcPr>
            <w:tcW w:w="856" w:type="dxa"/>
            <w:tcBorders>
              <w:top w:val="nil"/>
              <w:left w:val="nil"/>
              <w:bottom w:val="single" w:color="auto" w:sz="4" w:space="0"/>
              <w:right w:val="single" w:color="auto" w:sz="4" w:space="0"/>
            </w:tcBorders>
            <w:noWrap/>
            <w:vAlign w:val="center"/>
          </w:tcPr>
          <w:p w14:paraId="557DC9E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736" w:type="dxa"/>
            <w:tcBorders>
              <w:top w:val="nil"/>
              <w:left w:val="nil"/>
              <w:bottom w:val="single" w:color="auto" w:sz="4" w:space="0"/>
              <w:right w:val="single" w:color="auto" w:sz="4" w:space="0"/>
            </w:tcBorders>
            <w:noWrap/>
            <w:vAlign w:val="center"/>
          </w:tcPr>
          <w:p w14:paraId="4DC3292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4E64ACF6">
            <w:pPr>
              <w:pageBreakBefore w:val="0"/>
              <w:widowControl/>
              <w:spacing w:after="0" w:line="360" w:lineRule="auto"/>
              <w:ind w:firstLine="400"/>
              <w:jc w:val="center"/>
              <w:rPr>
                <w:rFonts w:hint="eastAsia" w:ascii="宋体" w:hAnsi="宋体" w:eastAsia="宋体" w:cs="宋体"/>
                <w:sz w:val="24"/>
                <w:szCs w:val="24"/>
                <w:highlight w:val="none"/>
              </w:rPr>
            </w:pPr>
          </w:p>
        </w:tc>
      </w:tr>
      <w:tr w14:paraId="52E59B3A">
        <w:tblPrEx>
          <w:tblCellMar>
            <w:top w:w="0" w:type="dxa"/>
            <w:left w:w="108" w:type="dxa"/>
            <w:bottom w:w="0" w:type="dxa"/>
            <w:right w:w="108" w:type="dxa"/>
          </w:tblCellMar>
        </w:tblPrEx>
        <w:trPr>
          <w:trHeight w:val="525" w:hRule="atLeast"/>
        </w:trPr>
        <w:tc>
          <w:tcPr>
            <w:tcW w:w="562" w:type="dxa"/>
            <w:tcBorders>
              <w:top w:val="nil"/>
              <w:left w:val="single" w:color="auto" w:sz="4" w:space="0"/>
              <w:bottom w:val="single" w:color="auto" w:sz="4" w:space="0"/>
              <w:right w:val="single" w:color="auto" w:sz="4" w:space="0"/>
            </w:tcBorders>
            <w:noWrap w:val="0"/>
            <w:vAlign w:val="center"/>
          </w:tcPr>
          <w:p w14:paraId="3DF949C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939" w:type="dxa"/>
            <w:tcBorders>
              <w:top w:val="nil"/>
              <w:left w:val="nil"/>
              <w:bottom w:val="single" w:color="auto" w:sz="4" w:space="0"/>
              <w:right w:val="single" w:color="auto" w:sz="4" w:space="0"/>
            </w:tcBorders>
            <w:noWrap w:val="0"/>
            <w:vAlign w:val="center"/>
          </w:tcPr>
          <w:p w14:paraId="52506E3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加药系统</w:t>
            </w:r>
          </w:p>
        </w:tc>
        <w:tc>
          <w:tcPr>
            <w:tcW w:w="1368" w:type="dxa"/>
            <w:tcBorders>
              <w:top w:val="nil"/>
              <w:left w:val="nil"/>
              <w:bottom w:val="single" w:color="auto" w:sz="4" w:space="0"/>
              <w:right w:val="single" w:color="auto" w:sz="4" w:space="0"/>
            </w:tcBorders>
            <w:noWrap w:val="0"/>
            <w:vAlign w:val="center"/>
          </w:tcPr>
          <w:p w14:paraId="746B8131">
            <w:pPr>
              <w:pageBreakBefore w:val="0"/>
              <w:widowControl/>
              <w:spacing w:after="0" w:line="360" w:lineRule="auto"/>
              <w:ind w:firstLine="420"/>
              <w:jc w:val="center"/>
              <w:rPr>
                <w:rFonts w:hint="eastAsia" w:ascii="宋体" w:hAnsi="宋体" w:eastAsia="宋体" w:cs="宋体"/>
                <w:sz w:val="24"/>
                <w:szCs w:val="24"/>
                <w:highlight w:val="none"/>
              </w:rPr>
            </w:pPr>
          </w:p>
        </w:tc>
        <w:tc>
          <w:tcPr>
            <w:tcW w:w="3331" w:type="dxa"/>
            <w:tcBorders>
              <w:top w:val="nil"/>
              <w:left w:val="nil"/>
              <w:bottom w:val="single" w:color="auto" w:sz="4" w:space="0"/>
              <w:right w:val="single" w:color="auto" w:sz="4" w:space="0"/>
            </w:tcBorders>
            <w:noWrap w:val="0"/>
            <w:vAlign w:val="center"/>
          </w:tcPr>
          <w:p w14:paraId="4E07F2E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设计配套，含搅拌机，溶药桶，加药泵（流量可调）</w:t>
            </w:r>
          </w:p>
        </w:tc>
        <w:tc>
          <w:tcPr>
            <w:tcW w:w="856" w:type="dxa"/>
            <w:tcBorders>
              <w:top w:val="nil"/>
              <w:left w:val="nil"/>
              <w:bottom w:val="single" w:color="auto" w:sz="4" w:space="0"/>
              <w:right w:val="single" w:color="auto" w:sz="4" w:space="0"/>
            </w:tcBorders>
            <w:noWrap w:val="0"/>
            <w:vAlign w:val="center"/>
          </w:tcPr>
          <w:p w14:paraId="35F518F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批</w:t>
            </w:r>
          </w:p>
        </w:tc>
        <w:tc>
          <w:tcPr>
            <w:tcW w:w="736" w:type="dxa"/>
            <w:tcBorders>
              <w:top w:val="nil"/>
              <w:left w:val="nil"/>
              <w:bottom w:val="single" w:color="auto" w:sz="4" w:space="0"/>
              <w:right w:val="single" w:color="auto" w:sz="4" w:space="0"/>
            </w:tcBorders>
            <w:noWrap w:val="0"/>
            <w:vAlign w:val="center"/>
          </w:tcPr>
          <w:p w14:paraId="5F61F2C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2CDF2C8E">
            <w:pPr>
              <w:pageBreakBefore w:val="0"/>
              <w:widowControl/>
              <w:spacing w:after="0" w:line="360" w:lineRule="auto"/>
              <w:ind w:firstLine="400"/>
              <w:jc w:val="center"/>
              <w:rPr>
                <w:rFonts w:hint="eastAsia" w:ascii="宋体" w:hAnsi="宋体" w:eastAsia="宋体" w:cs="宋体"/>
                <w:sz w:val="24"/>
                <w:szCs w:val="24"/>
                <w:highlight w:val="none"/>
              </w:rPr>
            </w:pPr>
          </w:p>
        </w:tc>
      </w:tr>
      <w:tr w14:paraId="0492E951">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0"/>
            <w:vAlign w:val="center"/>
          </w:tcPr>
          <w:p w14:paraId="57CED6C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939" w:type="dxa"/>
            <w:vMerge w:val="restart"/>
            <w:tcBorders>
              <w:top w:val="nil"/>
              <w:left w:val="single" w:color="auto" w:sz="4" w:space="0"/>
              <w:bottom w:val="single" w:color="auto" w:sz="4" w:space="0"/>
              <w:right w:val="single" w:color="auto" w:sz="4" w:space="0"/>
            </w:tcBorders>
            <w:noWrap w:val="0"/>
            <w:vAlign w:val="center"/>
          </w:tcPr>
          <w:p w14:paraId="660B903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污泥处理系统</w:t>
            </w:r>
          </w:p>
        </w:tc>
        <w:tc>
          <w:tcPr>
            <w:tcW w:w="1368" w:type="dxa"/>
            <w:tcBorders>
              <w:top w:val="nil"/>
              <w:left w:val="nil"/>
              <w:bottom w:val="single" w:color="auto" w:sz="4" w:space="0"/>
              <w:right w:val="single" w:color="auto" w:sz="4" w:space="0"/>
            </w:tcBorders>
            <w:noWrap/>
            <w:vAlign w:val="center"/>
          </w:tcPr>
          <w:p w14:paraId="7D868E3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污泥进料泵</w:t>
            </w:r>
          </w:p>
        </w:tc>
        <w:tc>
          <w:tcPr>
            <w:tcW w:w="3331" w:type="dxa"/>
            <w:tcBorders>
              <w:top w:val="nil"/>
              <w:left w:val="nil"/>
              <w:bottom w:val="single" w:color="auto" w:sz="4" w:space="0"/>
              <w:right w:val="single" w:color="auto" w:sz="4" w:space="0"/>
            </w:tcBorders>
            <w:noWrap w:val="0"/>
            <w:vAlign w:val="center"/>
          </w:tcPr>
          <w:p w14:paraId="2117F9C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螺杆泵，Q=5 m</w:t>
            </w:r>
            <w:r>
              <w:rPr>
                <w:rFonts w:hint="eastAsia" w:ascii="宋体" w:hAnsi="宋体" w:eastAsia="宋体" w:cs="宋体"/>
                <w:sz w:val="24"/>
                <w:szCs w:val="24"/>
                <w:highlight w:val="none"/>
                <w:vertAlign w:val="superscript"/>
              </w:rPr>
              <w:t>3</w:t>
            </w:r>
            <w:r>
              <w:rPr>
                <w:rFonts w:hint="eastAsia" w:ascii="宋体" w:hAnsi="宋体" w:eastAsia="宋体" w:cs="宋体"/>
                <w:sz w:val="24"/>
                <w:szCs w:val="24"/>
                <w:highlight w:val="none"/>
              </w:rPr>
              <w:t xml:space="preserve">/h，H=20 m，不锈钢304 </w:t>
            </w:r>
          </w:p>
        </w:tc>
        <w:tc>
          <w:tcPr>
            <w:tcW w:w="856" w:type="dxa"/>
            <w:tcBorders>
              <w:top w:val="nil"/>
              <w:left w:val="nil"/>
              <w:bottom w:val="single" w:color="auto" w:sz="4" w:space="0"/>
              <w:right w:val="single" w:color="auto" w:sz="4" w:space="0"/>
            </w:tcBorders>
            <w:noWrap/>
            <w:vAlign w:val="center"/>
          </w:tcPr>
          <w:p w14:paraId="651F7056">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6E4B11C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34" w:type="dxa"/>
            <w:tcBorders>
              <w:top w:val="nil"/>
              <w:left w:val="nil"/>
              <w:bottom w:val="single" w:color="auto" w:sz="4" w:space="0"/>
              <w:right w:val="single" w:color="auto" w:sz="4" w:space="0"/>
            </w:tcBorders>
            <w:noWrap/>
            <w:vAlign w:val="center"/>
          </w:tcPr>
          <w:p w14:paraId="0CB1C05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1用1备</w:t>
            </w:r>
          </w:p>
        </w:tc>
      </w:tr>
      <w:tr w14:paraId="677F17D5">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4765AA57">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3EE27A18">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02C5AAD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污泥脱水机</w:t>
            </w:r>
          </w:p>
        </w:tc>
        <w:tc>
          <w:tcPr>
            <w:tcW w:w="3331" w:type="dxa"/>
            <w:tcBorders>
              <w:top w:val="nil"/>
              <w:left w:val="nil"/>
              <w:bottom w:val="single" w:color="auto" w:sz="4" w:space="0"/>
              <w:right w:val="single" w:color="auto" w:sz="4" w:space="0"/>
            </w:tcBorders>
            <w:noWrap w:val="0"/>
            <w:vAlign w:val="center"/>
          </w:tcPr>
          <w:p w14:paraId="3B98099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叠螺脱水机，主体材质SS304，干接点通讯</w:t>
            </w:r>
          </w:p>
        </w:tc>
        <w:tc>
          <w:tcPr>
            <w:tcW w:w="856" w:type="dxa"/>
            <w:tcBorders>
              <w:top w:val="nil"/>
              <w:left w:val="nil"/>
              <w:bottom w:val="single" w:color="auto" w:sz="4" w:space="0"/>
              <w:right w:val="single" w:color="auto" w:sz="4" w:space="0"/>
            </w:tcBorders>
            <w:noWrap/>
            <w:vAlign w:val="center"/>
          </w:tcPr>
          <w:p w14:paraId="75F96C2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36236DD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33DE9281">
            <w:pPr>
              <w:pageBreakBefore w:val="0"/>
              <w:widowControl/>
              <w:spacing w:after="0" w:line="360" w:lineRule="auto"/>
              <w:ind w:firstLine="400"/>
              <w:jc w:val="center"/>
              <w:rPr>
                <w:rFonts w:hint="eastAsia" w:ascii="宋体" w:hAnsi="宋体" w:eastAsia="宋体" w:cs="宋体"/>
                <w:sz w:val="24"/>
                <w:szCs w:val="24"/>
                <w:highlight w:val="none"/>
              </w:rPr>
            </w:pPr>
          </w:p>
        </w:tc>
      </w:tr>
      <w:tr w14:paraId="7614A85C">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06A58A04">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BA7D889">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676F424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螺旋输送机</w:t>
            </w:r>
          </w:p>
        </w:tc>
        <w:tc>
          <w:tcPr>
            <w:tcW w:w="3331" w:type="dxa"/>
            <w:tcBorders>
              <w:top w:val="nil"/>
              <w:left w:val="nil"/>
              <w:bottom w:val="single" w:color="auto" w:sz="4" w:space="0"/>
              <w:right w:val="single" w:color="auto" w:sz="4" w:space="0"/>
            </w:tcBorders>
            <w:noWrap w:val="0"/>
            <w:vAlign w:val="center"/>
          </w:tcPr>
          <w:p w14:paraId="76FABB5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长度5m，直径Ø260，碳钢防腐，内衬尼龙板</w:t>
            </w:r>
          </w:p>
        </w:tc>
        <w:tc>
          <w:tcPr>
            <w:tcW w:w="856" w:type="dxa"/>
            <w:tcBorders>
              <w:top w:val="nil"/>
              <w:left w:val="nil"/>
              <w:bottom w:val="single" w:color="auto" w:sz="4" w:space="0"/>
              <w:right w:val="single" w:color="auto" w:sz="4" w:space="0"/>
            </w:tcBorders>
            <w:noWrap/>
            <w:vAlign w:val="center"/>
          </w:tcPr>
          <w:p w14:paraId="73261CE9">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557CB29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ign w:val="center"/>
          </w:tcPr>
          <w:p w14:paraId="600B7469">
            <w:pPr>
              <w:pageBreakBefore w:val="0"/>
              <w:widowControl/>
              <w:spacing w:after="0" w:line="360" w:lineRule="auto"/>
              <w:ind w:firstLine="400"/>
              <w:jc w:val="center"/>
              <w:rPr>
                <w:rFonts w:hint="eastAsia" w:ascii="宋体" w:hAnsi="宋体" w:eastAsia="宋体" w:cs="宋体"/>
                <w:sz w:val="24"/>
                <w:szCs w:val="24"/>
                <w:highlight w:val="none"/>
              </w:rPr>
            </w:pPr>
          </w:p>
        </w:tc>
      </w:tr>
      <w:tr w14:paraId="6107AAA5">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noWrap w:val="0"/>
            <w:vAlign w:val="center"/>
          </w:tcPr>
          <w:p w14:paraId="38E30CC5">
            <w:pPr>
              <w:pageBreakBefore w:val="0"/>
              <w:widowControl/>
              <w:spacing w:after="0" w:line="360" w:lineRule="auto"/>
              <w:ind w:firstLine="420"/>
              <w:jc w:val="center"/>
              <w:rPr>
                <w:rFonts w:hint="eastAsia" w:ascii="宋体" w:hAnsi="宋体" w:eastAsia="宋体" w:cs="宋体"/>
                <w:sz w:val="24"/>
                <w:szCs w:val="24"/>
                <w:highlight w:val="none"/>
              </w:rPr>
            </w:pPr>
          </w:p>
        </w:tc>
        <w:tc>
          <w:tcPr>
            <w:tcW w:w="939" w:type="dxa"/>
            <w:vMerge w:val="continue"/>
            <w:tcBorders>
              <w:top w:val="nil"/>
              <w:left w:val="single" w:color="auto" w:sz="4" w:space="0"/>
              <w:bottom w:val="single" w:color="auto" w:sz="4" w:space="0"/>
              <w:right w:val="single" w:color="auto" w:sz="4" w:space="0"/>
            </w:tcBorders>
            <w:noWrap w:val="0"/>
            <w:vAlign w:val="center"/>
          </w:tcPr>
          <w:p w14:paraId="0118BA1C">
            <w:pPr>
              <w:pageBreakBefore w:val="0"/>
              <w:widowControl/>
              <w:spacing w:after="0" w:line="360" w:lineRule="auto"/>
              <w:ind w:firstLine="420"/>
              <w:jc w:val="center"/>
              <w:rPr>
                <w:rFonts w:hint="eastAsia" w:ascii="宋体" w:hAnsi="宋体" w:eastAsia="宋体" w:cs="宋体"/>
                <w:sz w:val="24"/>
                <w:szCs w:val="24"/>
                <w:highlight w:val="none"/>
              </w:rPr>
            </w:pPr>
          </w:p>
        </w:tc>
        <w:tc>
          <w:tcPr>
            <w:tcW w:w="1368" w:type="dxa"/>
            <w:tcBorders>
              <w:top w:val="nil"/>
              <w:left w:val="nil"/>
              <w:bottom w:val="single" w:color="auto" w:sz="4" w:space="0"/>
              <w:right w:val="single" w:color="auto" w:sz="4" w:space="0"/>
            </w:tcBorders>
            <w:noWrap/>
            <w:vAlign w:val="center"/>
          </w:tcPr>
          <w:p w14:paraId="10AD3AB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絮凝剂</w:t>
            </w:r>
          </w:p>
          <w:p w14:paraId="0D679F6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投加装置</w:t>
            </w:r>
          </w:p>
        </w:tc>
        <w:tc>
          <w:tcPr>
            <w:tcW w:w="3331" w:type="dxa"/>
            <w:tcBorders>
              <w:top w:val="nil"/>
              <w:left w:val="nil"/>
              <w:bottom w:val="single" w:color="auto" w:sz="4" w:space="0"/>
              <w:right w:val="single" w:color="auto" w:sz="4" w:space="0"/>
            </w:tcBorders>
            <w:noWrap w:val="0"/>
            <w:vAlign w:val="center"/>
          </w:tcPr>
          <w:p w14:paraId="0979564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0-500 L/h，流量可调</w:t>
            </w:r>
          </w:p>
        </w:tc>
        <w:tc>
          <w:tcPr>
            <w:tcW w:w="856" w:type="dxa"/>
            <w:tcBorders>
              <w:top w:val="nil"/>
              <w:left w:val="nil"/>
              <w:bottom w:val="single" w:color="auto" w:sz="4" w:space="0"/>
              <w:right w:val="single" w:color="auto" w:sz="4" w:space="0"/>
            </w:tcBorders>
            <w:noWrap/>
            <w:vAlign w:val="center"/>
          </w:tcPr>
          <w:p w14:paraId="0D056B4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736" w:type="dxa"/>
            <w:tcBorders>
              <w:top w:val="nil"/>
              <w:left w:val="nil"/>
              <w:bottom w:val="single" w:color="auto" w:sz="4" w:space="0"/>
              <w:right w:val="single" w:color="auto" w:sz="4" w:space="0"/>
            </w:tcBorders>
            <w:noWrap/>
            <w:vAlign w:val="center"/>
          </w:tcPr>
          <w:p w14:paraId="7EDA915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01872502">
            <w:pPr>
              <w:pageBreakBefore w:val="0"/>
              <w:widowControl/>
              <w:spacing w:after="0" w:line="360" w:lineRule="auto"/>
              <w:ind w:firstLine="420"/>
              <w:jc w:val="center"/>
              <w:rPr>
                <w:rFonts w:hint="eastAsia" w:ascii="宋体" w:hAnsi="宋体" w:eastAsia="宋体" w:cs="宋体"/>
                <w:sz w:val="24"/>
                <w:szCs w:val="24"/>
                <w:highlight w:val="none"/>
              </w:rPr>
            </w:pPr>
          </w:p>
        </w:tc>
      </w:tr>
      <w:tr w14:paraId="3B70870A">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noWrap w:val="0"/>
            <w:vAlign w:val="center"/>
          </w:tcPr>
          <w:p w14:paraId="56333A5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939" w:type="dxa"/>
            <w:tcBorders>
              <w:top w:val="nil"/>
              <w:left w:val="nil"/>
              <w:bottom w:val="single" w:color="auto" w:sz="4" w:space="0"/>
              <w:right w:val="single" w:color="auto" w:sz="4" w:space="0"/>
            </w:tcBorders>
            <w:noWrap w:val="0"/>
            <w:vAlign w:val="center"/>
          </w:tcPr>
          <w:p w14:paraId="48ECD81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自控系统</w:t>
            </w:r>
          </w:p>
        </w:tc>
        <w:tc>
          <w:tcPr>
            <w:tcW w:w="1368" w:type="dxa"/>
            <w:tcBorders>
              <w:top w:val="nil"/>
              <w:left w:val="nil"/>
              <w:bottom w:val="single" w:color="auto" w:sz="4" w:space="0"/>
              <w:right w:val="single" w:color="auto" w:sz="4" w:space="0"/>
            </w:tcBorders>
            <w:noWrap w:val="0"/>
            <w:vAlign w:val="center"/>
          </w:tcPr>
          <w:p w14:paraId="1D1F4267">
            <w:pPr>
              <w:pageBreakBefore w:val="0"/>
              <w:widowControl/>
              <w:spacing w:after="0" w:line="360" w:lineRule="auto"/>
              <w:ind w:firstLine="420"/>
              <w:jc w:val="center"/>
              <w:rPr>
                <w:rFonts w:hint="eastAsia" w:ascii="宋体" w:hAnsi="宋体" w:eastAsia="宋体" w:cs="宋体"/>
                <w:sz w:val="24"/>
                <w:szCs w:val="24"/>
                <w:highlight w:val="none"/>
              </w:rPr>
            </w:pPr>
          </w:p>
        </w:tc>
        <w:tc>
          <w:tcPr>
            <w:tcW w:w="3331" w:type="dxa"/>
            <w:tcBorders>
              <w:top w:val="nil"/>
              <w:left w:val="nil"/>
              <w:bottom w:val="single" w:color="auto" w:sz="4" w:space="0"/>
              <w:right w:val="single" w:color="auto" w:sz="4" w:space="0"/>
            </w:tcBorders>
            <w:noWrap w:val="0"/>
            <w:vAlign w:val="center"/>
          </w:tcPr>
          <w:p w14:paraId="5AACE74A">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PLC自控，大屏显示，工业上位机，就地柜等</w:t>
            </w:r>
          </w:p>
        </w:tc>
        <w:tc>
          <w:tcPr>
            <w:tcW w:w="856" w:type="dxa"/>
            <w:tcBorders>
              <w:top w:val="nil"/>
              <w:left w:val="nil"/>
              <w:bottom w:val="single" w:color="auto" w:sz="4" w:space="0"/>
              <w:right w:val="single" w:color="auto" w:sz="4" w:space="0"/>
            </w:tcBorders>
            <w:noWrap w:val="0"/>
            <w:vAlign w:val="center"/>
          </w:tcPr>
          <w:p w14:paraId="1036F07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736" w:type="dxa"/>
            <w:tcBorders>
              <w:top w:val="nil"/>
              <w:left w:val="nil"/>
              <w:bottom w:val="single" w:color="auto" w:sz="4" w:space="0"/>
              <w:right w:val="single" w:color="auto" w:sz="4" w:space="0"/>
            </w:tcBorders>
            <w:noWrap w:val="0"/>
            <w:vAlign w:val="center"/>
          </w:tcPr>
          <w:p w14:paraId="4298BBDC">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4DD50592">
            <w:pPr>
              <w:pageBreakBefore w:val="0"/>
              <w:widowControl/>
              <w:spacing w:after="0" w:line="360" w:lineRule="auto"/>
              <w:ind w:firstLine="420"/>
              <w:jc w:val="center"/>
              <w:rPr>
                <w:rFonts w:hint="eastAsia" w:ascii="宋体" w:hAnsi="宋体" w:eastAsia="宋体" w:cs="宋体"/>
                <w:sz w:val="24"/>
                <w:szCs w:val="24"/>
                <w:highlight w:val="none"/>
              </w:rPr>
            </w:pPr>
          </w:p>
        </w:tc>
      </w:tr>
      <w:tr w14:paraId="22828FF1">
        <w:tblPrEx>
          <w:tblCellMar>
            <w:top w:w="0" w:type="dxa"/>
            <w:left w:w="108" w:type="dxa"/>
            <w:bottom w:w="0" w:type="dxa"/>
            <w:right w:w="108" w:type="dxa"/>
          </w:tblCellMar>
        </w:tblPrEx>
        <w:trPr>
          <w:trHeight w:val="540" w:hRule="atLeast"/>
        </w:trPr>
        <w:tc>
          <w:tcPr>
            <w:tcW w:w="562" w:type="dxa"/>
            <w:tcBorders>
              <w:top w:val="nil"/>
              <w:left w:val="single" w:color="auto" w:sz="4" w:space="0"/>
              <w:bottom w:val="single" w:color="auto" w:sz="4" w:space="0"/>
              <w:right w:val="single" w:color="auto" w:sz="4" w:space="0"/>
            </w:tcBorders>
            <w:noWrap w:val="0"/>
            <w:vAlign w:val="center"/>
          </w:tcPr>
          <w:p w14:paraId="098D88B2">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939" w:type="dxa"/>
            <w:tcBorders>
              <w:top w:val="nil"/>
              <w:left w:val="nil"/>
              <w:bottom w:val="single" w:color="auto" w:sz="4" w:space="0"/>
              <w:right w:val="single" w:color="auto" w:sz="4" w:space="0"/>
            </w:tcBorders>
            <w:noWrap w:val="0"/>
            <w:vAlign w:val="center"/>
          </w:tcPr>
          <w:p w14:paraId="03A562C1">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仪器仪表</w:t>
            </w:r>
          </w:p>
        </w:tc>
        <w:tc>
          <w:tcPr>
            <w:tcW w:w="1368" w:type="dxa"/>
            <w:tcBorders>
              <w:top w:val="nil"/>
              <w:left w:val="nil"/>
              <w:bottom w:val="single" w:color="auto" w:sz="4" w:space="0"/>
              <w:right w:val="single" w:color="auto" w:sz="4" w:space="0"/>
            </w:tcBorders>
            <w:noWrap w:val="0"/>
            <w:vAlign w:val="center"/>
          </w:tcPr>
          <w:p w14:paraId="585F24DF">
            <w:pPr>
              <w:pageBreakBefore w:val="0"/>
              <w:widowControl/>
              <w:spacing w:after="0" w:line="360" w:lineRule="auto"/>
              <w:ind w:firstLine="420"/>
              <w:jc w:val="center"/>
              <w:rPr>
                <w:rFonts w:hint="eastAsia" w:ascii="宋体" w:hAnsi="宋体" w:eastAsia="宋体" w:cs="宋体"/>
                <w:sz w:val="24"/>
                <w:szCs w:val="24"/>
                <w:highlight w:val="none"/>
              </w:rPr>
            </w:pPr>
          </w:p>
        </w:tc>
        <w:tc>
          <w:tcPr>
            <w:tcW w:w="3331" w:type="dxa"/>
            <w:tcBorders>
              <w:top w:val="nil"/>
              <w:left w:val="nil"/>
              <w:bottom w:val="single" w:color="auto" w:sz="4" w:space="0"/>
              <w:right w:val="single" w:color="auto" w:sz="4" w:space="0"/>
            </w:tcBorders>
            <w:noWrap w:val="0"/>
            <w:vAlign w:val="center"/>
          </w:tcPr>
          <w:p w14:paraId="1DFEE8D0">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设计配套，含液位计、温度计、压力传感器、流量计、DO传感器等</w:t>
            </w:r>
          </w:p>
        </w:tc>
        <w:tc>
          <w:tcPr>
            <w:tcW w:w="856" w:type="dxa"/>
            <w:tcBorders>
              <w:top w:val="nil"/>
              <w:left w:val="nil"/>
              <w:bottom w:val="single" w:color="auto" w:sz="4" w:space="0"/>
              <w:right w:val="single" w:color="auto" w:sz="4" w:space="0"/>
            </w:tcBorders>
            <w:noWrap w:val="0"/>
            <w:vAlign w:val="center"/>
          </w:tcPr>
          <w:p w14:paraId="08700585">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批</w:t>
            </w:r>
          </w:p>
        </w:tc>
        <w:tc>
          <w:tcPr>
            <w:tcW w:w="736" w:type="dxa"/>
            <w:tcBorders>
              <w:top w:val="nil"/>
              <w:left w:val="nil"/>
              <w:bottom w:val="single" w:color="auto" w:sz="4" w:space="0"/>
              <w:right w:val="single" w:color="auto" w:sz="4" w:space="0"/>
            </w:tcBorders>
            <w:noWrap w:val="0"/>
            <w:vAlign w:val="center"/>
          </w:tcPr>
          <w:p w14:paraId="227402A4">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5FECC48B">
            <w:pPr>
              <w:pageBreakBefore w:val="0"/>
              <w:widowControl/>
              <w:spacing w:after="0" w:line="360" w:lineRule="auto"/>
              <w:ind w:firstLine="420"/>
              <w:jc w:val="center"/>
              <w:rPr>
                <w:rFonts w:hint="eastAsia" w:ascii="宋体" w:hAnsi="宋体" w:eastAsia="宋体" w:cs="宋体"/>
                <w:sz w:val="24"/>
                <w:szCs w:val="24"/>
                <w:highlight w:val="none"/>
              </w:rPr>
            </w:pPr>
          </w:p>
        </w:tc>
      </w:tr>
      <w:tr w14:paraId="6D04E8C5">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noWrap w:val="0"/>
            <w:vAlign w:val="center"/>
          </w:tcPr>
          <w:p w14:paraId="70C1326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939" w:type="dxa"/>
            <w:tcBorders>
              <w:top w:val="nil"/>
              <w:left w:val="nil"/>
              <w:bottom w:val="single" w:color="auto" w:sz="4" w:space="0"/>
              <w:right w:val="single" w:color="auto" w:sz="4" w:space="0"/>
            </w:tcBorders>
            <w:noWrap w:val="0"/>
            <w:vAlign w:val="center"/>
          </w:tcPr>
          <w:p w14:paraId="3452487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管道阀门</w:t>
            </w:r>
          </w:p>
        </w:tc>
        <w:tc>
          <w:tcPr>
            <w:tcW w:w="1368" w:type="dxa"/>
            <w:tcBorders>
              <w:top w:val="nil"/>
              <w:left w:val="nil"/>
              <w:bottom w:val="single" w:color="auto" w:sz="4" w:space="0"/>
              <w:right w:val="single" w:color="auto" w:sz="4" w:space="0"/>
            </w:tcBorders>
            <w:noWrap w:val="0"/>
            <w:vAlign w:val="center"/>
          </w:tcPr>
          <w:p w14:paraId="5D737D78">
            <w:pPr>
              <w:pageBreakBefore w:val="0"/>
              <w:widowControl/>
              <w:spacing w:after="0" w:line="360" w:lineRule="auto"/>
              <w:ind w:firstLine="420"/>
              <w:jc w:val="center"/>
              <w:rPr>
                <w:rFonts w:hint="eastAsia" w:ascii="宋体" w:hAnsi="宋体" w:eastAsia="宋体" w:cs="宋体"/>
                <w:sz w:val="24"/>
                <w:szCs w:val="24"/>
                <w:highlight w:val="none"/>
              </w:rPr>
            </w:pPr>
          </w:p>
        </w:tc>
        <w:tc>
          <w:tcPr>
            <w:tcW w:w="3331" w:type="dxa"/>
            <w:tcBorders>
              <w:top w:val="nil"/>
              <w:left w:val="nil"/>
              <w:bottom w:val="single" w:color="auto" w:sz="4" w:space="0"/>
              <w:right w:val="single" w:color="auto" w:sz="4" w:space="0"/>
            </w:tcBorders>
            <w:noWrap w:val="0"/>
            <w:vAlign w:val="center"/>
          </w:tcPr>
          <w:p w14:paraId="11F8084B">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设计配套</w:t>
            </w:r>
          </w:p>
        </w:tc>
        <w:tc>
          <w:tcPr>
            <w:tcW w:w="856" w:type="dxa"/>
            <w:tcBorders>
              <w:top w:val="nil"/>
              <w:left w:val="nil"/>
              <w:bottom w:val="single" w:color="auto" w:sz="4" w:space="0"/>
              <w:right w:val="single" w:color="auto" w:sz="4" w:space="0"/>
            </w:tcBorders>
            <w:noWrap w:val="0"/>
            <w:vAlign w:val="center"/>
          </w:tcPr>
          <w:p w14:paraId="47CDA99D">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批</w:t>
            </w:r>
          </w:p>
        </w:tc>
        <w:tc>
          <w:tcPr>
            <w:tcW w:w="736" w:type="dxa"/>
            <w:tcBorders>
              <w:top w:val="nil"/>
              <w:left w:val="nil"/>
              <w:bottom w:val="single" w:color="auto" w:sz="4" w:space="0"/>
              <w:right w:val="single" w:color="auto" w:sz="4" w:space="0"/>
            </w:tcBorders>
            <w:noWrap w:val="0"/>
            <w:vAlign w:val="center"/>
          </w:tcPr>
          <w:p w14:paraId="2C794D5E">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nil"/>
              <w:left w:val="nil"/>
              <w:bottom w:val="single" w:color="auto" w:sz="4" w:space="0"/>
              <w:right w:val="single" w:color="auto" w:sz="4" w:space="0"/>
            </w:tcBorders>
            <w:noWrap w:val="0"/>
            <w:vAlign w:val="center"/>
          </w:tcPr>
          <w:p w14:paraId="018179FA">
            <w:pPr>
              <w:pageBreakBefore w:val="0"/>
              <w:widowControl/>
              <w:spacing w:after="0" w:line="360" w:lineRule="auto"/>
              <w:ind w:firstLine="420"/>
              <w:jc w:val="center"/>
              <w:rPr>
                <w:rFonts w:hint="eastAsia" w:ascii="宋体" w:hAnsi="宋体" w:eastAsia="宋体" w:cs="宋体"/>
                <w:sz w:val="24"/>
                <w:szCs w:val="24"/>
                <w:highlight w:val="none"/>
              </w:rPr>
            </w:pPr>
          </w:p>
        </w:tc>
      </w:tr>
      <w:tr w14:paraId="473A389E">
        <w:tblPrEx>
          <w:tblCellMar>
            <w:top w:w="0" w:type="dxa"/>
            <w:left w:w="108" w:type="dxa"/>
            <w:bottom w:w="0" w:type="dxa"/>
            <w:right w:w="108" w:type="dxa"/>
          </w:tblCellMar>
        </w:tblPrEx>
        <w:trPr>
          <w:trHeight w:val="278"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14:paraId="72049A8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939" w:type="dxa"/>
            <w:tcBorders>
              <w:top w:val="single" w:color="auto" w:sz="4" w:space="0"/>
              <w:left w:val="nil"/>
              <w:bottom w:val="single" w:color="auto" w:sz="4" w:space="0"/>
              <w:right w:val="single" w:color="auto" w:sz="4" w:space="0"/>
            </w:tcBorders>
            <w:noWrap w:val="0"/>
            <w:vAlign w:val="center"/>
          </w:tcPr>
          <w:p w14:paraId="4A8A4FB7">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安装调试</w:t>
            </w:r>
          </w:p>
        </w:tc>
        <w:tc>
          <w:tcPr>
            <w:tcW w:w="1368" w:type="dxa"/>
            <w:tcBorders>
              <w:top w:val="single" w:color="auto" w:sz="4" w:space="0"/>
              <w:left w:val="nil"/>
              <w:bottom w:val="single" w:color="auto" w:sz="4" w:space="0"/>
              <w:right w:val="single" w:color="auto" w:sz="4" w:space="0"/>
            </w:tcBorders>
            <w:noWrap w:val="0"/>
            <w:vAlign w:val="center"/>
          </w:tcPr>
          <w:p w14:paraId="1BB84497">
            <w:pPr>
              <w:pageBreakBefore w:val="0"/>
              <w:widowControl/>
              <w:spacing w:after="0" w:line="360" w:lineRule="auto"/>
              <w:ind w:firstLine="420"/>
              <w:jc w:val="center"/>
              <w:rPr>
                <w:rFonts w:hint="eastAsia" w:ascii="宋体" w:hAnsi="宋体" w:eastAsia="宋体" w:cs="宋体"/>
                <w:sz w:val="24"/>
                <w:szCs w:val="24"/>
                <w:highlight w:val="none"/>
              </w:rPr>
            </w:pPr>
          </w:p>
        </w:tc>
        <w:tc>
          <w:tcPr>
            <w:tcW w:w="3331" w:type="dxa"/>
            <w:tcBorders>
              <w:top w:val="single" w:color="auto" w:sz="4" w:space="0"/>
              <w:left w:val="nil"/>
              <w:bottom w:val="single" w:color="auto" w:sz="4" w:space="0"/>
              <w:right w:val="single" w:color="auto" w:sz="4" w:space="0"/>
            </w:tcBorders>
            <w:noWrap w:val="0"/>
            <w:vAlign w:val="center"/>
          </w:tcPr>
          <w:p w14:paraId="7E6FD1D3">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设计配套，含污泥、菌种、药剂、营养盐等</w:t>
            </w:r>
          </w:p>
        </w:tc>
        <w:tc>
          <w:tcPr>
            <w:tcW w:w="856" w:type="dxa"/>
            <w:tcBorders>
              <w:top w:val="single" w:color="auto" w:sz="4" w:space="0"/>
              <w:left w:val="nil"/>
              <w:bottom w:val="single" w:color="auto" w:sz="4" w:space="0"/>
              <w:right w:val="single" w:color="auto" w:sz="4" w:space="0"/>
            </w:tcBorders>
            <w:noWrap w:val="0"/>
            <w:vAlign w:val="center"/>
          </w:tcPr>
          <w:p w14:paraId="6D2083B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批</w:t>
            </w:r>
          </w:p>
        </w:tc>
        <w:tc>
          <w:tcPr>
            <w:tcW w:w="736" w:type="dxa"/>
            <w:tcBorders>
              <w:top w:val="single" w:color="auto" w:sz="4" w:space="0"/>
              <w:left w:val="nil"/>
              <w:bottom w:val="single" w:color="auto" w:sz="4" w:space="0"/>
              <w:right w:val="single" w:color="auto" w:sz="4" w:space="0"/>
            </w:tcBorders>
            <w:noWrap w:val="0"/>
            <w:vAlign w:val="center"/>
          </w:tcPr>
          <w:p w14:paraId="1105A5CF">
            <w:pPr>
              <w:pageBreakBefore w:val="0"/>
              <w:widowControl/>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34" w:type="dxa"/>
            <w:tcBorders>
              <w:top w:val="single" w:color="auto" w:sz="4" w:space="0"/>
              <w:left w:val="nil"/>
              <w:bottom w:val="single" w:color="auto" w:sz="4" w:space="0"/>
              <w:right w:val="single" w:color="auto" w:sz="4" w:space="0"/>
            </w:tcBorders>
            <w:noWrap w:val="0"/>
            <w:vAlign w:val="center"/>
          </w:tcPr>
          <w:p w14:paraId="2B9DA2F1">
            <w:pPr>
              <w:pageBreakBefore w:val="0"/>
              <w:widowControl/>
              <w:spacing w:after="0" w:line="360" w:lineRule="auto"/>
              <w:ind w:firstLine="420"/>
              <w:jc w:val="center"/>
              <w:rPr>
                <w:rFonts w:hint="eastAsia" w:ascii="宋体" w:hAnsi="宋体" w:eastAsia="宋体" w:cs="宋体"/>
                <w:sz w:val="24"/>
                <w:szCs w:val="24"/>
                <w:highlight w:val="none"/>
              </w:rPr>
            </w:pPr>
          </w:p>
        </w:tc>
      </w:tr>
    </w:tbl>
    <w:p w14:paraId="395BD6D6">
      <w:pPr>
        <w:pageBreakBefore w:val="0"/>
        <w:spacing w:after="0" w:line="360" w:lineRule="auto"/>
        <w:outlineLvl w:val="0"/>
        <w:rPr>
          <w:rFonts w:hint="eastAsia" w:ascii="宋体" w:hAnsi="宋体" w:eastAsia="宋体" w:cs="宋体"/>
          <w:b/>
          <w:sz w:val="24"/>
          <w:szCs w:val="24"/>
          <w:highlight w:val="none"/>
        </w:rPr>
      </w:pPr>
      <w:bookmarkStart w:id="52" w:name="_Toc229738185"/>
      <w:bookmarkStart w:id="53" w:name="_Toc30164"/>
      <w:r>
        <w:rPr>
          <w:rFonts w:hint="eastAsia" w:ascii="宋体" w:hAnsi="宋体" w:eastAsia="宋体" w:cs="宋体"/>
          <w:b/>
          <w:sz w:val="24"/>
          <w:szCs w:val="24"/>
          <w:highlight w:val="none"/>
        </w:rPr>
        <w:t>4．工艺设备技术要求</w:t>
      </w:r>
      <w:bookmarkEnd w:id="52"/>
    </w:p>
    <w:p w14:paraId="7DD8250B">
      <w:pPr>
        <w:pageBreakBefore w:val="0"/>
        <w:spacing w:after="0" w:line="360" w:lineRule="auto"/>
        <w:outlineLvl w:val="0"/>
        <w:rPr>
          <w:rFonts w:hint="eastAsia" w:ascii="宋体" w:hAnsi="宋体" w:eastAsia="宋体" w:cs="宋体"/>
          <w:b/>
          <w:sz w:val="24"/>
          <w:szCs w:val="24"/>
          <w:highlight w:val="none"/>
        </w:rPr>
      </w:pPr>
      <w:bookmarkStart w:id="54" w:name="_Toc229738186"/>
      <w:r>
        <w:rPr>
          <w:rFonts w:hint="eastAsia" w:ascii="宋体" w:hAnsi="宋体" w:eastAsia="宋体" w:cs="宋体"/>
          <w:b/>
          <w:sz w:val="24"/>
          <w:szCs w:val="24"/>
          <w:highlight w:val="none"/>
        </w:rPr>
        <w:t>4.1 总体要求</w:t>
      </w:r>
      <w:bookmarkEnd w:id="54"/>
    </w:p>
    <w:p w14:paraId="214A282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污水处理系统设备（包括所有需要的辅助设备）应满足以下总体要求：</w:t>
      </w:r>
    </w:p>
    <w:p w14:paraId="00A7E8F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w:t>
      </w: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提供的设备应能保证在所在地区的气象条件下每日24小时连续平稳运转，并能在长期停运后，仍然能够正常启动运转。</w:t>
      </w: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应根据本项目处理介质，并结合自身经验对污水处理系统成套设备进行优化配置，并在投标文件中提供详细计算过程和主要设计参数。</w:t>
      </w:r>
    </w:p>
    <w:p w14:paraId="6960A72A">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w:t>
      </w: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提供的所有设备和材料应是全新的，同类设备和配件应统一品牌。所有转动部分应设置保护壳，以防止事故发生。</w:t>
      </w:r>
    </w:p>
    <w:p w14:paraId="473A70E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3）除本章节中明确要求外，其余各设备过流部件材质应不低于304不锈钢。</w:t>
      </w:r>
    </w:p>
    <w:p w14:paraId="3F93A70A">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4）“主要设备及性能要求”应满足章节本章节相关指标，若投标方因工艺优化导致设备与本招标文件描述不一致，则投标方同类或类似功能的设备在建设标准上也需满足本招标文件中对设备性能的要求。</w:t>
      </w:r>
    </w:p>
    <w:p w14:paraId="0CBB4B2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5）距离设备1 m处噪声不高于85 dB（A）；</w:t>
      </w:r>
    </w:p>
    <w:p w14:paraId="000CC1A3">
      <w:pPr>
        <w:pageBreakBefore w:val="0"/>
        <w:spacing w:after="0" w:line="360" w:lineRule="auto"/>
        <w:outlineLvl w:val="0"/>
        <w:rPr>
          <w:rFonts w:hint="eastAsia" w:ascii="宋体" w:hAnsi="宋体" w:eastAsia="宋体" w:cs="宋体"/>
          <w:b/>
          <w:sz w:val="24"/>
          <w:szCs w:val="24"/>
          <w:highlight w:val="none"/>
        </w:rPr>
      </w:pPr>
      <w:bookmarkStart w:id="55" w:name="_Toc229738187"/>
      <w:r>
        <w:rPr>
          <w:rFonts w:hint="eastAsia" w:ascii="宋体" w:hAnsi="宋体" w:eastAsia="宋体" w:cs="宋体"/>
          <w:b/>
          <w:sz w:val="24"/>
          <w:szCs w:val="24"/>
          <w:highlight w:val="none"/>
        </w:rPr>
        <w:t>4.2 专用设备要求</w:t>
      </w:r>
      <w:bookmarkEnd w:id="55"/>
    </w:p>
    <w:p w14:paraId="5A70356C">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56" w:name="_Toc229738188"/>
      <w:r>
        <w:rPr>
          <w:rFonts w:hint="eastAsia" w:ascii="宋体" w:hAnsi="宋体" w:eastAsia="宋体" w:cs="宋体"/>
          <w:b/>
          <w:bCs/>
          <w:sz w:val="24"/>
          <w:szCs w:val="24"/>
          <w:highlight w:val="none"/>
        </w:rPr>
        <w:t>4.2.1 气浮成套设备</w:t>
      </w:r>
      <w:bookmarkEnd w:id="56"/>
    </w:p>
    <w:p w14:paraId="1D57AFF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供货的渗滤液气浮设备应为成套装置，必须包括气浮池体及走道平台、刮渣机、溶气系统、加药装置、反应搅拌装置、喷淋装置、排泥装置、仪表、电控柜、电缆、阀门、管线等安全、有效、可靠运行的附件。</w:t>
      </w:r>
    </w:p>
    <w:p w14:paraId="7A49871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材质不低于如下要求：</w:t>
      </w:r>
    </w:p>
    <w:p w14:paraId="5E78AB0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（1）气浮池体：碳钢材质，抛丸除锈后达2.5a级后，内部三布五油FRP玻璃钢加强型防腐，外部底漆1道及面漆2道，内部管路UPVC材质。</w:t>
      </w:r>
    </w:p>
    <w:p w14:paraId="4333444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走道平台：走道板采用玻璃钢格板，含扶梯及操作走道平台，爬梯扶手碳钢防腐。</w:t>
      </w:r>
    </w:p>
    <w:p w14:paraId="6EDC715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（2）刮渣机：</w:t>
      </w:r>
    </w:p>
    <w:p w14:paraId="50B60F7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链条：PA6；</w:t>
      </w:r>
    </w:p>
    <w:p w14:paraId="45B0E32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链轮：尼龙材质；</w:t>
      </w:r>
    </w:p>
    <w:p w14:paraId="0F42A22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刮板：不锈钢304+平带板；</w:t>
      </w:r>
    </w:p>
    <w:p w14:paraId="1EA747C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传动轴：碳钢+FRP材质；</w:t>
      </w:r>
    </w:p>
    <w:p w14:paraId="4F111B8A">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液位控制系统，调节堰、丝杆：304不锈钢；</w:t>
      </w:r>
    </w:p>
    <w:p w14:paraId="646F18C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（3）溶气系统：</w:t>
      </w:r>
    </w:p>
    <w:p w14:paraId="7520943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溶气罐：内部全部组件304不锈钢；</w:t>
      </w:r>
    </w:p>
    <w:p w14:paraId="526B7AB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液位平衡控制器：主体不锈钢304；</w:t>
      </w:r>
    </w:p>
    <w:p w14:paraId="28F6F6D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溶气系统支架：碳钢防腐；</w:t>
      </w:r>
    </w:p>
    <w:p w14:paraId="423076E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溶气专用释放器：ABS材质，内部螺栓304；</w:t>
      </w:r>
    </w:p>
    <w:p w14:paraId="3FDFD18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释放管路：化工级UPVC材质。</w:t>
      </w:r>
    </w:p>
    <w:p w14:paraId="7F7B42D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回流水泵：过流部件SUS304材质；</w:t>
      </w:r>
    </w:p>
    <w:p w14:paraId="041D304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回流水泵至溶气罐管道、阀门：化工级UPVC材质。</w:t>
      </w:r>
    </w:p>
    <w:p w14:paraId="6E707B20">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3）性能要求</w:t>
      </w:r>
    </w:p>
    <w:p w14:paraId="7C9B53C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设备数量：气浮设备：1套；PAC/PAM制备及投加装置：1套。</w:t>
      </w:r>
    </w:p>
    <w:p w14:paraId="7B840D5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处理对象：垃圾中转站渗滤液及生产废水混合废水</w:t>
      </w:r>
    </w:p>
    <w:p w14:paraId="362B4D9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处理能力：＞20 m</w:t>
      </w:r>
      <w:r>
        <w:rPr>
          <w:rFonts w:hint="eastAsia" w:ascii="宋体" w:hAnsi="宋体" w:eastAsia="宋体" w:cs="宋体"/>
          <w:sz w:val="24"/>
          <w:szCs w:val="24"/>
          <w:highlight w:val="none"/>
          <w:vertAlign w:val="superscript"/>
          <w14:ligatures w14:val="none"/>
        </w:rPr>
        <w:t>3</w:t>
      </w:r>
      <w:r>
        <w:rPr>
          <w:rFonts w:hint="eastAsia" w:ascii="宋体" w:hAnsi="宋体" w:eastAsia="宋体" w:cs="宋体"/>
          <w:sz w:val="24"/>
          <w:szCs w:val="24"/>
          <w:highlight w:val="none"/>
          <w14:ligatures w14:val="none"/>
        </w:rPr>
        <w:t>/h</w:t>
      </w:r>
    </w:p>
    <w:p w14:paraId="45DC9B5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溶气压力：0.4~0.55 MPa</w:t>
      </w:r>
    </w:p>
    <w:p w14:paraId="13AC36D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结构形式：平流式组合气浮，部分回流加压射流溶气。</w:t>
      </w:r>
    </w:p>
    <w:p w14:paraId="2EAF9441">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气浮池体含反应区（2格）、接触区、分离区、浮渣槽、清水槽、锥形底（污泥斗）。</w:t>
      </w:r>
    </w:p>
    <w:p w14:paraId="31CF2E7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噪音：设备外1米噪声级需小于85 dB（A）。</w:t>
      </w:r>
    </w:p>
    <w:p w14:paraId="6E169733">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57" w:name="_Toc229738189"/>
      <w:r>
        <w:rPr>
          <w:rFonts w:hint="eastAsia" w:ascii="宋体" w:hAnsi="宋体" w:eastAsia="宋体" w:cs="宋体"/>
          <w:b/>
          <w:bCs/>
          <w:sz w:val="24"/>
          <w:szCs w:val="24"/>
          <w:highlight w:val="none"/>
        </w:rPr>
        <w:t xml:space="preserve">4.2.2 </w:t>
      </w:r>
      <w:bookmarkStart w:id="58" w:name="_Toc1036"/>
      <w:bookmarkStart w:id="59" w:name="_Toc212018073"/>
      <w:r>
        <w:rPr>
          <w:rFonts w:hint="eastAsia" w:ascii="宋体" w:hAnsi="宋体" w:eastAsia="宋体" w:cs="宋体"/>
          <w:b/>
          <w:bCs/>
          <w:sz w:val="24"/>
          <w:szCs w:val="24"/>
          <w:highlight w:val="none"/>
        </w:rPr>
        <w:t>立式离心污水泵</w:t>
      </w:r>
      <w:bookmarkEnd w:id="57"/>
      <w:bookmarkEnd w:id="58"/>
      <w:bookmarkEnd w:id="59"/>
    </w:p>
    <w:p w14:paraId="41329C2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每台管道泵应成套地配备齿轮减速电机；联轴器；机座；进水和出水配管；等安全、有效及可靠运行所必需的附件。</w:t>
      </w:r>
    </w:p>
    <w:p w14:paraId="706620B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工作介质：渗滤液及生产废水、脱水滤液等</w:t>
      </w:r>
    </w:p>
    <w:p w14:paraId="5D91A87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环境温度： +0℃～+45℃</w:t>
      </w:r>
    </w:p>
    <w:p w14:paraId="5D42CBA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应能每天24小时连续运转</w:t>
      </w:r>
    </w:p>
    <w:p w14:paraId="4F0F414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★水泵主要材质不低于304不锈钢。</w:t>
      </w:r>
    </w:p>
    <w:p w14:paraId="64493EDB">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60" w:name="_Toc229738190"/>
      <w:r>
        <w:rPr>
          <w:rFonts w:hint="eastAsia" w:ascii="宋体" w:hAnsi="宋体" w:eastAsia="宋体" w:cs="宋体"/>
          <w:b/>
          <w:bCs/>
          <w:sz w:val="24"/>
          <w:szCs w:val="24"/>
          <w:highlight w:val="none"/>
        </w:rPr>
        <w:t>4.2.3 潜水搅拌机</w:t>
      </w:r>
      <w:bookmarkEnd w:id="60"/>
    </w:p>
    <w:p w14:paraId="6C05C61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每台潜水搅拌器应成套地配备安全、有效及可靠运行所需的附件、紧固件、备品备件、就地接线箱和按钮箱以及所需电缆，每台搅拌器应带有提升装置如提升导轨、提升链、手柄、支架及葫芦。</w:t>
      </w:r>
    </w:p>
    <w:p w14:paraId="6728ACFE">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搅拌器全部的重量受力在一个支架上，并且这个支架可承受搅拌器形成的推力。搅拌器、附件和电缆可在8米水深24小时持续潜水运行、间歇运行和长期停止状态后恢复运行。在整个运行过程中性能稳定，无故障运行时间可达10,000小时以上。</w:t>
      </w:r>
    </w:p>
    <w:p w14:paraId="63E5BF9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★主要部件材质如下：</w:t>
      </w:r>
    </w:p>
    <w:p w14:paraId="250153F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螺旋桨：不锈钢304或以上</w:t>
      </w:r>
    </w:p>
    <w:p w14:paraId="71F7F80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主轴：不锈钢304或以上</w:t>
      </w:r>
    </w:p>
    <w:p w14:paraId="7BB6771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机械密封：碳化钨/碳化钨</w:t>
      </w:r>
    </w:p>
    <w:p w14:paraId="5786767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螺栓、螺母、垫圈：不锈钢304或以上</w:t>
      </w:r>
    </w:p>
    <w:p w14:paraId="4C7AC8B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导轨、支架：不锈钢304或以上</w:t>
      </w:r>
    </w:p>
    <w:p w14:paraId="1E337AC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提升链、绳：不锈钢304或以上</w:t>
      </w:r>
    </w:p>
    <w:p w14:paraId="568CC5D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电缆外套：氯丁橡胶</w:t>
      </w:r>
    </w:p>
    <w:p w14:paraId="70D6BDE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提升装置起吊臂：不锈钢304以上</w:t>
      </w:r>
    </w:p>
    <w:p w14:paraId="563DB63C">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61" w:name="_Toc229738191"/>
      <w:r>
        <w:rPr>
          <w:rFonts w:hint="eastAsia" w:ascii="宋体" w:hAnsi="宋体" w:eastAsia="宋体" w:cs="宋体"/>
          <w:b/>
          <w:bCs/>
          <w:sz w:val="24"/>
          <w:szCs w:val="24"/>
          <w:highlight w:val="none"/>
        </w:rPr>
        <w:t>4.2.4 射流曝气器</w:t>
      </w:r>
      <w:bookmarkEnd w:id="61"/>
    </w:p>
    <w:p w14:paraId="27676F0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投标方提供的射流曝气系统应为成套系统，含射流泵、曝气器、管道、阀门等。</w:t>
      </w:r>
    </w:p>
    <w:p w14:paraId="246F850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曝气器应为免维护防堵塞型，曝气器材质应为耐腐蚀的聚丙烯或不锈钢材质，</w:t>
      </w: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提供的曝气装置必须适用于硝化池曝气的需要，应能有效地将来自鼓风机的有压空气，均匀地扩散于水体中，并能保持长期和稳定的曝气效果，以及停止供气时有效的闭合。</w:t>
      </w:r>
    </w:p>
    <w:p w14:paraId="0E552FF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应保证曝气系统的排列方式，保证曝气均匀、搅拌充分，不会造成池底的积泥。</w:t>
      </w:r>
    </w:p>
    <w:p w14:paraId="606E8D5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w:t>
      </w: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提供的设备应成功应用于同类渗沥液处理项目中。</w:t>
      </w:r>
    </w:p>
    <w:p w14:paraId="29255CA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进入曝气器的空气应无需做空气净化，并应满足在长期连续使用或停用后再投入使用，均不会产生孔口的堵塞和混合液的回流。喷嘴、喉管、输气竖管及输气支管应适用于极限工作温度90℃。</w:t>
      </w:r>
    </w:p>
    <w:p w14:paraId="4DC84DDD">
      <w:pPr>
        <w:pageBreakBefore w:val="0"/>
        <w:spacing w:after="0" w:line="360" w:lineRule="auto"/>
        <w:ind w:firstLine="480"/>
        <w:jc w:val="both"/>
        <w:rPr>
          <w:rFonts w:hint="eastAsia" w:ascii="宋体" w:hAnsi="宋体" w:eastAsia="宋体" w:cs="宋体"/>
          <w:color w:val="FF0000"/>
          <w:sz w:val="24"/>
          <w:szCs w:val="24"/>
          <w:highlight w:val="none"/>
          <w14:ligatures w14:val="none"/>
        </w:rPr>
      </w:pPr>
      <w:r>
        <w:rPr>
          <w:rFonts w:hint="eastAsia" w:ascii="宋体" w:hAnsi="宋体" w:eastAsia="宋体" w:cs="宋体"/>
          <w:color w:val="FF0000"/>
          <w:sz w:val="24"/>
          <w:szCs w:val="24"/>
          <w:highlight w:val="none"/>
          <w14:ligatures w14:val="none"/>
        </w:rPr>
        <w:t>★射流曝气器应符合下列特性：气水比应大于4；氧利用率（清水深8 m）≥35%；工作寿命不小于20年。适于5米以上水深曝气。</w:t>
      </w:r>
    </w:p>
    <w:p w14:paraId="102B8D43">
      <w:pPr>
        <w:pageBreakBefore w:val="0"/>
        <w:spacing w:after="0" w:line="360" w:lineRule="auto"/>
        <w:ind w:firstLine="480"/>
        <w:jc w:val="both"/>
        <w:rPr>
          <w:rFonts w:hint="eastAsia" w:ascii="宋体" w:hAnsi="宋体" w:eastAsia="宋体" w:cs="宋体"/>
          <w:color w:val="FF0000"/>
          <w:sz w:val="24"/>
          <w:szCs w:val="24"/>
          <w:highlight w:val="none"/>
          <w14:ligatures w14:val="none"/>
        </w:rPr>
      </w:pPr>
      <w:r>
        <w:rPr>
          <w:rFonts w:hint="eastAsia" w:ascii="宋体" w:hAnsi="宋体" w:eastAsia="宋体" w:cs="宋体"/>
          <w:color w:val="FF0000"/>
          <w:sz w:val="24"/>
          <w:szCs w:val="24"/>
          <w:highlight w:val="none"/>
          <w:lang w:eastAsia="zh-CN"/>
          <w14:ligatures w14:val="none"/>
        </w:rPr>
        <w:t>投标人</w:t>
      </w:r>
      <w:r>
        <w:rPr>
          <w:rFonts w:hint="eastAsia" w:ascii="宋体" w:hAnsi="宋体" w:eastAsia="宋体" w:cs="宋体"/>
          <w:color w:val="FF0000"/>
          <w:sz w:val="24"/>
          <w:szCs w:val="24"/>
          <w:highlight w:val="none"/>
          <w14:ligatures w14:val="none"/>
        </w:rPr>
        <w:t>应对射流曝气器的特性和维护的可靠性、经济性等方面进行必要的说明，并提供设备特性及性能保证。</w:t>
      </w:r>
    </w:p>
    <w:p w14:paraId="076ECB2F">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62" w:name="_Toc15803"/>
      <w:bookmarkStart w:id="63" w:name="_Toc229738192"/>
      <w:bookmarkStart w:id="64" w:name="_Toc212018077"/>
      <w:r>
        <w:rPr>
          <w:rFonts w:hint="eastAsia" w:ascii="宋体" w:hAnsi="宋体" w:eastAsia="宋体" w:cs="宋体"/>
          <w:b/>
          <w:bCs/>
          <w:sz w:val="24"/>
          <w:szCs w:val="24"/>
          <w:highlight w:val="none"/>
        </w:rPr>
        <w:t>4.2.5 空气悬浮鼓风机</w:t>
      </w:r>
      <w:bookmarkEnd w:id="62"/>
      <w:bookmarkEnd w:id="63"/>
      <w:bookmarkEnd w:id="64"/>
    </w:p>
    <w:p w14:paraId="315FA12B">
      <w:pPr>
        <w:pageBreakBefore w:val="0"/>
        <w:spacing w:after="0" w:line="360" w:lineRule="auto"/>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14:ligatures w14:val="none"/>
        </w:rPr>
        <w:t>每台空气悬浮鼓风机及其辅助设备应为成套装置，整组系统应包括入口过滤/消音器、隔音罩、出口扩压消音器、永磁高速电机、变频器、主控制器、出口柔性接头、止回阀、放空阀、手动蝶阀，就地控制柜以及其他有效和安全运行所需的附件。</w:t>
      </w:r>
    </w:p>
    <w:p w14:paraId="2E2B9CD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提供的设备应符合以下设计条件：</w:t>
      </w:r>
    </w:p>
    <w:p w14:paraId="4D780304">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工作介质：    大气</w:t>
      </w:r>
    </w:p>
    <w:p w14:paraId="01486CF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空气吸入温度：－15℃～+40℃</w:t>
      </w:r>
    </w:p>
    <w:p w14:paraId="6156E11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出口压力：大于6 mH2O  (20℃)  </w:t>
      </w:r>
    </w:p>
    <w:p w14:paraId="2A7A7A5B">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65" w:name="_Toc212018078"/>
      <w:bookmarkStart w:id="66" w:name="_Toc229738193"/>
      <w:bookmarkStart w:id="67" w:name="_Toc29248"/>
      <w:r>
        <w:rPr>
          <w:rFonts w:hint="eastAsia" w:ascii="宋体" w:hAnsi="宋体" w:eastAsia="宋体" w:cs="宋体"/>
          <w:b/>
          <w:bCs/>
          <w:sz w:val="24"/>
          <w:szCs w:val="24"/>
          <w:highlight w:val="none"/>
        </w:rPr>
        <w:t>4.2.6 单螺杆泵</w:t>
      </w:r>
      <w:bookmarkEnd w:id="65"/>
      <w:bookmarkEnd w:id="66"/>
      <w:bookmarkEnd w:id="67"/>
    </w:p>
    <w:p w14:paraId="24491C6B">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lang w:eastAsia="zh-CN"/>
          <w14:ligatures w14:val="none"/>
        </w:rPr>
        <w:t>投标人</w:t>
      </w:r>
      <w:r>
        <w:rPr>
          <w:rFonts w:hint="eastAsia" w:ascii="宋体" w:hAnsi="宋体" w:eastAsia="宋体" w:cs="宋体"/>
          <w:sz w:val="24"/>
          <w:szCs w:val="24"/>
          <w:highlight w:val="none"/>
          <w14:ligatures w14:val="none"/>
        </w:rPr>
        <w:t>供货的单螺杆泵应为成套装置，除泵本体外，必须包括驱动电机、联轴器、底座、调速装置、就地控制箱，检测仪表等安全、有效、可靠运行的附件。</w:t>
      </w:r>
    </w:p>
    <w:p w14:paraId="2A4965BD">
      <w:pPr>
        <w:pageBreakBefore w:val="0"/>
        <w:spacing w:after="0" w:line="360" w:lineRule="auto"/>
        <w:ind w:firstLine="360"/>
        <w:rPr>
          <w:rFonts w:hint="eastAsia" w:ascii="宋体" w:hAnsi="宋体" w:eastAsia="宋体" w:cs="宋体"/>
          <w:sz w:val="24"/>
          <w:szCs w:val="24"/>
          <w:highlight w:val="none"/>
          <w14:ligatures w14:val="none"/>
        </w:rPr>
      </w:pPr>
      <w:bookmarkStart w:id="68" w:name="_Toc483820888"/>
      <w:bookmarkStart w:id="69" w:name="_Toc487357488"/>
      <w:r>
        <w:rPr>
          <w:rFonts w:hint="eastAsia" w:ascii="宋体" w:hAnsi="宋体" w:eastAsia="宋体" w:cs="宋体"/>
          <w:sz w:val="24"/>
          <w:szCs w:val="24"/>
          <w:highlight w:val="none"/>
          <w14:ligatures w14:val="none"/>
        </w:rPr>
        <w:t>现场条件</w:t>
      </w:r>
      <w:bookmarkEnd w:id="68"/>
      <w:bookmarkEnd w:id="69"/>
      <w:r>
        <w:rPr>
          <w:rFonts w:hint="eastAsia" w:ascii="宋体" w:hAnsi="宋体" w:eastAsia="宋体" w:cs="宋体"/>
          <w:sz w:val="24"/>
          <w:szCs w:val="24"/>
          <w:highlight w:val="none"/>
          <w14:ligatures w14:val="none"/>
        </w:rPr>
        <w:t>：</w:t>
      </w:r>
    </w:p>
    <w:p w14:paraId="1AC7D748">
      <w:pPr>
        <w:pageBreakBefore w:val="0"/>
        <w:spacing w:after="0" w:line="360" w:lineRule="auto"/>
        <w:ind w:firstLine="360"/>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介质：污水处理系统污泥（含生化系统剩余污泥、气浮化学污泥）</w:t>
      </w:r>
    </w:p>
    <w:p w14:paraId="74647154">
      <w:pPr>
        <w:pageBreakBefore w:val="0"/>
        <w:spacing w:after="0" w:line="360" w:lineRule="auto"/>
        <w:ind w:firstLine="360"/>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水温：8～37℃</w:t>
      </w:r>
    </w:p>
    <w:p w14:paraId="4F32B693">
      <w:pPr>
        <w:pageBreakBefore w:val="0"/>
        <w:spacing w:after="0" w:line="360" w:lineRule="auto"/>
        <w:ind w:firstLine="360"/>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水中pH值：6～9</w:t>
      </w:r>
    </w:p>
    <w:p w14:paraId="3D3AD065">
      <w:pPr>
        <w:pageBreakBefore w:val="0"/>
        <w:spacing w:after="0" w:line="360" w:lineRule="auto"/>
        <w:ind w:firstLine="360"/>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螺杆泵应采用单级、卧式、机械密封、容积式泵，变频调节的形式。</w:t>
      </w:r>
    </w:p>
    <w:p w14:paraId="44C934FB">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螺杆泵应实行24 h连续运行或间歇运行，无故障累积运行时间大于20000 h。</w:t>
      </w:r>
    </w:p>
    <w:p w14:paraId="52A407BB">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螺杆泵的电机（或通过减速器）与泵连接，并应安装在同一底盘上，泵与减速电机应通过弹性联轴器来连接，并须提供必要的安全防护装置（如防干运行装置等）。</w:t>
      </w:r>
    </w:p>
    <w:p w14:paraId="1C2B14D7">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电机应采用变频调速（配有变频器装置），额定功率应大于最大工作负荷10%以上，绝缘等级F，防护等级IP55，电源为3P、380V、50Hz。</w:t>
      </w:r>
    </w:p>
    <w:p w14:paraId="1FDEA57A">
      <w:pPr>
        <w:pageBreakBefore w:val="0"/>
        <w:spacing w:after="0" w:line="360" w:lineRule="auto"/>
        <w:ind w:firstLine="360"/>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轴封应采用机械密封。</w:t>
      </w:r>
    </w:p>
    <w:p w14:paraId="63DE486C">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泵体应包含轴承箱（双排轴承），轴承的温升应不超过环境温度35℃，其极限温度不应超过80℃，确保泵平稳运行。机组噪音应小于75dB（A）（距离泵一米处测量）。</w:t>
      </w:r>
    </w:p>
    <w:p w14:paraId="4DC235AD">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70" w:name="_Toc212018079"/>
      <w:bookmarkStart w:id="71" w:name="_Toc229738194"/>
      <w:bookmarkStart w:id="72" w:name="_Toc25509"/>
      <w:r>
        <w:rPr>
          <w:rFonts w:hint="eastAsia" w:ascii="宋体" w:hAnsi="宋体" w:eastAsia="宋体" w:cs="宋体"/>
          <w:b/>
          <w:bCs/>
          <w:sz w:val="24"/>
          <w:szCs w:val="24"/>
          <w:highlight w:val="none"/>
        </w:rPr>
        <w:t>4.2.7 超滤/纳滤系统</w:t>
      </w:r>
      <w:bookmarkEnd w:id="70"/>
      <w:bookmarkEnd w:id="71"/>
      <w:bookmarkEnd w:id="72"/>
    </w:p>
    <w:p w14:paraId="5FB0A6DA">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超滤/纳滤系统须为集成式一体化设备，主要以满足整个系统的要求为主，投标方可根据自己的工艺路线确定系统的处理能力，但须考虑一定的设计余度以保证膜通量衰减后系统产量仍可满足系统要求。</w:t>
      </w:r>
    </w:p>
    <w:p w14:paraId="4E7585CC">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系统所采用设备须具有较强的抗腐蚀能力，保证系统的使用寿命。</w:t>
      </w:r>
    </w:p>
    <w:p w14:paraId="6E8C8E85">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系统所采用的膜须具有较强的抗污染能力和抗氧化能力，使用寿命超过五年。</w:t>
      </w:r>
    </w:p>
    <w:p w14:paraId="7AA5BCD9">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设备配置规模按150 m</w:t>
      </w:r>
      <w:r>
        <w:rPr>
          <w:rFonts w:hint="eastAsia" w:ascii="宋体" w:hAnsi="宋体" w:eastAsia="宋体" w:cs="宋体"/>
          <w:sz w:val="24"/>
          <w:szCs w:val="24"/>
          <w:highlight w:val="none"/>
          <w:vertAlign w:val="superscript"/>
          <w14:ligatures w14:val="none"/>
        </w:rPr>
        <w:t>3</w:t>
      </w:r>
      <w:r>
        <w:rPr>
          <w:rFonts w:hint="eastAsia" w:ascii="宋体" w:hAnsi="宋体" w:eastAsia="宋体" w:cs="宋体"/>
          <w:sz w:val="24"/>
          <w:szCs w:val="24"/>
          <w:highlight w:val="none"/>
          <w14:ligatures w14:val="none"/>
        </w:rPr>
        <w:t>/d设置。</w:t>
      </w:r>
    </w:p>
    <w:p w14:paraId="464AAF64">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系统的自动控制系统应充分考虑与全场中央控制系统的衔接。</w:t>
      </w:r>
    </w:p>
    <w:p w14:paraId="37CAE315">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73" w:name="_Toc5636"/>
      <w:bookmarkStart w:id="74" w:name="_Toc212018080"/>
      <w:bookmarkStart w:id="75" w:name="_Toc229738195"/>
      <w:r>
        <w:rPr>
          <w:rFonts w:hint="eastAsia" w:ascii="宋体" w:hAnsi="宋体" w:eastAsia="宋体" w:cs="宋体"/>
          <w:b/>
          <w:bCs/>
          <w:sz w:val="24"/>
          <w:szCs w:val="24"/>
          <w:highlight w:val="none"/>
        </w:rPr>
        <w:t>4.2.8 叠螺脱水系统</w:t>
      </w:r>
      <w:bookmarkEnd w:id="73"/>
      <w:bookmarkEnd w:id="74"/>
      <w:bookmarkEnd w:id="75"/>
    </w:p>
    <w:p w14:paraId="73410FE8">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包括污泥处理系统所有工艺、电气、仪控设备及附件的供货、安装和调试。具体包括但不限于叠螺脱水机、螺杆式污泥进料泵、干污泥螺旋输送机、PAM投配装置、所有安装支架、设备平台、所有管道与相连结的阀类、仪表、就地控制箱与配电接线等安全和有效运行所必需的附件。</w:t>
      </w:r>
    </w:p>
    <w:p w14:paraId="6E56529D">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（a）叠螺脱水机的进料为渗滤液及生产废水混合原液、生化系统产生剩余污泥和气浮设备产生的化学污泥。</w:t>
      </w:r>
    </w:p>
    <w:p w14:paraId="18B475EE">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（b）叠螺脱水机每周工作7日，每天工作12小时。</w:t>
      </w:r>
    </w:p>
    <w:p w14:paraId="750D2E0F">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（c）工作环境：</w:t>
      </w:r>
    </w:p>
    <w:p w14:paraId="53CD581A">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温度-10℃～40℃</w:t>
      </w:r>
    </w:p>
    <w:p w14:paraId="2D526ED6">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湿度 最大90%RH</w:t>
      </w:r>
    </w:p>
    <w:p w14:paraId="2D6052A5">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（d）叠螺脱水机应布置在污泥脱水车间内，并设置平台便于检修维护。</w:t>
      </w:r>
    </w:p>
    <w:p w14:paraId="1943CE25">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（4）性能结构和材料</w:t>
      </w:r>
    </w:p>
    <w:p w14:paraId="47731272">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性能材质不低于如下要求：</w:t>
      </w:r>
    </w:p>
    <w:p w14:paraId="1C95517C">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浓缩部：SUS304；</w:t>
      </w:r>
    </w:p>
    <w:p w14:paraId="2318ACC4">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脱水部：硬态SUS304</w:t>
      </w:r>
    </w:p>
    <w:p w14:paraId="0469EC67">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螺旋轴：材质SUS304，叶片端面倒角，表面采用特殊耐磨合金工艺加硬；</w:t>
      </w:r>
    </w:p>
    <w:p w14:paraId="3E240C38">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凝集混合槽：SUS304</w:t>
      </w:r>
    </w:p>
    <w:p w14:paraId="752E618F">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喷淋头：316L</w:t>
      </w:r>
    </w:p>
    <w:p w14:paraId="28CC4D2C">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叠螺脱水系统须为无人值守全自动运行模式，从污泥进料、絮凝调理、脱水、卸泥到喷淋冲洗全流程自动完成，无需人工干预；具备 24 h 连续稳定运行能力，并可在中控室/手机端实现远程启停、参数设定、故障报警及数据记录。</w:t>
      </w:r>
    </w:p>
    <w:p w14:paraId="63F0F2FC">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加药装置计量泵采用机械隔膜泵，每种药剂的计量泵1用1备配置。</w:t>
      </w:r>
    </w:p>
    <w:p w14:paraId="1BD687E6">
      <w:pPr>
        <w:pageBreakBefore w:val="0"/>
        <w:spacing w:after="0" w:line="360" w:lineRule="auto"/>
        <w:ind w:firstLine="36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溶药罐配置搅拌器，有效容积应大于等于一天的药剂使用量。</w:t>
      </w:r>
    </w:p>
    <w:p w14:paraId="78930DCA">
      <w:pPr>
        <w:pageBreakBefore w:val="0"/>
        <w:spacing w:after="0" w:line="360" w:lineRule="auto"/>
        <w:outlineLvl w:val="0"/>
        <w:rPr>
          <w:rFonts w:hint="eastAsia" w:ascii="宋体" w:hAnsi="宋体" w:eastAsia="宋体" w:cs="宋体"/>
          <w:b/>
          <w:sz w:val="24"/>
          <w:szCs w:val="24"/>
          <w:highlight w:val="none"/>
        </w:rPr>
      </w:pPr>
      <w:bookmarkStart w:id="76" w:name="_Toc229738196"/>
      <w:r>
        <w:rPr>
          <w:rFonts w:hint="eastAsia" w:ascii="宋体" w:hAnsi="宋体" w:eastAsia="宋体" w:cs="宋体"/>
          <w:b/>
          <w:sz w:val="24"/>
          <w:szCs w:val="24"/>
          <w:highlight w:val="none"/>
        </w:rPr>
        <w:t>4.3 电气控制</w:t>
      </w:r>
      <w:bookmarkEnd w:id="76"/>
    </w:p>
    <w:p w14:paraId="4DBB8BB8">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设备系统集成商负责整个污水处理系统内的电气系统的设备设计、供货、安装、调试、测试、验收等相关工作，保证系统在各种工况下安全稳定地运行，确保污水处理系统效率达到要求。</w:t>
      </w:r>
    </w:p>
    <w:p w14:paraId="56DF4A7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电气控制柜：</w:t>
      </w:r>
    </w:p>
    <w:p w14:paraId="2DC09DDA">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柜体采用GCK或MNS型开关柜，就地操作箱材质为不锈钢304。</w:t>
      </w:r>
    </w:p>
    <w:p w14:paraId="497108AD">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控制柜体采用防腐蚀性强的不锈钢304钢板，厚度不小于2.0 mm，型钢支架，框架的结构件用螺栓紧固连接而成。所有框架零件应为免维护型。开关柜内部划分为四个区域：水平母线区，垂直母线区，电器设备区和电缆区，区域之间应采用敷铝锌钢板或阻燃性材料隔开成为相互独立的全封闭结构，应严格防止开关元件因故障引起的飞弧造成电气设备的短路。</w:t>
      </w:r>
    </w:p>
    <w:p w14:paraId="7B256D35">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所有机械设备配套的控制箱，所采用的电气元件应为同一生产厂家的同一品牌系列，并与低压开关柜内所采用的厂家品牌系列相一致。</w:t>
      </w:r>
    </w:p>
    <w:p w14:paraId="6D64FD9E">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系统低压电源进线侧及单机30 kW以上的电动机需就地单独计量。</w:t>
      </w:r>
    </w:p>
    <w:p w14:paraId="25AF8C6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在单机15 kW及以上的出线回路上设置数字显示型表计，带标准485接口，测量出线回路上所有元器件的状态信号、所有电机的电气信号（电流、电压、电能）通过表计的485接口上传。</w:t>
      </w:r>
    </w:p>
    <w:p w14:paraId="08E57C3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就地控制柜应符合下列要求：</w:t>
      </w:r>
    </w:p>
    <w:p w14:paraId="677013B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（a）能对主机和辅助设备进行单独操作和以一条流水线为单元进行联动操作。</w:t>
      </w:r>
    </w:p>
    <w:p w14:paraId="059A6904">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（b）配置向中心控制室传输各设备状态显示信号的接口。</w:t>
      </w:r>
    </w:p>
    <w:p w14:paraId="162CB634">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（c）配置接收中心控制室的开、停控制信号的接口。</w:t>
      </w:r>
    </w:p>
    <w:p w14:paraId="7E94B529">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（d）配置短路、过载等保护，特殊电机还应根据电机特点提供专用保护。</w:t>
      </w:r>
    </w:p>
    <w:p w14:paraId="1F18DB2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（e）控制及保护回路分开，所有按钮，指示灯等必须匹配。</w:t>
      </w:r>
    </w:p>
    <w:p w14:paraId="33959C35">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（f）控制柜应有输入输出信号外接端子，信号类型及要求详见自控部分相关章节。</w:t>
      </w:r>
    </w:p>
    <w:p w14:paraId="5BECC65F">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就地按钮箱应满足下列要求：</w:t>
      </w:r>
    </w:p>
    <w:p w14:paraId="5F6BBE97">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（a）箱面设开（正反转）/停按钮，自动/手动转换开关及紧急停车按钮 ,手动控制优先；有变频装置的电机按钮箱需配置就地无级调速面板。</w:t>
      </w:r>
    </w:p>
    <w:p w14:paraId="5D8DB12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（b）箱面应有开/停，过载及电机故障信号灯</w:t>
      </w:r>
    </w:p>
    <w:p w14:paraId="3814729F">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（c）按钮及信号灯颜色统一规定为：红—停，绿—开，黄—故障，白—电源指示。</w:t>
      </w:r>
    </w:p>
    <w:p w14:paraId="7691E5DA">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变频器：</w:t>
      </w:r>
    </w:p>
    <w:p w14:paraId="6E0BB92C">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根据工艺需求须配置的变频器必须能与任何符合IEC标准设计的电机一起使用，而不需使用特殊的变频专用电机。变频器应针对电机进行一对一进行配置。</w:t>
      </w:r>
    </w:p>
    <w:p w14:paraId="493DD05A">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软启动装置：</w:t>
      </w:r>
    </w:p>
    <w:p w14:paraId="73477C11">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系统内30 kW及以上的电机设备均需配置软启装置，50 kW以上电机必须设置外置旁路。</w:t>
      </w:r>
    </w:p>
    <w:p w14:paraId="7ACA3764">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按钮箱、检修箱：</w:t>
      </w:r>
    </w:p>
    <w:p w14:paraId="5B977E11">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当电控柜（箱）不靠设备安装时，设备旁应配置按钮箱。按钮箱（检修箱）的户内防护等级IP4X，户外为IP65，外壳采用304不锈钢材料，防腐等级应达到防腐蚀类型WF2，抗机械冲击强度等级IK08，耐阻燃灼热丝试验750ºC，室外使用还应抗紫外线。箱体外形、色彩须征得雇主许可。箱体及遮阳雨蓬的外形、色彩要求统一协调，并须征得</w:t>
      </w:r>
      <w:r>
        <w:rPr>
          <w:rFonts w:hint="eastAsia" w:ascii="宋体" w:hAnsi="宋体" w:cs="宋体"/>
          <w:bCs/>
          <w:sz w:val="24"/>
          <w:szCs w:val="24"/>
          <w:highlight w:val="none"/>
          <w:lang w:eastAsia="zh-CN"/>
          <w14:ligatures w14:val="none"/>
        </w:rPr>
        <w:t>采购人</w:t>
      </w:r>
      <w:r>
        <w:rPr>
          <w:rFonts w:hint="eastAsia" w:ascii="宋体" w:hAnsi="宋体" w:eastAsia="宋体" w:cs="宋体"/>
          <w:bCs/>
          <w:sz w:val="24"/>
          <w:szCs w:val="24"/>
          <w:highlight w:val="none"/>
          <w14:ligatures w14:val="none"/>
        </w:rPr>
        <w:t>许可。</w:t>
      </w:r>
    </w:p>
    <w:p w14:paraId="68D7183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接线盒：</w:t>
      </w:r>
    </w:p>
    <w:p w14:paraId="585F1AC6">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水下电机等特殊设备还应配套接线盒，用于供电电缆与设备本体电缆的连接。接线盒采用不锈钢304材质，防护等级IP65。并配套不锈钢安装支架。</w:t>
      </w:r>
    </w:p>
    <w:p w14:paraId="09B96D9E">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电缆及桥架：</w:t>
      </w:r>
    </w:p>
    <w:p w14:paraId="03A51E5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（1）动力电缆采用YJV型低压电缆,控制电缆采用KVVP型控制电缆，开关量信号电缆采用KVVP型控制电缆,模拟量电缆采用DJYVP型计算机电缆。</w:t>
      </w:r>
    </w:p>
    <w:p w14:paraId="3547AB5F">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（2）电缆桥架采用轻质、加强型结构的节能耐腐蚀钢制电缆桥架，执行标准GB/T23639-2017《节能耐腐蚀钢制电缆桥架》；电缆桥架的厚度应满足国标要求。</w:t>
      </w:r>
    </w:p>
    <w:p w14:paraId="0B8B9E57">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3）电缆桥架型式为托盘式、带盖板，电缆桥架及其附件所用材料应采用304不锈钢材质，电缆桥架的净厚度不小于2mm。桥架及其附件内外表面应均匀，桥架外部须平整、光滑、无划痕，内部不应有锐边、毛刺或损伤电缆绝缘的凸出部分。</w:t>
      </w:r>
    </w:p>
    <w:p w14:paraId="53B11D6C">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（4）桥架安装所用吊支架每2-6米一套，具体要按照电缆载荷测算。</w:t>
      </w:r>
    </w:p>
    <w:p w14:paraId="36AAE27D">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桥架接地应采用编制铜线连接，沿桥架（金属线槽）内敷设一根-25*4热镀锌扁钢作为接地线，两端与接地网就近连接。</w:t>
      </w:r>
    </w:p>
    <w:p w14:paraId="49D924A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穿越变形缝应留有20~30mm补偿余量，其连接采用伸缩连接板。抗震缝的两端应设置抗震支架并与结构可靠连接。</w:t>
      </w:r>
    </w:p>
    <w:p w14:paraId="23430BF6">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若施工时对桥架有钻切，折弯等现场处理，需采用桥架专用涂料进行防腐喷涂。</w:t>
      </w:r>
    </w:p>
    <w:p w14:paraId="2CE45A9D">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动力电缆与仪控电缆应分开敷设。</w:t>
      </w:r>
    </w:p>
    <w:p w14:paraId="63CC4C2E">
      <w:pPr>
        <w:pageBreakBefore w:val="0"/>
        <w:spacing w:after="0" w:line="360" w:lineRule="auto"/>
        <w:outlineLvl w:val="0"/>
        <w:rPr>
          <w:rFonts w:hint="eastAsia" w:ascii="宋体" w:hAnsi="宋体" w:eastAsia="宋体" w:cs="宋体"/>
          <w:b/>
          <w:sz w:val="24"/>
          <w:szCs w:val="24"/>
          <w:highlight w:val="none"/>
        </w:rPr>
      </w:pPr>
      <w:bookmarkStart w:id="77" w:name="_Toc229738197"/>
      <w:r>
        <w:rPr>
          <w:rFonts w:hint="eastAsia" w:ascii="宋体" w:hAnsi="宋体" w:eastAsia="宋体" w:cs="宋体"/>
          <w:b/>
          <w:sz w:val="24"/>
          <w:szCs w:val="24"/>
          <w:highlight w:val="none"/>
        </w:rPr>
        <w:t>4.4 自控设备</w:t>
      </w:r>
      <w:bookmarkEnd w:id="77"/>
    </w:p>
    <w:p w14:paraId="4306F0B1">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提供完整、可靠、符合有关工业标准的污水处理系统内部的控制设施以及招标范围内的满足整个污水处理系统的检测仪表（如：温度、压力、流量、液位等）及安装附件，所有仪表的安装位置应满足仪表安装要求，并便于现场就地操作及巡检。</w:t>
      </w:r>
    </w:p>
    <w:p w14:paraId="05F31BF5">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如现场发现供货数量和质量不能满足施工或工艺要求，</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负责及时免费补供而无商务问题。</w:t>
      </w:r>
    </w:p>
    <w:p w14:paraId="10F2C2EF">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系统设计满足污水处理系统的自动调节要求，保证系统在各种工况下安全稳定地运行。</w:t>
      </w:r>
    </w:p>
    <w:p w14:paraId="49B92C66">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污水处理系统设置在转运车间及管理用房内，通过工业以太网（TCP/IP方式）与全厂整体自控系统通讯，</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负责污水处理系统的光端交换机。</w:t>
      </w:r>
    </w:p>
    <w:p w14:paraId="76E4C5B5">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负责整个系统的单机和联机调试，并应向上位中控系统开放通讯协议，上位中控系统能远程监视及控制污水处理系统内的所有设备，有义务协助配合上级管理控制系统厂家完成全厂整体自控系统的联机的调试工作（提供通讯点表、GSD文件、画面拷屏等资料）。如上级管理控制系统厂家对</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所提供资料有疑问，</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有义务予以解答。</w:t>
      </w:r>
    </w:p>
    <w:p w14:paraId="3A3B305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提供的仪表和控制系统的设计、设备是选用已有可靠应用业绩和先进技术水平，具有高的可靠性、可操作性、可维护性和可扩展性。</w:t>
      </w:r>
    </w:p>
    <w:p w14:paraId="55CBEEDF">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（1）环境条件</w:t>
      </w:r>
    </w:p>
    <w:p w14:paraId="54476C76">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应保证在规格书中指定的环境条件下，设备适宜于工作，同时具有可以达到的最高制造标准、可靠性、重复性及精确性。</w:t>
      </w:r>
    </w:p>
    <w:p w14:paraId="71AB8FF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（2）设备、机箱的设计</w:t>
      </w:r>
    </w:p>
    <w:p w14:paraId="68BF1E8C">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设备外壳采用304不锈钢（厚度不小于1.5 mm，亚光处理）外壳，防护等级应遵照IEC529如下：</w:t>
      </w:r>
    </w:p>
    <w:p w14:paraId="01188AF5">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（a）在室内的设备用IP4X；</w:t>
      </w:r>
    </w:p>
    <w:p w14:paraId="6945EBD1">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（b）在户外的设备用IP65；</w:t>
      </w:r>
    </w:p>
    <w:p w14:paraId="7357E0B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（c）防爆区域内的仪表设备选用隔爆型；</w:t>
      </w:r>
    </w:p>
    <w:p w14:paraId="52C335C9">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（d）安装在阀门、在水中或在地下的传感器或其它设备用IP67。所有设备的机箱应有可锁的门，任何通风口或百叶窗都应有有效的滤尘装置，任何冷却风扇都有风扇故障报警触头，连接到相应的报警系统。</w:t>
      </w:r>
    </w:p>
    <w:p w14:paraId="2BBBA03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（e）设置在具有腐蚀性气体及潮湿环境场所的设备还应采用防腐防潮型。</w:t>
      </w:r>
    </w:p>
    <w:p w14:paraId="6CAE0D4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（f）仪表引压管路应有防冻，防烫措施。</w:t>
      </w:r>
    </w:p>
    <w:p w14:paraId="1587D5EC">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（3）电源</w:t>
      </w:r>
    </w:p>
    <w:p w14:paraId="02369DF8">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本系统电源从</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提供的配电柜中输出，应有抑制出现在电力网络中的暂态浪涌电压吸收和暂态浪涌电压能量的过电压保护装置，然后进控制柜电源端。</w:t>
      </w:r>
    </w:p>
    <w:p w14:paraId="3FE1F6C1">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（4）信号类型</w:t>
      </w:r>
    </w:p>
    <w:p w14:paraId="7E3F2D50">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所有控制设备应能在下列信号工作：</w:t>
      </w:r>
    </w:p>
    <w:p w14:paraId="022FB3F3">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（a）控制及监视的模拟信号：4～20 mADC+HART；</w:t>
      </w:r>
    </w:p>
    <w:p w14:paraId="5EACB2D0">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（b）数字量输入信号：无源触点，触头容量24VDC，1A</w:t>
      </w:r>
    </w:p>
    <w:p w14:paraId="7E90ECA9">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（c）数字量输出信号：无源触点，触头容量220VAC，2A并有继电器隔离。</w:t>
      </w:r>
    </w:p>
    <w:p w14:paraId="71CB2A3B">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（d）所有进PLC的信号均为无源触点，所有进被控设备的信号均加继电器隔离。</w:t>
      </w:r>
    </w:p>
    <w:p w14:paraId="053FA17F">
      <w:pPr>
        <w:pageBreakBefore w:val="0"/>
        <w:spacing w:after="0" w:line="360" w:lineRule="auto"/>
        <w:outlineLvl w:val="0"/>
        <w:rPr>
          <w:rFonts w:hint="eastAsia" w:ascii="宋体" w:hAnsi="宋体" w:eastAsia="宋体" w:cs="宋体"/>
          <w:b/>
          <w:sz w:val="24"/>
          <w:szCs w:val="24"/>
          <w:highlight w:val="none"/>
        </w:rPr>
      </w:pPr>
      <w:bookmarkStart w:id="78" w:name="_Toc229738198"/>
      <w:r>
        <w:rPr>
          <w:rFonts w:hint="eastAsia" w:ascii="宋体" w:hAnsi="宋体" w:eastAsia="宋体" w:cs="宋体"/>
          <w:b/>
          <w:sz w:val="24"/>
          <w:szCs w:val="24"/>
          <w:highlight w:val="none"/>
        </w:rPr>
        <w:t>4.5 备品备件和专用工具</w:t>
      </w:r>
      <w:bookmarkEnd w:id="78"/>
    </w:p>
    <w:p w14:paraId="13C8AD17">
      <w:pPr>
        <w:pageBreakBefore w:val="0"/>
        <w:spacing w:after="0" w:line="360" w:lineRule="auto"/>
        <w:ind w:firstLine="480"/>
        <w:jc w:val="both"/>
        <w:rPr>
          <w:rFonts w:hint="eastAsia" w:ascii="宋体" w:hAnsi="宋体" w:eastAsia="宋体" w:cs="宋体"/>
          <w:bCs/>
          <w:sz w:val="24"/>
          <w:szCs w:val="24"/>
          <w:highlight w:val="none"/>
          <w14:ligatures w14:val="none"/>
        </w:rPr>
      </w:pPr>
      <w:r>
        <w:rPr>
          <w:rFonts w:hint="eastAsia" w:ascii="宋体" w:hAnsi="宋体" w:eastAsia="宋体" w:cs="宋体"/>
          <w:bCs/>
          <w:sz w:val="24"/>
          <w:szCs w:val="24"/>
          <w:highlight w:val="none"/>
          <w14:ligatures w14:val="none"/>
        </w:rPr>
        <w:t>1）随机和试运行用备品备件：运输、存储、安装试运行期间所需的备件应包括在</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的报价范围内。</w:t>
      </w:r>
    </w:p>
    <w:p w14:paraId="13C7F7A0">
      <w:pPr>
        <w:pageBreakBefore w:val="0"/>
        <w:spacing w:after="0" w:line="360" w:lineRule="auto"/>
        <w:ind w:firstLine="480"/>
        <w:jc w:val="both"/>
        <w:rPr>
          <w:rFonts w:hint="eastAsia" w:ascii="宋体" w:hAnsi="宋体" w:eastAsia="宋体" w:cs="宋体"/>
          <w:bCs/>
          <w:color w:val="FF0000"/>
          <w:sz w:val="24"/>
          <w:szCs w:val="24"/>
          <w:highlight w:val="none"/>
          <w14:ligatures w14:val="none"/>
        </w:rPr>
      </w:pPr>
      <w:r>
        <w:rPr>
          <w:rFonts w:hint="eastAsia" w:ascii="宋体" w:hAnsi="宋体" w:eastAsia="宋体" w:cs="宋体"/>
          <w:color w:val="FF0000"/>
          <w:sz w:val="24"/>
          <w:szCs w:val="24"/>
          <w:highlight w:val="none"/>
          <w14:ligatures w14:val="none"/>
        </w:rPr>
        <w:t>★</w:t>
      </w:r>
      <w:r>
        <w:rPr>
          <w:rFonts w:hint="eastAsia" w:ascii="宋体" w:hAnsi="宋体" w:eastAsia="宋体" w:cs="宋体"/>
          <w:bCs/>
          <w:color w:val="FF0000"/>
          <w:sz w:val="24"/>
          <w:szCs w:val="24"/>
          <w:highlight w:val="none"/>
          <w14:ligatures w14:val="none"/>
        </w:rPr>
        <w:t>2）三年备品备件：三年（36个月）操作期内（包括计划检修不含试运行）所需的备品备件</w:t>
      </w:r>
      <w:r>
        <w:rPr>
          <w:rFonts w:hint="eastAsia" w:ascii="宋体" w:hAnsi="宋体" w:cs="宋体"/>
          <w:bCs/>
          <w:color w:val="FF0000"/>
          <w:sz w:val="24"/>
          <w:szCs w:val="24"/>
          <w:highlight w:val="none"/>
          <w:lang w:val="en-US" w:eastAsia="zh-CN"/>
          <w14:ligatures w14:val="none"/>
        </w:rPr>
        <w:t>均包含在投标</w:t>
      </w:r>
      <w:r>
        <w:rPr>
          <w:rFonts w:hint="eastAsia" w:ascii="宋体" w:hAnsi="宋体" w:eastAsia="宋体" w:cs="宋体"/>
          <w:bCs/>
          <w:color w:val="FF0000"/>
          <w:sz w:val="24"/>
          <w:szCs w:val="24"/>
          <w:highlight w:val="none"/>
          <w14:ligatures w14:val="none"/>
        </w:rPr>
        <w:t>报价范围内，</w:t>
      </w:r>
      <w:r>
        <w:rPr>
          <w:rFonts w:hint="eastAsia" w:ascii="宋体" w:hAnsi="宋体" w:eastAsia="宋体" w:cs="宋体"/>
          <w:bCs/>
          <w:color w:val="FF0000"/>
          <w:sz w:val="24"/>
          <w:szCs w:val="24"/>
          <w:highlight w:val="none"/>
          <w:lang w:eastAsia="zh-CN"/>
          <w14:ligatures w14:val="none"/>
        </w:rPr>
        <w:t>投标人</w:t>
      </w:r>
      <w:r>
        <w:rPr>
          <w:rFonts w:hint="eastAsia" w:ascii="宋体" w:hAnsi="宋体" w:eastAsia="宋体" w:cs="宋体"/>
          <w:bCs/>
          <w:color w:val="FF0000"/>
          <w:sz w:val="24"/>
          <w:szCs w:val="24"/>
          <w:highlight w:val="none"/>
          <w14:ligatures w14:val="none"/>
        </w:rPr>
        <w:t>应列出三年备品备件清单。</w:t>
      </w:r>
    </w:p>
    <w:p w14:paraId="4E9F6BBB">
      <w:pPr>
        <w:pageBreakBefore w:val="0"/>
        <w:spacing w:after="0" w:line="360" w:lineRule="auto"/>
        <w:ind w:firstLine="480"/>
        <w:jc w:val="both"/>
        <w:rPr>
          <w:rFonts w:hint="eastAsia" w:ascii="宋体" w:hAnsi="宋体" w:eastAsia="宋体" w:cs="宋体"/>
          <w:b/>
          <w:bCs/>
          <w:sz w:val="24"/>
          <w:szCs w:val="24"/>
          <w:highlight w:val="none"/>
        </w:rPr>
      </w:pPr>
      <w:r>
        <w:rPr>
          <w:rFonts w:hint="eastAsia" w:ascii="宋体" w:hAnsi="宋体" w:eastAsia="宋体" w:cs="宋体"/>
          <w:bCs/>
          <w:sz w:val="24"/>
          <w:szCs w:val="24"/>
          <w:highlight w:val="none"/>
          <w14:ligatures w14:val="none"/>
        </w:rPr>
        <w:t>3）专用工具：现场安装、拆卸、维修或操作等所必须的特殊工具应包括在</w:t>
      </w:r>
      <w:r>
        <w:rPr>
          <w:rFonts w:hint="eastAsia" w:ascii="宋体" w:hAnsi="宋体" w:eastAsia="宋体" w:cs="宋体"/>
          <w:bCs/>
          <w:sz w:val="24"/>
          <w:szCs w:val="24"/>
          <w:highlight w:val="none"/>
          <w:lang w:eastAsia="zh-CN"/>
          <w14:ligatures w14:val="none"/>
        </w:rPr>
        <w:t>投标人</w:t>
      </w:r>
      <w:r>
        <w:rPr>
          <w:rFonts w:hint="eastAsia" w:ascii="宋体" w:hAnsi="宋体" w:eastAsia="宋体" w:cs="宋体"/>
          <w:bCs/>
          <w:sz w:val="24"/>
          <w:szCs w:val="24"/>
          <w:highlight w:val="none"/>
          <w14:ligatures w14:val="none"/>
        </w:rPr>
        <w:t>的供货范围内。</w:t>
      </w:r>
    </w:p>
    <w:p w14:paraId="1BA6CC43">
      <w:pPr>
        <w:pageBreakBefore w:val="0"/>
        <w:spacing w:after="0" w:line="360" w:lineRule="auto"/>
        <w:outlineLvl w:val="0"/>
        <w:rPr>
          <w:rFonts w:hint="eastAsia" w:ascii="宋体" w:hAnsi="宋体" w:eastAsia="宋体" w:cs="宋体"/>
          <w:b/>
          <w:sz w:val="24"/>
          <w:szCs w:val="24"/>
          <w:highlight w:val="none"/>
        </w:rPr>
      </w:pPr>
      <w:bookmarkStart w:id="79" w:name="_Toc229738199"/>
      <w:r>
        <w:rPr>
          <w:rFonts w:hint="eastAsia" w:ascii="宋体" w:hAnsi="宋体" w:eastAsia="宋体" w:cs="宋体"/>
          <w:b/>
          <w:sz w:val="24"/>
          <w:szCs w:val="24"/>
          <w:highlight w:val="none"/>
        </w:rPr>
        <w:t>5．资料提交</w:t>
      </w:r>
      <w:bookmarkEnd w:id="53"/>
      <w:bookmarkEnd w:id="79"/>
    </w:p>
    <w:p w14:paraId="759E4EB4">
      <w:pPr>
        <w:pageBreakBefore w:val="0"/>
        <w:spacing w:after="0" w:line="360" w:lineRule="auto"/>
        <w:outlineLvl w:val="0"/>
        <w:rPr>
          <w:rFonts w:hint="eastAsia" w:ascii="宋体" w:hAnsi="宋体" w:eastAsia="宋体" w:cs="宋体"/>
          <w:b/>
          <w:sz w:val="24"/>
          <w:szCs w:val="24"/>
          <w:highlight w:val="none"/>
        </w:rPr>
      </w:pPr>
      <w:bookmarkStart w:id="80" w:name="_Toc29032"/>
      <w:bookmarkStart w:id="81" w:name="_Toc229738200"/>
      <w:r>
        <w:rPr>
          <w:rFonts w:hint="eastAsia" w:ascii="宋体" w:hAnsi="宋体" w:eastAsia="宋体" w:cs="宋体"/>
          <w:b/>
          <w:sz w:val="24"/>
          <w:szCs w:val="24"/>
          <w:highlight w:val="none"/>
        </w:rPr>
        <w:t>5.1 一般要求</w:t>
      </w:r>
      <w:bookmarkEnd w:id="80"/>
      <w:bookmarkEnd w:id="81"/>
    </w:p>
    <w:p w14:paraId="19B9CE3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（1）提交的图纸文件应使用国家法定单位制，并清楚，完整，文件使用语言为中文。技术资料的组织结构清晰，逻辑性强。技术资料内容要正确、准确一致，内容清晰完整，满足工程需要。</w:t>
      </w:r>
    </w:p>
    <w:p w14:paraId="4D898D4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（2）图纸及相关文件</w:t>
      </w:r>
      <w:r>
        <w:rPr>
          <w:rFonts w:hint="eastAsia" w:ascii="宋体" w:hAnsi="宋体" w:eastAsia="宋体" w:cs="宋体"/>
          <w:sz w:val="24"/>
          <w:szCs w:val="24"/>
          <w:highlight w:val="none"/>
          <w:lang w:val="en-US" w:eastAsia="zh-CN"/>
          <w14:ligatures w14:val="none"/>
        </w:rPr>
        <w:t>经采购人认可方可</w:t>
      </w:r>
      <w:r>
        <w:rPr>
          <w:rFonts w:hint="eastAsia" w:ascii="宋体" w:hAnsi="宋体" w:eastAsia="宋体" w:cs="宋体"/>
          <w:sz w:val="24"/>
          <w:szCs w:val="24"/>
          <w:highlight w:val="none"/>
          <w14:ligatures w14:val="none"/>
        </w:rPr>
        <w:t>允许应用在工程实施过程中，如出现任何修改须得到采购</w:t>
      </w:r>
      <w:r>
        <w:rPr>
          <w:rFonts w:hint="eastAsia" w:ascii="宋体" w:hAnsi="宋体" w:eastAsia="宋体" w:cs="宋体"/>
          <w:sz w:val="24"/>
          <w:szCs w:val="24"/>
          <w:highlight w:val="none"/>
          <w:lang w:val="en-US" w:eastAsia="zh-CN"/>
          <w14:ligatures w14:val="none"/>
        </w:rPr>
        <w:t>人</w:t>
      </w:r>
      <w:r>
        <w:rPr>
          <w:rFonts w:hint="eastAsia" w:ascii="宋体" w:hAnsi="宋体" w:eastAsia="宋体" w:cs="宋体"/>
          <w:sz w:val="24"/>
          <w:szCs w:val="24"/>
          <w:highlight w:val="none"/>
          <w14:ligatures w14:val="none"/>
        </w:rPr>
        <w:t>批准。</w:t>
      </w:r>
    </w:p>
    <w:p w14:paraId="45DE40F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（3）投标人应对合同中提供的设备的主要部件建立质量保证计划。</w:t>
      </w:r>
    </w:p>
    <w:p w14:paraId="7066E9AD">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（4）在相关的图纸和设计资料被最终认可之前，投标人不得进行设备的生产、装运。</w:t>
      </w:r>
    </w:p>
    <w:p w14:paraId="6AD765A5">
      <w:pPr>
        <w:pageBreakBefore w:val="0"/>
        <w:spacing w:after="0" w:line="360" w:lineRule="auto"/>
        <w:outlineLvl w:val="0"/>
        <w:rPr>
          <w:rFonts w:hint="eastAsia" w:ascii="宋体" w:hAnsi="宋体" w:eastAsia="宋体" w:cs="宋体"/>
          <w:b/>
          <w:sz w:val="24"/>
          <w:szCs w:val="24"/>
          <w:highlight w:val="none"/>
        </w:rPr>
      </w:pPr>
      <w:bookmarkStart w:id="82" w:name="_Toc229738201"/>
      <w:bookmarkStart w:id="83" w:name="_Toc15098"/>
      <w:r>
        <w:rPr>
          <w:rFonts w:hint="eastAsia" w:ascii="宋体" w:hAnsi="宋体" w:eastAsia="宋体" w:cs="宋体"/>
          <w:b/>
          <w:sz w:val="24"/>
          <w:szCs w:val="24"/>
          <w:highlight w:val="none"/>
        </w:rPr>
        <w:t>5.2 中标后需提供的文件</w:t>
      </w:r>
      <w:bookmarkEnd w:id="82"/>
      <w:bookmarkEnd w:id="83"/>
    </w:p>
    <w:p w14:paraId="1C9D33B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投标人在签订合同后提供满足设计院施工图设计要求的最终版文件（纸质一式2份，同时提供电子U盘2份可读写的AUTOCAD 2007、WORD 2003），至少包括以下内容：</w:t>
      </w:r>
    </w:p>
    <w:p w14:paraId="3F4FFE7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（1）渗滤液设计、总图、管道布置图；</w:t>
      </w:r>
    </w:p>
    <w:p w14:paraId="198AE29F">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（2）所有系统工艺流程图和PID图；</w:t>
      </w:r>
    </w:p>
    <w:p w14:paraId="05440C8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（3）所有设备外形尺寸图；</w:t>
      </w:r>
    </w:p>
    <w:p w14:paraId="1681ACA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（4）电气原理图及安装接线图；</w:t>
      </w:r>
    </w:p>
    <w:p w14:paraId="4616F51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（5）所有系统基础图；</w:t>
      </w:r>
    </w:p>
    <w:p w14:paraId="5E6EA19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（6）所有管路布置图；</w:t>
      </w:r>
    </w:p>
    <w:p w14:paraId="0F99BC3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（7）电气、仪控及PID图；</w:t>
      </w:r>
    </w:p>
    <w:p w14:paraId="2FF8080A">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（8）设备及材料清单等。</w:t>
      </w:r>
    </w:p>
    <w:p w14:paraId="289047B3">
      <w:pPr>
        <w:pageBreakBefore w:val="0"/>
        <w:spacing w:after="0" w:line="360" w:lineRule="auto"/>
        <w:outlineLvl w:val="0"/>
        <w:rPr>
          <w:rFonts w:hint="eastAsia" w:ascii="宋体" w:hAnsi="宋体" w:eastAsia="宋体" w:cs="宋体"/>
          <w:b/>
          <w:sz w:val="24"/>
          <w:szCs w:val="24"/>
          <w:highlight w:val="none"/>
        </w:rPr>
      </w:pPr>
      <w:bookmarkStart w:id="84" w:name="_Toc17824"/>
      <w:bookmarkStart w:id="85" w:name="_Toc229738202"/>
      <w:r>
        <w:rPr>
          <w:rFonts w:hint="eastAsia" w:ascii="宋体" w:hAnsi="宋体" w:eastAsia="宋体" w:cs="宋体"/>
          <w:b/>
          <w:sz w:val="24"/>
          <w:szCs w:val="24"/>
          <w:highlight w:val="none"/>
        </w:rPr>
        <w:t>5.3 其他技术资料</w:t>
      </w:r>
      <w:bookmarkEnd w:id="84"/>
      <w:bookmarkEnd w:id="85"/>
    </w:p>
    <w:p w14:paraId="7016D4B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产品出厂时，投标人应向采购方至少提供下列文件和图纸（纸质一式2份，同时提供电子U盘2份，可读写的AUTOCAD 2007、WORD2003），其中图纸和设计、安装、运行、维护、检修说明书包括：</w:t>
      </w:r>
    </w:p>
    <w:p w14:paraId="0FF39B2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（1）检验记录，试验报告及质量合格证等出厂报告。</w:t>
      </w:r>
    </w:p>
    <w:p w14:paraId="4F74049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（2）设备和备品管理资料文件，包括设备和备品发运和装箱的详细资料（各种清单），设备和备品存放保管技术要求，运输超重和超大件的明细表和外形图。</w:t>
      </w:r>
    </w:p>
    <w:p w14:paraId="0B405E80">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（3）详细的产品质量文件。</w:t>
      </w:r>
    </w:p>
    <w:p w14:paraId="0AA30F6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（4）安装、运行、维护、检修所需的详尽图纸和技术文件等。</w:t>
      </w:r>
    </w:p>
    <w:p w14:paraId="41A655A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（5）设计、安装、调试、运行、维护、检修说明书。</w:t>
      </w:r>
    </w:p>
    <w:p w14:paraId="62397AC8">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（6）按有关标准，规程规定应提交的技术文件、资料。</w:t>
      </w:r>
    </w:p>
    <w:p w14:paraId="3864FE2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（7）培训手册。</w:t>
      </w:r>
    </w:p>
    <w:p w14:paraId="0EDE54C9">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（8）其它投标人认为有必要提交的资料。</w:t>
      </w:r>
    </w:p>
    <w:p w14:paraId="33EBDD87">
      <w:pPr>
        <w:pageBreakBefore w:val="0"/>
        <w:spacing w:after="0" w:line="360" w:lineRule="auto"/>
        <w:outlineLvl w:val="0"/>
        <w:rPr>
          <w:rFonts w:hint="eastAsia" w:ascii="宋体" w:hAnsi="宋体" w:eastAsia="宋体" w:cs="宋体"/>
          <w:b/>
          <w:sz w:val="24"/>
          <w:szCs w:val="24"/>
          <w:highlight w:val="none"/>
        </w:rPr>
      </w:pPr>
      <w:bookmarkStart w:id="86" w:name="_Toc229738203"/>
      <w:bookmarkStart w:id="87" w:name="_Toc26434"/>
      <w:bookmarkStart w:id="88" w:name="_Toc23332604"/>
      <w:r>
        <w:rPr>
          <w:rFonts w:hint="eastAsia" w:ascii="宋体" w:hAnsi="宋体" w:eastAsia="宋体" w:cs="宋体"/>
          <w:b/>
          <w:sz w:val="24"/>
          <w:szCs w:val="24"/>
          <w:highlight w:val="none"/>
        </w:rPr>
        <w:t>6．工艺系统验收要求</w:t>
      </w:r>
      <w:bookmarkEnd w:id="86"/>
      <w:bookmarkEnd w:id="87"/>
      <w:bookmarkEnd w:id="88"/>
    </w:p>
    <w:p w14:paraId="1CC54AF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设备验收可分不同阶段。一般分以下几个阶段进行：</w:t>
      </w:r>
    </w:p>
    <w:p w14:paraId="1655FDD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（1）生产过程阶段性验收（根据合同进度要求）</w:t>
      </w:r>
    </w:p>
    <w:p w14:paraId="2C7C5987">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（2）到货拆封验收</w:t>
      </w:r>
    </w:p>
    <w:p w14:paraId="54169B13">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（3）设备安装验收</w:t>
      </w:r>
    </w:p>
    <w:p w14:paraId="48865B8B">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（4）单机调试验收</w:t>
      </w:r>
    </w:p>
    <w:p w14:paraId="775692E6">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（5）联合调试验收</w:t>
      </w:r>
    </w:p>
    <w:p w14:paraId="735D1C42">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在交货前，投标人应对标的物的质量、规格、性能、数量等进行详细而全面的检验，并出具一份合格检验证明，合格检验证明作为</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验收的依据，但不能作为有关标的物质量、规格、数量或性能的最终检验结果。投标人提供的所交货物的质量证书应附有制造商检验细节和结果的说明。</w:t>
      </w:r>
    </w:p>
    <w:p w14:paraId="2FCD1E55">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货物运抵现场后，</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将根据投标人提供的详细清单对货物的质量、规格、数量进行开箱检验，并根据检验结果出具合格或不合格的检验证书。验收期限一般为自标的物交付之日起七天内，根据设备的特殊情况，需延长的，双方在合同的特殊条款中约定。如发现货物的规格或数量或两者都与合同不符，</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有权在货物运抵现场后任何时间内，根据</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按检验标准自已检验的结果或当地有关政府检测机构出具的检验证书向投标人提出索赔。</w:t>
      </w:r>
    </w:p>
    <w:p w14:paraId="4F402CDC">
      <w:pPr>
        <w:pageBreakBefore w:val="0"/>
        <w:spacing w:after="0" w:line="360" w:lineRule="auto"/>
        <w:ind w:firstLine="48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如果在合同规定的质量保证期和缺陷保证期内，发现货物的质量或规格与合同规定不符，或证明货物有缺陷，包括潜在的缺陷或使用不合适的原材料等，</w:t>
      </w:r>
      <w:r>
        <w:rPr>
          <w:rFonts w:hint="eastAsia" w:ascii="宋体" w:hAnsi="宋体" w:cs="宋体"/>
          <w:sz w:val="24"/>
          <w:szCs w:val="24"/>
          <w:highlight w:val="none"/>
          <w:lang w:eastAsia="zh-CN"/>
          <w14:ligatures w14:val="none"/>
        </w:rPr>
        <w:t>采购人</w:t>
      </w:r>
      <w:r>
        <w:rPr>
          <w:rFonts w:hint="eastAsia" w:ascii="宋体" w:hAnsi="宋体" w:eastAsia="宋体" w:cs="宋体"/>
          <w:sz w:val="24"/>
          <w:szCs w:val="24"/>
          <w:highlight w:val="none"/>
          <w14:ligatures w14:val="none"/>
        </w:rPr>
        <w:t>应申请当地相关政府检测部门进行检验，并有权根据检测证书及质量保证条款立即向投标人提出索赔。</w:t>
      </w:r>
    </w:p>
    <w:p w14:paraId="3D33FA1A">
      <w:pPr>
        <w:pageBreakBefore w:val="0"/>
        <w:spacing w:after="0" w:line="360" w:lineRule="auto"/>
        <w:outlineLvl w:val="0"/>
        <w:rPr>
          <w:rFonts w:hint="eastAsia" w:ascii="宋体" w:hAnsi="宋体" w:eastAsia="宋体" w:cs="宋体"/>
          <w:b/>
          <w:sz w:val="24"/>
          <w:szCs w:val="24"/>
          <w:highlight w:val="none"/>
        </w:rPr>
      </w:pPr>
      <w:bookmarkStart w:id="89" w:name="_Toc63846261"/>
      <w:bookmarkStart w:id="90" w:name="_Toc4663"/>
      <w:bookmarkStart w:id="91" w:name="_Toc229738204"/>
      <w:r>
        <w:rPr>
          <w:rFonts w:hint="eastAsia" w:ascii="宋体" w:hAnsi="宋体" w:eastAsia="宋体" w:cs="宋体"/>
          <w:b/>
          <w:sz w:val="24"/>
          <w:szCs w:val="24"/>
          <w:highlight w:val="none"/>
        </w:rPr>
        <w:t>6.1 单机调试</w:t>
      </w:r>
      <w:bookmarkEnd w:id="89"/>
      <w:bookmarkEnd w:id="90"/>
      <w:bookmarkEnd w:id="91"/>
    </w:p>
    <w:p w14:paraId="38372CE7">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设备安装完备并检验合格后，投标人应当对单个系统分别进行调试。</w:t>
      </w:r>
    </w:p>
    <w:p w14:paraId="6F2E2697">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各系统的检验标准根据标书要求和供应商提供的验收单进行验收。单机调试验收属于阶段性验收，是设备最终验收不可缺少的一部分。</w:t>
      </w:r>
    </w:p>
    <w:p w14:paraId="6ACABFDB">
      <w:pPr>
        <w:pageBreakBefore w:val="0"/>
        <w:spacing w:after="0" w:line="360" w:lineRule="auto"/>
        <w:outlineLvl w:val="0"/>
        <w:rPr>
          <w:rFonts w:hint="eastAsia" w:ascii="宋体" w:hAnsi="宋体" w:eastAsia="宋体" w:cs="宋体"/>
          <w:b/>
          <w:sz w:val="24"/>
          <w:szCs w:val="24"/>
          <w:highlight w:val="none"/>
        </w:rPr>
      </w:pPr>
      <w:bookmarkStart w:id="92" w:name="_Toc229738205"/>
      <w:bookmarkStart w:id="93" w:name="_Toc63846262"/>
      <w:bookmarkStart w:id="94" w:name="_Toc12746"/>
      <w:r>
        <w:rPr>
          <w:rFonts w:hint="eastAsia" w:ascii="宋体" w:hAnsi="宋体" w:eastAsia="宋体" w:cs="宋体"/>
          <w:b/>
          <w:sz w:val="24"/>
          <w:szCs w:val="24"/>
          <w:highlight w:val="none"/>
        </w:rPr>
        <w:t>6.2 联合调试</w:t>
      </w:r>
      <w:bookmarkEnd w:id="92"/>
      <w:bookmarkEnd w:id="93"/>
      <w:bookmarkEnd w:id="94"/>
    </w:p>
    <w:p w14:paraId="66D88657">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在单机调试合格的基础上可以进行联合调试。</w:t>
      </w:r>
    </w:p>
    <w:p w14:paraId="44954558">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联动试车即对污水整体设备、安装系统等进行测试。以使业主、监理等对整个系统在设计负荷时运行满意，达到技术规定的要求，为调试作好准备。</w:t>
      </w:r>
    </w:p>
    <w:p w14:paraId="46C8C396">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在联动试车阶段，到达处理量可能比设计低。为了测试设计负荷时设备的性能，投标人应考虑暂时关闭或部分关闭一个或更多的流程以便至少一条流程能达到设计负荷。</w:t>
      </w:r>
    </w:p>
    <w:p w14:paraId="28962975">
      <w:pPr>
        <w:pageBreakBefore w:val="0"/>
        <w:spacing w:after="0" w:line="360" w:lineRule="auto"/>
        <w:outlineLvl w:val="0"/>
        <w:rPr>
          <w:rFonts w:hint="eastAsia" w:ascii="宋体" w:hAnsi="宋体" w:eastAsia="宋体" w:cs="宋体"/>
          <w:b/>
          <w:sz w:val="24"/>
          <w:szCs w:val="24"/>
          <w:highlight w:val="none"/>
        </w:rPr>
      </w:pPr>
      <w:bookmarkStart w:id="95" w:name="_Toc229738206"/>
      <w:bookmarkStart w:id="96" w:name="_Toc22124"/>
      <w:r>
        <w:rPr>
          <w:rFonts w:hint="eastAsia" w:ascii="宋体" w:hAnsi="宋体" w:eastAsia="宋体" w:cs="宋体"/>
          <w:b/>
          <w:sz w:val="24"/>
          <w:szCs w:val="24"/>
          <w:highlight w:val="none"/>
        </w:rPr>
        <w:t>6.3 生产性能考核</w:t>
      </w:r>
      <w:bookmarkEnd w:id="95"/>
      <w:bookmarkEnd w:id="96"/>
    </w:p>
    <w:p w14:paraId="28A7072B">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工况稳定、生产连续稳定运行，达到设计生产能力的负荷达70%以上，由投标人向</w:t>
      </w:r>
      <w:r>
        <w:rPr>
          <w:rFonts w:hint="eastAsia" w:cs="宋体"/>
          <w:sz w:val="24"/>
          <w:szCs w:val="24"/>
          <w:highlight w:val="none"/>
          <w:lang w:eastAsia="zh-CN"/>
        </w:rPr>
        <w:t>采购人</w:t>
      </w:r>
      <w:r>
        <w:rPr>
          <w:rFonts w:hint="eastAsia" w:ascii="宋体" w:hAnsi="宋体" w:eastAsia="宋体" w:cs="宋体"/>
          <w:sz w:val="24"/>
          <w:szCs w:val="24"/>
          <w:highlight w:val="none"/>
        </w:rPr>
        <w:t>提出性能验收，经</w:t>
      </w:r>
      <w:r>
        <w:rPr>
          <w:rFonts w:hint="eastAsia" w:cs="宋体"/>
          <w:sz w:val="24"/>
          <w:szCs w:val="24"/>
          <w:highlight w:val="none"/>
          <w:lang w:eastAsia="zh-CN"/>
        </w:rPr>
        <w:t>采购人</w:t>
      </w:r>
      <w:r>
        <w:rPr>
          <w:rFonts w:hint="eastAsia" w:ascii="宋体" w:hAnsi="宋体" w:eastAsia="宋体" w:cs="宋体"/>
          <w:sz w:val="24"/>
          <w:szCs w:val="24"/>
          <w:highlight w:val="none"/>
        </w:rPr>
        <w:t>评定通过后，视为生产性能考核通过。</w:t>
      </w:r>
    </w:p>
    <w:p w14:paraId="3C1BB317">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调试期所发生的水费、药剂费、油费等费用由投标人负责，调试人员由投标人负责。</w:t>
      </w:r>
    </w:p>
    <w:p w14:paraId="3547E625">
      <w:pPr>
        <w:pageBreakBefore w:val="0"/>
        <w:spacing w:after="0" w:line="360" w:lineRule="auto"/>
        <w:outlineLvl w:val="0"/>
        <w:rPr>
          <w:rFonts w:hint="eastAsia" w:ascii="宋体" w:hAnsi="宋体" w:eastAsia="宋体" w:cs="宋体"/>
          <w:b/>
          <w:sz w:val="24"/>
          <w:szCs w:val="24"/>
          <w:highlight w:val="none"/>
        </w:rPr>
      </w:pPr>
      <w:bookmarkStart w:id="97" w:name="_Toc229738207"/>
      <w:bookmarkStart w:id="98" w:name="_Toc28771"/>
      <w:r>
        <w:rPr>
          <w:rFonts w:hint="eastAsia" w:ascii="宋体" w:hAnsi="宋体" w:eastAsia="宋体" w:cs="宋体"/>
          <w:b/>
          <w:sz w:val="24"/>
          <w:szCs w:val="24"/>
          <w:highlight w:val="none"/>
        </w:rPr>
        <w:t>6.4 试生产（试运行）</w:t>
      </w:r>
      <w:bookmarkEnd w:id="97"/>
      <w:bookmarkEnd w:id="98"/>
    </w:p>
    <w:p w14:paraId="720E91EF">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本工程分系统组织试生产并移交。各系统性能考核通过后即进入该系统试生产，试生产3个月。非投标人因素除外，月平均生产负荷达到90%以上视为稳定运营，连续稳定运行3个月，由投标人向</w:t>
      </w:r>
      <w:r>
        <w:rPr>
          <w:rFonts w:hint="eastAsia" w:cs="宋体"/>
          <w:sz w:val="24"/>
          <w:szCs w:val="24"/>
          <w:highlight w:val="none"/>
          <w:lang w:eastAsia="zh-CN"/>
        </w:rPr>
        <w:t>采购人</w:t>
      </w:r>
      <w:r>
        <w:rPr>
          <w:rFonts w:hint="eastAsia" w:ascii="宋体" w:hAnsi="宋体" w:eastAsia="宋体" w:cs="宋体"/>
          <w:sz w:val="24"/>
          <w:szCs w:val="24"/>
          <w:highlight w:val="none"/>
        </w:rPr>
        <w:t>提出系统移交申请，经</w:t>
      </w:r>
      <w:r>
        <w:rPr>
          <w:rFonts w:hint="eastAsia" w:cs="宋体"/>
          <w:sz w:val="24"/>
          <w:szCs w:val="24"/>
          <w:highlight w:val="none"/>
          <w:lang w:eastAsia="zh-CN"/>
        </w:rPr>
        <w:t>采购人</w:t>
      </w:r>
      <w:r>
        <w:rPr>
          <w:rFonts w:hint="eastAsia" w:ascii="宋体" w:hAnsi="宋体" w:eastAsia="宋体" w:cs="宋体"/>
          <w:sz w:val="24"/>
          <w:szCs w:val="24"/>
          <w:highlight w:val="none"/>
        </w:rPr>
        <w:t>、监理、运营方确认后，办理系统移交手续。</w:t>
      </w:r>
    </w:p>
    <w:p w14:paraId="73CC1A85">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如试生产期性能满足生产性能考核指标，但由于</w:t>
      </w:r>
      <w:r>
        <w:rPr>
          <w:rFonts w:hint="eastAsia" w:cs="宋体"/>
          <w:sz w:val="24"/>
          <w:szCs w:val="24"/>
          <w:highlight w:val="none"/>
          <w:lang w:eastAsia="zh-CN"/>
        </w:rPr>
        <w:t>采购人</w:t>
      </w:r>
      <w:r>
        <w:rPr>
          <w:rFonts w:hint="eastAsia" w:ascii="宋体" w:hAnsi="宋体" w:eastAsia="宋体" w:cs="宋体"/>
          <w:sz w:val="24"/>
          <w:szCs w:val="24"/>
          <w:highlight w:val="none"/>
        </w:rPr>
        <w:t>未提供足够处理物料导致生产负荷达不到验收要求，视作试运行验收通过。</w:t>
      </w:r>
    </w:p>
    <w:p w14:paraId="185EA3EA">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试生产期间所发生的水费、电费、药剂费、油费等燃料、动力费用由投标人负责，运行人员均由</w:t>
      </w:r>
      <w:r>
        <w:rPr>
          <w:rFonts w:hint="eastAsia" w:cs="宋体"/>
          <w:sz w:val="24"/>
          <w:szCs w:val="24"/>
          <w:highlight w:val="none"/>
          <w:lang w:eastAsia="zh-CN"/>
        </w:rPr>
        <w:t>采购人</w:t>
      </w:r>
      <w:r>
        <w:rPr>
          <w:rFonts w:hint="eastAsia" w:ascii="宋体" w:hAnsi="宋体" w:eastAsia="宋体" w:cs="宋体"/>
          <w:sz w:val="24"/>
          <w:szCs w:val="24"/>
          <w:highlight w:val="none"/>
        </w:rPr>
        <w:t>负责。投标人派管理人员指导试运行至试生产结束。</w:t>
      </w:r>
    </w:p>
    <w:p w14:paraId="018FE673">
      <w:pPr>
        <w:pageBreakBefore w:val="0"/>
        <w:spacing w:after="0" w:line="360" w:lineRule="auto"/>
        <w:outlineLvl w:val="0"/>
        <w:rPr>
          <w:rFonts w:hint="eastAsia" w:ascii="宋体" w:hAnsi="宋体" w:eastAsia="宋体" w:cs="宋体"/>
          <w:b/>
          <w:sz w:val="24"/>
          <w:szCs w:val="24"/>
          <w:highlight w:val="none"/>
        </w:rPr>
      </w:pPr>
      <w:bookmarkStart w:id="99" w:name="_Toc229738208"/>
      <w:r>
        <w:rPr>
          <w:rFonts w:hint="eastAsia" w:ascii="宋体" w:hAnsi="宋体" w:eastAsia="宋体" w:cs="宋体"/>
          <w:b/>
          <w:sz w:val="24"/>
          <w:szCs w:val="24"/>
          <w:highlight w:val="none"/>
        </w:rPr>
        <w:t>7．售后服务要求</w:t>
      </w:r>
      <w:bookmarkEnd w:id="99"/>
    </w:p>
    <w:p w14:paraId="29032786">
      <w:pPr>
        <w:pageBreakBefore w:val="0"/>
        <w:spacing w:after="0" w:line="360" w:lineRule="auto"/>
        <w:outlineLvl w:val="0"/>
        <w:rPr>
          <w:rFonts w:hint="eastAsia" w:ascii="宋体" w:hAnsi="宋体" w:eastAsia="宋体" w:cs="宋体"/>
          <w:b/>
          <w:sz w:val="24"/>
          <w:szCs w:val="24"/>
          <w:highlight w:val="none"/>
        </w:rPr>
      </w:pPr>
      <w:bookmarkStart w:id="100" w:name="_Toc495410019"/>
      <w:bookmarkStart w:id="101" w:name="_Toc229738209"/>
      <w:bookmarkStart w:id="102" w:name="_Toc5399"/>
      <w:r>
        <w:rPr>
          <w:rFonts w:hint="eastAsia" w:ascii="宋体" w:hAnsi="宋体" w:eastAsia="宋体" w:cs="宋体"/>
          <w:b/>
          <w:sz w:val="24"/>
          <w:szCs w:val="24"/>
          <w:highlight w:val="none"/>
        </w:rPr>
        <w:t>7.1 缺陷责任期（质保期）</w:t>
      </w:r>
      <w:bookmarkEnd w:id="100"/>
      <w:bookmarkEnd w:id="101"/>
      <w:bookmarkEnd w:id="102"/>
    </w:p>
    <w:p w14:paraId="3E66F29E">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缺陷责任期</w:t>
      </w:r>
      <w:r>
        <w:rPr>
          <w:rFonts w:hint="eastAsia" w:cs="宋体"/>
          <w:sz w:val="24"/>
          <w:szCs w:val="24"/>
          <w:highlight w:val="none"/>
          <w:lang w:eastAsia="zh-CN"/>
        </w:rPr>
        <w:t>（</w:t>
      </w:r>
      <w:r>
        <w:rPr>
          <w:rFonts w:hint="eastAsia" w:cs="宋体"/>
          <w:sz w:val="24"/>
          <w:szCs w:val="24"/>
          <w:highlight w:val="none"/>
          <w:lang w:val="en-US" w:eastAsia="zh-CN"/>
        </w:rPr>
        <w:t>质保期</w:t>
      </w:r>
      <w:r>
        <w:rPr>
          <w:rFonts w:hint="eastAsia" w:cs="宋体"/>
          <w:sz w:val="24"/>
          <w:szCs w:val="24"/>
          <w:highlight w:val="none"/>
          <w:lang w:eastAsia="zh-CN"/>
        </w:rPr>
        <w:t>）</w:t>
      </w:r>
      <w:r>
        <w:rPr>
          <w:rFonts w:hint="eastAsia" w:ascii="宋体" w:hAnsi="宋体" w:eastAsia="宋体" w:cs="宋体"/>
          <w:sz w:val="24"/>
          <w:szCs w:val="24"/>
          <w:highlight w:val="none"/>
        </w:rPr>
        <w:t>：工艺设备部分为3年，自生产性能考核通过之日起计算。</w:t>
      </w:r>
    </w:p>
    <w:p w14:paraId="1800E9D4">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在缺陷责任期内，对有缺陷或不能正常运行的设备，投标人应进行修补或更换，并承担费用。</w:t>
      </w:r>
    </w:p>
    <w:p w14:paraId="1E7AAB6A">
      <w:pPr>
        <w:pageBreakBefore w:val="0"/>
        <w:spacing w:after="0" w:line="360" w:lineRule="auto"/>
        <w:outlineLvl w:val="0"/>
        <w:rPr>
          <w:rFonts w:hint="eastAsia" w:ascii="宋体" w:hAnsi="宋体" w:eastAsia="宋体" w:cs="宋体"/>
          <w:b/>
          <w:sz w:val="24"/>
          <w:szCs w:val="24"/>
          <w:highlight w:val="none"/>
        </w:rPr>
      </w:pPr>
      <w:bookmarkStart w:id="103" w:name="_Toc229738210"/>
      <w:bookmarkStart w:id="104" w:name="_Toc28831"/>
      <w:bookmarkStart w:id="105" w:name="_Toc63846265"/>
      <w:r>
        <w:rPr>
          <w:rFonts w:hint="eastAsia" w:ascii="宋体" w:hAnsi="宋体" w:eastAsia="宋体" w:cs="宋体"/>
          <w:b/>
          <w:sz w:val="24"/>
          <w:szCs w:val="24"/>
          <w:highlight w:val="none"/>
        </w:rPr>
        <w:t>7.2 售后服务要求</w:t>
      </w:r>
      <w:bookmarkEnd w:id="103"/>
      <w:bookmarkEnd w:id="104"/>
    </w:p>
    <w:p w14:paraId="78447F01">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106" w:name="_Toc229738211"/>
      <w:bookmarkStart w:id="107" w:name="_Toc23758"/>
      <w:r>
        <w:rPr>
          <w:rFonts w:hint="eastAsia" w:ascii="宋体" w:hAnsi="宋体" w:eastAsia="宋体" w:cs="宋体"/>
          <w:b/>
          <w:bCs/>
          <w:sz w:val="24"/>
          <w:szCs w:val="24"/>
          <w:highlight w:val="none"/>
        </w:rPr>
        <w:t>7.2.1 技术服务要求</w:t>
      </w:r>
      <w:bookmarkEnd w:id="105"/>
      <w:bookmarkEnd w:id="106"/>
      <w:bookmarkEnd w:id="107"/>
    </w:p>
    <w:p w14:paraId="29EC8A8C">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投标人现场服务人员的目的是使所有设备安全、正常投运。</w:t>
      </w:r>
    </w:p>
    <w:p w14:paraId="1F373395">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投标人现场服务人员应满足以下条件：遵守法纪，遵守现场的各项规章和制度；具备与服务设备相应的技术资质；有较强的责任感和事业心，按时到位；了解系统设备的设计，熟悉其结构，有相同或相近设备的现场工作经验，能够正确地进行现场指导；身体健康，适应现场工作的条件。投标人现场服务人员的调遣和更换应事先与</w:t>
      </w:r>
      <w:r>
        <w:rPr>
          <w:rFonts w:hint="eastAsia" w:cs="宋体"/>
          <w:sz w:val="24"/>
          <w:szCs w:val="24"/>
          <w:highlight w:val="none"/>
          <w:lang w:eastAsia="zh-CN"/>
        </w:rPr>
        <w:t>采购人</w:t>
      </w:r>
      <w:r>
        <w:rPr>
          <w:rFonts w:hint="eastAsia" w:ascii="宋体" w:hAnsi="宋体" w:eastAsia="宋体" w:cs="宋体"/>
          <w:sz w:val="24"/>
          <w:szCs w:val="24"/>
          <w:highlight w:val="none"/>
        </w:rPr>
        <w:t>协商。</w:t>
      </w:r>
    </w:p>
    <w:p w14:paraId="56667AA1">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投标人现场服务人员的责任和义务包括但不限于：在合同范围内给予全面的技术服务和合作，并同</w:t>
      </w:r>
      <w:r>
        <w:rPr>
          <w:rFonts w:hint="eastAsia" w:cs="宋体"/>
          <w:sz w:val="24"/>
          <w:szCs w:val="24"/>
          <w:highlight w:val="none"/>
          <w:lang w:eastAsia="zh-CN"/>
        </w:rPr>
        <w:t>采购人</w:t>
      </w:r>
      <w:r>
        <w:rPr>
          <w:rFonts w:hint="eastAsia" w:ascii="宋体" w:hAnsi="宋体" w:eastAsia="宋体" w:cs="宋体"/>
          <w:sz w:val="24"/>
          <w:szCs w:val="24"/>
          <w:highlight w:val="none"/>
        </w:rPr>
        <w:t>协商解决合同规定内容相关的技术和工作中的问题；在设备安装、机械测试、性能测试、操作人员培训等期间，给予技术讲解；对技术文件、图纸、过程、操作程序、及注意事项等，都做出详细的解释。</w:t>
      </w:r>
    </w:p>
    <w:p w14:paraId="56210089">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就客户在合同涉及到的范围内所产生的技术问题做出解答；给予正确的技术服务和必要的示范，以保证</w:t>
      </w:r>
      <w:r>
        <w:rPr>
          <w:rFonts w:hint="eastAsia" w:cs="宋体"/>
          <w:sz w:val="24"/>
          <w:szCs w:val="24"/>
          <w:highlight w:val="none"/>
          <w:lang w:eastAsia="zh-CN"/>
        </w:rPr>
        <w:t>采购人</w:t>
      </w:r>
      <w:r>
        <w:rPr>
          <w:rFonts w:hint="eastAsia" w:ascii="宋体" w:hAnsi="宋体" w:eastAsia="宋体" w:cs="宋体"/>
          <w:sz w:val="24"/>
          <w:szCs w:val="24"/>
          <w:highlight w:val="none"/>
        </w:rPr>
        <w:t>能充分了解系统并能对其进行操作和维护。</w:t>
      </w:r>
    </w:p>
    <w:p w14:paraId="230EFDDC">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108" w:name="_Toc229738212"/>
      <w:bookmarkStart w:id="109" w:name="_Toc63846266"/>
      <w:bookmarkStart w:id="110" w:name="_Toc18652"/>
      <w:r>
        <w:rPr>
          <w:rFonts w:hint="eastAsia" w:ascii="宋体" w:hAnsi="宋体" w:eastAsia="宋体" w:cs="宋体"/>
          <w:b/>
          <w:bCs/>
          <w:sz w:val="24"/>
          <w:szCs w:val="24"/>
          <w:highlight w:val="none"/>
        </w:rPr>
        <w:t>7.2.2 培训</w:t>
      </w:r>
      <w:bookmarkEnd w:id="108"/>
      <w:bookmarkEnd w:id="109"/>
      <w:bookmarkEnd w:id="110"/>
    </w:p>
    <w:p w14:paraId="271A07E4">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投标人负责对</w:t>
      </w:r>
      <w:r>
        <w:rPr>
          <w:rFonts w:hint="eastAsia" w:cs="宋体"/>
          <w:sz w:val="24"/>
          <w:szCs w:val="24"/>
          <w:highlight w:val="none"/>
          <w:lang w:eastAsia="zh-CN"/>
        </w:rPr>
        <w:t>采购人</w:t>
      </w:r>
      <w:r>
        <w:rPr>
          <w:rFonts w:hint="eastAsia" w:ascii="宋体" w:hAnsi="宋体" w:eastAsia="宋体" w:cs="宋体"/>
          <w:sz w:val="24"/>
          <w:szCs w:val="24"/>
          <w:highlight w:val="none"/>
        </w:rPr>
        <w:t>的管理人员、操作人员、维修人员进行培训，达到管理人员能高效、安全管理本系统，操作人员以能独立、正确操作设备，技术维修人员能熟练判断、处理和维护常见故障，保障本系统的正常运行。</w:t>
      </w:r>
    </w:p>
    <w:p w14:paraId="5F870869">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投标人提供的技术培训包括现场理论培训、现场岗位培训等。培训内容包括但不限于：工艺及功能说明、紧急措施、日常检修和管理项目、定期检修和维修作业、安全教育、设备运行培训等。培训应由投标人2～3名工程技术人员负责和执行培训计划。</w:t>
      </w:r>
    </w:p>
    <w:p w14:paraId="058C8FEE">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（1）现场理论培训：投标人派遣具有丰富经验和理论知识的专业技术人员进行设备结构原理、操作和维修、安全注意事项等方面的知识培训。</w:t>
      </w:r>
    </w:p>
    <w:p w14:paraId="5842BD3B">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（2）现场岗位培训：投标人安排具有工作经验专工团队，满足本工程安装、调试、试运行期间进行现场岗位培训要求。</w:t>
      </w:r>
    </w:p>
    <w:p w14:paraId="6A071F16">
      <w:pPr>
        <w:keepNext/>
        <w:keepLines/>
        <w:pageBreakBefore w:val="0"/>
        <w:spacing w:before="156" w:after="156" w:line="360" w:lineRule="auto"/>
        <w:outlineLvl w:val="1"/>
        <w:rPr>
          <w:rFonts w:hint="eastAsia" w:ascii="宋体" w:hAnsi="宋体" w:eastAsia="宋体" w:cs="宋体"/>
          <w:b/>
          <w:bCs/>
          <w:sz w:val="24"/>
          <w:szCs w:val="24"/>
          <w:highlight w:val="none"/>
        </w:rPr>
      </w:pPr>
      <w:bookmarkStart w:id="111" w:name="_Toc63846267"/>
      <w:bookmarkStart w:id="112" w:name="_Toc11277"/>
      <w:bookmarkStart w:id="113" w:name="_Toc229738213"/>
      <w:r>
        <w:rPr>
          <w:rFonts w:hint="eastAsia" w:ascii="宋体" w:hAnsi="宋体" w:eastAsia="宋体" w:cs="宋体"/>
          <w:b/>
          <w:bCs/>
          <w:sz w:val="24"/>
          <w:szCs w:val="24"/>
          <w:highlight w:val="none"/>
        </w:rPr>
        <w:t>7.2.3 售后服务要求</w:t>
      </w:r>
      <w:bookmarkEnd w:id="111"/>
      <w:bookmarkEnd w:id="112"/>
      <w:bookmarkEnd w:id="113"/>
    </w:p>
    <w:p w14:paraId="7C33FA10">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在质量保证期内设备出现故障时，投标人响应服务时间8小时，如果无法通过电话和传真解决问题时，投标人在接到</w:t>
      </w:r>
      <w:r>
        <w:rPr>
          <w:rFonts w:hint="eastAsia" w:cs="宋体"/>
          <w:sz w:val="24"/>
          <w:szCs w:val="24"/>
          <w:highlight w:val="none"/>
          <w:lang w:eastAsia="zh-CN"/>
        </w:rPr>
        <w:t>采购人</w:t>
      </w:r>
      <w:r>
        <w:rPr>
          <w:rFonts w:hint="eastAsia" w:ascii="宋体" w:hAnsi="宋体" w:eastAsia="宋体" w:cs="宋体"/>
          <w:sz w:val="24"/>
          <w:szCs w:val="24"/>
          <w:highlight w:val="none"/>
        </w:rPr>
        <w:t>通知后12小时内派人到现场予以修复、更换。</w:t>
      </w:r>
    </w:p>
    <w:p w14:paraId="3C69E18B">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在质量保证期内投标人免费提供设备正常使用情况下的维修及保养服务，由于设备本身原因造成的损坏，投标人应及时给予免费维修或更换，由此引起的施工费、人工费、材料费等费用由投标人负责。</w:t>
      </w:r>
    </w:p>
    <w:p w14:paraId="233655E0">
      <w:pPr>
        <w:pStyle w:val="359"/>
        <w:pageBreakBefore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质保期内，投标方免费提供责任范围内的服务，包括但不限于：操作指导、技术支持和维修服务、免费设计修改、系统工艺和设备整改、调试或更换有故障的零部件、软件升级等。</w:t>
      </w:r>
    </w:p>
    <w:p w14:paraId="4BF8C55F">
      <w:pPr>
        <w:pStyle w:val="359"/>
        <w:pageBreakBefore w:val="0"/>
        <w:spacing w:line="360" w:lineRule="auto"/>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投标人需根据招标文件要求提供设备，并对所提供设备的设计、配套选型、连接、质量等负全部责任。</w:t>
      </w:r>
    </w:p>
    <w:p w14:paraId="7F2634EA">
      <w:pPr>
        <w:pStyle w:val="359"/>
        <w:pageBreakBefore w:val="0"/>
        <w:spacing w:line="360" w:lineRule="auto"/>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投标人在投标技术文件中应对设备进行详细的技术描述，对招标条件的技术要求</w:t>
      </w:r>
      <w:r>
        <w:rPr>
          <w:rFonts w:hint="eastAsia" w:cs="宋体"/>
          <w:sz w:val="24"/>
          <w:szCs w:val="24"/>
          <w:highlight w:val="none"/>
          <w:lang w:val="en-US" w:eastAsia="zh-CN"/>
        </w:rPr>
        <w:t>完全</w:t>
      </w:r>
      <w:r>
        <w:rPr>
          <w:rFonts w:hint="eastAsia" w:ascii="宋体" w:hAnsi="宋体" w:eastAsia="宋体" w:cs="宋体"/>
          <w:sz w:val="24"/>
          <w:szCs w:val="24"/>
          <w:highlight w:val="none"/>
          <w:lang w:val="en-US" w:eastAsia="zh-CN"/>
        </w:rPr>
        <w:t>响应，</w:t>
      </w:r>
      <w:r>
        <w:rPr>
          <w:rFonts w:hint="eastAsia" w:cs="宋体"/>
          <w:sz w:val="24"/>
          <w:szCs w:val="24"/>
          <w:highlight w:val="none"/>
          <w:lang w:val="en-US" w:eastAsia="zh-CN"/>
        </w:rPr>
        <w:t>如有偏离应在</w:t>
      </w:r>
      <w:r>
        <w:rPr>
          <w:rFonts w:hint="eastAsia" w:ascii="宋体" w:hAnsi="宋体" w:eastAsia="宋体" w:cs="宋体"/>
          <w:sz w:val="24"/>
          <w:szCs w:val="24"/>
          <w:highlight w:val="none"/>
          <w:lang w:val="en-US" w:eastAsia="zh-CN"/>
        </w:rPr>
        <w:t>偏离表</w:t>
      </w:r>
      <w:r>
        <w:rPr>
          <w:rFonts w:hint="eastAsia" w:cs="宋体"/>
          <w:sz w:val="24"/>
          <w:szCs w:val="24"/>
          <w:highlight w:val="none"/>
          <w:lang w:val="en-US" w:eastAsia="zh-CN"/>
        </w:rPr>
        <w:t>中逐条列明</w:t>
      </w:r>
      <w:r>
        <w:rPr>
          <w:rFonts w:hint="eastAsia" w:ascii="宋体" w:hAnsi="宋体" w:eastAsia="宋体" w:cs="宋体"/>
          <w:sz w:val="24"/>
          <w:szCs w:val="24"/>
          <w:highlight w:val="none"/>
          <w:lang w:val="en-US" w:eastAsia="zh-CN"/>
        </w:rPr>
        <w:t>；投标人负责提供满足工作要求的成套设备，供货必须完整、合理。</w:t>
      </w:r>
    </w:p>
    <w:p w14:paraId="40B67541">
      <w:pPr>
        <w:pStyle w:val="359"/>
        <w:pageBreakBefore w:val="0"/>
        <w:spacing w:line="360" w:lineRule="auto"/>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投标人中标后，还须提供设备培训、安装、调试、试运行过程中的相关技术服务。</w:t>
      </w:r>
    </w:p>
    <w:p w14:paraId="4C30F6AF">
      <w:pPr>
        <w:keepNext w:val="0"/>
        <w:keepLines w:val="0"/>
        <w:pageBreakBefore w:val="0"/>
        <w:spacing w:after="0" w:line="360" w:lineRule="auto"/>
        <w:ind w:firstLine="482"/>
        <w:rPr>
          <w:rFonts w:hint="eastAsia" w:ascii="宋体" w:hAnsi="宋体" w:cs="宋体"/>
          <w:b/>
          <w:bCs/>
          <w:color w:val="000000"/>
          <w:sz w:val="24"/>
          <w:szCs w:val="24"/>
          <w:highlight w:val="none"/>
          <w:lang w:val="en-US" w:eastAsia="zh-CN" w:bidi="ar-SA"/>
        </w:rPr>
      </w:pPr>
      <w:r>
        <w:rPr>
          <w:rFonts w:hint="eastAsia" w:ascii="宋体" w:hAnsi="宋体" w:cs="宋体"/>
          <w:b/>
          <w:bCs/>
          <w:color w:val="000000"/>
          <w:sz w:val="24"/>
          <w:szCs w:val="24"/>
          <w:highlight w:val="none"/>
          <w:lang w:val="en-US" w:eastAsia="zh-CN" w:bidi="ar-SA"/>
        </w:rPr>
        <w:t>注：</w:t>
      </w:r>
    </w:p>
    <w:p w14:paraId="542F8979">
      <w:pPr>
        <w:keepNext w:val="0"/>
        <w:keepLines w:val="0"/>
        <w:pageBreakBefore w:val="0"/>
        <w:spacing w:after="0" w:line="360" w:lineRule="auto"/>
        <w:ind w:firstLine="482"/>
        <w:rPr>
          <w:rFonts w:hint="eastAsia" w:ascii="宋体" w:hAnsi="宋体" w:cs="宋体"/>
          <w:b/>
          <w:bCs/>
          <w:color w:val="000000"/>
          <w:sz w:val="24"/>
          <w:szCs w:val="24"/>
          <w:highlight w:val="none"/>
          <w:lang w:val="en-US" w:eastAsia="zh-CN" w:bidi="ar-SA"/>
        </w:rPr>
      </w:pPr>
      <w:r>
        <w:rPr>
          <w:rFonts w:hint="eastAsia" w:ascii="宋体" w:hAnsi="宋体" w:cs="宋体"/>
          <w:b/>
          <w:bCs/>
          <w:color w:val="000000"/>
          <w:sz w:val="24"/>
          <w:szCs w:val="24"/>
          <w:highlight w:val="none"/>
          <w:lang w:val="en-US" w:eastAsia="zh-CN" w:bidi="ar-SA"/>
        </w:rPr>
        <w:t>1、</w:t>
      </w:r>
      <w:r>
        <w:rPr>
          <w:rFonts w:hint="eastAsia" w:ascii="宋体" w:hAnsi="宋体" w:eastAsia="宋体" w:cs="宋体"/>
          <w:b/>
          <w:bCs/>
          <w:color w:val="000000"/>
          <w:sz w:val="24"/>
          <w:szCs w:val="24"/>
          <w:highlight w:val="none"/>
          <w:lang w:val="en-US" w:eastAsia="zh-CN" w:bidi="ar-SA"/>
        </w:rPr>
        <w:t>本章节加“</w:t>
      </w:r>
      <w:r>
        <w:rPr>
          <w:rFonts w:hint="eastAsia" w:ascii="宋体" w:hAnsi="宋体" w:eastAsia="宋体" w:cs="宋体"/>
          <w:sz w:val="24"/>
          <w:szCs w:val="24"/>
          <w:highlight w:val="none"/>
          <w14:ligatures w14:val="none"/>
        </w:rPr>
        <w:t>★</w:t>
      </w:r>
      <w:r>
        <w:rPr>
          <w:rFonts w:hint="eastAsia" w:ascii="宋体" w:hAnsi="宋体" w:eastAsia="宋体" w:cs="宋体"/>
          <w:b/>
          <w:bCs/>
          <w:color w:val="000000"/>
          <w:sz w:val="24"/>
          <w:szCs w:val="24"/>
          <w:highlight w:val="none"/>
          <w:lang w:val="en-US" w:eastAsia="zh-CN" w:bidi="ar-SA"/>
        </w:rPr>
        <w:t>”项为保证系统稳定运行所需的关键规格，均为实质性响应指标，如有任何一项不满足或负偏离则视为无效</w:t>
      </w:r>
      <w:r>
        <w:rPr>
          <w:rFonts w:hint="eastAsia" w:ascii="宋体" w:hAnsi="宋体" w:cs="宋体"/>
          <w:b/>
          <w:bCs/>
          <w:color w:val="000000"/>
          <w:sz w:val="24"/>
          <w:szCs w:val="24"/>
          <w:highlight w:val="none"/>
          <w:lang w:val="en-US" w:eastAsia="zh-CN" w:bidi="ar-SA"/>
        </w:rPr>
        <w:t>标书</w:t>
      </w:r>
      <w:r>
        <w:rPr>
          <w:rFonts w:hint="eastAsia" w:ascii="宋体" w:hAnsi="宋体" w:eastAsia="宋体" w:cs="宋体"/>
          <w:b/>
          <w:bCs/>
          <w:color w:val="000000"/>
          <w:sz w:val="24"/>
          <w:szCs w:val="24"/>
          <w:highlight w:val="none"/>
          <w:lang w:val="en-US" w:eastAsia="zh-CN" w:bidi="ar-SA"/>
        </w:rPr>
        <w:t>。如后期出现指标结果不符，视</w:t>
      </w:r>
      <w:r>
        <w:rPr>
          <w:rFonts w:hint="eastAsia" w:ascii="宋体" w:hAnsi="宋体" w:cs="宋体"/>
          <w:b/>
          <w:bCs/>
          <w:color w:val="000000"/>
          <w:sz w:val="24"/>
          <w:szCs w:val="24"/>
          <w:highlight w:val="none"/>
          <w:lang w:val="en-US" w:eastAsia="zh-CN" w:bidi="ar-SA"/>
        </w:rPr>
        <w:t>为虚假应标，中标方需承担相关法律后果。</w:t>
      </w:r>
    </w:p>
    <w:p w14:paraId="3DB49551">
      <w:pPr>
        <w:keepNext w:val="0"/>
        <w:keepLines w:val="0"/>
        <w:pageBreakBefore w:val="0"/>
        <w:spacing w:after="0" w:line="360" w:lineRule="auto"/>
        <w:ind w:firstLine="482"/>
        <w:rPr>
          <w:rFonts w:hint="eastAsia"/>
          <w:highlight w:val="none"/>
          <w:lang w:val="en-US" w:eastAsia="zh-CN"/>
        </w:rPr>
      </w:pPr>
      <w:r>
        <w:rPr>
          <w:rFonts w:hint="eastAsia" w:ascii="宋体" w:hAnsi="宋体" w:cs="宋体"/>
          <w:b/>
          <w:bCs/>
          <w:color w:val="000000"/>
          <w:sz w:val="24"/>
          <w:szCs w:val="24"/>
          <w:highlight w:val="none"/>
          <w:lang w:val="en-US" w:eastAsia="zh-CN" w:bidi="ar-SA"/>
        </w:rPr>
        <w:t>2、投标方在投标文件中需提供的相关证明材料及说明，上传至偏离表模块。</w:t>
      </w:r>
    </w:p>
    <w:p w14:paraId="3FD66DD3">
      <w:pPr>
        <w:keepNext w:val="0"/>
        <w:keepLines w:val="0"/>
        <w:pBdr>
          <w:top w:val="none" w:color="000000" w:sz="0" w:space="0"/>
          <w:left w:val="none" w:color="000000" w:sz="0" w:space="0"/>
          <w:bottom w:val="none" w:color="000000" w:sz="0" w:space="0"/>
          <w:right w:val="none" w:color="000000" w:sz="0" w:space="0"/>
        </w:pBdr>
        <w:spacing w:after="0" w:line="360" w:lineRule="auto"/>
        <w:rPr>
          <w:rFonts w:hint="eastAsia" w:ascii="宋体" w:hAnsi="宋体" w:eastAsia="宋体" w:cs="宋体"/>
          <w:b/>
          <w:bCs/>
          <w:color w:val="auto"/>
          <w:sz w:val="24"/>
          <w:szCs w:val="24"/>
          <w:highlight w:val="none"/>
          <w:lang w:val="en-US" w:eastAsia="zh-CN"/>
        </w:rPr>
        <w:sectPr>
          <w:pgSz w:w="11906" w:h="16838"/>
          <w:pgMar w:top="1440" w:right="1440" w:bottom="1440" w:left="1440" w:header="851" w:footer="992" w:gutter="0"/>
          <w:cols w:space="1701" w:num="1"/>
          <w:docGrid w:linePitch="360" w:charSpace="0"/>
        </w:sectPr>
      </w:pPr>
      <w:r>
        <w:rPr>
          <w:rFonts w:hint="eastAsia" w:ascii="宋体" w:hAnsi="宋体" w:eastAsia="宋体" w:cs="宋体"/>
          <w:b/>
          <w:bCs/>
          <w:color w:val="auto"/>
          <w:sz w:val="24"/>
          <w:szCs w:val="24"/>
          <w:highlight w:val="none"/>
          <w:lang w:val="en-US" w:eastAsia="zh-CN"/>
        </w:rPr>
        <w:t>五、其他要求：见《拟签订的合同文本》</w:t>
      </w:r>
    </w:p>
    <w:p w14:paraId="54765391">
      <w:pPr>
        <w:pStyle w:val="25"/>
        <w:ind w:left="0" w:firstLine="0"/>
        <w:rPr>
          <w:rFonts w:hint="eastAsia"/>
          <w:highlight w:val="none"/>
        </w:rPr>
      </w:pPr>
    </w:p>
    <w:p w14:paraId="5120E343">
      <w:pPr>
        <w:keepNext w:val="0"/>
        <w:keepLines w:val="0"/>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第七章  投标文件相关格式</w:t>
      </w:r>
    </w:p>
    <w:p w14:paraId="129CC840">
      <w:pPr>
        <w:keepNext w:val="0"/>
        <w:keepLines w:val="0"/>
        <w:spacing w:line="360" w:lineRule="auto"/>
        <w:jc w:val="center"/>
        <w:rPr>
          <w:rFonts w:hint="eastAsia" w:ascii="宋体" w:hAnsi="宋体" w:eastAsia="宋体" w:cs="宋体"/>
          <w:color w:val="auto"/>
          <w:sz w:val="24"/>
          <w:highlight w:val="none"/>
        </w:rPr>
      </w:pPr>
    </w:p>
    <w:p w14:paraId="3FA450C9">
      <w:pPr>
        <w:keepNext w:val="0"/>
        <w:keepLines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目录</w:t>
      </w:r>
    </w:p>
    <w:p w14:paraId="2C5A029A">
      <w:pPr>
        <w:keepNext w:val="0"/>
        <w:keepLines w:val="0"/>
        <w:spacing w:line="360" w:lineRule="auto"/>
        <w:rPr>
          <w:rFonts w:hint="eastAsia" w:ascii="宋体" w:hAnsi="宋体" w:eastAsia="宋体" w:cs="宋体"/>
          <w:color w:val="auto"/>
          <w:sz w:val="24"/>
          <w:highlight w:val="none"/>
        </w:rPr>
      </w:pPr>
    </w:p>
    <w:p w14:paraId="451C7141">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投标函</w:t>
      </w:r>
    </w:p>
    <w:p w14:paraId="6644AF9D">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法定代表人授权书</w:t>
      </w:r>
    </w:p>
    <w:p w14:paraId="019F391A">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开标一览表</w:t>
      </w:r>
    </w:p>
    <w:p w14:paraId="1DAFB019">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分项价格表</w:t>
      </w:r>
    </w:p>
    <w:p w14:paraId="7C856602">
      <w:pPr>
        <w:keepNext w:val="0"/>
        <w:keepLines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具备履行合同所必需的设备和专业技术能力</w:t>
      </w:r>
      <w:r>
        <w:rPr>
          <w:rFonts w:hint="eastAsia" w:ascii="宋体" w:hAnsi="宋体" w:eastAsia="宋体" w:cs="宋体"/>
          <w:color w:val="auto"/>
          <w:sz w:val="24"/>
          <w:highlight w:val="none"/>
          <w:lang w:val="en-US" w:eastAsia="zh-CN"/>
        </w:rPr>
        <w:t>的书面声明</w:t>
      </w:r>
    </w:p>
    <w:p w14:paraId="1DFAD759">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投标人参加政府采购活动前3年内在经营活动中没有重大违法记录的书面声明</w:t>
      </w:r>
    </w:p>
    <w:p w14:paraId="7C9F28BA">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偏离表</w:t>
      </w:r>
    </w:p>
    <w:p w14:paraId="63444A6C">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中小企业声明函</w:t>
      </w:r>
    </w:p>
    <w:p w14:paraId="09A4A3D3">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残疾人福利性单位声明函</w:t>
      </w:r>
    </w:p>
    <w:p w14:paraId="42F46DFA">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预付款保函支付条款</w:t>
      </w:r>
    </w:p>
    <w:p w14:paraId="6D164B64">
      <w:pPr>
        <w:keepNext w:val="0"/>
        <w:keepLines w:val="0"/>
        <w:spacing w:line="360" w:lineRule="auto"/>
        <w:rPr>
          <w:rFonts w:hint="eastAsia" w:ascii="宋体" w:hAnsi="宋体" w:eastAsia="宋体" w:cs="宋体"/>
          <w:sz w:val="24"/>
          <w:szCs w:val="24"/>
          <w:highlight w:val="none"/>
        </w:rPr>
      </w:pPr>
      <w:r>
        <w:rPr>
          <w:rFonts w:hint="eastAsia" w:ascii="宋体" w:hAnsi="宋体" w:cs="宋体"/>
          <w:color w:val="auto"/>
          <w:sz w:val="24"/>
          <w:highlight w:val="none"/>
          <w:lang w:val="en-US" w:eastAsia="zh-CN"/>
        </w:rPr>
        <w:t>11、</w:t>
      </w:r>
      <w:r>
        <w:rPr>
          <w:rFonts w:hint="eastAsia" w:ascii="宋体" w:hAnsi="宋体" w:cs="宋体"/>
          <w:sz w:val="24"/>
          <w:szCs w:val="24"/>
          <w:highlight w:val="none"/>
          <w:lang w:val="en-US" w:eastAsia="zh-CN"/>
        </w:rPr>
        <w:t>关于符合本国产品标准的声明函</w:t>
      </w:r>
    </w:p>
    <w:p w14:paraId="31E46612">
      <w:pPr>
        <w:keepNext w:val="0"/>
        <w:keepLines w:val="0"/>
        <w:spacing w:line="360" w:lineRule="auto"/>
        <w:rPr>
          <w:rFonts w:hint="eastAsia" w:ascii="宋体" w:hAnsi="宋体" w:eastAsia="宋体" w:cs="宋体"/>
          <w:color w:val="auto"/>
          <w:sz w:val="24"/>
          <w:highlight w:val="none"/>
        </w:rPr>
      </w:pPr>
    </w:p>
    <w:p w14:paraId="00A85269">
      <w:pPr>
        <w:keepNext w:val="0"/>
        <w:keepLines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clear="all"/>
      </w:r>
      <w:r>
        <w:rPr>
          <w:rFonts w:hint="eastAsia" w:ascii="宋体" w:hAnsi="宋体" w:eastAsia="宋体" w:cs="宋体"/>
          <w:b/>
          <w:bCs/>
          <w:color w:val="auto"/>
          <w:sz w:val="28"/>
          <w:szCs w:val="28"/>
          <w:highlight w:val="none"/>
        </w:rPr>
        <w:t>1</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投标函</w:t>
      </w:r>
    </w:p>
    <w:p w14:paraId="5EE314D9">
      <w:pPr>
        <w:keepNext w:val="0"/>
        <w:keepLines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江苏瑞阳工程咨询有限公司</w:t>
      </w:r>
    </w:p>
    <w:p w14:paraId="11CE5725">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项目[项目编号：</w:t>
      </w:r>
      <w:r>
        <w:rPr>
          <w:rFonts w:hint="eastAsia" w:ascii="宋体" w:hAnsi="宋体" w:cs="宋体"/>
          <w:color w:val="auto"/>
          <w:sz w:val="24"/>
          <w:highlight w:val="none"/>
          <w:lang w:eastAsia="zh-CN"/>
        </w:rPr>
        <w:t>JSZC-320303-JSRY-G2026-0004</w:t>
      </w:r>
      <w:r>
        <w:rPr>
          <w:rFonts w:hint="eastAsia" w:ascii="宋体" w:hAnsi="宋体" w:eastAsia="宋体" w:cs="宋体"/>
          <w:color w:val="auto"/>
          <w:sz w:val="24"/>
          <w:highlight w:val="none"/>
        </w:rPr>
        <w:t xml:space="preserve">]招标文件，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代表我方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4"/>
          <w:highlight w:val="none"/>
        </w:rPr>
        <w:t>（投标人的名称）全权处理本次投标的有关事宜。</w:t>
      </w:r>
    </w:p>
    <w:p w14:paraId="392B6ADD">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据此函，投标人承诺并同意如下： </w:t>
      </w:r>
    </w:p>
    <w:p w14:paraId="4AD444C8">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投标人唯一投标报价见《开标一览表》。</w:t>
      </w:r>
    </w:p>
    <w:p w14:paraId="028E7D0E">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投标人将按招标文件的规定履行合同责任和义务。</w:t>
      </w:r>
    </w:p>
    <w:p w14:paraId="4B48CE3E">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投标人已详细审查全部招标文件，包括第[插入编号] [补遗书][如果有的话]。投标人完全理解并同意放弃对这方面有不明及误解的权力。</w:t>
      </w:r>
    </w:p>
    <w:p w14:paraId="7ABC0FAF">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投标有效期为90天。</w:t>
      </w:r>
    </w:p>
    <w:p w14:paraId="6012FB36">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投标人同意提供按照贵方可能要求的与其投标有关的一切数据或资料，完全理解贵方不一定接受最低价的投标或收到的任何投标。</w:t>
      </w:r>
    </w:p>
    <w:p w14:paraId="3A2E88CC">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、江苏瑞阳工程咨询有限公司</w:t>
      </w:r>
      <w:r>
        <w:rPr>
          <w:rFonts w:hint="eastAsia" w:ascii="宋体" w:hAnsi="宋体" w:eastAsia="宋体" w:cs="宋体"/>
          <w:color w:val="auto"/>
          <w:sz w:val="24"/>
          <w:highlight w:val="none"/>
        </w:rPr>
        <w:t>有权将我单位本项目的《开标一览表》和《分项价格表》予以公示，公示的方式由</w:t>
      </w:r>
      <w:r>
        <w:rPr>
          <w:rFonts w:hint="eastAsia" w:ascii="宋体" w:hAnsi="宋体" w:eastAsia="宋体" w:cs="宋体"/>
          <w:color w:val="auto"/>
          <w:sz w:val="24"/>
          <w:highlight w:val="none"/>
          <w:lang w:eastAsia="zh-CN"/>
        </w:rPr>
        <w:t>江苏瑞阳工程咨询有限公司</w:t>
      </w:r>
      <w:r>
        <w:rPr>
          <w:rFonts w:hint="eastAsia" w:ascii="宋体" w:hAnsi="宋体" w:eastAsia="宋体" w:cs="宋体"/>
          <w:color w:val="auto"/>
          <w:sz w:val="24"/>
          <w:highlight w:val="none"/>
        </w:rPr>
        <w:t>确定。如我单位被确定为中标、成交供应商，</w:t>
      </w:r>
      <w:r>
        <w:rPr>
          <w:rFonts w:hint="eastAsia" w:ascii="宋体" w:hAnsi="宋体" w:eastAsia="宋体" w:cs="宋体"/>
          <w:color w:val="auto"/>
          <w:sz w:val="24"/>
          <w:highlight w:val="none"/>
          <w:lang w:eastAsia="zh-CN"/>
        </w:rPr>
        <w:t>江苏瑞阳工程咨询有限公司</w:t>
      </w:r>
      <w:r>
        <w:rPr>
          <w:rFonts w:hint="eastAsia" w:ascii="宋体" w:hAnsi="宋体" w:eastAsia="宋体" w:cs="宋体"/>
          <w:color w:val="auto"/>
          <w:sz w:val="24"/>
          <w:highlight w:val="none"/>
        </w:rPr>
        <w:t>有权将我单位本项目投标文件中的《中小企业声明函》（如有），《残疾人福利性单位声明函》（如有）和我单位注册所在县扶贫部门出具的聘用建档立卡贫困人员具体数量的证明（如有）作为《中标（成交）结果公告》的附件予以公告。</w:t>
      </w:r>
    </w:p>
    <w:p w14:paraId="51A0F539">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采购人有权对投标人投标文件的真实性进行核实，如投标人不能在采购人规定的时间内向采购人提供有效的证明文件，将被采购人认定为具有《中华人民共和国政府采购法》第七十七条所规定的“提供虚假材料谋取中标、成交的”情形，并承担相应的法律责任。</w:t>
      </w:r>
    </w:p>
    <w:p w14:paraId="2E47117A">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与本投标有关的一切正式往来信函请寄：</w:t>
      </w:r>
    </w:p>
    <w:p w14:paraId="109D6571">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地址： </w:t>
      </w:r>
    </w:p>
    <w:p w14:paraId="50599832">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电话： </w:t>
      </w:r>
    </w:p>
    <w:p w14:paraId="4C76BFE0">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传真： </w:t>
      </w:r>
    </w:p>
    <w:p w14:paraId="42269E8B">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37923705">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3B827864">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日期：  年  月  日</w:t>
      </w:r>
    </w:p>
    <w:p w14:paraId="6DCE21EA">
      <w:pPr>
        <w:keepNext w:val="0"/>
        <w:keepLines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2</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法定代表人授权书</w:t>
      </w:r>
    </w:p>
    <w:p w14:paraId="4B5660CF">
      <w:pPr>
        <w:keepNext w:val="0"/>
        <w:keepLines w:val="0"/>
        <w:spacing w:line="360" w:lineRule="auto"/>
        <w:rPr>
          <w:rFonts w:hint="eastAsia" w:ascii="宋体" w:hAnsi="宋体" w:eastAsia="宋体" w:cs="宋体"/>
          <w:bCs/>
          <w:color w:val="auto"/>
          <w:sz w:val="24"/>
          <w:highlight w:val="none"/>
        </w:rPr>
      </w:pPr>
    </w:p>
    <w:p w14:paraId="41E518F2">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委托人：</w:t>
      </w:r>
    </w:p>
    <w:p w14:paraId="508AA393">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地  址：</w:t>
      </w:r>
    </w:p>
    <w:p w14:paraId="62EE7ACB">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法定代表人：               职务：</w:t>
      </w:r>
    </w:p>
    <w:p w14:paraId="6E1B20C4">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统一社会信用代码：</w:t>
      </w:r>
    </w:p>
    <w:p w14:paraId="6238D105">
      <w:pPr>
        <w:keepNext w:val="0"/>
        <w:keepLines w:val="0"/>
        <w:spacing w:line="360" w:lineRule="auto"/>
        <w:rPr>
          <w:rFonts w:hint="eastAsia" w:ascii="宋体" w:hAnsi="宋体" w:eastAsia="宋体" w:cs="宋体"/>
          <w:bCs/>
          <w:color w:val="auto"/>
          <w:sz w:val="24"/>
          <w:highlight w:val="none"/>
        </w:rPr>
      </w:pPr>
    </w:p>
    <w:p w14:paraId="51048A2D">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受托人：                   性别：男（女）  </w:t>
      </w:r>
    </w:p>
    <w:p w14:paraId="7538741E">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年龄：  岁                 民族</w:t>
      </w:r>
      <w:r>
        <w:rPr>
          <w:rFonts w:hint="eastAsia" w:ascii="宋体" w:hAnsi="宋体" w:eastAsia="宋体" w:cs="宋体"/>
          <w:bCs/>
          <w:color w:val="auto"/>
          <w:sz w:val="24"/>
          <w:highlight w:val="none"/>
          <w:lang w:eastAsia="zh-CN"/>
        </w:rPr>
        <w:t xml:space="preserve">：  </w:t>
      </w:r>
      <w:r>
        <w:rPr>
          <w:rFonts w:hint="eastAsia" w:ascii="宋体" w:hAnsi="宋体" w:eastAsia="宋体" w:cs="宋体"/>
          <w:bCs/>
          <w:color w:val="auto"/>
          <w:sz w:val="24"/>
          <w:highlight w:val="none"/>
        </w:rPr>
        <w:t xml:space="preserve">   族</w:t>
      </w:r>
    </w:p>
    <w:p w14:paraId="11B1FA50">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职务：</w:t>
      </w:r>
    </w:p>
    <w:p w14:paraId="1AF40D92">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身份证号：</w:t>
      </w:r>
    </w:p>
    <w:p w14:paraId="4DEC0A69">
      <w:pPr>
        <w:keepNext w:val="0"/>
        <w:keepLines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联系方式（手机号）：</w:t>
      </w:r>
    </w:p>
    <w:p w14:paraId="55B25A38">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highlight w:val="none"/>
        </w:rPr>
      </w:pPr>
      <w:r>
        <w:rPr>
          <w:rFonts w:hint="eastAsia" w:ascii="宋体" w:hAnsi="宋体" w:eastAsia="宋体" w:cs="宋体"/>
          <w:bCs/>
          <w:color w:val="auto"/>
          <w:sz w:val="24"/>
          <w:highlight w:val="none"/>
        </w:rPr>
        <w:t>兹委托（       ）全权代表我企业（公司）参与（</w:t>
      </w:r>
      <w:r>
        <w:rPr>
          <w:rFonts w:hint="eastAsia" w:ascii="宋体" w:hAnsi="宋体" w:cs="宋体"/>
          <w:color w:val="000000"/>
          <w:sz w:val="24"/>
          <w:highlight w:val="none"/>
          <w:u w:val="single"/>
          <w:lang w:eastAsia="zh-CN"/>
        </w:rPr>
        <w:t>徐州市云龙区垃圾资源转运及处理建设项目-渗滤液处理设备采购</w:t>
      </w:r>
      <w:r>
        <w:rPr>
          <w:rFonts w:hint="eastAsia" w:ascii="宋体" w:hAnsi="宋体" w:eastAsia="宋体" w:cs="宋体"/>
          <w:bCs/>
          <w:color w:val="auto"/>
          <w:sz w:val="24"/>
          <w:highlight w:val="none"/>
        </w:rPr>
        <w:t>）项目（项目编号：</w:t>
      </w:r>
      <w:r>
        <w:rPr>
          <w:rFonts w:hint="eastAsia" w:ascii="宋体" w:hAnsi="宋体" w:cs="宋体"/>
          <w:bCs/>
          <w:color w:val="auto"/>
          <w:sz w:val="24"/>
          <w:highlight w:val="none"/>
          <w:u w:val="single"/>
          <w:lang w:eastAsia="zh-CN"/>
        </w:rPr>
        <w:t>JSZC-320303-JSRY-G2026-0004</w:t>
      </w:r>
      <w:r>
        <w:rPr>
          <w:rFonts w:hint="eastAsia" w:ascii="宋体" w:hAnsi="宋体" w:eastAsia="宋体" w:cs="宋体"/>
          <w:bCs/>
          <w:color w:val="auto"/>
          <w:sz w:val="24"/>
          <w:highlight w:val="none"/>
        </w:rPr>
        <w:t>）的招、投标活动及签订合同。（         ）以我企业（公司）名义所为的法律行为及签署的文件，我企业（公司）均予以认可。有关法律责任均由我企业（公司）承担。（        ）无转委托权。委托期限自   年   月   日起至   年   月   日止。</w:t>
      </w:r>
    </w:p>
    <w:p w14:paraId="2D57972A">
      <w:pPr>
        <w:keepNext w:val="0"/>
        <w:keepLines w:val="0"/>
        <w:spacing w:line="360" w:lineRule="auto"/>
        <w:ind w:firstLine="63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特此授权委托。</w:t>
      </w:r>
    </w:p>
    <w:p w14:paraId="1C5BA0B1">
      <w:pPr>
        <w:keepNext w:val="0"/>
        <w:keepLines w:val="0"/>
        <w:spacing w:line="360" w:lineRule="auto"/>
        <w:ind w:firstLine="630"/>
        <w:rPr>
          <w:rFonts w:hint="eastAsia" w:ascii="宋体" w:hAnsi="宋体" w:eastAsia="宋体" w:cs="宋体"/>
          <w:bCs/>
          <w:color w:val="auto"/>
          <w:sz w:val="24"/>
          <w:highlight w:val="none"/>
        </w:rPr>
      </w:pPr>
    </w:p>
    <w:p w14:paraId="4CFF7FE3">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bCs/>
          <w:color w:val="auto"/>
          <w:sz w:val="24"/>
          <w:highlight w:val="none"/>
          <w:u w:val="none"/>
          <w:lang w:eastAsia="zh-CN"/>
        </w:rPr>
      </w:pPr>
      <w:r>
        <w:rPr>
          <w:rFonts w:hint="eastAsia" w:ascii="宋体" w:hAnsi="宋体" w:eastAsia="宋体" w:cs="宋体"/>
          <w:bCs/>
          <w:color w:val="auto"/>
          <w:sz w:val="24"/>
          <w:highlight w:val="none"/>
          <w:u w:val="none"/>
          <w:lang w:eastAsia="zh-CN"/>
        </w:rPr>
        <w:t xml:space="preserve">委托人（加盖单位电子盖章）：      </w:t>
      </w:r>
    </w:p>
    <w:p w14:paraId="5C6656EB">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bCs/>
          <w:color w:val="auto"/>
          <w:sz w:val="24"/>
          <w:highlight w:val="none"/>
          <w:u w:val="none"/>
          <w:lang w:eastAsia="zh-CN"/>
        </w:rPr>
      </w:pPr>
      <w:r>
        <w:rPr>
          <w:rFonts w:hint="eastAsia" w:ascii="宋体" w:hAnsi="宋体" w:eastAsia="宋体" w:cs="宋体"/>
          <w:bCs/>
          <w:color w:val="auto"/>
          <w:sz w:val="24"/>
          <w:highlight w:val="none"/>
          <w:u w:val="none"/>
          <w:lang w:eastAsia="zh-CN"/>
        </w:rPr>
        <w:t xml:space="preserve">         </w:t>
      </w:r>
    </w:p>
    <w:p w14:paraId="7215290C">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bCs/>
          <w:color w:val="auto"/>
          <w:sz w:val="24"/>
          <w:highlight w:val="none"/>
          <w:u w:val="none"/>
          <w:lang w:eastAsia="zh-CN"/>
        </w:rPr>
      </w:pPr>
      <w:r>
        <w:rPr>
          <w:rFonts w:hint="eastAsia" w:ascii="宋体" w:hAnsi="宋体" w:eastAsia="宋体" w:cs="宋体"/>
          <w:bCs/>
          <w:color w:val="auto"/>
          <w:sz w:val="24"/>
          <w:highlight w:val="none"/>
          <w:u w:val="none"/>
          <w:lang w:eastAsia="zh-CN"/>
        </w:rPr>
        <w:t>受托人（签字或加盖电子盖章）：</w:t>
      </w:r>
    </w:p>
    <w:p w14:paraId="215C90E9">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bCs/>
          <w:color w:val="auto"/>
          <w:sz w:val="24"/>
          <w:highlight w:val="none"/>
          <w:u w:val="none"/>
          <w:lang w:eastAsia="zh-CN"/>
        </w:rPr>
      </w:pPr>
    </w:p>
    <w:p w14:paraId="7CD098C7">
      <w:pPr>
        <w:keepNext w:val="0"/>
        <w:keepLines w:val="0"/>
        <w:pBdr>
          <w:top w:val="none" w:color="000000" w:sz="0" w:space="0"/>
          <w:left w:val="none" w:color="000000" w:sz="0" w:space="0"/>
          <w:bottom w:val="none" w:color="000000" w:sz="0" w:space="0"/>
          <w:right w:val="none" w:color="000000" w:sz="0" w:space="0"/>
        </w:pBdr>
        <w:spacing w:before="0" w:after="0" w:line="360" w:lineRule="auto"/>
        <w:ind w:left="0" w:right="0" w:firstLine="0"/>
        <w:jc w:val="both"/>
        <w:rPr>
          <w:rFonts w:hint="eastAsia" w:ascii="宋体" w:hAnsi="宋体" w:eastAsia="宋体" w:cs="宋体"/>
          <w:bCs/>
          <w:color w:val="auto"/>
          <w:sz w:val="24"/>
          <w:highlight w:val="none"/>
          <w:u w:val="none"/>
          <w:lang w:eastAsia="zh-CN"/>
        </w:rPr>
      </w:pPr>
      <w:r>
        <w:rPr>
          <w:rFonts w:hint="eastAsia" w:ascii="宋体" w:hAnsi="宋体" w:eastAsia="宋体" w:cs="宋体"/>
          <w:bCs/>
          <w:color w:val="auto"/>
          <w:sz w:val="24"/>
          <w:highlight w:val="none"/>
          <w:u w:val="none"/>
          <w:lang w:eastAsia="zh-CN"/>
        </w:rPr>
        <w:t>法定代表人（签字或加盖电子盖章）：</w:t>
      </w:r>
    </w:p>
    <w:p w14:paraId="4E255D30">
      <w:pPr>
        <w:pStyle w:val="34"/>
        <w:rPr>
          <w:rFonts w:hint="eastAsia"/>
          <w:highlight w:val="none"/>
        </w:rPr>
      </w:pPr>
    </w:p>
    <w:p w14:paraId="1F8837CC">
      <w:pPr>
        <w:keepNext w:val="0"/>
        <w:keepLines w:val="0"/>
        <w:spacing w:line="360" w:lineRule="auto"/>
        <w:ind w:firstLine="720"/>
        <w:jc w:val="righ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年   月   日 </w:t>
      </w:r>
    </w:p>
    <w:p w14:paraId="213FA47D">
      <w:pPr>
        <w:keepNext w:val="0"/>
        <w:keepLines w:val="0"/>
        <w:spacing w:line="360" w:lineRule="auto"/>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受托人身份证原件扫描件附后</w:t>
      </w:r>
      <w:r>
        <w:rPr>
          <w:rFonts w:hint="eastAsia" w:ascii="宋体" w:hAnsi="宋体" w:eastAsia="宋体" w:cs="宋体"/>
          <w:bCs/>
          <w:color w:val="auto"/>
          <w:sz w:val="24"/>
          <w:highlight w:val="none"/>
          <w:lang w:eastAsia="zh-CN"/>
        </w:rPr>
        <w:t>）</w:t>
      </w:r>
    </w:p>
    <w:p w14:paraId="5CC317EC">
      <w:pPr>
        <w:keepNext w:val="0"/>
        <w:keepLines w:val="0"/>
        <w:spacing w:line="360" w:lineRule="auto"/>
        <w:rPr>
          <w:rFonts w:hint="eastAsia" w:ascii="宋体" w:hAnsi="宋体" w:eastAsia="宋体" w:cs="宋体"/>
          <w:bCs/>
          <w:color w:val="auto"/>
          <w:sz w:val="24"/>
          <w:highlight w:val="none"/>
        </w:rPr>
      </w:pPr>
    </w:p>
    <w:p w14:paraId="4B39FD7C">
      <w:pPr>
        <w:keepNext w:val="0"/>
        <w:keepLines w:val="0"/>
        <w:spacing w:line="360" w:lineRule="auto"/>
        <w:rPr>
          <w:rFonts w:hint="eastAsia" w:ascii="宋体" w:hAnsi="宋体" w:eastAsia="宋体" w:cs="宋体"/>
          <w:color w:val="auto"/>
          <w:sz w:val="24"/>
          <w:highlight w:val="none"/>
        </w:rPr>
      </w:pPr>
    </w:p>
    <w:p w14:paraId="63013F64">
      <w:pPr>
        <w:pStyle w:val="34"/>
        <w:rPr>
          <w:rFonts w:hint="eastAsia"/>
          <w:highlight w:val="none"/>
        </w:rPr>
      </w:pPr>
    </w:p>
    <w:p w14:paraId="4BEBA45E">
      <w:pPr>
        <w:keepNext w:val="0"/>
        <w:keepLines w:val="0"/>
        <w:spacing w:line="360" w:lineRule="auto"/>
        <w:jc w:val="center"/>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rPr>
        <w:t>3</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开标一览表</w:t>
      </w:r>
    </w:p>
    <w:p w14:paraId="3077345E">
      <w:pPr>
        <w:keepNext w:val="0"/>
        <w:keepLines w:val="0"/>
        <w:spacing w:line="360" w:lineRule="auto"/>
        <w:jc w:val="left"/>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44BA8C7D">
      <w:pPr>
        <w:keepNext w:val="0"/>
        <w:keepLines w:val="0"/>
        <w:spacing w:line="360" w:lineRule="auto"/>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r>
        <w:rPr>
          <w:rFonts w:hint="eastAsia" w:ascii="宋体" w:hAnsi="宋体" w:eastAsia="宋体" w:cs="宋体"/>
          <w:color w:val="auto"/>
          <w:sz w:val="24"/>
          <w:highlight w:val="none"/>
          <w:u w:val="single"/>
        </w:rPr>
        <w:t xml:space="preserve"> </w:t>
      </w:r>
    </w:p>
    <w:p w14:paraId="7F0FA533">
      <w:pPr>
        <w:keepNext w:val="0"/>
        <w:keepLines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货币单位：人民币</w:t>
      </w:r>
    </w:p>
    <w:tbl>
      <w:tblPr>
        <w:tblStyle w:val="47"/>
        <w:tblW w:w="8778" w:type="dxa"/>
        <w:jc w:val="center"/>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Layout w:type="fixed"/>
        <w:tblCellMar>
          <w:top w:w="0" w:type="dxa"/>
          <w:left w:w="108" w:type="dxa"/>
          <w:bottom w:w="0" w:type="dxa"/>
          <w:right w:w="108" w:type="dxa"/>
        </w:tblCellMar>
      </w:tblPr>
      <w:tblGrid>
        <w:gridCol w:w="3067"/>
        <w:gridCol w:w="2397"/>
        <w:gridCol w:w="3314"/>
      </w:tblGrid>
      <w:tr w14:paraId="7E81443C">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1712" w:hRule="atLeast"/>
          <w:jc w:val="center"/>
        </w:trPr>
        <w:tc>
          <w:tcPr>
            <w:tcW w:w="3067" w:type="dxa"/>
            <w:noWrap w:val="0"/>
            <w:vAlign w:val="center"/>
          </w:tcPr>
          <w:p w14:paraId="0FCA51C7">
            <w:pPr>
              <w:keepNext w:val="0"/>
              <w:keepLines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项目名称</w:t>
            </w:r>
          </w:p>
        </w:tc>
        <w:tc>
          <w:tcPr>
            <w:tcW w:w="2397" w:type="dxa"/>
            <w:noWrap w:val="0"/>
            <w:vAlign w:val="center"/>
          </w:tcPr>
          <w:p w14:paraId="497FFE98">
            <w:pPr>
              <w:keepNext w:val="0"/>
              <w:keepLines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项目内容</w:t>
            </w:r>
          </w:p>
        </w:tc>
        <w:tc>
          <w:tcPr>
            <w:tcW w:w="3314" w:type="dxa"/>
            <w:noWrap w:val="0"/>
            <w:vAlign w:val="center"/>
          </w:tcPr>
          <w:p w14:paraId="111DF8B6">
            <w:pPr>
              <w:keepNext w:val="0"/>
              <w:keepLines w:val="0"/>
              <w:spacing w:line="360" w:lineRule="auto"/>
              <w:jc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小写（元）</w:t>
            </w:r>
          </w:p>
        </w:tc>
      </w:tr>
      <w:tr w14:paraId="19080CD1">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1760" w:hRule="atLeast"/>
          <w:jc w:val="center"/>
        </w:trPr>
        <w:tc>
          <w:tcPr>
            <w:tcW w:w="3067" w:type="dxa"/>
            <w:noWrap w:val="0"/>
            <w:vAlign w:val="center"/>
          </w:tcPr>
          <w:p w14:paraId="589CD703">
            <w:pPr>
              <w:keepNext w:val="0"/>
              <w:keepLines w:val="0"/>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徐州市云龙区垃圾资源转运及处理建设项目-渗滤液处理设备采购</w:t>
            </w:r>
          </w:p>
        </w:tc>
        <w:tc>
          <w:tcPr>
            <w:tcW w:w="2397" w:type="dxa"/>
            <w:noWrap w:val="0"/>
            <w:vAlign w:val="center"/>
          </w:tcPr>
          <w:p w14:paraId="77BD06E1">
            <w:pPr>
              <w:keepNext w:val="0"/>
              <w:keepLines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详见投标文件</w:t>
            </w:r>
          </w:p>
        </w:tc>
        <w:tc>
          <w:tcPr>
            <w:tcW w:w="3314" w:type="dxa"/>
            <w:noWrap w:val="0"/>
            <w:vAlign w:val="center"/>
          </w:tcPr>
          <w:p w14:paraId="671EA6E7">
            <w:pPr>
              <w:keepNext w:val="0"/>
              <w:keepLines w:val="0"/>
              <w:spacing w:line="360" w:lineRule="auto"/>
              <w:jc w:val="center"/>
              <w:rPr>
                <w:rFonts w:hint="eastAsia" w:ascii="宋体" w:hAnsi="宋体" w:eastAsia="宋体" w:cs="宋体"/>
                <w:color w:val="auto"/>
                <w:sz w:val="24"/>
                <w:highlight w:val="none"/>
              </w:rPr>
            </w:pPr>
          </w:p>
        </w:tc>
      </w:tr>
      <w:tr w14:paraId="06693B0B">
        <w:tblPrEx>
          <w:tblBorders>
            <w:top w:val="single" w:color="000000" w:sz="6"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108" w:type="dxa"/>
            <w:bottom w:w="0" w:type="dxa"/>
            <w:right w:w="108" w:type="dxa"/>
          </w:tblCellMar>
        </w:tblPrEx>
        <w:trPr>
          <w:cantSplit/>
          <w:trHeight w:val="2116" w:hRule="atLeast"/>
          <w:jc w:val="center"/>
        </w:trPr>
        <w:tc>
          <w:tcPr>
            <w:tcW w:w="3067" w:type="dxa"/>
            <w:noWrap w:val="0"/>
            <w:vAlign w:val="center"/>
          </w:tcPr>
          <w:p w14:paraId="6C87D9D3">
            <w:pPr>
              <w:keepNext w:val="0"/>
              <w:keepLines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大写</w:t>
            </w:r>
            <w:r>
              <w:rPr>
                <w:rFonts w:hint="eastAsia" w:ascii="宋体" w:hAnsi="宋体" w:eastAsia="宋体" w:cs="宋体"/>
                <w:color w:val="auto"/>
                <w:sz w:val="24"/>
                <w:highlight w:val="none"/>
              </w:rPr>
              <w:t>：</w:t>
            </w:r>
          </w:p>
        </w:tc>
        <w:tc>
          <w:tcPr>
            <w:tcW w:w="5711" w:type="dxa"/>
            <w:gridSpan w:val="2"/>
            <w:noWrap w:val="0"/>
            <w:vAlign w:val="center"/>
          </w:tcPr>
          <w:p w14:paraId="52555B57">
            <w:pPr>
              <w:keepNext w:val="0"/>
              <w:keepLines w:val="0"/>
              <w:spacing w:line="360" w:lineRule="auto"/>
              <w:jc w:val="center"/>
              <w:rPr>
                <w:rFonts w:hint="eastAsia" w:ascii="宋体" w:hAnsi="宋体" w:eastAsia="宋体" w:cs="宋体"/>
                <w:color w:val="auto"/>
                <w:sz w:val="24"/>
                <w:highlight w:val="none"/>
              </w:rPr>
            </w:pPr>
          </w:p>
        </w:tc>
      </w:tr>
    </w:tbl>
    <w:p w14:paraId="6C540C50">
      <w:pPr>
        <w:keepNext w:val="0"/>
        <w:keepLines w:val="0"/>
        <w:spacing w:line="360" w:lineRule="auto"/>
        <w:rPr>
          <w:rFonts w:hint="eastAsia" w:ascii="宋体" w:hAnsi="宋体" w:eastAsia="宋体" w:cs="宋体"/>
          <w:b/>
          <w:bCs/>
          <w:color w:val="auto"/>
          <w:sz w:val="24"/>
          <w:highlight w:val="none"/>
        </w:rPr>
      </w:pPr>
    </w:p>
    <w:p w14:paraId="3F7DFDBE">
      <w:pPr>
        <w:spacing w:line="480" w:lineRule="exact"/>
        <w:rPr>
          <w:rFonts w:hint="eastAsia" w:ascii="宋体" w:hAnsi="宋体" w:eastAsia="宋体" w:cs="宋体"/>
          <w:sz w:val="24"/>
          <w:szCs w:val="22"/>
          <w:highlight w:val="none"/>
        </w:rPr>
      </w:pPr>
      <w:r>
        <w:rPr>
          <w:rFonts w:hint="eastAsia" w:ascii="宋体" w:hAnsi="宋体" w:eastAsia="宋体" w:cs="宋体"/>
          <w:sz w:val="24"/>
          <w:szCs w:val="22"/>
          <w:highlight w:val="none"/>
        </w:rPr>
        <w:t>报价说明：</w:t>
      </w:r>
    </w:p>
    <w:p w14:paraId="012AD53D">
      <w:pPr>
        <w:spacing w:line="480" w:lineRule="exact"/>
        <w:rPr>
          <w:rFonts w:hint="eastAsia" w:ascii="宋体" w:hAnsi="宋体" w:eastAsia="宋体" w:cs="宋体"/>
          <w:sz w:val="24"/>
          <w:szCs w:val="22"/>
          <w:highlight w:val="none"/>
        </w:rPr>
      </w:pPr>
      <w:r>
        <w:rPr>
          <w:rFonts w:hint="eastAsia" w:ascii="宋体" w:hAnsi="宋体" w:eastAsia="宋体" w:cs="宋体"/>
          <w:sz w:val="24"/>
          <w:szCs w:val="22"/>
          <w:highlight w:val="none"/>
        </w:rPr>
        <w:t>1、报价包括完成项目的所有费用。采购人不再支付报价以外的任何费用；</w:t>
      </w:r>
    </w:p>
    <w:p w14:paraId="2BB21F4B">
      <w:pPr>
        <w:spacing w:line="480" w:lineRule="exact"/>
        <w:rPr>
          <w:rFonts w:hint="eastAsia" w:ascii="宋体" w:hAnsi="宋体" w:eastAsia="宋体" w:cs="宋体"/>
          <w:sz w:val="24"/>
          <w:szCs w:val="22"/>
          <w:highlight w:val="none"/>
        </w:rPr>
      </w:pPr>
      <w:r>
        <w:rPr>
          <w:rFonts w:hint="eastAsia" w:ascii="宋体" w:hAnsi="宋体" w:eastAsia="宋体" w:cs="宋体"/>
          <w:sz w:val="24"/>
          <w:szCs w:val="22"/>
          <w:highlight w:val="none"/>
        </w:rPr>
        <w:t>2、报价以总价为准，大小写不一致以大写为准；</w:t>
      </w:r>
    </w:p>
    <w:p w14:paraId="76155D59">
      <w:pPr>
        <w:spacing w:line="480" w:lineRule="exact"/>
        <w:rPr>
          <w:rFonts w:hint="eastAsia" w:ascii="宋体" w:hAnsi="宋体" w:eastAsia="宋体" w:cs="宋体"/>
          <w:sz w:val="24"/>
          <w:szCs w:val="22"/>
          <w:highlight w:val="none"/>
          <w:lang w:eastAsia="zh-CN"/>
        </w:rPr>
      </w:pPr>
      <w:r>
        <w:rPr>
          <w:rFonts w:hint="eastAsia" w:ascii="宋体" w:hAnsi="宋体" w:eastAsia="宋体" w:cs="宋体"/>
          <w:sz w:val="24"/>
          <w:szCs w:val="22"/>
          <w:highlight w:val="none"/>
        </w:rPr>
        <w:t>3、偏离说明：详见《偏离表》</w:t>
      </w:r>
      <w:r>
        <w:rPr>
          <w:rFonts w:hint="eastAsia" w:ascii="宋体" w:hAnsi="宋体" w:eastAsia="宋体" w:cs="宋体"/>
          <w:sz w:val="24"/>
          <w:szCs w:val="22"/>
          <w:highlight w:val="none"/>
          <w:lang w:eastAsia="zh-CN"/>
        </w:rPr>
        <w:t>。</w:t>
      </w:r>
    </w:p>
    <w:p w14:paraId="2AC93A58">
      <w:pPr>
        <w:keepNext w:val="0"/>
        <w:keepLines w:val="0"/>
        <w:spacing w:line="360" w:lineRule="auto"/>
        <w:rPr>
          <w:rFonts w:hint="eastAsia" w:ascii="宋体" w:hAnsi="宋体" w:eastAsia="宋体" w:cs="宋体"/>
          <w:b/>
          <w:bCs/>
          <w:color w:val="auto"/>
          <w:sz w:val="24"/>
          <w:highlight w:val="none"/>
        </w:rPr>
      </w:pPr>
    </w:p>
    <w:p w14:paraId="70DD5A7B">
      <w:pPr>
        <w:keepLines w:val="0"/>
        <w:spacing w:line="276" w:lineRule="auto"/>
        <w:rPr>
          <w:rFonts w:hint="eastAsia" w:ascii="宋体" w:hAnsi="宋体" w:eastAsia="宋体" w:cs="宋体"/>
          <w:b/>
          <w:bCs/>
          <w:color w:val="auto"/>
          <w:sz w:val="24"/>
          <w:highlight w:val="none"/>
        </w:rPr>
      </w:pPr>
      <w:r>
        <w:rPr>
          <w:rFonts w:hint="eastAsia" w:ascii="宋体" w:hAnsi="宋体" w:eastAsia="宋体" w:cs="宋体"/>
          <w:sz w:val="24"/>
          <w:highlight w:val="none"/>
        </w:rPr>
        <w:t xml:space="preserve"> </w:t>
      </w:r>
    </w:p>
    <w:p w14:paraId="2C76DCD8">
      <w:pPr>
        <w:keepNext w:val="0"/>
        <w:keepLines w:val="0"/>
        <w:spacing w:line="360" w:lineRule="auto"/>
        <w:rPr>
          <w:rFonts w:hint="eastAsia" w:ascii="宋体" w:hAnsi="宋体" w:eastAsia="宋体" w:cs="宋体"/>
          <w:b/>
          <w:bCs/>
          <w:color w:val="auto"/>
          <w:sz w:val="24"/>
          <w:highlight w:val="none"/>
        </w:rPr>
      </w:pPr>
    </w:p>
    <w:p w14:paraId="021942B2">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6E6E9879">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11C8690C">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47B136D">
      <w:pPr>
        <w:keepNext w:val="0"/>
        <w:keepLines w:val="0"/>
        <w:spacing w:line="360" w:lineRule="auto"/>
        <w:rPr>
          <w:rFonts w:hint="eastAsia" w:ascii="宋体" w:hAnsi="宋体" w:eastAsia="宋体" w:cs="宋体"/>
          <w:color w:val="auto"/>
          <w:sz w:val="24"/>
          <w:highlight w:val="none"/>
        </w:rPr>
      </w:pPr>
    </w:p>
    <w:p w14:paraId="37A8D6B4">
      <w:pPr>
        <w:keepNext w:val="0"/>
        <w:keepLines w:val="0"/>
        <w:spacing w:line="360" w:lineRule="auto"/>
        <w:rPr>
          <w:rFonts w:hint="eastAsia" w:ascii="宋体" w:hAnsi="宋体" w:eastAsia="宋体" w:cs="宋体"/>
          <w:color w:val="auto"/>
          <w:sz w:val="24"/>
          <w:highlight w:val="none"/>
        </w:rPr>
      </w:pPr>
    </w:p>
    <w:p w14:paraId="76D4BE15">
      <w:pPr>
        <w:keepNext w:val="0"/>
        <w:keepLines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4</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分项价格表</w:t>
      </w:r>
    </w:p>
    <w:p w14:paraId="5BD9FBE8">
      <w:pPr>
        <w:keepNext w:val="0"/>
        <w:keepLines w:val="0"/>
        <w:spacing w:line="360" w:lineRule="auto"/>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05D9435F">
      <w:pPr>
        <w:keepNext w:val="0"/>
        <w:keepLines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4"/>
          <w:highlight w:val="none"/>
        </w:rPr>
        <w:t xml:space="preserve"> </w:t>
      </w:r>
    </w:p>
    <w:p w14:paraId="34746864">
      <w:pPr>
        <w:keepNext w:val="0"/>
        <w:keepLines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货币单位：人民币元</w:t>
      </w:r>
    </w:p>
    <w:tbl>
      <w:tblPr>
        <w:tblStyle w:val="47"/>
        <w:tblW w:w="9839" w:type="dxa"/>
        <w:jc w:val="center"/>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505"/>
        <w:gridCol w:w="975"/>
        <w:gridCol w:w="1005"/>
        <w:gridCol w:w="1346"/>
        <w:gridCol w:w="1999"/>
        <w:gridCol w:w="750"/>
        <w:gridCol w:w="862"/>
        <w:gridCol w:w="807"/>
        <w:gridCol w:w="806"/>
        <w:gridCol w:w="784"/>
      </w:tblGrid>
      <w:tr w14:paraId="11641893">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83" w:hRule="atLeast"/>
          <w:jc w:val="center"/>
        </w:trPr>
        <w:tc>
          <w:tcPr>
            <w:tcW w:w="505" w:type="dxa"/>
            <w:noWrap w:val="0"/>
            <w:tcMar>
              <w:top w:w="15" w:type="dxa"/>
              <w:left w:w="15" w:type="dxa"/>
              <w:bottom w:w="0" w:type="dxa"/>
              <w:right w:w="15" w:type="dxa"/>
            </w:tcMar>
            <w:vAlign w:val="center"/>
          </w:tcPr>
          <w:p w14:paraId="44C561D7">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序号</w:t>
            </w:r>
          </w:p>
        </w:tc>
        <w:tc>
          <w:tcPr>
            <w:tcW w:w="975" w:type="dxa"/>
            <w:noWrap w:val="0"/>
            <w:tcMar>
              <w:top w:w="15" w:type="dxa"/>
              <w:left w:w="15" w:type="dxa"/>
              <w:bottom w:w="0" w:type="dxa"/>
              <w:right w:w="15" w:type="dxa"/>
            </w:tcMar>
            <w:vAlign w:val="center"/>
          </w:tcPr>
          <w:p w14:paraId="69006549">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名称</w:t>
            </w:r>
          </w:p>
        </w:tc>
        <w:tc>
          <w:tcPr>
            <w:tcW w:w="1005" w:type="dxa"/>
            <w:noWrap w:val="0"/>
            <w:tcMar>
              <w:top w:w="15" w:type="dxa"/>
              <w:left w:w="15" w:type="dxa"/>
              <w:bottom w:w="0" w:type="dxa"/>
              <w:right w:w="15" w:type="dxa"/>
            </w:tcMar>
            <w:vAlign w:val="center"/>
          </w:tcPr>
          <w:p w14:paraId="3834DFCB">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品牌、规格、型号</w:t>
            </w:r>
          </w:p>
        </w:tc>
        <w:tc>
          <w:tcPr>
            <w:tcW w:w="1346" w:type="dxa"/>
            <w:noWrap w:val="0"/>
            <w:tcMar>
              <w:top w:w="15" w:type="dxa"/>
              <w:left w:w="15" w:type="dxa"/>
              <w:bottom w:w="0" w:type="dxa"/>
              <w:right w:w="15" w:type="dxa"/>
            </w:tcMar>
            <w:vAlign w:val="center"/>
          </w:tcPr>
          <w:p w14:paraId="16AC2820">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产品制造企业名称（全称）</w:t>
            </w:r>
          </w:p>
        </w:tc>
        <w:tc>
          <w:tcPr>
            <w:tcW w:w="1999" w:type="dxa"/>
            <w:noWrap w:val="0"/>
            <w:tcMar>
              <w:top w:w="15" w:type="dxa"/>
              <w:left w:w="15" w:type="dxa"/>
              <w:bottom w:w="0" w:type="dxa"/>
              <w:right w:w="15" w:type="dxa"/>
            </w:tcMar>
            <w:vAlign w:val="center"/>
          </w:tcPr>
          <w:p w14:paraId="36EC8F0E">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产品制造企业的划分（大型、中型、小型、微型、监狱企业、享受政府采购支持政策的残疾人福利性单位）</w:t>
            </w:r>
          </w:p>
        </w:tc>
        <w:tc>
          <w:tcPr>
            <w:tcW w:w="750" w:type="dxa"/>
            <w:noWrap w:val="0"/>
            <w:tcMar>
              <w:top w:w="15" w:type="dxa"/>
              <w:left w:w="15" w:type="dxa"/>
              <w:bottom w:w="0" w:type="dxa"/>
              <w:right w:w="15" w:type="dxa"/>
            </w:tcMar>
            <w:vAlign w:val="center"/>
          </w:tcPr>
          <w:p w14:paraId="14C6F74A">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数量</w:t>
            </w:r>
          </w:p>
        </w:tc>
        <w:tc>
          <w:tcPr>
            <w:tcW w:w="862" w:type="dxa"/>
            <w:noWrap w:val="0"/>
            <w:tcMar>
              <w:top w:w="15" w:type="dxa"/>
              <w:left w:w="15" w:type="dxa"/>
              <w:bottom w:w="0" w:type="dxa"/>
              <w:right w:w="15" w:type="dxa"/>
            </w:tcMar>
            <w:vAlign w:val="center"/>
          </w:tcPr>
          <w:p w14:paraId="570B4ADA">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数量单位</w:t>
            </w:r>
          </w:p>
        </w:tc>
        <w:tc>
          <w:tcPr>
            <w:tcW w:w="807" w:type="dxa"/>
            <w:noWrap w:val="0"/>
            <w:tcMar>
              <w:top w:w="15" w:type="dxa"/>
              <w:left w:w="15" w:type="dxa"/>
              <w:bottom w:w="0" w:type="dxa"/>
              <w:right w:w="15" w:type="dxa"/>
            </w:tcMar>
            <w:vAlign w:val="center"/>
          </w:tcPr>
          <w:p w14:paraId="255898AC">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单价</w:t>
            </w:r>
          </w:p>
        </w:tc>
        <w:tc>
          <w:tcPr>
            <w:tcW w:w="806" w:type="dxa"/>
            <w:noWrap w:val="0"/>
            <w:vAlign w:val="center"/>
          </w:tcPr>
          <w:p w14:paraId="38C59605">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总价</w:t>
            </w:r>
          </w:p>
        </w:tc>
        <w:tc>
          <w:tcPr>
            <w:tcW w:w="784" w:type="dxa"/>
            <w:noWrap w:val="0"/>
            <w:tcMar>
              <w:top w:w="15" w:type="dxa"/>
              <w:left w:w="15" w:type="dxa"/>
              <w:bottom w:w="0" w:type="dxa"/>
              <w:right w:w="15" w:type="dxa"/>
            </w:tcMar>
            <w:vAlign w:val="center"/>
          </w:tcPr>
          <w:p w14:paraId="138676F1">
            <w:pPr>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备注</w:t>
            </w:r>
          </w:p>
        </w:tc>
      </w:tr>
      <w:tr w14:paraId="509C8A73">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0" w:hRule="atLeast"/>
          <w:jc w:val="center"/>
        </w:trPr>
        <w:tc>
          <w:tcPr>
            <w:tcW w:w="505" w:type="dxa"/>
            <w:noWrap w:val="0"/>
            <w:tcMar>
              <w:top w:w="15" w:type="dxa"/>
              <w:left w:w="15" w:type="dxa"/>
              <w:bottom w:w="0" w:type="dxa"/>
              <w:right w:w="15" w:type="dxa"/>
            </w:tcMar>
            <w:vAlign w:val="bottom"/>
          </w:tcPr>
          <w:p w14:paraId="22643FF8">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975" w:type="dxa"/>
            <w:noWrap w:val="0"/>
            <w:tcMar>
              <w:top w:w="15" w:type="dxa"/>
              <w:left w:w="15" w:type="dxa"/>
              <w:bottom w:w="0" w:type="dxa"/>
              <w:right w:w="15" w:type="dxa"/>
            </w:tcMar>
            <w:vAlign w:val="bottom"/>
          </w:tcPr>
          <w:p w14:paraId="44949F3D">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4E42527D">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79BDB954">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26A0DA76">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0F74A63F">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303F7820">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334CA1C4">
            <w:pPr>
              <w:jc w:val="center"/>
              <w:rPr>
                <w:rFonts w:hint="eastAsia" w:ascii="宋体" w:hAnsi="宋体" w:eastAsia="宋体" w:cs="宋体"/>
                <w:color w:val="000000"/>
                <w:sz w:val="24"/>
                <w:szCs w:val="24"/>
                <w:highlight w:val="none"/>
              </w:rPr>
            </w:pPr>
          </w:p>
        </w:tc>
        <w:tc>
          <w:tcPr>
            <w:tcW w:w="806" w:type="dxa"/>
            <w:noWrap w:val="0"/>
            <w:vAlign w:val="top"/>
          </w:tcPr>
          <w:p w14:paraId="3C8D7EAB">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68C0B5FC">
            <w:pPr>
              <w:jc w:val="center"/>
              <w:rPr>
                <w:rFonts w:hint="eastAsia" w:ascii="宋体" w:hAnsi="宋体" w:eastAsia="宋体" w:cs="宋体"/>
                <w:color w:val="000000"/>
                <w:sz w:val="24"/>
                <w:szCs w:val="24"/>
                <w:highlight w:val="none"/>
              </w:rPr>
            </w:pPr>
          </w:p>
        </w:tc>
      </w:tr>
      <w:tr w14:paraId="579D61AB">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22A5B28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975" w:type="dxa"/>
            <w:noWrap w:val="0"/>
            <w:tcMar>
              <w:top w:w="15" w:type="dxa"/>
              <w:left w:w="15" w:type="dxa"/>
              <w:bottom w:w="0" w:type="dxa"/>
              <w:right w:w="15" w:type="dxa"/>
            </w:tcMar>
            <w:vAlign w:val="bottom"/>
          </w:tcPr>
          <w:p w14:paraId="5DA7EF70">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75CBF671">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44AA93C3">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7D0EE20B">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78BF1ECB">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6008CF74">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6E0B23C9">
            <w:pPr>
              <w:jc w:val="center"/>
              <w:rPr>
                <w:rFonts w:hint="eastAsia" w:ascii="宋体" w:hAnsi="宋体" w:eastAsia="宋体" w:cs="宋体"/>
                <w:color w:val="000000"/>
                <w:sz w:val="24"/>
                <w:szCs w:val="24"/>
                <w:highlight w:val="none"/>
              </w:rPr>
            </w:pPr>
          </w:p>
        </w:tc>
        <w:tc>
          <w:tcPr>
            <w:tcW w:w="806" w:type="dxa"/>
            <w:noWrap w:val="0"/>
            <w:vAlign w:val="top"/>
          </w:tcPr>
          <w:p w14:paraId="3338153D">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5CC65FFC">
            <w:pPr>
              <w:jc w:val="center"/>
              <w:rPr>
                <w:rFonts w:hint="eastAsia" w:ascii="宋体" w:hAnsi="宋体" w:eastAsia="宋体" w:cs="宋体"/>
                <w:color w:val="000000"/>
                <w:sz w:val="24"/>
                <w:szCs w:val="24"/>
                <w:highlight w:val="none"/>
              </w:rPr>
            </w:pPr>
          </w:p>
        </w:tc>
      </w:tr>
      <w:tr w14:paraId="22EA3700">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4EE0EDC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p>
        </w:tc>
        <w:tc>
          <w:tcPr>
            <w:tcW w:w="975" w:type="dxa"/>
            <w:noWrap w:val="0"/>
            <w:tcMar>
              <w:top w:w="15" w:type="dxa"/>
              <w:left w:w="15" w:type="dxa"/>
              <w:bottom w:w="0" w:type="dxa"/>
              <w:right w:w="15" w:type="dxa"/>
            </w:tcMar>
            <w:vAlign w:val="bottom"/>
          </w:tcPr>
          <w:p w14:paraId="6D441734">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1A9B840E">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39A6B885">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5E19EE79">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2B99900F">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4BBE0C15">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3624B345">
            <w:pPr>
              <w:jc w:val="center"/>
              <w:rPr>
                <w:rFonts w:hint="eastAsia" w:ascii="宋体" w:hAnsi="宋体" w:eastAsia="宋体" w:cs="宋体"/>
                <w:color w:val="000000"/>
                <w:sz w:val="24"/>
                <w:szCs w:val="24"/>
                <w:highlight w:val="none"/>
              </w:rPr>
            </w:pPr>
          </w:p>
        </w:tc>
        <w:tc>
          <w:tcPr>
            <w:tcW w:w="806" w:type="dxa"/>
            <w:noWrap w:val="0"/>
            <w:vAlign w:val="top"/>
          </w:tcPr>
          <w:p w14:paraId="7E59272F">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0CB43739">
            <w:pPr>
              <w:jc w:val="center"/>
              <w:rPr>
                <w:rFonts w:hint="eastAsia" w:ascii="宋体" w:hAnsi="宋体" w:eastAsia="宋体" w:cs="宋体"/>
                <w:color w:val="000000"/>
                <w:sz w:val="24"/>
                <w:szCs w:val="24"/>
                <w:highlight w:val="none"/>
              </w:rPr>
            </w:pPr>
          </w:p>
        </w:tc>
      </w:tr>
      <w:tr w14:paraId="6AD6E5A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2" w:hRule="atLeast"/>
          <w:jc w:val="center"/>
        </w:trPr>
        <w:tc>
          <w:tcPr>
            <w:tcW w:w="505" w:type="dxa"/>
            <w:noWrap w:val="0"/>
            <w:tcMar>
              <w:top w:w="15" w:type="dxa"/>
              <w:left w:w="15" w:type="dxa"/>
              <w:bottom w:w="0" w:type="dxa"/>
              <w:right w:w="15" w:type="dxa"/>
            </w:tcMar>
            <w:vAlign w:val="bottom"/>
          </w:tcPr>
          <w:p w14:paraId="611C01E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p>
        </w:tc>
        <w:tc>
          <w:tcPr>
            <w:tcW w:w="975" w:type="dxa"/>
            <w:noWrap w:val="0"/>
            <w:tcMar>
              <w:top w:w="15" w:type="dxa"/>
              <w:left w:w="15" w:type="dxa"/>
              <w:bottom w:w="0" w:type="dxa"/>
              <w:right w:w="15" w:type="dxa"/>
            </w:tcMar>
            <w:vAlign w:val="bottom"/>
          </w:tcPr>
          <w:p w14:paraId="23ECF58E">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0BE6C259">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33EAEBAF">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135F748A">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03728C8F">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3E3A7359">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0002FDE7">
            <w:pPr>
              <w:jc w:val="center"/>
              <w:rPr>
                <w:rFonts w:hint="eastAsia" w:ascii="宋体" w:hAnsi="宋体" w:eastAsia="宋体" w:cs="宋体"/>
                <w:color w:val="000000"/>
                <w:sz w:val="24"/>
                <w:szCs w:val="24"/>
                <w:highlight w:val="none"/>
              </w:rPr>
            </w:pPr>
          </w:p>
        </w:tc>
        <w:tc>
          <w:tcPr>
            <w:tcW w:w="806" w:type="dxa"/>
            <w:noWrap w:val="0"/>
            <w:vAlign w:val="top"/>
          </w:tcPr>
          <w:p w14:paraId="1C8E6A31">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01849F8E">
            <w:pPr>
              <w:jc w:val="center"/>
              <w:rPr>
                <w:rFonts w:hint="eastAsia" w:ascii="宋体" w:hAnsi="宋体" w:eastAsia="宋体" w:cs="宋体"/>
                <w:color w:val="000000"/>
                <w:sz w:val="24"/>
                <w:szCs w:val="24"/>
                <w:highlight w:val="none"/>
              </w:rPr>
            </w:pPr>
          </w:p>
        </w:tc>
      </w:tr>
      <w:tr w14:paraId="4D8E841F">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01CA03A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p>
        </w:tc>
        <w:tc>
          <w:tcPr>
            <w:tcW w:w="975" w:type="dxa"/>
            <w:noWrap w:val="0"/>
            <w:tcMar>
              <w:top w:w="15" w:type="dxa"/>
              <w:left w:w="15" w:type="dxa"/>
              <w:bottom w:w="0" w:type="dxa"/>
              <w:right w:w="15" w:type="dxa"/>
            </w:tcMar>
            <w:vAlign w:val="bottom"/>
          </w:tcPr>
          <w:p w14:paraId="06A5C70F">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50049696">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230AAF42">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4FF9C209">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25F51941">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631676C7">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5BD6E59F">
            <w:pPr>
              <w:jc w:val="center"/>
              <w:rPr>
                <w:rFonts w:hint="eastAsia" w:ascii="宋体" w:hAnsi="宋体" w:eastAsia="宋体" w:cs="宋体"/>
                <w:color w:val="000000"/>
                <w:sz w:val="24"/>
                <w:szCs w:val="24"/>
                <w:highlight w:val="none"/>
              </w:rPr>
            </w:pPr>
          </w:p>
        </w:tc>
        <w:tc>
          <w:tcPr>
            <w:tcW w:w="806" w:type="dxa"/>
            <w:noWrap w:val="0"/>
            <w:vAlign w:val="top"/>
          </w:tcPr>
          <w:p w14:paraId="7E8DCBDE">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051EA13E">
            <w:pPr>
              <w:jc w:val="center"/>
              <w:rPr>
                <w:rFonts w:hint="eastAsia" w:ascii="宋体" w:hAnsi="宋体" w:eastAsia="宋体" w:cs="宋体"/>
                <w:color w:val="000000"/>
                <w:sz w:val="24"/>
                <w:szCs w:val="24"/>
                <w:highlight w:val="none"/>
              </w:rPr>
            </w:pPr>
          </w:p>
        </w:tc>
      </w:tr>
      <w:tr w14:paraId="73E6F5AD">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00678F2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p>
        </w:tc>
        <w:tc>
          <w:tcPr>
            <w:tcW w:w="975" w:type="dxa"/>
            <w:noWrap w:val="0"/>
            <w:tcMar>
              <w:top w:w="15" w:type="dxa"/>
              <w:left w:w="15" w:type="dxa"/>
              <w:bottom w:w="0" w:type="dxa"/>
              <w:right w:w="15" w:type="dxa"/>
            </w:tcMar>
            <w:vAlign w:val="bottom"/>
          </w:tcPr>
          <w:p w14:paraId="168A1509">
            <w:pPr>
              <w:jc w:val="center"/>
              <w:rPr>
                <w:rFonts w:hint="eastAsia" w:ascii="宋体" w:hAnsi="宋体" w:eastAsia="宋体" w:cs="宋体"/>
                <w:color w:val="000000"/>
                <w:sz w:val="24"/>
                <w:szCs w:val="24"/>
                <w:highlight w:val="none"/>
              </w:rPr>
            </w:pPr>
          </w:p>
        </w:tc>
        <w:tc>
          <w:tcPr>
            <w:tcW w:w="1005" w:type="dxa"/>
            <w:noWrap w:val="0"/>
            <w:tcMar>
              <w:top w:w="15" w:type="dxa"/>
              <w:left w:w="15" w:type="dxa"/>
              <w:bottom w:w="0" w:type="dxa"/>
              <w:right w:w="15" w:type="dxa"/>
            </w:tcMar>
            <w:vAlign w:val="bottom"/>
          </w:tcPr>
          <w:p w14:paraId="28E8FAC7">
            <w:pPr>
              <w:jc w:val="center"/>
              <w:rPr>
                <w:rFonts w:hint="eastAsia" w:ascii="宋体" w:hAnsi="宋体" w:eastAsia="宋体" w:cs="宋体"/>
                <w:color w:val="000000"/>
                <w:sz w:val="24"/>
                <w:szCs w:val="24"/>
                <w:highlight w:val="none"/>
              </w:rPr>
            </w:pPr>
          </w:p>
        </w:tc>
        <w:tc>
          <w:tcPr>
            <w:tcW w:w="1346" w:type="dxa"/>
            <w:noWrap w:val="0"/>
            <w:tcMar>
              <w:top w:w="15" w:type="dxa"/>
              <w:left w:w="15" w:type="dxa"/>
              <w:bottom w:w="0" w:type="dxa"/>
              <w:right w:w="15" w:type="dxa"/>
            </w:tcMar>
            <w:vAlign w:val="top"/>
          </w:tcPr>
          <w:p w14:paraId="480FED12">
            <w:pPr>
              <w:jc w:val="center"/>
              <w:rPr>
                <w:rFonts w:hint="eastAsia" w:ascii="宋体" w:hAnsi="宋体" w:eastAsia="宋体" w:cs="宋体"/>
                <w:color w:val="000000"/>
                <w:sz w:val="24"/>
                <w:szCs w:val="24"/>
                <w:highlight w:val="none"/>
              </w:rPr>
            </w:pPr>
          </w:p>
        </w:tc>
        <w:tc>
          <w:tcPr>
            <w:tcW w:w="1999" w:type="dxa"/>
            <w:noWrap w:val="0"/>
            <w:tcMar>
              <w:top w:w="15" w:type="dxa"/>
              <w:left w:w="15" w:type="dxa"/>
              <w:bottom w:w="0" w:type="dxa"/>
              <w:right w:w="15" w:type="dxa"/>
            </w:tcMar>
            <w:vAlign w:val="top"/>
          </w:tcPr>
          <w:p w14:paraId="6739AC0B">
            <w:pPr>
              <w:jc w:val="center"/>
              <w:rPr>
                <w:rFonts w:hint="eastAsia" w:ascii="宋体" w:hAnsi="宋体" w:eastAsia="宋体" w:cs="宋体"/>
                <w:color w:val="000000"/>
                <w:sz w:val="24"/>
                <w:szCs w:val="24"/>
                <w:highlight w:val="none"/>
              </w:rPr>
            </w:pPr>
          </w:p>
        </w:tc>
        <w:tc>
          <w:tcPr>
            <w:tcW w:w="750" w:type="dxa"/>
            <w:noWrap w:val="0"/>
            <w:tcMar>
              <w:top w:w="15" w:type="dxa"/>
              <w:left w:w="15" w:type="dxa"/>
              <w:bottom w:w="0" w:type="dxa"/>
              <w:right w:w="15" w:type="dxa"/>
            </w:tcMar>
            <w:vAlign w:val="bottom"/>
          </w:tcPr>
          <w:p w14:paraId="694A08DC">
            <w:pPr>
              <w:jc w:val="center"/>
              <w:rPr>
                <w:rFonts w:hint="eastAsia" w:ascii="宋体" w:hAnsi="宋体" w:eastAsia="宋体" w:cs="宋体"/>
                <w:color w:val="000000"/>
                <w:sz w:val="24"/>
                <w:szCs w:val="24"/>
                <w:highlight w:val="none"/>
              </w:rPr>
            </w:pPr>
          </w:p>
        </w:tc>
        <w:tc>
          <w:tcPr>
            <w:tcW w:w="862" w:type="dxa"/>
            <w:noWrap w:val="0"/>
            <w:tcMar>
              <w:top w:w="15" w:type="dxa"/>
              <w:left w:w="15" w:type="dxa"/>
              <w:bottom w:w="0" w:type="dxa"/>
              <w:right w:w="15" w:type="dxa"/>
            </w:tcMar>
            <w:vAlign w:val="bottom"/>
          </w:tcPr>
          <w:p w14:paraId="218D9A6A">
            <w:pPr>
              <w:jc w:val="center"/>
              <w:rPr>
                <w:rFonts w:hint="eastAsia" w:ascii="宋体" w:hAnsi="宋体" w:eastAsia="宋体" w:cs="宋体"/>
                <w:color w:val="000000"/>
                <w:sz w:val="24"/>
                <w:szCs w:val="24"/>
                <w:highlight w:val="none"/>
              </w:rPr>
            </w:pPr>
          </w:p>
        </w:tc>
        <w:tc>
          <w:tcPr>
            <w:tcW w:w="807" w:type="dxa"/>
            <w:noWrap w:val="0"/>
            <w:tcMar>
              <w:top w:w="15" w:type="dxa"/>
              <w:left w:w="15" w:type="dxa"/>
              <w:bottom w:w="0" w:type="dxa"/>
              <w:right w:w="15" w:type="dxa"/>
            </w:tcMar>
            <w:vAlign w:val="bottom"/>
          </w:tcPr>
          <w:p w14:paraId="6189629F">
            <w:pPr>
              <w:jc w:val="center"/>
              <w:rPr>
                <w:rFonts w:hint="eastAsia" w:ascii="宋体" w:hAnsi="宋体" w:eastAsia="宋体" w:cs="宋体"/>
                <w:color w:val="000000"/>
                <w:sz w:val="24"/>
                <w:szCs w:val="24"/>
                <w:highlight w:val="none"/>
              </w:rPr>
            </w:pPr>
          </w:p>
        </w:tc>
        <w:tc>
          <w:tcPr>
            <w:tcW w:w="806" w:type="dxa"/>
            <w:noWrap w:val="0"/>
            <w:vAlign w:val="top"/>
          </w:tcPr>
          <w:p w14:paraId="25EFF8AD">
            <w:pPr>
              <w:jc w:val="center"/>
              <w:rPr>
                <w:rFonts w:hint="eastAsia" w:ascii="宋体" w:hAnsi="宋体" w:eastAsia="宋体" w:cs="宋体"/>
                <w:color w:val="000000"/>
                <w:sz w:val="24"/>
                <w:szCs w:val="24"/>
                <w:highlight w:val="none"/>
              </w:rPr>
            </w:pPr>
          </w:p>
        </w:tc>
        <w:tc>
          <w:tcPr>
            <w:tcW w:w="784" w:type="dxa"/>
            <w:noWrap w:val="0"/>
            <w:tcMar>
              <w:top w:w="15" w:type="dxa"/>
              <w:left w:w="15" w:type="dxa"/>
              <w:bottom w:w="0" w:type="dxa"/>
              <w:right w:w="15" w:type="dxa"/>
            </w:tcMar>
            <w:vAlign w:val="bottom"/>
          </w:tcPr>
          <w:p w14:paraId="164634AF">
            <w:pPr>
              <w:jc w:val="center"/>
              <w:rPr>
                <w:rFonts w:hint="eastAsia" w:ascii="宋体" w:hAnsi="宋体" w:eastAsia="宋体" w:cs="宋体"/>
                <w:color w:val="000000"/>
                <w:sz w:val="24"/>
                <w:szCs w:val="24"/>
                <w:highlight w:val="none"/>
              </w:rPr>
            </w:pPr>
          </w:p>
        </w:tc>
      </w:tr>
      <w:tr w14:paraId="584F898B">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9" w:hRule="atLeast"/>
          <w:jc w:val="center"/>
        </w:trPr>
        <w:tc>
          <w:tcPr>
            <w:tcW w:w="3831" w:type="dxa"/>
            <w:gridSpan w:val="4"/>
            <w:noWrap w:val="0"/>
            <w:tcMar>
              <w:top w:w="15" w:type="dxa"/>
              <w:left w:w="15" w:type="dxa"/>
              <w:bottom w:w="0" w:type="dxa"/>
              <w:right w:w="15" w:type="dxa"/>
            </w:tcMar>
            <w:vAlign w:val="bottom"/>
          </w:tcPr>
          <w:p w14:paraId="108529F3">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总价合计（即《开标一览表》中的“总价”）</w:t>
            </w:r>
          </w:p>
        </w:tc>
        <w:tc>
          <w:tcPr>
            <w:tcW w:w="6008" w:type="dxa"/>
            <w:gridSpan w:val="6"/>
            <w:noWrap w:val="0"/>
            <w:vAlign w:val="top"/>
          </w:tcPr>
          <w:p w14:paraId="545C29E1">
            <w:pPr>
              <w:jc w:val="center"/>
              <w:rPr>
                <w:rFonts w:hint="eastAsia" w:ascii="宋体" w:hAnsi="宋体" w:eastAsia="宋体" w:cs="宋体"/>
                <w:color w:val="000000"/>
                <w:sz w:val="24"/>
                <w:szCs w:val="24"/>
                <w:highlight w:val="none"/>
              </w:rPr>
            </w:pPr>
          </w:p>
        </w:tc>
      </w:tr>
      <w:tr w14:paraId="3CCFE711">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9" w:hRule="atLeast"/>
          <w:jc w:val="center"/>
        </w:trPr>
        <w:tc>
          <w:tcPr>
            <w:tcW w:w="9839" w:type="dxa"/>
            <w:gridSpan w:val="10"/>
            <w:noWrap w:val="0"/>
            <w:tcMar>
              <w:top w:w="15" w:type="dxa"/>
              <w:left w:w="15" w:type="dxa"/>
              <w:bottom w:w="0" w:type="dxa"/>
              <w:right w:w="15" w:type="dxa"/>
            </w:tcMar>
            <w:vAlign w:val="bottom"/>
          </w:tcPr>
          <w:p w14:paraId="7AC1F1B3">
            <w:pPr>
              <w:keepLines w:val="0"/>
              <w:pBdr>
                <w:top w:val="none" w:color="000000" w:sz="0" w:space="0"/>
                <w:left w:val="none" w:color="000000" w:sz="0" w:space="0"/>
                <w:bottom w:val="none" w:color="000000" w:sz="0" w:space="0"/>
                <w:right w:val="none" w:color="000000" w:sz="0" w:space="0"/>
              </w:pBdr>
              <w:spacing w:line="479" w:lineRule="atLeast"/>
              <w:ind w:firstLine="241"/>
              <w:rPr>
                <w:rFonts w:hint="eastAsia" w:ascii="宋体" w:hAnsi="宋体" w:eastAsia="宋体" w:cs="宋体"/>
                <w:color w:val="000000"/>
                <w:sz w:val="24"/>
                <w:szCs w:val="24"/>
                <w:highlight w:val="none"/>
              </w:rPr>
            </w:pPr>
            <w:r>
              <w:rPr>
                <w:rFonts w:hint="eastAsia" w:ascii="宋体" w:hAnsi="宋体" w:eastAsia="宋体" w:cs="宋体"/>
                <w:b/>
                <w:bCs/>
                <w:color w:val="auto"/>
                <w:sz w:val="24"/>
                <w:szCs w:val="24"/>
                <w:highlight w:val="none"/>
              </w:rPr>
              <w:t>本采购包中提供的符合本国产品标准的产品成本之和占该采购包提供的全部产品成本之和的比例为</w:t>
            </w:r>
            <w:r>
              <w:rPr>
                <w:rFonts w:hint="eastAsia" w:ascii="宋体" w:hAnsi="宋体" w:eastAsia="宋体" w:cs="宋体"/>
                <w:b/>
                <w:bCs/>
                <w:color w:val="auto"/>
                <w:sz w:val="24"/>
                <w:szCs w:val="24"/>
                <w:highlight w:val="none"/>
                <w:u w:val="single"/>
              </w:rPr>
              <w:t xml:space="preserve">      %</w:t>
            </w:r>
          </w:p>
        </w:tc>
      </w:tr>
    </w:tbl>
    <w:p w14:paraId="23F8B8CA">
      <w:pPr>
        <w:keepLines w:val="0"/>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color w:val="auto"/>
          <w:sz w:val="24"/>
          <w:szCs w:val="24"/>
          <w:highlight w:val="none"/>
        </w:rPr>
      </w:pPr>
    </w:p>
    <w:p w14:paraId="12B5F0B8">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3FEF3B71">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3318A35A">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年  月  </w:t>
      </w:r>
    </w:p>
    <w:p w14:paraId="3EE4B18F">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69CC812D">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如果不提供详细分项报价的，将视为没有实质性响应</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w:t>
      </w:r>
    </w:p>
    <w:p w14:paraId="774C66F8">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投标人对以上数据的真实性负责。</w:t>
      </w:r>
    </w:p>
    <w:p w14:paraId="7526F8ED">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本采购包中含有多种产品时，供应商未填写本采购包中提供的符合本国产品标准的产品成本之和占该采购包提供的全部产品成本之和的比例数值的，或比例数值未达到80%的，将不享受本国产品价格评审优惠。</w:t>
      </w:r>
    </w:p>
    <w:p w14:paraId="0D63E879">
      <w:pPr>
        <w:keepNext w:val="0"/>
        <w:keepLines w:val="0"/>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江苏瑞阳工程咨询有限公司</w:t>
      </w:r>
      <w:r>
        <w:rPr>
          <w:rFonts w:hint="eastAsia" w:ascii="宋体" w:hAnsi="宋体" w:eastAsia="宋体" w:cs="宋体"/>
          <w:b/>
          <w:bCs/>
          <w:color w:val="auto"/>
          <w:sz w:val="24"/>
          <w:highlight w:val="none"/>
        </w:rPr>
        <w:t>有权将以上内容进行公示。</w:t>
      </w:r>
    </w:p>
    <w:p w14:paraId="0C902925">
      <w:pPr>
        <w:pStyle w:val="63"/>
        <w:keepLines w:val="0"/>
        <w:ind w:left="0" w:firstLine="0"/>
        <w:rPr>
          <w:rFonts w:hint="eastAsia" w:ascii="宋体" w:hAnsi="宋体" w:eastAsia="宋体" w:cs="宋体"/>
          <w:b/>
          <w:bCs/>
          <w:color w:val="auto"/>
          <w:sz w:val="24"/>
          <w:szCs w:val="24"/>
          <w:highlight w:val="none"/>
        </w:rPr>
      </w:pPr>
    </w:p>
    <w:p w14:paraId="4BBD82D5">
      <w:pPr>
        <w:pStyle w:val="63"/>
        <w:keepLines w:val="0"/>
        <w:rPr>
          <w:rFonts w:hint="eastAsia" w:ascii="宋体" w:hAnsi="宋体" w:eastAsia="宋体" w:cs="宋体"/>
          <w:b/>
          <w:bCs/>
          <w:color w:val="auto"/>
          <w:sz w:val="24"/>
          <w:szCs w:val="24"/>
          <w:highlight w:val="none"/>
        </w:rPr>
      </w:pPr>
    </w:p>
    <w:p w14:paraId="0F0CB620">
      <w:pPr>
        <w:pStyle w:val="63"/>
        <w:keepLines w:val="0"/>
        <w:rPr>
          <w:rFonts w:hint="eastAsia" w:ascii="宋体" w:hAnsi="宋体" w:eastAsia="宋体" w:cs="宋体"/>
          <w:b/>
          <w:bCs/>
          <w:color w:val="auto"/>
          <w:sz w:val="24"/>
          <w:szCs w:val="24"/>
          <w:highlight w:val="none"/>
        </w:rPr>
      </w:pPr>
    </w:p>
    <w:p w14:paraId="517E1726">
      <w:pPr>
        <w:pStyle w:val="63"/>
        <w:keepLines w:val="0"/>
        <w:ind w:left="0" w:firstLine="0"/>
        <w:rPr>
          <w:rFonts w:hint="eastAsia" w:ascii="宋体" w:hAnsi="宋体" w:eastAsia="宋体" w:cs="宋体"/>
          <w:b/>
          <w:bCs/>
          <w:color w:val="auto"/>
          <w:sz w:val="24"/>
          <w:szCs w:val="24"/>
          <w:highlight w:val="none"/>
        </w:rPr>
      </w:pPr>
    </w:p>
    <w:p w14:paraId="3B8A506E">
      <w:pPr>
        <w:keepNext w:val="0"/>
        <w:keepLines w:val="0"/>
        <w:numPr>
          <w:ilvl w:val="0"/>
          <w:numId w:val="0"/>
        </w:numPr>
        <w:spacing w:line="360" w:lineRule="auto"/>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bidi="ar-SA"/>
        </w:rPr>
        <w:t>5、</w:t>
      </w:r>
      <w:r>
        <w:rPr>
          <w:rFonts w:hint="eastAsia" w:ascii="宋体" w:hAnsi="宋体" w:eastAsia="宋体" w:cs="宋体"/>
          <w:b/>
          <w:bCs/>
          <w:color w:val="auto"/>
          <w:sz w:val="28"/>
          <w:szCs w:val="28"/>
          <w:highlight w:val="none"/>
          <w:lang w:eastAsia="zh-CN"/>
        </w:rPr>
        <w:t>具备履行合同所必需的设备和专业技术能力的书面声明</w:t>
      </w:r>
    </w:p>
    <w:p w14:paraId="54593CAF">
      <w:pPr>
        <w:keepNext w:val="0"/>
        <w:keepLines w:val="0"/>
        <w:numPr>
          <w:ilvl w:val="0"/>
          <w:numId w:val="0"/>
        </w:numPr>
        <w:spacing w:line="360" w:lineRule="auto"/>
        <w:jc w:val="center"/>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lang w:eastAsia="zh-CN"/>
        </w:rPr>
        <w:t>（附证明材料扫描件）</w:t>
      </w:r>
    </w:p>
    <w:p w14:paraId="37109D5F">
      <w:pPr>
        <w:keepNext w:val="0"/>
        <w:keepLines w:val="0"/>
        <w:widowControl/>
        <w:spacing w:line="360" w:lineRule="auto"/>
        <w:jc w:val="left"/>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37B324DA">
      <w:pPr>
        <w:keepNext w:val="0"/>
        <w:keepLines w:val="0"/>
        <w:widowControl/>
        <w:spacing w:line="360" w:lineRule="auto"/>
        <w:jc w:val="left"/>
        <w:rPr>
          <w:rFonts w:hint="eastAsia" w:ascii="宋体" w:hAnsi="宋体" w:eastAsia="宋体" w:cs="宋体"/>
          <w:highlight w:val="none"/>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p>
    <w:p w14:paraId="2B397212">
      <w:pPr>
        <w:keepNext w:val="0"/>
        <w:keepLines w:val="0"/>
        <w:pageBreakBefore w:val="0"/>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我单位郑重声明：我单位具备履行合同（项目名称：</w:t>
      </w:r>
      <w:r>
        <w:rPr>
          <w:rFonts w:hint="eastAsia" w:ascii="宋体" w:hAnsi="宋体" w:cs="宋体"/>
          <w:color w:val="auto"/>
          <w:sz w:val="24"/>
          <w:highlight w:val="none"/>
          <w:u w:val="single"/>
          <w:lang w:eastAsia="zh-CN"/>
        </w:rPr>
        <w:t>徐州市云龙区垃圾资源转运及处理建设项目-渗滤液处理设备采购</w:t>
      </w: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r>
        <w:rPr>
          <w:rFonts w:hint="eastAsia" w:ascii="宋体" w:hAnsi="宋体" w:eastAsia="宋体" w:cs="宋体"/>
          <w:color w:val="auto"/>
          <w:sz w:val="24"/>
          <w:highlight w:val="none"/>
        </w:rPr>
        <w:t>）所必需的设备和专业技术能力</w:t>
      </w:r>
      <w:r>
        <w:rPr>
          <w:rFonts w:hint="eastAsia" w:ascii="宋体" w:hAnsi="宋体" w:eastAsia="宋体" w:cs="宋体"/>
          <w:color w:val="auto"/>
          <w:sz w:val="24"/>
          <w:highlight w:val="none"/>
          <w:lang w:eastAsia="zh-CN"/>
        </w:rPr>
        <w:t>，具体为：</w:t>
      </w:r>
    </w:p>
    <w:p w14:paraId="271DBBCA">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设备：</w:t>
      </w:r>
    </w:p>
    <w:p w14:paraId="5719C6FA">
      <w:pPr>
        <w:pStyle w:val="25"/>
        <w:keepNext w:val="0"/>
        <w:keepLines w:val="0"/>
        <w:spacing w:line="360" w:lineRule="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w:t>
      </w:r>
      <w:r>
        <w:rPr>
          <w:rFonts w:hint="eastAsia" w:ascii="宋体" w:hAnsi="宋体" w:eastAsia="宋体" w:cs="宋体"/>
          <w:b w:val="0"/>
          <w:bCs w:val="0"/>
          <w:color w:val="auto"/>
          <w:sz w:val="24"/>
          <w:highlight w:val="none"/>
        </w:rPr>
        <w:t xml:space="preserve"> </w:t>
      </w:r>
    </w:p>
    <w:p w14:paraId="2E1A5834">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676F0FF9">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01F14FCC">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6ECC920B">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专业技术能力：</w:t>
      </w:r>
    </w:p>
    <w:p w14:paraId="2B99B583">
      <w:pPr>
        <w:keepNext w:val="0"/>
        <w:keepLines w:val="0"/>
        <w:spacing w:after="0"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b/>
          <w:bCs/>
          <w:sz w:val="24"/>
          <w:szCs w:val="24"/>
          <w:highlight w:val="none"/>
          <w:lang w:val="en-US" w:eastAsia="zh-CN"/>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17566E5F">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3C64A216">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25FF2305">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2898F0F7">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特此声明。</w:t>
      </w:r>
    </w:p>
    <w:p w14:paraId="68B5C271">
      <w:pPr>
        <w:pStyle w:val="25"/>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投标人对上述声明的真实性负责。如有虚假，将依法承担相应责任。</w:t>
      </w:r>
    </w:p>
    <w:p w14:paraId="35918937">
      <w:pPr>
        <w:keepNext w:val="0"/>
        <w:keepLines w:val="0"/>
        <w:spacing w:line="360" w:lineRule="auto"/>
        <w:ind w:firstLine="3000"/>
        <w:rPr>
          <w:rFonts w:hint="eastAsia" w:ascii="宋体" w:hAnsi="宋体" w:eastAsia="宋体" w:cs="宋体"/>
          <w:color w:val="auto"/>
          <w:sz w:val="24"/>
          <w:highlight w:val="none"/>
        </w:rPr>
      </w:pPr>
    </w:p>
    <w:p w14:paraId="2F9A841D">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44D27401">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332A195D">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D62383A">
      <w:pPr>
        <w:keepNext w:val="0"/>
        <w:keepLines w:val="0"/>
        <w:spacing w:line="360" w:lineRule="auto"/>
        <w:jc w:val="center"/>
        <w:rPr>
          <w:rFonts w:hint="eastAsia" w:ascii="宋体" w:hAnsi="宋体" w:eastAsia="宋体" w:cs="宋体"/>
          <w:b/>
          <w:bCs/>
          <w:color w:val="auto"/>
          <w:sz w:val="28"/>
          <w:szCs w:val="28"/>
          <w:highlight w:val="none"/>
        </w:rPr>
      </w:pPr>
    </w:p>
    <w:p w14:paraId="2C2384A8">
      <w:pPr>
        <w:keepNext w:val="0"/>
        <w:keepLines w:val="0"/>
        <w:spacing w:line="360" w:lineRule="auto"/>
        <w:jc w:val="center"/>
        <w:rPr>
          <w:rFonts w:hint="eastAsia" w:ascii="宋体" w:hAnsi="宋体" w:eastAsia="宋体" w:cs="宋体"/>
          <w:b/>
          <w:bCs/>
          <w:color w:val="auto"/>
          <w:sz w:val="28"/>
          <w:szCs w:val="28"/>
          <w:highlight w:val="none"/>
        </w:rPr>
      </w:pPr>
    </w:p>
    <w:p w14:paraId="07D1027F">
      <w:pPr>
        <w:keepNext w:val="0"/>
        <w:keepLines w:val="0"/>
        <w:spacing w:line="360" w:lineRule="auto"/>
        <w:jc w:val="center"/>
        <w:rPr>
          <w:rFonts w:hint="eastAsia" w:ascii="宋体" w:hAnsi="宋体" w:eastAsia="宋体" w:cs="宋体"/>
          <w:b/>
          <w:bCs/>
          <w:color w:val="auto"/>
          <w:sz w:val="28"/>
          <w:szCs w:val="28"/>
          <w:highlight w:val="none"/>
        </w:rPr>
      </w:pPr>
    </w:p>
    <w:p w14:paraId="3F29A890">
      <w:pPr>
        <w:keepNext w:val="0"/>
        <w:keepLines w:val="0"/>
        <w:spacing w:line="360" w:lineRule="auto"/>
        <w:jc w:val="both"/>
        <w:rPr>
          <w:rFonts w:hint="eastAsia" w:ascii="宋体" w:hAnsi="宋体" w:eastAsia="宋体" w:cs="宋体"/>
          <w:b/>
          <w:bCs/>
          <w:color w:val="auto"/>
          <w:sz w:val="28"/>
          <w:szCs w:val="28"/>
          <w:highlight w:val="none"/>
        </w:rPr>
      </w:pPr>
    </w:p>
    <w:p w14:paraId="69D21745">
      <w:pPr>
        <w:keepNext w:val="0"/>
        <w:keepLines w:val="0"/>
        <w:spacing w:line="360" w:lineRule="auto"/>
        <w:jc w:val="both"/>
        <w:rPr>
          <w:rFonts w:hint="eastAsia" w:ascii="宋体" w:hAnsi="宋体" w:eastAsia="宋体" w:cs="宋体"/>
          <w:b/>
          <w:bCs/>
          <w:color w:val="auto"/>
          <w:sz w:val="28"/>
          <w:szCs w:val="28"/>
          <w:highlight w:val="none"/>
        </w:rPr>
        <w:sectPr>
          <w:pgSz w:w="11906" w:h="16838"/>
          <w:pgMar w:top="1440" w:right="1440" w:bottom="1440" w:left="1440" w:header="851" w:footer="992" w:gutter="0"/>
          <w:cols w:space="1701" w:num="1"/>
          <w:docGrid w:linePitch="360" w:charSpace="0"/>
        </w:sectPr>
      </w:pPr>
    </w:p>
    <w:p w14:paraId="49A0CC93">
      <w:pPr>
        <w:keepNext w:val="0"/>
        <w:keepLines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投标人参加政府采购活动前3年内在经营活动中没有重大违法记录的书面声明</w:t>
      </w:r>
    </w:p>
    <w:p w14:paraId="51CF572E">
      <w:pPr>
        <w:keepNext w:val="0"/>
        <w:keepLines w:val="0"/>
        <w:spacing w:line="360" w:lineRule="auto"/>
        <w:jc w:val="center"/>
        <w:rPr>
          <w:rFonts w:hint="eastAsia" w:ascii="宋体" w:hAnsi="宋体" w:eastAsia="宋体" w:cs="宋体"/>
          <w:color w:val="auto"/>
          <w:sz w:val="30"/>
          <w:szCs w:val="30"/>
          <w:highlight w:val="none"/>
        </w:rPr>
      </w:pPr>
    </w:p>
    <w:p w14:paraId="14C1CE7F">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我单位在参加（</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徐州市云龙区垃圾资源转运及处理建设项目-渗滤液处理设备采购</w:t>
      </w:r>
      <w:r>
        <w:rPr>
          <w:rFonts w:hint="eastAsia" w:ascii="宋体" w:hAnsi="宋体" w:eastAsia="宋体" w:cs="宋体"/>
          <w:color w:val="auto"/>
          <w:sz w:val="24"/>
          <w:highlight w:val="none"/>
        </w:rPr>
        <w:t>）项目（项目编号：</w:t>
      </w:r>
      <w:r>
        <w:rPr>
          <w:rFonts w:hint="eastAsia" w:ascii="宋体" w:hAnsi="宋体" w:cs="宋体"/>
          <w:color w:val="auto"/>
          <w:sz w:val="24"/>
          <w:highlight w:val="none"/>
          <w:lang w:eastAsia="zh-CN"/>
        </w:rPr>
        <w:t>JSZC-320303-JSRY-G2026-0004</w:t>
      </w:r>
      <w:r>
        <w:rPr>
          <w:rFonts w:hint="eastAsia" w:ascii="宋体" w:hAnsi="宋体" w:eastAsia="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24C9CAB2">
      <w:pPr>
        <w:keepNext w:val="0"/>
        <w:keepLines w:val="0"/>
        <w:widowControl/>
        <w:spacing w:before="100" w:beforeAutospacing="1" w:after="100" w:afterAutospacing="1"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我单位对上述声明的真实性负责。如有虚假，将依法承担相应责任。</w:t>
      </w:r>
    </w:p>
    <w:p w14:paraId="4AD9AB63">
      <w:pPr>
        <w:keepNext w:val="0"/>
        <w:keepLines w:val="0"/>
        <w:widowControl/>
        <w:spacing w:line="360" w:lineRule="auto"/>
        <w:ind w:firstLine="600"/>
        <w:jc w:val="left"/>
        <w:rPr>
          <w:rFonts w:hint="eastAsia" w:ascii="宋体" w:hAnsi="宋体" w:eastAsia="宋体" w:cs="宋体"/>
          <w:color w:val="auto"/>
          <w:sz w:val="30"/>
          <w:szCs w:val="30"/>
          <w:highlight w:val="none"/>
        </w:rPr>
      </w:pPr>
    </w:p>
    <w:p w14:paraId="248EDCC2">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24B3B852">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1E8A3A64">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DB58AF2">
      <w:pPr>
        <w:keepNext w:val="0"/>
        <w:keepLines w:val="0"/>
        <w:widowControl/>
        <w:spacing w:line="360" w:lineRule="auto"/>
        <w:ind w:firstLine="600"/>
        <w:jc w:val="left"/>
        <w:rPr>
          <w:rFonts w:hint="eastAsia" w:ascii="宋体" w:hAnsi="宋体" w:eastAsia="宋体" w:cs="宋体"/>
          <w:color w:val="auto"/>
          <w:sz w:val="30"/>
          <w:szCs w:val="30"/>
          <w:highlight w:val="none"/>
        </w:rPr>
      </w:pPr>
    </w:p>
    <w:p w14:paraId="64642BCF">
      <w:pPr>
        <w:keepNext w:val="0"/>
        <w:keepLines w:val="0"/>
        <w:widowControl/>
        <w:spacing w:line="360" w:lineRule="auto"/>
        <w:ind w:firstLine="600"/>
        <w:jc w:val="left"/>
        <w:rPr>
          <w:rFonts w:hint="eastAsia" w:ascii="宋体" w:hAnsi="宋体" w:eastAsia="宋体" w:cs="宋体"/>
          <w:color w:val="auto"/>
          <w:sz w:val="30"/>
          <w:szCs w:val="30"/>
          <w:highlight w:val="none"/>
        </w:rPr>
      </w:pPr>
    </w:p>
    <w:p w14:paraId="14093AFD">
      <w:pPr>
        <w:pStyle w:val="81"/>
        <w:keepNext w:val="0"/>
        <w:keepLines w:val="0"/>
        <w:spacing w:line="360" w:lineRule="auto"/>
        <w:rPr>
          <w:rFonts w:hint="eastAsia" w:ascii="宋体" w:hAnsi="宋体" w:eastAsia="宋体" w:cs="宋体"/>
          <w:color w:val="auto"/>
          <w:sz w:val="30"/>
          <w:szCs w:val="30"/>
          <w:highlight w:val="none"/>
        </w:rPr>
      </w:pPr>
    </w:p>
    <w:p w14:paraId="18A92C01">
      <w:pPr>
        <w:pStyle w:val="81"/>
        <w:keepNext w:val="0"/>
        <w:keepLines w:val="0"/>
        <w:spacing w:line="360" w:lineRule="auto"/>
        <w:rPr>
          <w:rFonts w:hint="eastAsia" w:ascii="宋体" w:hAnsi="宋体" w:eastAsia="宋体" w:cs="宋体"/>
          <w:color w:val="auto"/>
          <w:sz w:val="30"/>
          <w:szCs w:val="30"/>
          <w:highlight w:val="none"/>
        </w:rPr>
      </w:pPr>
    </w:p>
    <w:p w14:paraId="6783612E">
      <w:pPr>
        <w:pStyle w:val="81"/>
        <w:keepNext w:val="0"/>
        <w:keepLines w:val="0"/>
        <w:spacing w:line="360" w:lineRule="auto"/>
        <w:rPr>
          <w:rFonts w:hint="eastAsia" w:ascii="宋体" w:hAnsi="宋体" w:eastAsia="宋体" w:cs="宋体"/>
          <w:color w:val="auto"/>
          <w:sz w:val="30"/>
          <w:szCs w:val="30"/>
          <w:highlight w:val="none"/>
        </w:rPr>
      </w:pPr>
    </w:p>
    <w:p w14:paraId="27384996">
      <w:pPr>
        <w:pStyle w:val="81"/>
        <w:keepNext w:val="0"/>
        <w:keepLines w:val="0"/>
        <w:spacing w:line="360" w:lineRule="auto"/>
        <w:rPr>
          <w:rFonts w:hint="eastAsia" w:ascii="宋体" w:hAnsi="宋体" w:eastAsia="宋体" w:cs="宋体"/>
          <w:color w:val="auto"/>
          <w:sz w:val="30"/>
          <w:szCs w:val="30"/>
          <w:highlight w:val="none"/>
        </w:rPr>
      </w:pPr>
    </w:p>
    <w:p w14:paraId="42852AF6">
      <w:pPr>
        <w:pStyle w:val="81"/>
        <w:keepNext w:val="0"/>
        <w:keepLines w:val="0"/>
        <w:spacing w:line="360" w:lineRule="auto"/>
        <w:rPr>
          <w:rFonts w:hint="eastAsia" w:ascii="宋体" w:hAnsi="宋体" w:eastAsia="宋体" w:cs="宋体"/>
          <w:color w:val="auto"/>
          <w:sz w:val="30"/>
          <w:szCs w:val="30"/>
          <w:highlight w:val="none"/>
        </w:rPr>
      </w:pPr>
    </w:p>
    <w:p w14:paraId="4796D874">
      <w:pPr>
        <w:pStyle w:val="81"/>
        <w:keepNext w:val="0"/>
        <w:keepLines w:val="0"/>
        <w:spacing w:line="360" w:lineRule="auto"/>
        <w:rPr>
          <w:rFonts w:hint="eastAsia" w:ascii="宋体" w:hAnsi="宋体" w:eastAsia="宋体" w:cs="宋体"/>
          <w:color w:val="auto"/>
          <w:sz w:val="30"/>
          <w:szCs w:val="30"/>
          <w:highlight w:val="none"/>
        </w:rPr>
      </w:pPr>
    </w:p>
    <w:p w14:paraId="7A485678">
      <w:pPr>
        <w:pStyle w:val="81"/>
        <w:keepNext w:val="0"/>
        <w:keepLines w:val="0"/>
        <w:spacing w:line="360" w:lineRule="auto"/>
        <w:rPr>
          <w:rFonts w:hint="eastAsia" w:ascii="宋体" w:hAnsi="宋体" w:eastAsia="宋体" w:cs="宋体"/>
          <w:color w:val="auto"/>
          <w:sz w:val="30"/>
          <w:szCs w:val="30"/>
          <w:highlight w:val="none"/>
        </w:rPr>
      </w:pPr>
    </w:p>
    <w:p w14:paraId="2B9FE0D4">
      <w:pPr>
        <w:pStyle w:val="81"/>
        <w:keepNext w:val="0"/>
        <w:keepLines w:val="0"/>
        <w:spacing w:line="360" w:lineRule="auto"/>
        <w:rPr>
          <w:rFonts w:hint="eastAsia" w:ascii="宋体" w:hAnsi="宋体" w:eastAsia="宋体" w:cs="宋体"/>
          <w:color w:val="auto"/>
          <w:sz w:val="30"/>
          <w:szCs w:val="30"/>
          <w:highlight w:val="none"/>
        </w:rPr>
      </w:pPr>
    </w:p>
    <w:p w14:paraId="172E0A81">
      <w:pPr>
        <w:pStyle w:val="81"/>
        <w:keepNext w:val="0"/>
        <w:keepLines w:val="0"/>
        <w:spacing w:line="360" w:lineRule="auto"/>
        <w:rPr>
          <w:rFonts w:hint="eastAsia" w:ascii="宋体" w:hAnsi="宋体" w:eastAsia="宋体" w:cs="宋体"/>
          <w:color w:val="auto"/>
          <w:sz w:val="30"/>
          <w:szCs w:val="30"/>
          <w:highlight w:val="none"/>
        </w:rPr>
      </w:pPr>
    </w:p>
    <w:p w14:paraId="1DEF6DF7">
      <w:pPr>
        <w:pStyle w:val="81"/>
        <w:keepNext w:val="0"/>
        <w:keepLines w:val="0"/>
        <w:spacing w:line="360" w:lineRule="auto"/>
        <w:rPr>
          <w:rFonts w:hint="eastAsia" w:ascii="宋体" w:hAnsi="宋体" w:eastAsia="宋体" w:cs="宋体"/>
          <w:color w:val="auto"/>
          <w:sz w:val="30"/>
          <w:szCs w:val="30"/>
          <w:highlight w:val="none"/>
        </w:rPr>
      </w:pPr>
    </w:p>
    <w:p w14:paraId="3744A575">
      <w:pPr>
        <w:pStyle w:val="81"/>
        <w:keepNext w:val="0"/>
        <w:keepLines w:val="0"/>
        <w:spacing w:line="360" w:lineRule="auto"/>
        <w:rPr>
          <w:rFonts w:hint="eastAsia" w:ascii="宋体" w:hAnsi="宋体" w:eastAsia="宋体" w:cs="宋体"/>
          <w:color w:val="auto"/>
          <w:sz w:val="30"/>
          <w:szCs w:val="30"/>
          <w:highlight w:val="none"/>
        </w:rPr>
        <w:sectPr>
          <w:pgSz w:w="11906" w:h="16838"/>
          <w:pgMar w:top="1440" w:right="1440" w:bottom="1440" w:left="1440" w:header="851" w:footer="992" w:gutter="0"/>
          <w:cols w:space="1701" w:num="1"/>
          <w:docGrid w:linePitch="360" w:charSpace="0"/>
        </w:sectPr>
      </w:pPr>
    </w:p>
    <w:p w14:paraId="3CA1D44E">
      <w:pPr>
        <w:keepNext w:val="0"/>
        <w:keepLines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8"/>
          <w:szCs w:val="28"/>
          <w:highlight w:val="none"/>
        </w:rPr>
        <w:t>7</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偏离表</w:t>
      </w:r>
    </w:p>
    <w:p w14:paraId="3FFA3697">
      <w:pPr>
        <w:keepNext w:val="0"/>
        <w:keepLines w:val="0"/>
        <w:spacing w:line="360" w:lineRule="auto"/>
        <w:rPr>
          <w:rFonts w:hint="eastAsia" w:ascii="宋体" w:hAnsi="宋体" w:eastAsia="宋体" w:cs="宋体"/>
          <w:color w:val="auto"/>
          <w:sz w:val="24"/>
          <w:highlight w:val="none"/>
        </w:rPr>
      </w:pPr>
    </w:p>
    <w:p w14:paraId="3A611535">
      <w:pPr>
        <w:keepNext w:val="0"/>
        <w:keepLines w:val="0"/>
        <w:spacing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04D163C5">
      <w:pPr>
        <w:keepNext w:val="0"/>
        <w:keepLines w:val="0"/>
        <w:spacing w:line="360" w:lineRule="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p>
    <w:tbl>
      <w:tblPr>
        <w:tblStyle w:val="47"/>
        <w:tblW w:w="89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404"/>
        <w:gridCol w:w="1476"/>
        <w:gridCol w:w="1620"/>
        <w:gridCol w:w="1260"/>
        <w:gridCol w:w="2340"/>
      </w:tblGrid>
      <w:tr w14:paraId="3C50A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center"/>
          </w:tcPr>
          <w:p w14:paraId="45EBCB18">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aps/>
                <w:color w:val="auto"/>
                <w:sz w:val="24"/>
                <w:highlight w:val="none"/>
              </w:rPr>
              <w:t>序号</w:t>
            </w:r>
          </w:p>
        </w:tc>
        <w:tc>
          <w:tcPr>
            <w:tcW w:w="1404" w:type="dxa"/>
            <w:noWrap w:val="0"/>
            <w:vAlign w:val="center"/>
          </w:tcPr>
          <w:p w14:paraId="68216416">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aps/>
                <w:color w:val="auto"/>
                <w:sz w:val="24"/>
                <w:highlight w:val="none"/>
              </w:rPr>
              <w:t>偏离内容</w:t>
            </w:r>
          </w:p>
        </w:tc>
        <w:tc>
          <w:tcPr>
            <w:tcW w:w="1476" w:type="dxa"/>
            <w:noWrap w:val="0"/>
            <w:vAlign w:val="center"/>
          </w:tcPr>
          <w:p w14:paraId="1C0F333E">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olor w:val="auto"/>
                <w:sz w:val="24"/>
                <w:highlight w:val="none"/>
              </w:rPr>
              <w:t>招标文件的要求</w:t>
            </w:r>
          </w:p>
        </w:tc>
        <w:tc>
          <w:tcPr>
            <w:tcW w:w="1620" w:type="dxa"/>
            <w:noWrap w:val="0"/>
            <w:vAlign w:val="center"/>
          </w:tcPr>
          <w:p w14:paraId="3394E4CD">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olor w:val="auto"/>
                <w:sz w:val="24"/>
                <w:highlight w:val="none"/>
              </w:rPr>
              <w:t>投标文件中的内容</w:t>
            </w:r>
          </w:p>
        </w:tc>
        <w:tc>
          <w:tcPr>
            <w:tcW w:w="1260" w:type="dxa"/>
            <w:noWrap w:val="0"/>
            <w:vAlign w:val="center"/>
          </w:tcPr>
          <w:p w14:paraId="2920BD8E">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aps/>
                <w:color w:val="auto"/>
                <w:sz w:val="24"/>
                <w:highlight w:val="none"/>
              </w:rPr>
              <w:t>（正/负/无）偏离</w:t>
            </w:r>
          </w:p>
        </w:tc>
        <w:tc>
          <w:tcPr>
            <w:tcW w:w="2340" w:type="dxa"/>
            <w:noWrap w:val="0"/>
            <w:vAlign w:val="center"/>
          </w:tcPr>
          <w:p w14:paraId="20496909">
            <w:pPr>
              <w:keepNext w:val="0"/>
              <w:keepLines w:val="0"/>
              <w:spacing w:line="360" w:lineRule="auto"/>
              <w:jc w:val="center"/>
              <w:rPr>
                <w:rFonts w:hint="eastAsia" w:ascii="宋体" w:hAnsi="宋体" w:eastAsia="宋体" w:cs="宋体"/>
                <w:caps/>
                <w:color w:val="auto"/>
                <w:sz w:val="24"/>
                <w:highlight w:val="none"/>
              </w:rPr>
            </w:pPr>
            <w:r>
              <w:rPr>
                <w:rFonts w:hint="eastAsia" w:ascii="宋体" w:hAnsi="宋体" w:eastAsia="宋体" w:cs="宋体"/>
                <w:caps/>
                <w:color w:val="auto"/>
                <w:sz w:val="24"/>
                <w:highlight w:val="none"/>
              </w:rPr>
              <w:t>说明</w:t>
            </w:r>
          </w:p>
        </w:tc>
      </w:tr>
      <w:tr w14:paraId="4642F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766BA9F8">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6FF5922A">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3411AFF1">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4B2DACEB">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752B2062">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1FC579C2">
            <w:pPr>
              <w:keepNext w:val="0"/>
              <w:keepLines w:val="0"/>
              <w:spacing w:line="360" w:lineRule="auto"/>
              <w:rPr>
                <w:rFonts w:hint="eastAsia" w:ascii="宋体" w:hAnsi="宋体" w:eastAsia="宋体" w:cs="宋体"/>
                <w:color w:val="auto"/>
                <w:sz w:val="24"/>
                <w:highlight w:val="none"/>
              </w:rPr>
            </w:pPr>
          </w:p>
        </w:tc>
      </w:tr>
      <w:tr w14:paraId="75396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745739A9">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2273127C">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6680FF5E">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2E888D62">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41CC52C8">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1B437670">
            <w:pPr>
              <w:keepNext w:val="0"/>
              <w:keepLines w:val="0"/>
              <w:spacing w:line="360" w:lineRule="auto"/>
              <w:rPr>
                <w:rFonts w:hint="eastAsia" w:ascii="宋体" w:hAnsi="宋体" w:eastAsia="宋体" w:cs="宋体"/>
                <w:color w:val="auto"/>
                <w:sz w:val="24"/>
                <w:highlight w:val="none"/>
              </w:rPr>
            </w:pPr>
          </w:p>
        </w:tc>
      </w:tr>
      <w:tr w14:paraId="31FE2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77FCF912">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397FC081">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56887421">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53D05ADE">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090A72A9">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2708A134">
            <w:pPr>
              <w:keepNext w:val="0"/>
              <w:keepLines w:val="0"/>
              <w:spacing w:line="360" w:lineRule="auto"/>
              <w:rPr>
                <w:rFonts w:hint="eastAsia" w:ascii="宋体" w:hAnsi="宋体" w:eastAsia="宋体" w:cs="宋体"/>
                <w:color w:val="auto"/>
                <w:sz w:val="24"/>
                <w:highlight w:val="none"/>
              </w:rPr>
            </w:pPr>
          </w:p>
        </w:tc>
      </w:tr>
      <w:tr w14:paraId="7D9A4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568D027C">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208A2687">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07278499">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6B71E012">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6FF26F6C">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457A2FA6">
            <w:pPr>
              <w:keepNext w:val="0"/>
              <w:keepLines w:val="0"/>
              <w:spacing w:line="360" w:lineRule="auto"/>
              <w:rPr>
                <w:rFonts w:hint="eastAsia" w:ascii="宋体" w:hAnsi="宋体" w:eastAsia="宋体" w:cs="宋体"/>
                <w:color w:val="auto"/>
                <w:sz w:val="24"/>
                <w:highlight w:val="none"/>
              </w:rPr>
            </w:pPr>
          </w:p>
        </w:tc>
      </w:tr>
      <w:tr w14:paraId="0A4C7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308538D9">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3D34F397">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5D3F7A0F">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4A208A24">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1EBDA0C3">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0C023D0C">
            <w:pPr>
              <w:keepNext w:val="0"/>
              <w:keepLines w:val="0"/>
              <w:spacing w:line="360" w:lineRule="auto"/>
              <w:rPr>
                <w:rFonts w:hint="eastAsia" w:ascii="宋体" w:hAnsi="宋体" w:eastAsia="宋体" w:cs="宋体"/>
                <w:color w:val="auto"/>
                <w:sz w:val="24"/>
                <w:highlight w:val="none"/>
              </w:rPr>
            </w:pPr>
          </w:p>
        </w:tc>
      </w:tr>
      <w:tr w14:paraId="4D04F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1F11B010">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6E991051">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77EDDA9E">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024A894A">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67C96E0E">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7839A697">
            <w:pPr>
              <w:keepNext w:val="0"/>
              <w:keepLines w:val="0"/>
              <w:spacing w:line="360" w:lineRule="auto"/>
              <w:rPr>
                <w:rFonts w:hint="eastAsia" w:ascii="宋体" w:hAnsi="宋体" w:eastAsia="宋体" w:cs="宋体"/>
                <w:color w:val="auto"/>
                <w:sz w:val="24"/>
                <w:highlight w:val="none"/>
              </w:rPr>
            </w:pPr>
          </w:p>
        </w:tc>
      </w:tr>
      <w:tr w14:paraId="0E5F0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54A5AAFC">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77A02F7A">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4414AF5F">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30B56C0F">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7FE29079">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594C6C94">
            <w:pPr>
              <w:keepNext w:val="0"/>
              <w:keepLines w:val="0"/>
              <w:spacing w:line="360" w:lineRule="auto"/>
              <w:rPr>
                <w:rFonts w:hint="eastAsia" w:ascii="宋体" w:hAnsi="宋体" w:eastAsia="宋体" w:cs="宋体"/>
                <w:color w:val="auto"/>
                <w:sz w:val="24"/>
                <w:highlight w:val="none"/>
              </w:rPr>
            </w:pPr>
          </w:p>
        </w:tc>
      </w:tr>
      <w:tr w14:paraId="6494F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28" w:type="dxa"/>
            <w:noWrap w:val="0"/>
            <w:vAlign w:val="top"/>
          </w:tcPr>
          <w:p w14:paraId="02D80A1A">
            <w:pPr>
              <w:keepNext w:val="0"/>
              <w:keepLines w:val="0"/>
              <w:spacing w:line="360" w:lineRule="auto"/>
              <w:rPr>
                <w:rFonts w:hint="eastAsia" w:ascii="宋体" w:hAnsi="宋体" w:eastAsia="宋体" w:cs="宋体"/>
                <w:color w:val="auto"/>
                <w:sz w:val="24"/>
                <w:highlight w:val="none"/>
              </w:rPr>
            </w:pPr>
          </w:p>
        </w:tc>
        <w:tc>
          <w:tcPr>
            <w:tcW w:w="1404" w:type="dxa"/>
            <w:noWrap w:val="0"/>
            <w:vAlign w:val="top"/>
          </w:tcPr>
          <w:p w14:paraId="00E71593">
            <w:pPr>
              <w:keepNext w:val="0"/>
              <w:keepLines w:val="0"/>
              <w:spacing w:line="360" w:lineRule="auto"/>
              <w:rPr>
                <w:rFonts w:hint="eastAsia" w:ascii="宋体" w:hAnsi="宋体" w:eastAsia="宋体" w:cs="宋体"/>
                <w:color w:val="auto"/>
                <w:sz w:val="24"/>
                <w:highlight w:val="none"/>
              </w:rPr>
            </w:pPr>
          </w:p>
        </w:tc>
        <w:tc>
          <w:tcPr>
            <w:tcW w:w="1476" w:type="dxa"/>
            <w:noWrap w:val="0"/>
            <w:vAlign w:val="top"/>
          </w:tcPr>
          <w:p w14:paraId="64D0654C">
            <w:pPr>
              <w:keepNext w:val="0"/>
              <w:keepLines w:val="0"/>
              <w:spacing w:line="360" w:lineRule="auto"/>
              <w:rPr>
                <w:rFonts w:hint="eastAsia" w:ascii="宋体" w:hAnsi="宋体" w:eastAsia="宋体" w:cs="宋体"/>
                <w:color w:val="auto"/>
                <w:sz w:val="24"/>
                <w:highlight w:val="none"/>
              </w:rPr>
            </w:pPr>
          </w:p>
        </w:tc>
        <w:tc>
          <w:tcPr>
            <w:tcW w:w="1620" w:type="dxa"/>
            <w:noWrap w:val="0"/>
            <w:vAlign w:val="top"/>
          </w:tcPr>
          <w:p w14:paraId="05F69B0C">
            <w:pPr>
              <w:keepNext w:val="0"/>
              <w:keepLines w:val="0"/>
              <w:spacing w:line="360" w:lineRule="auto"/>
              <w:rPr>
                <w:rFonts w:hint="eastAsia" w:ascii="宋体" w:hAnsi="宋体" w:eastAsia="宋体" w:cs="宋体"/>
                <w:color w:val="auto"/>
                <w:sz w:val="24"/>
                <w:highlight w:val="none"/>
              </w:rPr>
            </w:pPr>
          </w:p>
        </w:tc>
        <w:tc>
          <w:tcPr>
            <w:tcW w:w="1260" w:type="dxa"/>
            <w:noWrap w:val="0"/>
            <w:vAlign w:val="top"/>
          </w:tcPr>
          <w:p w14:paraId="54FCEFD5">
            <w:pPr>
              <w:keepNext w:val="0"/>
              <w:keepLines w:val="0"/>
              <w:spacing w:line="360" w:lineRule="auto"/>
              <w:rPr>
                <w:rFonts w:hint="eastAsia" w:ascii="宋体" w:hAnsi="宋体" w:eastAsia="宋体" w:cs="宋体"/>
                <w:color w:val="auto"/>
                <w:sz w:val="24"/>
                <w:highlight w:val="none"/>
              </w:rPr>
            </w:pPr>
          </w:p>
        </w:tc>
        <w:tc>
          <w:tcPr>
            <w:tcW w:w="2340" w:type="dxa"/>
            <w:noWrap w:val="0"/>
            <w:vAlign w:val="top"/>
          </w:tcPr>
          <w:p w14:paraId="4F72900F">
            <w:pPr>
              <w:keepNext w:val="0"/>
              <w:keepLines w:val="0"/>
              <w:spacing w:line="360" w:lineRule="auto"/>
              <w:rPr>
                <w:rFonts w:hint="eastAsia" w:ascii="宋体" w:hAnsi="宋体" w:eastAsia="宋体" w:cs="宋体"/>
                <w:color w:val="auto"/>
                <w:sz w:val="24"/>
                <w:highlight w:val="none"/>
              </w:rPr>
            </w:pPr>
          </w:p>
        </w:tc>
      </w:tr>
    </w:tbl>
    <w:p w14:paraId="2BA6DC91">
      <w:pPr>
        <w:keepNext w:val="0"/>
        <w:keepLines w:val="0"/>
        <w:spacing w:line="360" w:lineRule="auto"/>
        <w:rPr>
          <w:rFonts w:hint="eastAsia" w:ascii="宋体" w:hAnsi="宋体" w:eastAsia="宋体" w:cs="宋体"/>
          <w:color w:val="auto"/>
          <w:sz w:val="24"/>
          <w:highlight w:val="none"/>
          <w:u w:val="single"/>
        </w:rPr>
      </w:pPr>
    </w:p>
    <w:p w14:paraId="467026C7">
      <w:pPr>
        <w:keepNext w:val="0"/>
        <w:keepLines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注：投标人的投标文件中的内容与招标文件（含招标文件的澄清或者修改的内容，下同）的要求不同时，逐条列在偏离表中，否则将认为投标人接受招标文件的要求。</w:t>
      </w:r>
    </w:p>
    <w:p w14:paraId="504D153C">
      <w:pPr>
        <w:keepNext w:val="0"/>
        <w:keepLines w:val="0"/>
        <w:spacing w:line="360" w:lineRule="auto"/>
        <w:rPr>
          <w:rFonts w:hint="eastAsia" w:ascii="宋体" w:hAnsi="宋体" w:eastAsia="宋体" w:cs="宋体"/>
          <w:color w:val="auto"/>
          <w:sz w:val="24"/>
          <w:highlight w:val="none"/>
        </w:rPr>
      </w:pPr>
    </w:p>
    <w:p w14:paraId="697FC507">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60AFA147">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739003B3">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6B66809">
      <w:pPr>
        <w:keepNext w:val="0"/>
        <w:keepLines w:val="0"/>
        <w:spacing w:line="360" w:lineRule="auto"/>
        <w:ind w:firstLine="480"/>
        <w:rPr>
          <w:rFonts w:hint="eastAsia" w:ascii="宋体" w:hAnsi="宋体" w:eastAsia="宋体" w:cs="宋体"/>
          <w:color w:val="auto"/>
          <w:sz w:val="24"/>
          <w:highlight w:val="none"/>
        </w:rPr>
        <w:sectPr>
          <w:pgSz w:w="11906" w:h="16838"/>
          <w:pgMar w:top="1440" w:right="1440" w:bottom="1440" w:left="1440" w:header="851" w:footer="992" w:gutter="0"/>
          <w:cols w:space="1701" w:num="1"/>
          <w:docGrid w:linePitch="360" w:charSpace="0"/>
        </w:sectPr>
      </w:pPr>
      <w:r>
        <w:rPr>
          <w:rFonts w:hint="eastAsia" w:ascii="宋体" w:hAnsi="宋体" w:eastAsia="宋体" w:cs="宋体"/>
          <w:color w:val="auto"/>
          <w:sz w:val="24"/>
          <w:highlight w:val="none"/>
        </w:rPr>
        <w:t xml:space="preserve">                     </w:t>
      </w:r>
    </w:p>
    <w:p w14:paraId="4935E954">
      <w:pPr>
        <w:keepNext w:val="0"/>
        <w:keepLines w:val="0"/>
        <w:spacing w:line="360" w:lineRule="auto"/>
        <w:ind w:firstLine="480"/>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8</w:t>
      </w:r>
      <w:r>
        <w:rPr>
          <w:rFonts w:hint="eastAsia" w:ascii="宋体" w:hAnsi="宋体" w:eastAsia="宋体" w:cs="宋体"/>
          <w:b/>
          <w:bCs w:val="0"/>
          <w:color w:val="auto"/>
          <w:sz w:val="28"/>
          <w:szCs w:val="28"/>
          <w:highlight w:val="none"/>
          <w:lang w:eastAsia="zh-CN"/>
        </w:rPr>
        <w:t>、</w:t>
      </w:r>
      <w:r>
        <w:rPr>
          <w:rFonts w:hint="eastAsia" w:ascii="宋体" w:hAnsi="宋体" w:eastAsia="宋体" w:cs="宋体"/>
          <w:b/>
          <w:bCs w:val="0"/>
          <w:color w:val="auto"/>
          <w:sz w:val="28"/>
          <w:szCs w:val="28"/>
          <w:highlight w:val="none"/>
        </w:rPr>
        <w:t>中小企业声明函</w:t>
      </w:r>
    </w:p>
    <w:p w14:paraId="42D862A8">
      <w:pPr>
        <w:pageBreakBefore w:val="0"/>
        <w:spacing w:beforeAutospacing="0" w:afterAutospacing="0" w:line="440" w:lineRule="exact"/>
        <w:ind w:left="0" w:right="0" w:firstLine="482"/>
        <w:jc w:val="center"/>
        <w:rPr>
          <w:rFonts w:hint="eastAsia" w:ascii="仿宋" w:hAnsi="仿宋" w:eastAsia="仿宋" w:cs="Times New Roman"/>
          <w:color w:val="auto"/>
          <w:spacing w:val="6"/>
          <w:sz w:val="30"/>
          <w:szCs w:val="30"/>
          <w:highlight w:val="none"/>
          <w:lang w:val="en-US" w:eastAsia="zh-CN" w:bidi="ar-SA"/>
        </w:rPr>
      </w:pPr>
      <w:r>
        <w:rPr>
          <w:rFonts w:hint="eastAsia" w:ascii="Calibri" w:hAnsi="Calibri" w:eastAsia="宋体" w:cs="Times New Roman"/>
          <w:b/>
          <w:bCs/>
          <w:color w:val="auto"/>
          <w:sz w:val="24"/>
          <w:szCs w:val="32"/>
          <w:highlight w:val="none"/>
          <w:lang w:val="en-US" w:eastAsia="zh-CN" w:bidi="ar-SA"/>
        </w:rPr>
        <w:t>（投标人为联合体时，则牵头方和成员均要提供）</w:t>
      </w:r>
    </w:p>
    <w:p w14:paraId="0B01B3B3">
      <w:pPr>
        <w:keepNext w:val="0"/>
        <w:keepLines w:val="0"/>
        <w:widowControl/>
        <w:spacing w:line="360" w:lineRule="auto"/>
        <w:rPr>
          <w:rFonts w:hint="eastAsia" w:ascii="宋体" w:hAnsi="宋体" w:eastAsia="宋体" w:cs="宋体"/>
          <w:color w:val="auto"/>
          <w:sz w:val="24"/>
          <w:highlight w:val="none"/>
        </w:rPr>
      </w:pPr>
    </w:p>
    <w:p w14:paraId="491CE3E7">
      <w:pPr>
        <w:keepNext w:val="0"/>
        <w:keepLines w:val="0"/>
        <w:widowControl/>
        <w:spacing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3BD95D7D">
      <w:pPr>
        <w:keepNext w:val="0"/>
        <w:keepLines w:val="0"/>
        <w:widowControl/>
        <w:spacing w:line="360" w:lineRule="auto"/>
        <w:rPr>
          <w:rFonts w:hint="eastAsia" w:ascii="宋体" w:hAnsi="宋体" w:eastAsia="宋体" w:cs="宋体"/>
          <w:highlight w:val="none"/>
          <w:lang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eastAsia="zh-CN"/>
        </w:rPr>
        <w:t>JSZC-320303-JSRY-G2026-0004</w:t>
      </w:r>
    </w:p>
    <w:p w14:paraId="7F38537E">
      <w:pPr>
        <w:widowControl/>
        <w:spacing w:before="100" w:beforeAutospacing="1" w:after="100" w:afterAutospacing="1" w:line="450" w:lineRule="atLeast"/>
        <w:ind w:firstLine="480"/>
        <w:jc w:val="left"/>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lang w:val="en-US" w:eastAsia="zh-CN"/>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lang w:val="en-US" w:eastAsia="zh-CN"/>
        </w:rPr>
        <w:t>（单位名称）的（项目名称）</w:t>
      </w:r>
      <w:r>
        <w:rPr>
          <w:rFonts w:hint="eastAsia" w:ascii="宋体" w:hAnsi="宋体" w:eastAsia="宋体" w:cs="宋体"/>
          <w:color w:val="auto"/>
          <w:sz w:val="24"/>
          <w:szCs w:val="24"/>
          <w:highlight w:val="none"/>
          <w:u w:val="none"/>
          <w:lang w:val="en-US" w:eastAsia="zh-CN"/>
        </w:rPr>
        <w:t>采购活动，提供的货物全部由符合政策要求的中小企业制造。相关企业（含联合体中的中小企业、签订分包意向协议的中小企业）的具体情况如下：</w:t>
      </w:r>
      <w:r>
        <w:rPr>
          <w:rFonts w:hint="eastAsia" w:ascii="宋体" w:hAnsi="宋体" w:eastAsia="宋体" w:cs="宋体"/>
          <w:color w:val="auto"/>
          <w:sz w:val="24"/>
          <w:szCs w:val="24"/>
          <w:highlight w:val="none"/>
          <w:u w:val="single"/>
          <w:lang w:val="en-US" w:eastAsia="zh-CN"/>
        </w:rPr>
        <w:t xml:space="preserve"> </w:t>
      </w:r>
    </w:p>
    <w:p w14:paraId="1F956885">
      <w:pPr>
        <w:widowControl/>
        <w:spacing w:before="100" w:beforeAutospacing="1" w:after="100" w:afterAutospacing="1" w:line="450" w:lineRule="atLeas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工业</w:t>
      </w:r>
      <w:r>
        <w:rPr>
          <w:rFonts w:hint="eastAsia" w:ascii="宋体" w:hAnsi="宋体" w:eastAsia="宋体" w:cs="宋体"/>
          <w:color w:val="auto"/>
          <w:sz w:val="24"/>
          <w:szCs w:val="24"/>
          <w:highlight w:val="none"/>
          <w:u w:val="single"/>
        </w:rPr>
        <w:t>）</w:t>
      </w:r>
      <w:r>
        <w:rPr>
          <w:rFonts w:hint="eastAsia" w:ascii="宋体" w:hAnsi="宋体" w:eastAsia="宋体" w:cs="宋体"/>
          <w:b/>
          <w:bCs/>
          <w:color w:val="auto"/>
          <w:sz w:val="24"/>
          <w:szCs w:val="24"/>
          <w:highlight w:val="none"/>
        </w:rPr>
        <w:t>行业；制造商</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b/>
          <w:bCs/>
          <w:color w:val="auto"/>
          <w:sz w:val="24"/>
          <w:szCs w:val="24"/>
          <w:highlight w:val="none"/>
        </w:rPr>
        <w:t>请勾选！</w:t>
      </w:r>
      <w:r>
        <w:rPr>
          <w:rFonts w:hint="eastAsia" w:ascii="宋体" w:hAnsi="宋体" w:eastAsia="宋体" w:cs="宋体"/>
          <w:color w:val="auto"/>
          <w:sz w:val="24"/>
          <w:szCs w:val="24"/>
          <w:highlight w:val="none"/>
        </w:rPr>
        <w:t xml:space="preserve">)； </w:t>
      </w:r>
    </w:p>
    <w:p w14:paraId="018D956E">
      <w:pPr>
        <w:widowControl/>
        <w:spacing w:before="100" w:beforeAutospacing="1" w:after="100" w:afterAutospacing="1" w:line="450" w:lineRule="atLeast"/>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工业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b/>
          <w:bCs/>
          <w:color w:val="auto"/>
          <w:sz w:val="24"/>
          <w:szCs w:val="24"/>
          <w:highlight w:val="none"/>
        </w:rPr>
        <w:t>请勾选！</w:t>
      </w:r>
      <w:r>
        <w:rPr>
          <w:rFonts w:hint="eastAsia" w:ascii="宋体" w:hAnsi="宋体" w:eastAsia="宋体" w:cs="宋体"/>
          <w:color w:val="auto"/>
          <w:sz w:val="24"/>
          <w:szCs w:val="24"/>
          <w:highlight w:val="none"/>
        </w:rPr>
        <w:t xml:space="preserve">)； </w:t>
      </w:r>
    </w:p>
    <w:p w14:paraId="5FCC3877">
      <w:pPr>
        <w:pStyle w:val="23"/>
        <w:spacing w:line="360" w:lineRule="auto"/>
        <w:ind w:left="0" w:firstLine="5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auto"/>
          <w:sz w:val="24"/>
          <w:szCs w:val="24"/>
          <w:highlight w:val="none"/>
        </w:rPr>
        <w:t>………</w:t>
      </w:r>
    </w:p>
    <w:p w14:paraId="52DF9DA2">
      <w:pPr>
        <w:pStyle w:val="23"/>
        <w:spacing w:line="360" w:lineRule="auto"/>
        <w:ind w:left="0" w:firstLine="5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7314BE94">
      <w:pPr>
        <w:spacing w:line="360" w:lineRule="auto"/>
        <w:ind w:firstLine="48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本企业对上述声明内容的真实性负责。如有虚假，将依法承担相应责任。</w:t>
      </w:r>
    </w:p>
    <w:p w14:paraId="7D747629">
      <w:pPr>
        <w:pStyle w:val="23"/>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企业名称（电子签章）：</w:t>
      </w:r>
    </w:p>
    <w:p w14:paraId="6DDD4B28">
      <w:pPr>
        <w:pStyle w:val="23"/>
        <w:spacing w:line="360" w:lineRule="auto"/>
        <w:rPr>
          <w:rFonts w:hint="eastAsia" w:ascii="宋体" w:hAnsi="宋体" w:eastAsia="宋体" w:cs="宋体"/>
          <w:b w:val="0"/>
          <w:bCs w:val="0"/>
          <w:color w:val="000000" w:themeColor="text1"/>
          <w:sz w:val="28"/>
          <w:szCs w:val="28"/>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日期：  年  月  日</w:t>
      </w:r>
    </w:p>
    <w:p w14:paraId="7BB5A284">
      <w:pPr>
        <w:pStyle w:val="23"/>
        <w:spacing w:after="0"/>
        <w:ind w:left="0"/>
        <w:jc w:val="left"/>
        <w:rPr>
          <w:rFonts w:hint="eastAsia" w:ascii="宋体" w:hAnsi="宋体" w:eastAsia="宋体" w:cs="宋体"/>
          <w:b/>
          <w:bCs/>
          <w:color w:val="000000" w:themeColor="text1"/>
          <w:sz w:val="28"/>
          <w:szCs w:val="28"/>
          <w:highlight w:val="none"/>
          <w14:textFill>
            <w14:solidFill>
              <w14:schemeClr w14:val="tx1"/>
            </w14:solidFill>
          </w14:textFill>
        </w:rPr>
      </w:pPr>
    </w:p>
    <w:p w14:paraId="75971F20">
      <w:pPr>
        <w:pStyle w:val="22"/>
        <w:keepNext w:val="0"/>
        <w:keepLines w:val="0"/>
        <w:pageBreakBefore w:val="0"/>
        <w:widowControl w:val="0"/>
        <w:spacing w:after="0" w:line="360" w:lineRule="auto"/>
        <w:ind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注：本项目采购的货物属性为：</w:t>
      </w:r>
      <w:r>
        <w:rPr>
          <w:rFonts w:hint="eastAsia" w:ascii="宋体" w:hAnsi="宋体" w:eastAsia="宋体" w:cs="宋体"/>
          <w:b/>
          <w:bCs/>
          <w:color w:val="auto"/>
          <w:sz w:val="24"/>
          <w:szCs w:val="24"/>
          <w:highlight w:val="none"/>
          <w:lang w:val="en-US" w:eastAsia="zh-CN"/>
        </w:rPr>
        <w:t>工业（制造业）</w:t>
      </w:r>
      <w:r>
        <w:rPr>
          <w:rFonts w:hint="eastAsia" w:ascii="宋体" w:hAnsi="宋体" w:eastAsia="宋体" w:cs="宋体"/>
          <w:b/>
          <w:bCs/>
          <w:color w:val="auto"/>
          <w:sz w:val="24"/>
          <w:szCs w:val="24"/>
          <w:highlight w:val="none"/>
        </w:rPr>
        <w:t>。</w:t>
      </w:r>
    </w:p>
    <w:p w14:paraId="45757873">
      <w:pPr>
        <w:pStyle w:val="22"/>
        <w:keepNext w:val="0"/>
        <w:keepLines w:val="0"/>
        <w:pageBreakBefore w:val="0"/>
        <w:widowControl w:val="0"/>
        <w:spacing w:after="0" w:line="360" w:lineRule="auto"/>
        <w:ind w:firstLine="48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从业人员、营业收入、资产总额填报上一年度数据，无上一年度数据的新成立企业可不填报。</w:t>
      </w:r>
    </w:p>
    <w:p w14:paraId="20B199EF">
      <w:pPr>
        <w:pStyle w:val="220"/>
        <w:keepNext w:val="0"/>
        <w:keepLines w:val="0"/>
        <w:pageBreakBefore w:val="0"/>
        <w:widowControl w:val="0"/>
        <w:numPr>
          <w:ilvl w:val="0"/>
          <w:numId w:val="5"/>
        </w:numPr>
        <w:spacing w:before="0" w:beforeAutospacing="0" w:after="0" w:afterAutospacing="0" w:line="360" w:lineRule="auto"/>
        <w:ind w:firstLine="253"/>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《中小企业声明函》查询渠道用微信搜索“中小企业规模类型自测小程序”</w:t>
      </w:r>
    </w:p>
    <w:p w14:paraId="54361C32">
      <w:pPr>
        <w:pStyle w:val="81"/>
        <w:keepNext w:val="0"/>
        <w:keepLines w:val="0"/>
        <w:spacing w:line="360" w:lineRule="auto"/>
        <w:ind w:left="0" w:firstLine="0"/>
        <w:rPr>
          <w:rFonts w:hint="eastAsia" w:ascii="宋体" w:hAnsi="宋体" w:eastAsia="宋体" w:cs="宋体"/>
          <w:color w:val="auto"/>
          <w:highlight w:val="none"/>
        </w:rPr>
      </w:pPr>
    </w:p>
    <w:p w14:paraId="77B7CA7A">
      <w:pPr>
        <w:keepNext w:val="0"/>
        <w:keepLines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24"/>
          <w:highlight w:val="none"/>
        </w:rPr>
        <w:t>附件：</w:t>
      </w:r>
    </w:p>
    <w:p w14:paraId="73BEE02C">
      <w:pPr>
        <w:pStyle w:val="81"/>
        <w:keepNext w:val="0"/>
        <w:keepLines w:val="0"/>
        <w:spacing w:line="360" w:lineRule="auto"/>
        <w:ind w:left="0" w:firstLine="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drawing>
          <wp:inline distT="0" distB="0" distL="0" distR="0">
            <wp:extent cx="3656965" cy="7592695"/>
            <wp:effectExtent l="0" t="0" r="635" b="8255"/>
            <wp:docPr id="6" name="图片 2"/>
            <wp:cNvGraphicFramePr/>
            <a:graphic xmlns:a="http://schemas.openxmlformats.org/drawingml/2006/main">
              <a:graphicData uri="http://schemas.openxmlformats.org/drawingml/2006/picture">
                <pic:pic xmlns:pic="http://schemas.openxmlformats.org/drawingml/2006/picture">
                  <pic:nvPicPr>
                    <pic:cNvPr id="6" name="图片 2"/>
                    <pic:cNvPicPr/>
                  </pic:nvPicPr>
                  <pic:blipFill>
                    <a:blip r:embed="rId13"/>
                    <a:srcRect t="4030"/>
                    <a:stretch>
                      <a:fillRect/>
                    </a:stretch>
                  </pic:blipFill>
                  <pic:spPr>
                    <a:xfrm>
                      <a:off x="0" y="0"/>
                      <a:ext cx="3656965" cy="7592695"/>
                    </a:xfrm>
                    <a:prstGeom prst="rect">
                      <a:avLst/>
                    </a:prstGeom>
                    <a:noFill/>
                    <a:ln>
                      <a:noFill/>
                    </a:ln>
                  </pic:spPr>
                </pic:pic>
              </a:graphicData>
            </a:graphic>
          </wp:inline>
        </w:drawing>
      </w:r>
    </w:p>
    <w:p w14:paraId="65898D69">
      <w:pPr>
        <w:pStyle w:val="81"/>
        <w:keepNext w:val="0"/>
        <w:keepLines w:val="0"/>
        <w:spacing w:line="360" w:lineRule="auto"/>
        <w:ind w:left="0" w:firstLine="0"/>
        <w:jc w:val="center"/>
        <w:rPr>
          <w:rFonts w:hint="eastAsia" w:ascii="宋体" w:hAnsi="宋体" w:eastAsia="宋体" w:cs="宋体"/>
          <w:color w:val="auto"/>
          <w:sz w:val="24"/>
          <w:highlight w:val="none"/>
        </w:rPr>
      </w:pPr>
    </w:p>
    <w:p w14:paraId="44E24816">
      <w:pPr>
        <w:pStyle w:val="81"/>
        <w:keepNext w:val="0"/>
        <w:keepLines w:val="0"/>
        <w:spacing w:line="360" w:lineRule="auto"/>
        <w:ind w:left="0" w:firstLine="0"/>
        <w:rPr>
          <w:rFonts w:hint="eastAsia" w:ascii="宋体" w:hAnsi="宋体" w:eastAsia="宋体" w:cs="宋体"/>
          <w:color w:val="auto"/>
          <w:highlight w:val="none"/>
        </w:rPr>
      </w:pPr>
    </w:p>
    <w:p w14:paraId="418D1A2B">
      <w:pPr>
        <w:keepNext w:val="0"/>
        <w:keepLines w:val="0"/>
        <w:spacing w:line="360" w:lineRule="auto"/>
        <w:jc w:val="center"/>
        <w:rPr>
          <w:rFonts w:hint="eastAsia" w:ascii="宋体" w:hAnsi="宋体" w:eastAsia="宋体" w:cs="宋体"/>
          <w:b/>
          <w:bCs/>
          <w:color w:val="auto"/>
          <w:spacing w:val="6"/>
          <w:sz w:val="32"/>
          <w:szCs w:val="32"/>
          <w:highlight w:val="none"/>
        </w:rPr>
      </w:pPr>
      <w:r>
        <w:rPr>
          <w:rFonts w:hint="eastAsia" w:ascii="宋体" w:hAnsi="宋体" w:eastAsia="宋体" w:cs="宋体"/>
          <w:b/>
          <w:bCs w:val="0"/>
          <w:color w:val="auto"/>
          <w:sz w:val="28"/>
          <w:szCs w:val="28"/>
          <w:highlight w:val="none"/>
        </w:rPr>
        <w:t>9</w:t>
      </w:r>
      <w:r>
        <w:rPr>
          <w:rFonts w:hint="eastAsia" w:ascii="宋体" w:hAnsi="宋体" w:eastAsia="宋体" w:cs="宋体"/>
          <w:b/>
          <w:bCs w:val="0"/>
          <w:color w:val="auto"/>
          <w:sz w:val="28"/>
          <w:szCs w:val="28"/>
          <w:highlight w:val="none"/>
          <w:lang w:eastAsia="zh-CN"/>
        </w:rPr>
        <w:t>、</w:t>
      </w:r>
      <w:r>
        <w:rPr>
          <w:rFonts w:hint="eastAsia" w:ascii="宋体" w:hAnsi="宋体" w:eastAsia="宋体" w:cs="宋体"/>
          <w:b/>
          <w:bCs/>
          <w:color w:val="auto"/>
          <w:sz w:val="28"/>
          <w:szCs w:val="28"/>
          <w:highlight w:val="none"/>
        </w:rPr>
        <w:t>残疾人福利性单位声明函</w:t>
      </w:r>
    </w:p>
    <w:p w14:paraId="117C4D50">
      <w:pPr>
        <w:keepNext w:val="0"/>
        <w:keepLines w:val="0"/>
        <w:widowControl/>
        <w:spacing w:line="360" w:lineRule="auto"/>
        <w:jc w:val="left"/>
        <w:rPr>
          <w:rFonts w:hint="eastAsia" w:ascii="宋体" w:hAnsi="宋体" w:eastAsia="宋体" w:cs="宋体"/>
          <w:color w:val="auto"/>
          <w:sz w:val="24"/>
          <w:highlight w:val="none"/>
        </w:rPr>
      </w:pPr>
    </w:p>
    <w:p w14:paraId="4A672500">
      <w:pPr>
        <w:keepNext w:val="0"/>
        <w:keepLines w:val="0"/>
        <w:widowControl/>
        <w:spacing w:line="360" w:lineRule="auto"/>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eastAsia="zh-CN"/>
        </w:rPr>
        <w:t>徐州市云龙区垃圾资源转运及处理建设项目-渗滤液处理设备采购</w:t>
      </w:r>
    </w:p>
    <w:p w14:paraId="5EEDC629">
      <w:pPr>
        <w:keepNext w:val="0"/>
        <w:keepLines w:val="0"/>
        <w:widowControl/>
        <w:spacing w:line="360" w:lineRule="auto"/>
        <w:jc w:val="left"/>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eastAsia="zh-CN"/>
        </w:rPr>
        <w:t>JSZC-320303-JSRY-G2026-0004</w:t>
      </w:r>
    </w:p>
    <w:p w14:paraId="77DC2B2E">
      <w:pPr>
        <w:keepNext w:val="0"/>
        <w:keepLines w:val="0"/>
        <w:spacing w:line="360" w:lineRule="auto"/>
        <w:ind w:firstLine="504"/>
        <w:jc w:val="left"/>
        <w:rPr>
          <w:rFonts w:hint="eastAsia" w:ascii="宋体" w:hAnsi="宋体" w:eastAsia="宋体" w:cs="宋体"/>
          <w:color w:val="auto"/>
          <w:spacing w:val="6"/>
          <w:sz w:val="24"/>
          <w:highlight w:val="none"/>
        </w:rPr>
      </w:pPr>
    </w:p>
    <w:p w14:paraId="4C8FB949">
      <w:pPr>
        <w:keepNext w:val="0"/>
        <w:keepLines w:val="0"/>
        <w:spacing w:line="360" w:lineRule="auto"/>
        <w:ind w:firstLine="504"/>
        <w:jc w:val="left"/>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〔2017〕141</w:t>
      </w:r>
      <w:r>
        <w:rPr>
          <w:rFonts w:hint="eastAsia" w:ascii="宋体" w:hAnsi="宋体" w:eastAsia="宋体" w:cs="宋体"/>
          <w:color w:val="auto"/>
          <w:spacing w:val="6"/>
          <w:sz w:val="24"/>
          <w:highlight w:val="none"/>
        </w:rPr>
        <w:t>号）的规定，本单位为符合条件的残疾人福利性单位，且本单位参加</w:t>
      </w:r>
      <w:r>
        <w:rPr>
          <w:rFonts w:hint="eastAsia" w:ascii="宋体" w:hAnsi="宋体" w:eastAsia="宋体" w:cs="宋体"/>
          <w:color w:val="auto"/>
          <w:sz w:val="24"/>
          <w:highlight w:val="none"/>
        </w:rPr>
        <w:t>______</w:t>
      </w:r>
      <w:r>
        <w:rPr>
          <w:rFonts w:hint="eastAsia" w:ascii="宋体" w:hAnsi="宋体" w:eastAsia="宋体" w:cs="宋体"/>
          <w:color w:val="auto"/>
          <w:spacing w:val="6"/>
          <w:sz w:val="24"/>
          <w:highlight w:val="none"/>
        </w:rPr>
        <w:t>单位的</w:t>
      </w:r>
      <w:r>
        <w:rPr>
          <w:rFonts w:hint="eastAsia" w:ascii="宋体" w:hAnsi="宋体" w:eastAsia="宋体" w:cs="宋体"/>
          <w:color w:val="auto"/>
          <w:sz w:val="24"/>
          <w:highlight w:val="none"/>
        </w:rPr>
        <w:t>______</w:t>
      </w:r>
      <w:r>
        <w:rPr>
          <w:rFonts w:hint="eastAsia" w:ascii="宋体" w:hAnsi="宋体" w:eastAsia="宋体" w:cs="宋体"/>
          <w:color w:val="auto"/>
          <w:spacing w:val="6"/>
          <w:sz w:val="24"/>
          <w:highlight w:val="none"/>
        </w:rPr>
        <w:t>项目采购活动提供本单位制造的货物（由本单位承担工程/提供服务），或者提供其他残疾人福利性单位制造的货物（不包括使用非残疾人福利性单位注册商标的货物）。</w:t>
      </w:r>
    </w:p>
    <w:p w14:paraId="1C322FF1">
      <w:pPr>
        <w:keepNext w:val="0"/>
        <w:keepLines w:val="0"/>
        <w:spacing w:line="360" w:lineRule="auto"/>
        <w:ind w:firstLine="504"/>
        <w:jc w:val="left"/>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本单位对上述声明的真实性负责。如有虚假，将依法承担相应责任。</w:t>
      </w:r>
    </w:p>
    <w:p w14:paraId="4EF07ADF">
      <w:pPr>
        <w:keepNext w:val="0"/>
        <w:keepLines w:val="0"/>
        <w:spacing w:line="360" w:lineRule="auto"/>
        <w:ind w:firstLine="504"/>
        <w:rPr>
          <w:rFonts w:hint="eastAsia" w:ascii="宋体" w:hAnsi="宋体" w:eastAsia="宋体" w:cs="宋体"/>
          <w:color w:val="auto"/>
          <w:spacing w:val="6"/>
          <w:sz w:val="24"/>
          <w:highlight w:val="none"/>
        </w:rPr>
      </w:pPr>
    </w:p>
    <w:p w14:paraId="18F658BF">
      <w:pPr>
        <w:keepNext w:val="0"/>
        <w:keepLines w:val="0"/>
        <w:spacing w:line="360" w:lineRule="auto"/>
        <w:ind w:firstLine="504"/>
        <w:rPr>
          <w:rFonts w:hint="eastAsia" w:ascii="宋体" w:hAnsi="宋体" w:eastAsia="宋体" w:cs="宋体"/>
          <w:color w:val="auto"/>
          <w:spacing w:val="6"/>
          <w:sz w:val="24"/>
          <w:highlight w:val="none"/>
        </w:rPr>
      </w:pPr>
    </w:p>
    <w:p w14:paraId="2A4F1882">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（电子签章）</w:t>
      </w:r>
    </w:p>
    <w:p w14:paraId="30C052C9">
      <w:pPr>
        <w:keepLines w:val="0"/>
        <w:pBdr>
          <w:top w:val="none" w:color="000000" w:sz="0" w:space="0"/>
          <w:left w:val="none" w:color="000000" w:sz="0" w:space="0"/>
          <w:bottom w:val="none" w:color="000000" w:sz="0" w:space="0"/>
          <w:right w:val="none" w:color="000000" w:sz="0" w:space="0"/>
        </w:pBdr>
        <w:spacing w:line="479" w:lineRule="atLeast"/>
        <w:ind w:firstLine="28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 </w:t>
      </w:r>
    </w:p>
    <w:p w14:paraId="51AC5E85">
      <w:pPr>
        <w:keepLines w:val="0"/>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7E27AEC">
      <w:pPr>
        <w:keepNext w:val="0"/>
        <w:keepLines w:val="0"/>
        <w:widowControl/>
        <w:spacing w:line="360" w:lineRule="auto"/>
        <w:ind w:firstLine="480"/>
        <w:jc w:val="left"/>
        <w:rPr>
          <w:rFonts w:hint="eastAsia" w:ascii="宋体" w:hAnsi="宋体" w:eastAsia="宋体" w:cs="宋体"/>
          <w:color w:val="auto"/>
          <w:sz w:val="24"/>
          <w:highlight w:val="none"/>
        </w:rPr>
      </w:pPr>
    </w:p>
    <w:p w14:paraId="78222BDF">
      <w:pPr>
        <w:keepNext w:val="0"/>
        <w:keepLines w:val="0"/>
        <w:widowControl/>
        <w:spacing w:line="360" w:lineRule="auto"/>
        <w:ind w:firstLine="480"/>
        <w:jc w:val="left"/>
        <w:rPr>
          <w:rFonts w:hint="eastAsia" w:ascii="宋体" w:hAnsi="宋体" w:eastAsia="宋体" w:cs="宋体"/>
          <w:color w:val="auto"/>
          <w:sz w:val="24"/>
          <w:highlight w:val="none"/>
        </w:rPr>
      </w:pPr>
    </w:p>
    <w:p w14:paraId="6A8377B3">
      <w:pPr>
        <w:keepNext w:val="0"/>
        <w:keepLines w:val="0"/>
        <w:widowControl/>
        <w:spacing w:line="360" w:lineRule="auto"/>
        <w:ind w:firstLine="600"/>
        <w:jc w:val="left"/>
        <w:rPr>
          <w:rFonts w:hint="eastAsia" w:ascii="宋体" w:hAnsi="宋体" w:eastAsia="宋体" w:cs="宋体"/>
          <w:color w:val="auto"/>
          <w:sz w:val="30"/>
          <w:szCs w:val="30"/>
          <w:highlight w:val="none"/>
        </w:rPr>
      </w:pPr>
    </w:p>
    <w:p w14:paraId="0B693300">
      <w:pPr>
        <w:keepNext w:val="0"/>
        <w:keepLines w:val="0"/>
        <w:widowControl/>
        <w:spacing w:line="360" w:lineRule="auto"/>
        <w:ind w:firstLine="600"/>
        <w:jc w:val="left"/>
        <w:rPr>
          <w:rFonts w:hint="eastAsia" w:ascii="宋体" w:hAnsi="宋体" w:eastAsia="宋体" w:cs="宋体"/>
          <w:color w:val="auto"/>
          <w:sz w:val="30"/>
          <w:szCs w:val="30"/>
          <w:highlight w:val="none"/>
        </w:rPr>
      </w:pPr>
    </w:p>
    <w:p w14:paraId="7DE84448">
      <w:pPr>
        <w:pStyle w:val="81"/>
        <w:keepNext w:val="0"/>
        <w:keepLines w:val="0"/>
        <w:spacing w:line="360" w:lineRule="auto"/>
        <w:rPr>
          <w:rFonts w:hint="eastAsia" w:ascii="宋体" w:hAnsi="宋体" w:eastAsia="宋体" w:cs="宋体"/>
          <w:color w:val="auto"/>
          <w:sz w:val="30"/>
          <w:szCs w:val="30"/>
          <w:highlight w:val="none"/>
        </w:rPr>
      </w:pPr>
    </w:p>
    <w:p w14:paraId="32227357">
      <w:pPr>
        <w:pStyle w:val="81"/>
        <w:keepNext w:val="0"/>
        <w:keepLines w:val="0"/>
        <w:spacing w:line="360" w:lineRule="auto"/>
        <w:rPr>
          <w:rFonts w:hint="eastAsia" w:ascii="宋体" w:hAnsi="宋体" w:eastAsia="宋体" w:cs="宋体"/>
          <w:color w:val="auto"/>
          <w:sz w:val="30"/>
          <w:szCs w:val="30"/>
          <w:highlight w:val="none"/>
        </w:rPr>
      </w:pPr>
    </w:p>
    <w:p w14:paraId="5191668E">
      <w:pPr>
        <w:pStyle w:val="81"/>
        <w:keepNext w:val="0"/>
        <w:keepLines w:val="0"/>
        <w:spacing w:line="360" w:lineRule="auto"/>
        <w:rPr>
          <w:rFonts w:hint="eastAsia" w:ascii="宋体" w:hAnsi="宋体" w:eastAsia="宋体" w:cs="宋体"/>
          <w:color w:val="auto"/>
          <w:sz w:val="30"/>
          <w:szCs w:val="30"/>
          <w:highlight w:val="none"/>
        </w:rPr>
      </w:pPr>
    </w:p>
    <w:p w14:paraId="476BD7D4">
      <w:pPr>
        <w:pStyle w:val="81"/>
        <w:keepNext w:val="0"/>
        <w:keepLines w:val="0"/>
        <w:spacing w:line="360" w:lineRule="auto"/>
        <w:rPr>
          <w:rFonts w:hint="eastAsia" w:ascii="宋体" w:hAnsi="宋体" w:eastAsia="宋体" w:cs="宋体"/>
          <w:color w:val="auto"/>
          <w:sz w:val="30"/>
          <w:szCs w:val="30"/>
          <w:highlight w:val="none"/>
        </w:rPr>
      </w:pPr>
    </w:p>
    <w:p w14:paraId="6C29017C">
      <w:pPr>
        <w:pStyle w:val="81"/>
        <w:keepNext w:val="0"/>
        <w:keepLines w:val="0"/>
        <w:spacing w:line="360" w:lineRule="auto"/>
        <w:rPr>
          <w:rFonts w:hint="eastAsia" w:ascii="宋体" w:hAnsi="宋体" w:eastAsia="宋体" w:cs="宋体"/>
          <w:color w:val="auto"/>
          <w:sz w:val="30"/>
          <w:szCs w:val="30"/>
          <w:highlight w:val="none"/>
        </w:rPr>
      </w:pPr>
    </w:p>
    <w:p w14:paraId="68F1C08E">
      <w:pPr>
        <w:pStyle w:val="81"/>
        <w:keepNext w:val="0"/>
        <w:keepLines w:val="0"/>
        <w:spacing w:line="360" w:lineRule="auto"/>
        <w:rPr>
          <w:rFonts w:hint="eastAsia" w:ascii="宋体" w:hAnsi="宋体" w:eastAsia="宋体" w:cs="宋体"/>
          <w:color w:val="auto"/>
          <w:sz w:val="30"/>
          <w:szCs w:val="30"/>
          <w:highlight w:val="none"/>
        </w:rPr>
      </w:pPr>
    </w:p>
    <w:p w14:paraId="11F4A2A4">
      <w:pPr>
        <w:pStyle w:val="81"/>
        <w:keepNext w:val="0"/>
        <w:keepLines w:val="0"/>
        <w:spacing w:line="360" w:lineRule="auto"/>
        <w:ind w:left="0" w:firstLine="0"/>
        <w:rPr>
          <w:rFonts w:hint="eastAsia" w:ascii="宋体" w:hAnsi="宋体" w:eastAsia="宋体" w:cs="宋体"/>
          <w:color w:val="auto"/>
          <w:sz w:val="30"/>
          <w:szCs w:val="30"/>
          <w:highlight w:val="none"/>
        </w:rPr>
      </w:pPr>
    </w:p>
    <w:p w14:paraId="01CF0B87">
      <w:pPr>
        <w:pStyle w:val="19"/>
        <w:keepNext w:val="0"/>
        <w:keepLines w:val="0"/>
        <w:spacing w:line="360" w:lineRule="auto"/>
        <w:ind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8"/>
          <w:szCs w:val="28"/>
          <w:highlight w:val="none"/>
          <w:lang w:val="en-US" w:eastAsia="zh-CN"/>
        </w:rPr>
        <w:t>10</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预付款保函支付条款</w:t>
      </w:r>
    </w:p>
    <w:p w14:paraId="19806F0F">
      <w:pPr>
        <w:keepNext w:val="0"/>
        <w:keepLines w:val="0"/>
        <w:spacing w:line="360" w:lineRule="auto"/>
        <w:ind w:firstLine="482"/>
        <w:rPr>
          <w:rFonts w:hint="eastAsia" w:ascii="宋体" w:hAnsi="宋体" w:eastAsia="宋体" w:cs="宋体"/>
          <w:b/>
          <w:bCs/>
          <w:color w:val="auto"/>
          <w:sz w:val="24"/>
          <w:highlight w:val="none"/>
        </w:rPr>
      </w:pPr>
    </w:p>
    <w:p w14:paraId="18181AF3">
      <w:pPr>
        <w:keepNext w:val="0"/>
        <w:keepLines w:val="0"/>
        <w:spacing w:line="360" w:lineRule="auto"/>
        <w:ind w:firstLine="48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付款条件一：提交预付款保函的</w:t>
      </w:r>
    </w:p>
    <w:p w14:paraId="44BB81B7">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（1）合同签订且乙方向甲方出具预付款保函后个</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工作日内，甲方应支付合同价款的百分之</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小写￥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大写：人民币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CCCC15A">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（2）验收合格后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个工作日内，甲方应支付合同价款的百分之</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rPr>
        <w:t>XX</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小写￥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大写：人民币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7F6F6BD">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6EC016C0">
      <w:pPr>
        <w:keepNext w:val="0"/>
        <w:keepLines w:val="0"/>
        <w:spacing w:line="360" w:lineRule="auto"/>
        <w:ind w:firstLine="482"/>
        <w:rPr>
          <w:rFonts w:hint="eastAsia" w:ascii="宋体" w:hAnsi="宋体" w:eastAsia="宋体" w:cs="宋体"/>
          <w:b/>
          <w:bCs/>
          <w:color w:val="auto"/>
          <w:sz w:val="24"/>
          <w:highlight w:val="none"/>
        </w:rPr>
      </w:pPr>
    </w:p>
    <w:p w14:paraId="4D88159C">
      <w:pPr>
        <w:keepNext w:val="0"/>
        <w:keepLines w:val="0"/>
        <w:spacing w:line="360" w:lineRule="auto"/>
        <w:ind w:firstLine="48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付款条件二：不提交预付款保函的</w:t>
      </w:r>
    </w:p>
    <w:p w14:paraId="39B6D318">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（1）合同签订后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个工作日内，甲方应支付合同价款的百分之</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小写￥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大写：人民币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CA606FF">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（2）验收合格后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个工作日内，甲方应支付合同价款的百分之</w:t>
      </w:r>
      <w:r>
        <w:rPr>
          <w:rFonts w:hint="eastAsia" w:ascii="宋体" w:hAnsi="宋体" w:eastAsia="宋体" w:cs="宋体"/>
          <w:color w:val="auto"/>
          <w:sz w:val="24"/>
          <w:highlight w:val="none"/>
          <w:u w:val="single"/>
        </w:rPr>
        <w:t xml:space="preserve"> XX </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rPr>
        <w:t>XX</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小写￥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大写：人民币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8D0AB38">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24089B33">
      <w:pPr>
        <w:keepNext w:val="0"/>
        <w:keepLines w:val="0"/>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BE1BA14">
      <w:pPr>
        <w:keepNext w:val="0"/>
        <w:keepLines w:val="0"/>
        <w:spacing w:line="360" w:lineRule="auto"/>
        <w:ind w:firstLine="480"/>
        <w:rPr>
          <w:rFonts w:hint="eastAsia" w:ascii="宋体" w:hAnsi="宋体" w:eastAsia="宋体" w:cs="宋体"/>
          <w:color w:val="auto"/>
          <w:sz w:val="24"/>
          <w:highlight w:val="none"/>
        </w:rPr>
      </w:pPr>
    </w:p>
    <w:p w14:paraId="7104710B">
      <w:pPr>
        <w:keepNext w:val="0"/>
        <w:keepLines w:val="0"/>
        <w:spacing w:line="360" w:lineRule="auto"/>
        <w:ind w:firstLine="480"/>
        <w:rPr>
          <w:rFonts w:hint="eastAsia" w:ascii="宋体" w:hAnsi="宋体" w:eastAsia="宋体" w:cs="宋体"/>
          <w:color w:val="auto"/>
          <w:sz w:val="24"/>
          <w:highlight w:val="none"/>
        </w:rPr>
      </w:pPr>
    </w:p>
    <w:p w14:paraId="49FA6943">
      <w:pPr>
        <w:keepNext w:val="0"/>
        <w:keepLines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注：1、付款条件一中，出具预付款保函后支付的合同款应当与保函金额一致。</w:t>
      </w:r>
    </w:p>
    <w:p w14:paraId="15AC4911">
      <w:pPr>
        <w:keepNext w:val="0"/>
        <w:keepLines w:val="0"/>
        <w:numPr>
          <w:ilvl w:val="0"/>
          <w:numId w:val="6"/>
        </w:numPr>
        <w:spacing w:line="360" w:lineRule="auto"/>
        <w:ind w:firstLine="480"/>
        <w:jc w:val="left"/>
        <w:rPr>
          <w:rFonts w:hint="eastAsia" w:ascii="宋体" w:hAnsi="宋体" w:eastAsia="宋体" w:cs="宋体"/>
          <w:color w:val="auto"/>
          <w:highlight w:val="none"/>
        </w:rPr>
      </w:pPr>
      <w:r>
        <w:rPr>
          <w:rFonts w:hint="eastAsia" w:ascii="宋体" w:hAnsi="宋体" w:eastAsia="宋体" w:cs="宋体"/>
          <w:color w:val="auto"/>
          <w:sz w:val="24"/>
          <w:highlight w:val="none"/>
        </w:rPr>
        <w:t>付款条件二中，预付款比例设定应符合《关于做好政府采购支持企业发展有关事项的通知》</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苏财购（2020）52号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要求。</w:t>
      </w:r>
    </w:p>
    <w:p w14:paraId="31069A87">
      <w:pPr>
        <w:pStyle w:val="81"/>
        <w:keepNext w:val="0"/>
        <w:keepLines w:val="0"/>
        <w:spacing w:line="360" w:lineRule="auto"/>
        <w:ind w:left="0" w:firstLine="0"/>
        <w:rPr>
          <w:rFonts w:hint="eastAsia" w:ascii="宋体" w:hAnsi="宋体" w:eastAsia="宋体" w:cs="宋体"/>
          <w:color w:val="auto"/>
          <w:highlight w:val="none"/>
        </w:rPr>
        <w:sectPr>
          <w:pgSz w:w="11906" w:h="16838"/>
          <w:pgMar w:top="1440" w:right="1440" w:bottom="1440" w:left="1440" w:header="851" w:footer="992" w:gutter="0"/>
          <w:cols w:space="1701" w:num="1"/>
          <w:docGrid w:linePitch="360" w:charSpace="0"/>
        </w:sectPr>
      </w:pPr>
    </w:p>
    <w:p w14:paraId="21B46D68">
      <w:pPr>
        <w:keepNext w:val="0"/>
        <w:keepLines w:val="0"/>
        <w:pageBreakBefore w:val="0"/>
        <w:widowControl w:val="0"/>
        <w:numPr>
          <w:ilvl w:val="0"/>
          <w:numId w:val="0"/>
        </w:numPr>
        <w:spacing w:after="0" w:line="360" w:lineRule="auto"/>
        <w:ind w:left="600" w:right="0"/>
        <w:jc w:val="center"/>
        <w:rPr>
          <w:rFonts w:hint="eastAsia" w:ascii="宋体" w:hAnsi="宋体" w:eastAsia="宋体" w:cs="宋体"/>
          <w:b/>
          <w:bCs w:val="0"/>
          <w:sz w:val="28"/>
          <w:szCs w:val="28"/>
          <w:highlight w:val="none"/>
          <w:lang w:val="en-US" w:eastAsia="zh-CN" w:bidi="ar-SA"/>
        </w:rPr>
      </w:pPr>
      <w:r>
        <w:rPr>
          <w:rFonts w:hint="eastAsia" w:ascii="宋体" w:hAnsi="宋体" w:cs="宋体"/>
          <w:b/>
          <w:bCs w:val="0"/>
          <w:sz w:val="28"/>
          <w:szCs w:val="28"/>
          <w:highlight w:val="none"/>
          <w:lang w:val="en-US" w:eastAsia="zh-CN" w:bidi="ar-SA"/>
        </w:rPr>
        <w:t>11、</w:t>
      </w:r>
      <w:r>
        <w:rPr>
          <w:rFonts w:hint="eastAsia" w:ascii="宋体" w:hAnsi="宋体" w:eastAsia="宋体" w:cs="宋体"/>
          <w:b/>
          <w:bCs w:val="0"/>
          <w:sz w:val="28"/>
          <w:szCs w:val="28"/>
          <w:highlight w:val="none"/>
          <w:lang w:val="en-US" w:eastAsia="zh-CN" w:bidi="ar-SA"/>
        </w:rPr>
        <w:t>关于符合本国产品标准的声明函</w:t>
      </w:r>
    </w:p>
    <w:p w14:paraId="7A9DB8E4">
      <w:pPr>
        <w:pBdr>
          <w:top w:val="none" w:color="000000" w:sz="0" w:space="0"/>
          <w:left w:val="none" w:color="000000" w:sz="0" w:space="0"/>
          <w:bottom w:val="none" w:color="000000" w:sz="0" w:space="0"/>
          <w:right w:val="none" w:color="000000" w:sz="0" w:space="0"/>
        </w:pBdr>
        <w:spacing w:line="479" w:lineRule="atLeast"/>
        <w:ind w:firstLine="560"/>
        <w:jc w:val="center"/>
        <w:rPr>
          <w:rFonts w:hint="eastAsia" w:ascii="宋体" w:hAnsi="宋体" w:eastAsia="宋体" w:cs="宋体"/>
          <w:b w:val="0"/>
          <w:bCs/>
          <w:color w:val="auto"/>
          <w:sz w:val="32"/>
          <w:szCs w:val="32"/>
          <w:highlight w:val="none"/>
          <w:lang w:val="en-US" w:eastAsia="zh-CN"/>
        </w:rPr>
      </w:pPr>
    </w:p>
    <w:p w14:paraId="26D4BDB0">
      <w:pPr>
        <w:pBdr>
          <w:top w:val="none" w:color="000000" w:sz="0" w:space="0"/>
          <w:left w:val="none" w:color="000000" w:sz="0" w:space="0"/>
          <w:bottom w:val="none" w:color="000000" w:sz="0" w:space="0"/>
          <w:right w:val="none" w:color="000000" w:sz="0" w:space="0"/>
        </w:pBdr>
        <w:shd w:val="clear" w:color="FFFFFF" w:fill="FFFFFF"/>
        <w:spacing w:before="15" w:after="15"/>
        <w:ind w:left="0" w:right="0" w:firstLine="420"/>
        <w:rPr>
          <w:rFonts w:ascii="Times New Roman" w:hAnsi="Times New Roman" w:eastAsia="宋体" w:cs="Times New Roman"/>
          <w:highlight w:val="none"/>
        </w:rPr>
      </w:pPr>
      <w:r>
        <w:rPr>
          <w:rFonts w:ascii="Times New Roman" w:hAnsi="Times New Roman" w:eastAsia="Times New Roman" w:cs="Times New Roman"/>
          <w:color w:val="000000"/>
          <w:sz w:val="24"/>
          <w:highlight w:val="none"/>
        </w:rPr>
        <w:t> </w:t>
      </w:r>
    </w:p>
    <w:p w14:paraId="5A49787B">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0C5EBA7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1.</w:t>
      </w:r>
      <w:r>
        <w:rPr>
          <w:rFonts w:ascii="宋体" w:hAnsi="宋体" w:eastAsia="宋体" w:cs="宋体"/>
          <w:color w:val="000000"/>
          <w:sz w:val="24"/>
          <w:szCs w:val="24"/>
          <w:highlight w:val="none"/>
          <w:u w:val="single"/>
        </w:rPr>
        <w:t>（产品名称1）</w:t>
      </w:r>
      <w:r>
        <w:rPr>
          <w:rFonts w:ascii="宋体" w:hAnsi="宋体" w:eastAsia="宋体" w:cs="宋体"/>
          <w:color w:val="000000"/>
          <w:sz w:val="24"/>
          <w:szCs w:val="24"/>
          <w:highlight w:val="none"/>
          <w:vertAlign w:val="superscript"/>
        </w:rPr>
        <w:t>1</w:t>
      </w:r>
      <w:r>
        <w:rPr>
          <w:rFonts w:ascii="宋体" w:hAnsi="宋体" w:eastAsia="宋体" w:cs="宋体"/>
          <w:color w:val="000000"/>
          <w:sz w:val="24"/>
          <w:szCs w:val="24"/>
          <w:highlight w:val="none"/>
        </w:rPr>
        <w:t>，生产厂为</w:t>
      </w:r>
      <w:r>
        <w:rPr>
          <w:rFonts w:ascii="宋体" w:hAnsi="宋体" w:eastAsia="宋体" w:cs="宋体"/>
          <w:color w:val="000000"/>
          <w:sz w:val="24"/>
          <w:szCs w:val="24"/>
          <w:highlight w:val="none"/>
          <w:u w:val="single"/>
        </w:rPr>
        <w:t>（厂名）</w:t>
      </w:r>
      <w:r>
        <w:rPr>
          <w:rFonts w:ascii="宋体" w:hAnsi="宋体" w:eastAsia="宋体" w:cs="宋体"/>
          <w:color w:val="000000"/>
          <w:sz w:val="24"/>
          <w:szCs w:val="24"/>
          <w:highlight w:val="none"/>
          <w:vertAlign w:val="superscript"/>
        </w:rPr>
        <w:t>2</w:t>
      </w:r>
      <w:r>
        <w:rPr>
          <w:rFonts w:ascii="宋体" w:hAnsi="宋体" w:eastAsia="宋体" w:cs="宋体"/>
          <w:color w:val="000000"/>
          <w:sz w:val="24"/>
          <w:szCs w:val="24"/>
          <w:highlight w:val="none"/>
        </w:rPr>
        <w:t>，厂址为</w:t>
      </w:r>
      <w:r>
        <w:rPr>
          <w:rFonts w:ascii="宋体" w:hAnsi="宋体" w:eastAsia="宋体" w:cs="宋体"/>
          <w:color w:val="000000"/>
          <w:sz w:val="24"/>
          <w:szCs w:val="24"/>
          <w:highlight w:val="none"/>
          <w:u w:val="single"/>
        </w:rPr>
        <w:t>（生产厂址）</w:t>
      </w:r>
      <w:r>
        <w:rPr>
          <w:rFonts w:ascii="宋体" w:hAnsi="宋体" w:eastAsia="宋体" w:cs="宋体"/>
          <w:color w:val="000000"/>
          <w:sz w:val="24"/>
          <w:szCs w:val="24"/>
          <w:highlight w:val="none"/>
        </w:rPr>
        <w:t>。</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的中国境内生产的组件成本占比≥</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vertAlign w:val="superscript"/>
        </w:rPr>
        <w:t>3</w:t>
      </w:r>
      <w:r>
        <w:rPr>
          <w:rFonts w:ascii="宋体" w:hAnsi="宋体" w:eastAsia="宋体" w:cs="宋体"/>
          <w:color w:val="000000"/>
          <w:sz w:val="24"/>
          <w:szCs w:val="24"/>
          <w:highlight w:val="none"/>
        </w:rPr>
        <w:t>。</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vertAlign w:val="superscript"/>
        </w:rPr>
        <w:t>4</w:t>
      </w:r>
      <w:r>
        <w:rPr>
          <w:rFonts w:ascii="宋体" w:hAnsi="宋体" w:eastAsia="宋体" w:cs="宋体"/>
          <w:color w:val="000000"/>
          <w:sz w:val="24"/>
          <w:szCs w:val="24"/>
          <w:highlight w:val="none"/>
        </w:rPr>
        <w:t>在中国境内生产。</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vertAlign w:val="superscript"/>
        </w:rPr>
        <w:t>5</w:t>
      </w:r>
      <w:r>
        <w:rPr>
          <w:rFonts w:ascii="宋体" w:hAnsi="宋体" w:eastAsia="宋体" w:cs="宋体"/>
          <w:color w:val="000000"/>
          <w:sz w:val="24"/>
          <w:szCs w:val="24"/>
          <w:highlight w:val="none"/>
        </w:rPr>
        <w:t>在中国境内完成。</w:t>
      </w:r>
    </w:p>
    <w:p w14:paraId="390357C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2.</w:t>
      </w:r>
      <w:r>
        <w:rPr>
          <w:rFonts w:ascii="宋体" w:hAnsi="宋体" w:eastAsia="宋体" w:cs="宋体"/>
          <w:color w:val="000000"/>
          <w:sz w:val="24"/>
          <w:szCs w:val="24"/>
          <w:highlight w:val="none"/>
          <w:u w:val="single"/>
        </w:rPr>
        <w:t>（产品名称2）</w:t>
      </w:r>
      <w:r>
        <w:rPr>
          <w:rFonts w:ascii="宋体" w:hAnsi="宋体" w:eastAsia="宋体" w:cs="宋体"/>
          <w:color w:val="000000"/>
          <w:sz w:val="24"/>
          <w:szCs w:val="24"/>
          <w:highlight w:val="none"/>
        </w:rPr>
        <w:t>，生产厂为</w:t>
      </w:r>
      <w:r>
        <w:rPr>
          <w:rFonts w:ascii="宋体" w:hAnsi="宋体" w:eastAsia="宋体" w:cs="宋体"/>
          <w:color w:val="000000"/>
          <w:sz w:val="24"/>
          <w:szCs w:val="24"/>
          <w:highlight w:val="none"/>
          <w:u w:val="single"/>
        </w:rPr>
        <w:t>（厂名）</w:t>
      </w:r>
      <w:r>
        <w:rPr>
          <w:rFonts w:ascii="宋体" w:hAnsi="宋体" w:eastAsia="宋体" w:cs="宋体"/>
          <w:color w:val="000000"/>
          <w:sz w:val="24"/>
          <w:szCs w:val="24"/>
          <w:highlight w:val="none"/>
        </w:rPr>
        <w:t>，厂址为</w:t>
      </w:r>
      <w:r>
        <w:rPr>
          <w:rFonts w:ascii="宋体" w:hAnsi="宋体" w:eastAsia="宋体" w:cs="宋体"/>
          <w:color w:val="000000"/>
          <w:sz w:val="24"/>
          <w:szCs w:val="24"/>
          <w:highlight w:val="none"/>
          <w:u w:val="single"/>
        </w:rPr>
        <w:t>（生产厂址）</w:t>
      </w:r>
      <w:r>
        <w:rPr>
          <w:rFonts w:ascii="宋体" w:hAnsi="宋体" w:eastAsia="宋体" w:cs="宋体"/>
          <w:color w:val="000000"/>
          <w:sz w:val="24"/>
          <w:szCs w:val="24"/>
          <w:highlight w:val="none"/>
        </w:rPr>
        <w:t>。</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的中国境内生产的组件成本占比≥</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在中国境内生产。</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在中国境内完成。</w:t>
      </w:r>
    </w:p>
    <w:p w14:paraId="26DE936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w:t>
      </w:r>
    </w:p>
    <w:p w14:paraId="04890BD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本公司（单位）对上述声明内容的真实性负责。如有虚假，愿承担相应法律责任。</w:t>
      </w:r>
    </w:p>
    <w:p w14:paraId="7B3DF66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Times New Roman" w:hAnsi="Times New Roman" w:eastAsia="Times New Roman" w:cs="Times New Roman"/>
          <w:color w:val="000000"/>
          <w:sz w:val="24"/>
          <w:szCs w:val="24"/>
          <w:highlight w:val="none"/>
        </w:rPr>
        <w:t> </w:t>
      </w:r>
    </w:p>
    <w:p w14:paraId="46842AD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jc w:val="center"/>
        <w:rPr>
          <w:rFonts w:hint="eastAsia" w:ascii="宋体" w:hAnsi="宋体" w:eastAsia="宋体" w:cs="宋体"/>
          <w:color w:val="000000"/>
          <w:sz w:val="24"/>
          <w:szCs w:val="24"/>
          <w:highlight w:val="none"/>
          <w:lang w:val="en-US" w:eastAsia="zh-CN"/>
        </w:rPr>
      </w:pPr>
      <w:r>
        <w:rPr>
          <w:rFonts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 xml:space="preserve">                                  </w:t>
      </w:r>
    </w:p>
    <w:p w14:paraId="1B3785D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公司（单位）名称（盖章）：</w:t>
      </w:r>
    </w:p>
    <w:p w14:paraId="3DAEDBC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日期：　   年　  月　  日</w:t>
      </w:r>
    </w:p>
    <w:p w14:paraId="23E30C0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jc w:val="center"/>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 xml:space="preserve">         </w:t>
      </w:r>
    </w:p>
    <w:p w14:paraId="1C643F0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1.产品如有型号，请在“产品名称”栏一并填写。</w:t>
      </w:r>
    </w:p>
    <w:p w14:paraId="5D8C9B3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2.生产厂名与厂址应与生产厂营业执照载明的相关信息保持一致。</w:t>
      </w:r>
    </w:p>
    <w:p w14:paraId="4B0C050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3.该产品的中国境内生产的组件成本占比相关要求实施前，“规定比例”栏可不填，下同。</w:t>
      </w:r>
    </w:p>
    <w:p w14:paraId="2735F31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4.该产品的关键组件要求实施前，“关键组件”栏可不填，下同。</w:t>
      </w:r>
    </w:p>
    <w:p w14:paraId="0644F53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5.该产品的关键工序要求实施前，“关键工序”栏可不填，下同。</w:t>
      </w:r>
    </w:p>
    <w:p w14:paraId="344CF17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spacing w:line="360" w:lineRule="auto"/>
        <w:ind w:left="0" w:right="0" w:firstLine="480"/>
        <w:rPr>
          <w:rFonts w:ascii="Times New Roman" w:hAnsi="Times New Roman" w:eastAsia="宋体" w:cs="Times New Roman"/>
          <w:sz w:val="24"/>
          <w:szCs w:val="24"/>
          <w:highlight w:val="none"/>
        </w:rPr>
      </w:pPr>
      <w:r>
        <w:rPr>
          <w:rFonts w:ascii="宋体" w:hAnsi="宋体" w:eastAsia="宋体" w:cs="宋体"/>
          <w:color w:val="000000"/>
          <w:sz w:val="24"/>
          <w:szCs w:val="24"/>
          <w:highlight w:val="none"/>
        </w:rPr>
        <w:t>6.《声明函》中标注“</w:t>
      </w:r>
      <w:r>
        <w:rPr>
          <w:rFonts w:ascii="宋体" w:hAnsi="宋体" w:eastAsia="宋体" w:cs="宋体"/>
          <w:color w:val="000000"/>
          <w:sz w:val="24"/>
          <w:szCs w:val="24"/>
          <w:highlight w:val="none"/>
          <w:u w:val="single"/>
        </w:rPr>
        <w:t xml:space="preserve">  /  </w:t>
      </w:r>
      <w:r>
        <w:rPr>
          <w:rFonts w:ascii="宋体" w:hAnsi="宋体" w:eastAsia="宋体" w:cs="宋体"/>
          <w:color w:val="000000"/>
          <w:sz w:val="24"/>
          <w:szCs w:val="24"/>
          <w:highlight w:val="none"/>
        </w:rPr>
        <w:t>”的地方无需填写。</w:t>
      </w:r>
    </w:p>
    <w:p w14:paraId="15056437">
      <w:pPr>
        <w:pStyle w:val="4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宋体" w:hAnsi="宋体" w:eastAsia="宋体" w:cs="宋体"/>
          <w:b w:val="0"/>
          <w:bCs/>
          <w:color w:val="auto"/>
          <w:sz w:val="24"/>
          <w:szCs w:val="24"/>
          <w:highlight w:val="none"/>
          <w:lang w:val="en-US" w:eastAsia="zh-CN" w:bidi="ar-SA"/>
        </w:rPr>
      </w:pPr>
    </w:p>
    <w:p w14:paraId="29B4929C">
      <w:pPr>
        <w:spacing w:line="520" w:lineRule="exact"/>
        <w:ind w:firstLine="480"/>
        <w:rPr>
          <w:rFonts w:hint="eastAsia" w:ascii="宋体" w:hAnsi="宋体" w:eastAsia="宋体" w:cs="宋体"/>
          <w:color w:val="auto"/>
          <w:sz w:val="24"/>
          <w:szCs w:val="24"/>
          <w:highlight w:val="none"/>
          <w:lang w:val="en-US" w:eastAsia="zh-CN" w:bidi="ar-SA"/>
        </w:rPr>
      </w:pPr>
    </w:p>
    <w:sectPr>
      <w:pgSz w:w="11906" w:h="16838"/>
      <w:pgMar w:top="1440" w:right="1440" w:bottom="1440" w:left="1440"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方正书宋简体">
    <w:altName w:val="宋体"/>
    <w:panose1 w:val="020B0503020202020204"/>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 w:name="仿宋_GB2312">
    <w:altName w:val="仿宋"/>
    <w:panose1 w:val="02010609060101010101"/>
    <w:charset w:val="00"/>
    <w:family w:val="auto"/>
    <w:pitch w:val="default"/>
    <w:sig w:usb0="00000000" w:usb1="00000000" w:usb2="00000000" w:usb3="00000000" w:csb0="00000000" w:csb1="00000000"/>
  </w:font>
  <w:font w:name="PMingLiU">
    <w:altName w:val="Sitka Text"/>
    <w:panose1 w:val="020205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 w:name="隶书">
    <w:altName w:val="微软雅黑"/>
    <w:panose1 w:val="02010509060101010101"/>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Sitka Text">
    <w:panose1 w:val="02000505000000020004"/>
    <w:charset w:val="00"/>
    <w:family w:val="auto"/>
    <w:pitch w:val="default"/>
    <w:sig w:usb0="A00002EF" w:usb1="4000204B"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7FCCE">
    <w:pPr>
      <w:pStyle w:val="32"/>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441054AC">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NibKxHUAQAAqgMAAA4AAAAAAAAAAQAgAAAAHgEA&#10;AGRycy9lMm9Eb2MueG1sUEsFBgAAAAAGAAYAWQEAAGQFAAAAAA==&#10;">
              <v:fill on="f" focussize="0,0"/>
              <v:stroke on="f"/>
              <v:imagedata o:title=""/>
              <o:lock v:ext="edit" aspectratio="f"/>
              <v:textbox inset="0mm,0mm,0mm,0mm" style="mso-fit-shape-to-text:t;">
                <w:txbxContent>
                  <w:p w14:paraId="441054AC">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1A3FA">
    <w:pPr>
      <w:pStyle w:val="84"/>
      <w:framePr w:wrap="around" w:vAnchor="text" w:hAnchor="margin" w:xAlign="center" w:y="1"/>
      <w:rPr>
        <w:rStyle w:val="188"/>
      </w:rPr>
    </w:pPr>
    <w:r>
      <w:fldChar w:fldCharType="begin"/>
    </w:r>
    <w:r>
      <w:rPr>
        <w:rStyle w:val="188"/>
      </w:rPr>
      <w:instrText xml:space="preserve">PAGE  </w:instrText>
    </w:r>
    <w:r>
      <w:fldChar w:fldCharType="end"/>
    </w:r>
  </w:p>
  <w:p w14:paraId="769D4419">
    <w:pPr>
      <w:pStyle w:val="8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F1472">
    <w:pPr>
      <w:pStyle w:val="84"/>
      <w:jc w:val="right"/>
      <w:rPr>
        <w:rFonts w:ascii="隶书" w:eastAsia="隶书"/>
        <w:b/>
        <w:i/>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DCFA48E">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PXNvMzUAQAAqgMAAA4AAAAAAAAAAQAgAAAAHgEA&#10;AGRycy9lMm9Eb2MueG1sUEsFBgAAAAAGAAYAWQEAAGQFAAAAAA==&#10;">
              <v:fill on="f" focussize="0,0"/>
              <v:stroke on="f"/>
              <v:imagedata o:title=""/>
              <o:lock v:ext="edit" aspectratio="f"/>
              <v:textbox inset="0mm,0mm,0mm,0mm" style="mso-fit-shape-to-text:t;">
                <w:txbxContent>
                  <w:p w14:paraId="2DCFA48E">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C9A2">
    <w:pPr>
      <w:pStyle w:val="8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85DC0A6">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&#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DR/R4x1QEAAKoDAAAOAAAAAAAAAAEAIAAAAB4B&#10;AABkcnMvZTJvRG9jLnhtbFBLBQYAAAAABgAGAFkBAABlBQAAAAA=&#10;">
              <v:fill on="f" focussize="0,0"/>
              <v:stroke on="f"/>
              <v:imagedata o:title=""/>
              <o:lock v:ext="edit" aspectratio="f"/>
              <v:textbox inset="0mm,0mm,0mm,0mm" style="mso-fit-shape-to-text:t;">
                <w:txbxContent>
                  <w:p w14:paraId="285DC0A6">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9E4A201">
    <w:pPr>
      <w:pStyle w:val="8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0D8AF">
    <w:pPr>
      <w:pStyle w:val="176"/>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699BA">
    <w:pPr>
      <w:pStyle w:val="176"/>
      <w:pBdr>
        <w:bottom w:val="none" w:color="000000"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E0FB">
    <w:pPr>
      <w:pStyle w:val="84"/>
      <w:jc w:val="both"/>
      <w:rPr>
        <w:rFonts w:ascii="隶书" w:eastAsia="隶书"/>
        <w:sz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2"/>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2">
    <w:nsid w:val="CF092B84"/>
    <w:multiLevelType w:val="multilevel"/>
    <w:tmpl w:val="CF092B84"/>
    <w:lvl w:ilvl="0" w:tentative="0">
      <w:start w:val="1"/>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decimal"/>
      <w:lvlText w:val="第%1章"/>
      <w:lvlJc w:val="left"/>
      <w:pPr>
        <w:tabs>
          <w:tab w:val="left" w:pos="1080"/>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rFonts w:ascii="Times New Roman" w:hAnsi="Times New Roman" w:cs="Times New Roman"/>
      </w:rPr>
    </w:lvl>
    <w:lvl w:ilvl="3" w:tentative="0">
      <w:start w:val="1"/>
      <w:numFmt w:val="decimal"/>
      <w:pStyle w:val="82"/>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03D62ECE"/>
    <w:multiLevelType w:val="multilevel"/>
    <w:tmpl w:val="03D62ECE"/>
    <w:lvl w:ilvl="0" w:tentative="0">
      <w:start w:val="2"/>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9734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4"/>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sz w:val="21"/>
    </w:rPr>
  </w:style>
  <w:style w:type="paragraph" w:styleId="15">
    <w:name w:val="annotation text"/>
    <w:basedOn w:val="1"/>
    <w:semiHidden/>
    <w:unhideWhenUsed/>
    <w:qFormat/>
    <w:uiPriority w:val="99"/>
    <w:pPr>
      <w:jc w:val="left"/>
    </w:pPr>
  </w:style>
  <w:style w:type="paragraph" w:styleId="16">
    <w:name w:val="Body Text"/>
    <w:basedOn w:val="1"/>
    <w:next w:val="17"/>
    <w:qFormat/>
    <w:uiPriority w:val="0"/>
  </w:style>
  <w:style w:type="paragraph" w:customStyle="1" w:styleId="17">
    <w:name w:val="一级条标题"/>
    <w:basedOn w:val="18"/>
    <w:next w:val="19"/>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8">
    <w:name w:val="章标题"/>
    <w:next w:val="1"/>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9">
    <w:name w:val="段"/>
    <w:basedOn w:val="20"/>
    <w:next w:val="1"/>
    <w:qFormat/>
    <w:uiPriority w:val="0"/>
    <w:pPr>
      <w:widowControl/>
      <w:ind w:firstLine="200"/>
    </w:pPr>
    <w:rPr>
      <w:rFonts w:hint="eastAsia" w:ascii="宋体"/>
      <w:sz w:val="20"/>
      <w:szCs w:val="20"/>
    </w:rPr>
  </w:style>
  <w:style w:type="paragraph" w:customStyle="1" w:styleId="20">
    <w:name w:val="正文111"/>
    <w:next w:val="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1">
    <w:name w:val="目录 11"/>
    <w:basedOn w:val="22"/>
    <w:next w:val="1"/>
    <w:qFormat/>
    <w:uiPriority w:val="0"/>
    <w:pPr>
      <w:widowControl/>
      <w:spacing w:after="100" w:line="259" w:lineRule="auto"/>
      <w:jc w:val="left"/>
    </w:pPr>
    <w:rPr>
      <w:rFonts w:ascii="Calibri" w:hAnsi="Calibri"/>
      <w:sz w:val="22"/>
      <w:szCs w:val="22"/>
    </w:rPr>
  </w:style>
  <w:style w:type="paragraph" w:customStyle="1" w:styleId="22">
    <w:name w:val="正文11"/>
    <w:next w:val="21"/>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3">
    <w:name w:val="Body Text Indent"/>
    <w:basedOn w:val="1"/>
    <w:next w:val="24"/>
    <w:qFormat/>
    <w:uiPriority w:val="0"/>
    <w:pPr>
      <w:spacing w:line="317" w:lineRule="auto"/>
      <w:ind w:firstLine="600"/>
    </w:pPr>
    <w:rPr>
      <w:rFonts w:ascii="方正书宋简体" w:eastAsia="方正书宋简体"/>
      <w:sz w:val="30"/>
    </w:rPr>
  </w:style>
  <w:style w:type="paragraph" w:styleId="24">
    <w:name w:val="envelope return"/>
    <w:basedOn w:val="1"/>
    <w:qFormat/>
    <w:uiPriority w:val="99"/>
    <w:pPr>
      <w:spacing w:line="360" w:lineRule="auto"/>
      <w:ind w:firstLine="200"/>
    </w:pPr>
    <w:rPr>
      <w:rFonts w:ascii="Arial" w:hAnsi="Arial" w:cs="Arial"/>
      <w:sz w:val="24"/>
    </w:rPr>
  </w:style>
  <w:style w:type="paragraph" w:styleId="25">
    <w:name w:val="Block Text"/>
    <w:basedOn w:val="1"/>
    <w:next w:val="1"/>
    <w:qFormat/>
    <w:uiPriority w:val="0"/>
    <w:pPr>
      <w:ind w:left="420" w:right="33"/>
      <w:jc w:val="left"/>
    </w:pPr>
    <w:rPr>
      <w:sz w:val="24"/>
      <w:szCs w:val="20"/>
    </w:rPr>
  </w:style>
  <w:style w:type="paragraph" w:styleId="26">
    <w:name w:val="index 4"/>
    <w:basedOn w:val="1"/>
    <w:next w:val="1"/>
    <w:semiHidden/>
    <w:qFormat/>
    <w:uiPriority w:val="0"/>
    <w:pPr>
      <w:widowControl w:val="0"/>
      <w:ind w:left="1260"/>
      <w:jc w:val="both"/>
    </w:pPr>
    <w:rPr>
      <w:rFonts w:ascii="Times New Roman" w:hAnsi="Times New Roman" w:eastAsia="Calibri" w:cs="宋体"/>
      <w:sz w:val="20"/>
      <w:szCs w:val="20"/>
      <w:lang w:val="zh-CN" w:eastAsia="zh-CN" w:bidi="ar-SA"/>
    </w:rPr>
  </w:style>
  <w:style w:type="paragraph" w:styleId="27">
    <w:name w:val="toc 5"/>
    <w:basedOn w:val="1"/>
    <w:next w:val="1"/>
    <w:unhideWhenUsed/>
    <w:qFormat/>
    <w:uiPriority w:val="39"/>
    <w:pPr>
      <w:spacing w:after="57"/>
      <w:ind w:left="1134" w:right="0" w:firstLine="0"/>
    </w:pPr>
  </w:style>
  <w:style w:type="paragraph" w:styleId="28">
    <w:name w:val="toc 3"/>
    <w:basedOn w:val="1"/>
    <w:next w:val="1"/>
    <w:unhideWhenUsed/>
    <w:qFormat/>
    <w:uiPriority w:val="39"/>
    <w:pPr>
      <w:spacing w:after="57"/>
      <w:ind w:left="567" w:right="0" w:firstLine="0"/>
    </w:pPr>
  </w:style>
  <w:style w:type="paragraph" w:styleId="29">
    <w:name w:val="Plain Text"/>
    <w:basedOn w:val="1"/>
    <w:qFormat/>
    <w:uiPriority w:val="0"/>
    <w:rPr>
      <w:rFonts w:ascii="宋体" w:hAnsi="Courier New"/>
      <w:szCs w:val="20"/>
    </w:rPr>
  </w:style>
  <w:style w:type="paragraph" w:styleId="30">
    <w:name w:val="toc 8"/>
    <w:basedOn w:val="1"/>
    <w:next w:val="1"/>
    <w:unhideWhenUsed/>
    <w:qFormat/>
    <w:uiPriority w:val="39"/>
    <w:pPr>
      <w:spacing w:after="57"/>
      <w:ind w:left="1984" w:right="0" w:firstLine="0"/>
    </w:pPr>
  </w:style>
  <w:style w:type="paragraph" w:styleId="31">
    <w:name w:val="endnote text"/>
    <w:basedOn w:val="1"/>
    <w:semiHidden/>
    <w:unhideWhenUsed/>
    <w:qFormat/>
    <w:uiPriority w:val="99"/>
    <w:pPr>
      <w:spacing w:after="0" w:line="240" w:lineRule="auto"/>
    </w:pPr>
    <w:rPr>
      <w:sz w:val="20"/>
    </w:rPr>
  </w:style>
  <w:style w:type="paragraph" w:styleId="32">
    <w:name w:val="footer"/>
    <w:basedOn w:val="1"/>
    <w:unhideWhenUsed/>
    <w:qFormat/>
    <w:uiPriority w:val="99"/>
    <w:pPr>
      <w:tabs>
        <w:tab w:val="center" w:pos="7143"/>
        <w:tab w:val="right" w:pos="14287"/>
      </w:tabs>
      <w:spacing w:after="0" w:line="240" w:lineRule="auto"/>
    </w:pPr>
  </w:style>
  <w:style w:type="paragraph" w:styleId="33">
    <w:name w:val="header"/>
    <w:basedOn w:val="1"/>
    <w:unhideWhenUsed/>
    <w:qFormat/>
    <w:uiPriority w:val="99"/>
    <w:pPr>
      <w:tabs>
        <w:tab w:val="center" w:pos="7143"/>
        <w:tab w:val="right" w:pos="14287"/>
      </w:tabs>
      <w:spacing w:after="0" w:line="240" w:lineRule="auto"/>
    </w:pPr>
  </w:style>
  <w:style w:type="paragraph" w:styleId="34">
    <w:name w:val="toc 1"/>
    <w:basedOn w:val="1"/>
    <w:next w:val="1"/>
    <w:unhideWhenUsed/>
    <w:qFormat/>
    <w:uiPriority w:val="39"/>
    <w:pPr>
      <w:spacing w:after="57"/>
      <w:ind w:left="0" w:right="0" w:firstLine="0"/>
    </w:pPr>
  </w:style>
  <w:style w:type="paragraph" w:styleId="35">
    <w:name w:val="toc 4"/>
    <w:basedOn w:val="1"/>
    <w:next w:val="1"/>
    <w:unhideWhenUsed/>
    <w:qFormat/>
    <w:uiPriority w:val="39"/>
    <w:pPr>
      <w:spacing w:after="57"/>
      <w:ind w:left="850" w:right="0" w:firstLine="0"/>
    </w:pPr>
  </w:style>
  <w:style w:type="paragraph" w:styleId="36">
    <w:name w:val="Subtitle"/>
    <w:basedOn w:val="1"/>
    <w:next w:val="1"/>
    <w:qFormat/>
    <w:uiPriority w:val="11"/>
    <w:pPr>
      <w:spacing w:before="200" w:after="200"/>
    </w:pPr>
    <w:rPr>
      <w:sz w:val="24"/>
      <w:szCs w:val="24"/>
    </w:rPr>
  </w:style>
  <w:style w:type="paragraph" w:styleId="37">
    <w:name w:val="footnote text"/>
    <w:basedOn w:val="1"/>
    <w:next w:val="14"/>
    <w:semiHidden/>
    <w:unhideWhenUsed/>
    <w:qFormat/>
    <w:uiPriority w:val="99"/>
    <w:pPr>
      <w:spacing w:after="40" w:line="240" w:lineRule="auto"/>
    </w:pPr>
    <w:rPr>
      <w:sz w:val="18"/>
    </w:rPr>
  </w:style>
  <w:style w:type="paragraph" w:styleId="38">
    <w:name w:val="toc 6"/>
    <w:basedOn w:val="1"/>
    <w:next w:val="1"/>
    <w:unhideWhenUsed/>
    <w:qFormat/>
    <w:uiPriority w:val="39"/>
    <w:pPr>
      <w:spacing w:after="57"/>
      <w:ind w:left="1417" w:right="0" w:firstLine="0"/>
    </w:pPr>
  </w:style>
  <w:style w:type="paragraph" w:styleId="39">
    <w:name w:val="table of figures"/>
    <w:basedOn w:val="1"/>
    <w:next w:val="1"/>
    <w:unhideWhenUsed/>
    <w:qFormat/>
    <w:uiPriority w:val="99"/>
    <w:pPr>
      <w:spacing w:after="0" w:afterAutospacing="0"/>
    </w:pPr>
  </w:style>
  <w:style w:type="paragraph" w:styleId="40">
    <w:name w:val="toc 2"/>
    <w:basedOn w:val="1"/>
    <w:next w:val="1"/>
    <w:unhideWhenUsed/>
    <w:qFormat/>
    <w:uiPriority w:val="39"/>
    <w:pPr>
      <w:spacing w:after="57"/>
      <w:ind w:left="283" w:right="0" w:firstLine="0"/>
    </w:pPr>
  </w:style>
  <w:style w:type="paragraph" w:styleId="41">
    <w:name w:val="toc 9"/>
    <w:basedOn w:val="1"/>
    <w:next w:val="1"/>
    <w:unhideWhenUsed/>
    <w:qFormat/>
    <w:uiPriority w:val="39"/>
    <w:pPr>
      <w:spacing w:after="57"/>
      <w:ind w:left="2268" w:right="0" w:firstLine="0"/>
    </w:pPr>
  </w:style>
  <w:style w:type="paragraph" w:styleId="42">
    <w:name w:val="Body Text 2"/>
    <w:basedOn w:val="1"/>
    <w:semiHidden/>
    <w:unhideWhenUsed/>
    <w:qFormat/>
    <w:uiPriority w:val="99"/>
    <w:pPr>
      <w:spacing w:after="120" w:line="480" w:lineRule="auto"/>
    </w:pPr>
  </w:style>
  <w:style w:type="paragraph" w:styleId="43">
    <w:name w:val="Normal (Web)"/>
    <w:basedOn w:val="1"/>
    <w:semiHidden/>
    <w:unhideWhenUsed/>
    <w:qFormat/>
    <w:uiPriority w:val="99"/>
    <w:pPr>
      <w:widowControl w:val="0"/>
      <w:spacing w:before="0" w:beforeAutospacing="1" w:after="0" w:afterAutospacing="1"/>
      <w:ind w:left="0" w:right="0"/>
      <w:jc w:val="left"/>
    </w:pPr>
    <w:rPr>
      <w:rFonts w:hint="default" w:ascii="Times New Roman" w:hAnsi="Times New Roman" w:eastAsia="宋体" w:cs="Times New Roman"/>
      <w:sz w:val="24"/>
      <w:szCs w:val="24"/>
      <w:lang w:val="en-US" w:eastAsia="zh-CN" w:bidi="ar"/>
    </w:rPr>
  </w:style>
  <w:style w:type="paragraph" w:styleId="44">
    <w:name w:val="Title"/>
    <w:basedOn w:val="1"/>
    <w:next w:val="1"/>
    <w:qFormat/>
    <w:uiPriority w:val="10"/>
    <w:pPr>
      <w:spacing w:before="300" w:after="200"/>
      <w:contextualSpacing/>
    </w:pPr>
    <w:rPr>
      <w:sz w:val="48"/>
      <w:szCs w:val="48"/>
    </w:rPr>
  </w:style>
  <w:style w:type="paragraph" w:styleId="45">
    <w:name w:val="Body Text First Indent"/>
    <w:basedOn w:val="16"/>
    <w:qFormat/>
    <w:uiPriority w:val="0"/>
    <w:pPr>
      <w:ind w:firstLine="420"/>
    </w:pPr>
  </w:style>
  <w:style w:type="paragraph" w:styleId="46">
    <w:name w:val="Body Text First Indent 2"/>
    <w:next w:val="1"/>
    <w:qFormat/>
    <w:uiPriority w:val="0"/>
    <w:pPr>
      <w:widowControl w:val="0"/>
      <w:spacing w:after="120" w:line="480" w:lineRule="exact"/>
      <w:ind w:left="420" w:firstLine="420"/>
      <w:jc w:val="both"/>
    </w:pPr>
    <w:rPr>
      <w:rFonts w:hint="default" w:ascii="Calibri" w:hAnsi="Calibri" w:eastAsia="宋体" w:cs="Times New Roman"/>
      <w:sz w:val="24"/>
      <w:szCs w:val="20"/>
      <w:lang w:val="en-US" w:eastAsia="zh-CN" w:bidi="ar-SA"/>
    </w:rPr>
  </w:style>
  <w:style w:type="table" w:styleId="48">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endnote reference"/>
    <w:semiHidden/>
    <w:unhideWhenUsed/>
    <w:qFormat/>
    <w:uiPriority w:val="99"/>
    <w:rPr>
      <w:vertAlign w:val="superscript"/>
    </w:rPr>
  </w:style>
  <w:style w:type="character" w:styleId="51">
    <w:name w:val="Hyperlink"/>
    <w:unhideWhenUsed/>
    <w:qFormat/>
    <w:uiPriority w:val="99"/>
    <w:rPr>
      <w:color w:val="0000FF" w:themeColor="hyperlink"/>
      <w:u w:val="single"/>
      <w14:textFill>
        <w14:solidFill>
          <w14:schemeClr w14:val="hlink"/>
        </w14:solidFill>
      </w14:textFill>
    </w:rPr>
  </w:style>
  <w:style w:type="character" w:styleId="52">
    <w:name w:val="footnote reference"/>
    <w:unhideWhenUsed/>
    <w:qFormat/>
    <w:uiPriority w:val="99"/>
    <w:rPr>
      <w:vertAlign w:val="superscript"/>
    </w:rPr>
  </w:style>
  <w:style w:type="character" w:customStyle="1" w:styleId="53">
    <w:name w:val="标题 2 Char"/>
    <w:link w:val="54"/>
    <w:qFormat/>
    <w:uiPriority w:val="9"/>
    <w:rPr>
      <w:rFonts w:ascii="Arial" w:hAnsi="Arial" w:eastAsia="Arial" w:cs="Arial"/>
      <w:sz w:val="34"/>
    </w:rPr>
  </w:style>
  <w:style w:type="paragraph" w:customStyle="1" w:styleId="54">
    <w:name w:val="标题 21"/>
    <w:basedOn w:val="1"/>
    <w:next w:val="22"/>
    <w:link w:val="53"/>
    <w:qFormat/>
    <w:uiPriority w:val="9"/>
    <w:pPr>
      <w:keepNext/>
      <w:keepLines/>
      <w:spacing w:before="360" w:after="200"/>
      <w:outlineLvl w:val="1"/>
    </w:pPr>
    <w:rPr>
      <w:rFonts w:ascii="Arial" w:hAnsi="Arial" w:eastAsia="Arial" w:cs="Arial"/>
      <w:sz w:val="34"/>
    </w:rPr>
  </w:style>
  <w:style w:type="paragraph" w:customStyle="1" w:styleId="55">
    <w:name w:val="目录 111"/>
    <w:basedOn w:val="56"/>
    <w:next w:val="20"/>
    <w:unhideWhenUsed/>
    <w:qFormat/>
    <w:uiPriority w:val="39"/>
    <w:pPr>
      <w:spacing w:after="57"/>
    </w:pPr>
  </w:style>
  <w:style w:type="paragraph" w:customStyle="1" w:styleId="56">
    <w:name w:val="正文12"/>
    <w:next w:val="5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7">
    <w:name w:val="正文文本1"/>
    <w:basedOn w:val="58"/>
    <w:next w:val="17"/>
    <w:qFormat/>
    <w:uiPriority w:val="0"/>
    <w:pPr>
      <w:spacing w:after="120"/>
    </w:pPr>
  </w:style>
  <w:style w:type="paragraph" w:customStyle="1" w:styleId="58">
    <w:name w:val="正文1111"/>
    <w:next w:val="5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
    <w:name w:val="文本块11"/>
    <w:basedOn w:val="56"/>
    <w:unhideWhenUsed/>
    <w:qFormat/>
    <w:uiPriority w:val="0"/>
    <w:pPr>
      <w:spacing w:after="120"/>
      <w:ind w:left="1440" w:right="1440"/>
    </w:pPr>
    <w:rPr>
      <w:rFonts w:ascii="Calibri" w:hAnsi="Calibri"/>
    </w:rPr>
  </w:style>
  <w:style w:type="paragraph" w:customStyle="1" w:styleId="60">
    <w:name w:val="正文文本缩进1"/>
    <w:basedOn w:val="61"/>
    <w:next w:val="62"/>
    <w:unhideWhenUsed/>
    <w:qFormat/>
    <w:uiPriority w:val="99"/>
    <w:pPr>
      <w:spacing w:line="360" w:lineRule="auto"/>
      <w:ind w:firstLine="425"/>
    </w:pPr>
  </w:style>
  <w:style w:type="paragraph" w:customStyle="1" w:styleId="61">
    <w:name w:val="正文1"/>
    <w:basedOn w:val="22"/>
    <w:next w:val="21"/>
    <w:qFormat/>
    <w:uiPriority w:val="0"/>
    <w:rPr>
      <w:rFonts w:hint="default" w:ascii="Times New Roman" w:hAnsi="Times New Roman" w:eastAsia="宋体" w:cs="Times New Roman"/>
      <w:lang w:val="en-US" w:eastAsia="zh-CN" w:bidi="ar-SA"/>
    </w:rPr>
  </w:style>
  <w:style w:type="paragraph" w:customStyle="1" w:styleId="62">
    <w:name w:val="寄信人地址1"/>
    <w:basedOn w:val="22"/>
    <w:unhideWhenUsed/>
    <w:qFormat/>
    <w:uiPriority w:val="99"/>
    <w:rPr>
      <w:rFonts w:ascii="Arial" w:hAnsi="Arial"/>
    </w:rPr>
  </w:style>
  <w:style w:type="paragraph" w:customStyle="1" w:styleId="63">
    <w:name w:val="BlockQuote"/>
    <w:basedOn w:val="20"/>
    <w:qFormat/>
    <w:uiPriority w:val="0"/>
    <w:pPr>
      <w:ind w:left="256" w:right="6" w:firstLine="624"/>
    </w:pPr>
    <w:rPr>
      <w:rFonts w:eastAsia="仿宋_GB2312"/>
      <w:sz w:val="28"/>
    </w:rPr>
  </w:style>
  <w:style w:type="paragraph" w:customStyle="1" w:styleId="64">
    <w:name w:val="标题 111"/>
    <w:basedOn w:val="1"/>
    <w:next w:val="22"/>
    <w:qFormat/>
    <w:uiPriority w:val="9"/>
    <w:pPr>
      <w:keepNext/>
      <w:keepLines/>
      <w:spacing w:before="480" w:after="200"/>
      <w:outlineLvl w:val="0"/>
    </w:pPr>
    <w:rPr>
      <w:rFonts w:ascii="Arial" w:hAnsi="Arial" w:eastAsia="Arial" w:cs="Arial"/>
      <w:sz w:val="40"/>
      <w:szCs w:val="40"/>
    </w:rPr>
  </w:style>
  <w:style w:type="paragraph" w:customStyle="1" w:styleId="65">
    <w:name w:val="正文13"/>
    <w:next w:val="6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6">
    <w:name w:val="正文首行缩进1"/>
    <w:basedOn w:val="67"/>
    <w:next w:val="69"/>
    <w:qFormat/>
    <w:uiPriority w:val="0"/>
    <w:pPr>
      <w:ind w:firstLine="420"/>
    </w:pPr>
  </w:style>
  <w:style w:type="paragraph" w:customStyle="1" w:styleId="67">
    <w:name w:val="正文文本11"/>
    <w:basedOn w:val="68"/>
    <w:next w:val="17"/>
    <w:qFormat/>
    <w:uiPriority w:val="0"/>
    <w:pPr>
      <w:spacing w:after="120"/>
    </w:pPr>
  </w:style>
  <w:style w:type="paragraph" w:customStyle="1" w:styleId="68">
    <w:name w:val="正文112"/>
    <w:next w:val="6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
    <w:name w:val="正文首行缩进 211"/>
    <w:basedOn w:val="70"/>
    <w:next w:val="68"/>
    <w:qFormat/>
    <w:uiPriority w:val="0"/>
    <w:pPr>
      <w:ind w:firstLine="200"/>
    </w:pPr>
  </w:style>
  <w:style w:type="paragraph" w:customStyle="1" w:styleId="70">
    <w:name w:val="正文文本缩进11"/>
    <w:basedOn w:val="20"/>
    <w:next w:val="68"/>
    <w:unhideWhenUsed/>
    <w:qFormat/>
    <w:uiPriority w:val="0"/>
    <w:pPr>
      <w:spacing w:after="120"/>
      <w:ind w:left="420"/>
    </w:pPr>
    <w:rPr>
      <w:sz w:val="24"/>
    </w:rPr>
  </w:style>
  <w:style w:type="paragraph" w:customStyle="1" w:styleId="71">
    <w:name w:val="正文文本 21"/>
    <w:basedOn w:val="22"/>
    <w:qFormat/>
    <w:uiPriority w:val="0"/>
    <w:pPr>
      <w:spacing w:after="120" w:line="480" w:lineRule="auto"/>
    </w:pPr>
  </w:style>
  <w:style w:type="paragraph" w:customStyle="1" w:styleId="72">
    <w:name w:val="正文首行缩进 21"/>
    <w:basedOn w:val="60"/>
    <w:next w:val="20"/>
    <w:qFormat/>
    <w:uiPriority w:val="0"/>
    <w:pPr>
      <w:ind w:firstLine="420"/>
    </w:pPr>
    <w:rPr>
      <w:rFonts w:ascii="宋体" w:hAnsi="宋体"/>
      <w:sz w:val="20"/>
      <w:szCs w:val="20"/>
    </w:rPr>
  </w:style>
  <w:style w:type="paragraph" w:customStyle="1" w:styleId="73">
    <w:name w:val="正文首行缩进11"/>
    <w:basedOn w:val="57"/>
    <w:next w:val="69"/>
    <w:qFormat/>
    <w:uiPriority w:val="0"/>
    <w:pPr>
      <w:ind w:firstLine="420"/>
    </w:pPr>
    <w:rPr>
      <w:sz w:val="24"/>
    </w:rPr>
  </w:style>
  <w:style w:type="paragraph" w:customStyle="1" w:styleId="74">
    <w:name w:val="寄信人地址11"/>
    <w:basedOn w:val="22"/>
    <w:qFormat/>
    <w:uiPriority w:val="0"/>
    <w:rPr>
      <w:rFonts w:ascii="Arial" w:hAnsi="Arial"/>
    </w:rPr>
  </w:style>
  <w:style w:type="paragraph" w:customStyle="1" w:styleId="75">
    <w:name w:val="标题 211"/>
    <w:basedOn w:val="22"/>
    <w:next w:val="58"/>
    <w:unhideWhenUsed/>
    <w:qFormat/>
    <w:uiPriority w:val="9"/>
    <w:pPr>
      <w:keepNext/>
      <w:keepLines/>
      <w:spacing w:before="360" w:after="200"/>
      <w:outlineLvl w:val="1"/>
    </w:pPr>
    <w:rPr>
      <w:rFonts w:ascii="Arial" w:hAnsi="Arial" w:eastAsia="Arial" w:cs="Arial"/>
      <w:sz w:val="34"/>
    </w:rPr>
  </w:style>
  <w:style w:type="paragraph" w:customStyle="1" w:styleId="76">
    <w:name w:val="列出段落1"/>
    <w:basedOn w:val="77"/>
    <w:next w:val="78"/>
    <w:qFormat/>
    <w:uiPriority w:val="0"/>
    <w:pPr>
      <w:ind w:left="480"/>
      <w:jc w:val="left"/>
    </w:pPr>
    <w:rPr>
      <w:rFonts w:eastAsia="PMingLiU"/>
      <w:sz w:val="24"/>
      <w:szCs w:val="20"/>
      <w:lang w:eastAsia="zh-TW"/>
    </w:rPr>
  </w:style>
  <w:style w:type="paragraph" w:customStyle="1" w:styleId="77">
    <w:name w:val="正文_10_4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8">
    <w:name w:val="标题 71"/>
    <w:basedOn w:val="58"/>
    <w:next w:val="68"/>
    <w:link w:val="156"/>
    <w:qFormat/>
    <w:uiPriority w:val="9"/>
    <w:pPr>
      <w:keepNext/>
      <w:keepLines/>
      <w:spacing w:before="320" w:after="200"/>
      <w:outlineLvl w:val="6"/>
    </w:pPr>
    <w:rPr>
      <w:rFonts w:ascii="Arial" w:hAnsi="Arial" w:eastAsia="Arial" w:cs="Arial"/>
      <w:b/>
      <w:bCs/>
      <w:i/>
      <w:iCs/>
      <w:sz w:val="22"/>
      <w:szCs w:val="22"/>
    </w:rPr>
  </w:style>
  <w:style w:type="paragraph" w:customStyle="1" w:styleId="79">
    <w:name w:val="无间隔1"/>
    <w:qFormat/>
    <w:uiPriority w:val="0"/>
    <w:rPr>
      <w:rFonts w:hint="default" w:ascii="Times New Roman" w:hAnsi="Times New Roman" w:eastAsia="宋体" w:cs="Times New Roman"/>
      <w:sz w:val="22"/>
      <w:szCs w:val="22"/>
      <w:lang w:val="en-US" w:eastAsia="en-US" w:bidi="ar-SA"/>
    </w:rPr>
  </w:style>
  <w:style w:type="paragraph" w:customStyle="1" w:styleId="80">
    <w:name w:val="正文缩进1"/>
    <w:basedOn w:val="1"/>
    <w:qFormat/>
    <w:uiPriority w:val="0"/>
    <w:pPr>
      <w:ind w:firstLine="420"/>
    </w:pPr>
  </w:style>
  <w:style w:type="paragraph" w:customStyle="1" w:styleId="81">
    <w:name w:val="文本块1"/>
    <w:basedOn w:val="61"/>
    <w:qFormat/>
    <w:uiPriority w:val="6"/>
    <w:pPr>
      <w:ind w:left="256" w:right="6" w:firstLine="624"/>
    </w:pPr>
    <w:rPr>
      <w:rFonts w:eastAsia="仿宋"/>
      <w:sz w:val="28"/>
      <w:szCs w:val="20"/>
    </w:rPr>
  </w:style>
  <w:style w:type="paragraph" w:customStyle="1" w:styleId="82">
    <w:name w:val="标题 41"/>
    <w:basedOn w:val="56"/>
    <w:next w:val="22"/>
    <w:qFormat/>
    <w:uiPriority w:val="0"/>
    <w:pPr>
      <w:keepNext/>
      <w:keepLines/>
      <w:numPr>
        <w:ilvl w:val="3"/>
        <w:numId w:val="1"/>
      </w:numPr>
      <w:spacing w:before="60" w:after="20" w:line="376" w:lineRule="auto"/>
      <w:outlineLvl w:val="3"/>
    </w:pPr>
    <w:rPr>
      <w:rFonts w:ascii="黑体" w:hAnsi="Arial" w:eastAsia="黑体"/>
      <w:sz w:val="24"/>
      <w:szCs w:val="20"/>
    </w:rPr>
  </w:style>
  <w:style w:type="paragraph" w:customStyle="1" w:styleId="83">
    <w:name w:val="标题1"/>
    <w:basedOn w:val="1"/>
    <w:next w:val="68"/>
    <w:link w:val="185"/>
    <w:qFormat/>
    <w:uiPriority w:val="10"/>
    <w:pPr>
      <w:spacing w:before="300" w:after="200"/>
      <w:contextualSpacing/>
    </w:pPr>
    <w:rPr>
      <w:sz w:val="48"/>
      <w:szCs w:val="48"/>
    </w:rPr>
  </w:style>
  <w:style w:type="paragraph" w:customStyle="1" w:styleId="84">
    <w:name w:val="页脚1"/>
    <w:basedOn w:val="1"/>
    <w:qFormat/>
    <w:uiPriority w:val="0"/>
    <w:pPr>
      <w:tabs>
        <w:tab w:val="center" w:pos="4153"/>
        <w:tab w:val="right" w:pos="8306"/>
      </w:tabs>
      <w:jc w:val="left"/>
    </w:pPr>
    <w:rPr>
      <w:sz w:val="18"/>
      <w:szCs w:val="18"/>
    </w:rPr>
  </w:style>
  <w:style w:type="paragraph" w:customStyle="1" w:styleId="85">
    <w:name w:val="正文文本111"/>
    <w:basedOn w:val="1"/>
    <w:next w:val="56"/>
    <w:qFormat/>
    <w:uiPriority w:val="0"/>
    <w:rPr>
      <w:rFonts w:ascii="楷体_GB2312" w:hAnsi="Arial" w:eastAsia="楷体_GB2312"/>
      <w:sz w:val="28"/>
      <w:szCs w:val="28"/>
      <w:lang w:eastAsia="en-US"/>
    </w:rPr>
  </w:style>
  <w:style w:type="paragraph" w:customStyle="1" w:styleId="86">
    <w:name w:val="索引 41"/>
    <w:basedOn w:val="65"/>
    <w:next w:val="61"/>
    <w:qFormat/>
    <w:uiPriority w:val="0"/>
    <w:pPr>
      <w:spacing w:line="274" w:lineRule="auto"/>
      <w:ind w:left="600" w:firstLine="200"/>
    </w:pPr>
    <w:rPr>
      <w:rFonts w:ascii="Calibri" w:hAnsi="Calibri" w:eastAsia="仿宋_GB2312"/>
      <w:sz w:val="24"/>
    </w:rPr>
  </w:style>
  <w:style w:type="paragraph" w:customStyle="1" w:styleId="87">
    <w:name w:val="标题 311"/>
    <w:basedOn w:val="1"/>
    <w:next w:val="1"/>
    <w:unhideWhenUsed/>
    <w:qFormat/>
    <w:uiPriority w:val="9"/>
    <w:pPr>
      <w:keepNext/>
      <w:keepLines/>
      <w:spacing w:before="320" w:after="200"/>
      <w:outlineLvl w:val="2"/>
    </w:pPr>
    <w:rPr>
      <w:rFonts w:ascii="Arial" w:hAnsi="Arial" w:eastAsia="Arial" w:cs="Arial"/>
      <w:sz w:val="30"/>
      <w:szCs w:val="30"/>
    </w:rPr>
  </w:style>
  <w:style w:type="paragraph" w:customStyle="1" w:styleId="88">
    <w:name w:val="标题 411"/>
    <w:basedOn w:val="1"/>
    <w:next w:val="1"/>
    <w:unhideWhenUsed/>
    <w:qFormat/>
    <w:uiPriority w:val="9"/>
    <w:pPr>
      <w:keepNext/>
      <w:keepLines/>
      <w:spacing w:before="320" w:after="200"/>
      <w:outlineLvl w:val="3"/>
    </w:pPr>
    <w:rPr>
      <w:rFonts w:ascii="Arial" w:hAnsi="Arial" w:eastAsia="Arial" w:cs="Arial"/>
      <w:b/>
      <w:bCs/>
      <w:sz w:val="26"/>
      <w:szCs w:val="26"/>
    </w:rPr>
  </w:style>
  <w:style w:type="paragraph" w:customStyle="1" w:styleId="89">
    <w:name w:val="标题 511"/>
    <w:basedOn w:val="1"/>
    <w:next w:val="1"/>
    <w:unhideWhenUsed/>
    <w:qFormat/>
    <w:uiPriority w:val="9"/>
    <w:pPr>
      <w:keepNext/>
      <w:keepLines/>
      <w:spacing w:before="320" w:after="200"/>
      <w:outlineLvl w:val="4"/>
    </w:pPr>
    <w:rPr>
      <w:rFonts w:ascii="Arial" w:hAnsi="Arial" w:eastAsia="Arial" w:cs="Arial"/>
      <w:b/>
      <w:bCs/>
      <w:sz w:val="24"/>
    </w:rPr>
  </w:style>
  <w:style w:type="paragraph" w:customStyle="1" w:styleId="90">
    <w:name w:val="标题 611"/>
    <w:basedOn w:val="1"/>
    <w:next w:val="1"/>
    <w:unhideWhenUsed/>
    <w:qFormat/>
    <w:uiPriority w:val="9"/>
    <w:pPr>
      <w:keepNext/>
      <w:keepLines/>
      <w:spacing w:before="320" w:after="200"/>
      <w:outlineLvl w:val="5"/>
    </w:pPr>
    <w:rPr>
      <w:rFonts w:ascii="Arial" w:hAnsi="Arial" w:eastAsia="Arial" w:cs="Arial"/>
      <w:b/>
      <w:bCs/>
      <w:sz w:val="22"/>
      <w:szCs w:val="22"/>
    </w:rPr>
  </w:style>
  <w:style w:type="paragraph" w:customStyle="1" w:styleId="91">
    <w:name w:val="标题 711"/>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customStyle="1" w:styleId="92">
    <w:name w:val="标题 811"/>
    <w:basedOn w:val="1"/>
    <w:next w:val="1"/>
    <w:unhideWhenUsed/>
    <w:qFormat/>
    <w:uiPriority w:val="9"/>
    <w:pPr>
      <w:keepNext/>
      <w:keepLines/>
      <w:spacing w:before="320" w:after="200"/>
      <w:outlineLvl w:val="7"/>
    </w:pPr>
    <w:rPr>
      <w:rFonts w:ascii="Arial" w:hAnsi="Arial" w:eastAsia="Arial" w:cs="Arial"/>
      <w:i/>
      <w:iCs/>
      <w:sz w:val="22"/>
      <w:szCs w:val="22"/>
    </w:rPr>
  </w:style>
  <w:style w:type="paragraph" w:customStyle="1" w:styleId="93">
    <w:name w:val="标题 911"/>
    <w:basedOn w:val="1"/>
    <w:next w:val="1"/>
    <w:unhideWhenUsed/>
    <w:qFormat/>
    <w:uiPriority w:val="9"/>
    <w:pPr>
      <w:keepNext/>
      <w:keepLines/>
      <w:spacing w:before="320" w:after="200"/>
      <w:outlineLvl w:val="8"/>
    </w:pPr>
    <w:rPr>
      <w:rFonts w:ascii="Arial" w:hAnsi="Arial" w:eastAsia="Arial" w:cs="Arial"/>
      <w:i/>
      <w:iCs/>
      <w:szCs w:val="21"/>
    </w:rPr>
  </w:style>
  <w:style w:type="character" w:customStyle="1" w:styleId="94">
    <w:name w:val="默认段落字体11"/>
    <w:link w:val="1"/>
    <w:unhideWhenUsed/>
    <w:qFormat/>
    <w:uiPriority w:val="1"/>
  </w:style>
  <w:style w:type="table" w:customStyle="1" w:styleId="95">
    <w:name w:val="普通表格11"/>
    <w:unhideWhenUsed/>
    <w:qFormat/>
    <w:uiPriority w:val="99"/>
  </w:style>
  <w:style w:type="paragraph" w:customStyle="1" w:styleId="96">
    <w:name w:val="信息标题1"/>
    <w:basedOn w:val="1"/>
    <w:next w:val="97"/>
    <w:qFormat/>
    <w:uiPriority w:val="99"/>
    <w:pPr>
      <w:pBdr>
        <w:top w:val="none" w:color="000000" w:sz="0" w:space="1"/>
        <w:left w:val="none" w:color="000000" w:sz="0" w:space="1"/>
        <w:bottom w:val="none" w:color="000000" w:sz="0" w:space="1"/>
        <w:right w:val="none" w:color="000000" w:sz="0" w:space="1"/>
      </w:pBdr>
      <w:shd w:val="pct20" w:color="auto" w:fill="auto"/>
    </w:pPr>
    <w:rPr>
      <w:rFonts w:ascii="Arial" w:hAnsi="Arial"/>
      <w:color w:val="000000"/>
      <w:szCs w:val="22"/>
    </w:rPr>
  </w:style>
  <w:style w:type="paragraph" w:customStyle="1" w:styleId="97">
    <w:name w:val="正文文本12"/>
    <w:basedOn w:val="1"/>
    <w:next w:val="1"/>
    <w:qFormat/>
    <w:uiPriority w:val="99"/>
    <w:pPr>
      <w:spacing w:after="120"/>
    </w:pPr>
  </w:style>
  <w:style w:type="paragraph" w:customStyle="1" w:styleId="98">
    <w:name w:val="目录 711"/>
    <w:basedOn w:val="1"/>
    <w:next w:val="1"/>
    <w:unhideWhenUsed/>
    <w:qFormat/>
    <w:uiPriority w:val="39"/>
    <w:pPr>
      <w:spacing w:after="57"/>
      <w:ind w:left="1701"/>
    </w:pPr>
  </w:style>
  <w:style w:type="paragraph" w:customStyle="1" w:styleId="99">
    <w:name w:val="题注11"/>
    <w:basedOn w:val="1"/>
    <w:next w:val="1"/>
    <w:unhideWhenUsed/>
    <w:qFormat/>
    <w:uiPriority w:val="35"/>
    <w:pPr>
      <w:spacing w:line="276" w:lineRule="auto"/>
    </w:pPr>
    <w:rPr>
      <w:b/>
      <w:bCs/>
      <w:color w:val="4F81BD"/>
      <w:sz w:val="18"/>
      <w:szCs w:val="18"/>
    </w:rPr>
  </w:style>
  <w:style w:type="paragraph" w:customStyle="1" w:styleId="100">
    <w:name w:val="批注文字11"/>
    <w:basedOn w:val="1"/>
    <w:qFormat/>
    <w:uiPriority w:val="0"/>
    <w:pPr>
      <w:jc w:val="left"/>
    </w:pPr>
  </w:style>
  <w:style w:type="paragraph" w:customStyle="1" w:styleId="101">
    <w:name w:val="文本块12"/>
    <w:basedOn w:val="1"/>
    <w:qFormat/>
    <w:uiPriority w:val="6"/>
    <w:pPr>
      <w:ind w:left="256" w:right="6" w:firstLine="624"/>
    </w:pPr>
    <w:rPr>
      <w:rFonts w:eastAsia="仿宋"/>
      <w:sz w:val="28"/>
    </w:rPr>
  </w:style>
  <w:style w:type="paragraph" w:customStyle="1" w:styleId="102">
    <w:name w:val="目录 511"/>
    <w:basedOn w:val="1"/>
    <w:next w:val="1"/>
    <w:unhideWhenUsed/>
    <w:qFormat/>
    <w:uiPriority w:val="39"/>
    <w:pPr>
      <w:spacing w:after="57"/>
      <w:ind w:left="1134"/>
    </w:pPr>
  </w:style>
  <w:style w:type="paragraph" w:customStyle="1" w:styleId="103">
    <w:name w:val="目录 311"/>
    <w:basedOn w:val="1"/>
    <w:next w:val="1"/>
    <w:unhideWhenUsed/>
    <w:qFormat/>
    <w:uiPriority w:val="39"/>
    <w:pPr>
      <w:spacing w:after="57"/>
      <w:ind w:left="567"/>
    </w:pPr>
  </w:style>
  <w:style w:type="paragraph" w:customStyle="1" w:styleId="104">
    <w:name w:val="目录 811"/>
    <w:basedOn w:val="1"/>
    <w:next w:val="1"/>
    <w:unhideWhenUsed/>
    <w:qFormat/>
    <w:uiPriority w:val="39"/>
    <w:pPr>
      <w:spacing w:after="57"/>
      <w:ind w:left="1984"/>
    </w:pPr>
  </w:style>
  <w:style w:type="paragraph" w:customStyle="1" w:styleId="105">
    <w:name w:val="尾注文本11"/>
    <w:basedOn w:val="1"/>
    <w:unhideWhenUsed/>
    <w:qFormat/>
    <w:uiPriority w:val="99"/>
    <w:rPr>
      <w:sz w:val="20"/>
    </w:rPr>
  </w:style>
  <w:style w:type="paragraph" w:customStyle="1" w:styleId="106">
    <w:name w:val="页脚11"/>
    <w:basedOn w:val="1"/>
    <w:unhideWhenUsed/>
    <w:qFormat/>
    <w:uiPriority w:val="99"/>
    <w:pPr>
      <w:tabs>
        <w:tab w:val="center" w:pos="7143"/>
        <w:tab w:val="right" w:pos="14287"/>
      </w:tabs>
    </w:pPr>
  </w:style>
  <w:style w:type="paragraph" w:customStyle="1" w:styleId="107">
    <w:name w:val="页眉11"/>
    <w:basedOn w:val="1"/>
    <w:unhideWhenUsed/>
    <w:qFormat/>
    <w:uiPriority w:val="99"/>
    <w:pPr>
      <w:tabs>
        <w:tab w:val="center" w:pos="7143"/>
        <w:tab w:val="right" w:pos="14287"/>
      </w:tabs>
    </w:pPr>
  </w:style>
  <w:style w:type="paragraph" w:customStyle="1" w:styleId="108">
    <w:name w:val="目录 1111"/>
    <w:basedOn w:val="1"/>
    <w:next w:val="1"/>
    <w:unhideWhenUsed/>
    <w:qFormat/>
    <w:uiPriority w:val="39"/>
    <w:pPr>
      <w:spacing w:after="57"/>
    </w:pPr>
  </w:style>
  <w:style w:type="paragraph" w:customStyle="1" w:styleId="109">
    <w:name w:val="目录 411"/>
    <w:basedOn w:val="1"/>
    <w:next w:val="1"/>
    <w:unhideWhenUsed/>
    <w:qFormat/>
    <w:uiPriority w:val="39"/>
    <w:pPr>
      <w:spacing w:after="57"/>
      <w:ind w:left="850"/>
    </w:pPr>
  </w:style>
  <w:style w:type="paragraph" w:customStyle="1" w:styleId="110">
    <w:name w:val="副标题11"/>
    <w:basedOn w:val="1"/>
    <w:next w:val="1"/>
    <w:qFormat/>
    <w:uiPriority w:val="11"/>
    <w:pPr>
      <w:spacing w:before="200" w:after="200"/>
    </w:pPr>
    <w:rPr>
      <w:sz w:val="24"/>
    </w:rPr>
  </w:style>
  <w:style w:type="paragraph" w:customStyle="1" w:styleId="111">
    <w:name w:val="脚注文本11"/>
    <w:basedOn w:val="1"/>
    <w:next w:val="112"/>
    <w:unhideWhenUsed/>
    <w:qFormat/>
    <w:uiPriority w:val="99"/>
    <w:pPr>
      <w:spacing w:after="40"/>
    </w:pPr>
    <w:rPr>
      <w:sz w:val="18"/>
    </w:rPr>
  </w:style>
  <w:style w:type="paragraph" w:customStyle="1" w:styleId="112">
    <w:name w:val="索引 51"/>
    <w:basedOn w:val="113"/>
    <w:next w:val="61"/>
    <w:qFormat/>
    <w:uiPriority w:val="0"/>
    <w:pPr>
      <w:ind w:left="798"/>
      <w:jc w:val="left"/>
    </w:pPr>
    <w:rPr>
      <w:rFonts w:ascii="Calibri" w:hAnsi="Calibri"/>
    </w:rPr>
  </w:style>
  <w:style w:type="paragraph" w:customStyle="1" w:styleId="113">
    <w:name w:val="脚注文本1"/>
    <w:basedOn w:val="61"/>
    <w:next w:val="57"/>
    <w:qFormat/>
    <w:uiPriority w:val="0"/>
    <w:rPr>
      <w:rFonts w:ascii="宋体" w:eastAsia="Times New Roman"/>
      <w:sz w:val="18"/>
      <w:szCs w:val="18"/>
    </w:rPr>
  </w:style>
  <w:style w:type="paragraph" w:customStyle="1" w:styleId="114">
    <w:name w:val="目录 611"/>
    <w:basedOn w:val="1"/>
    <w:next w:val="1"/>
    <w:unhideWhenUsed/>
    <w:qFormat/>
    <w:uiPriority w:val="39"/>
    <w:pPr>
      <w:spacing w:after="57"/>
      <w:ind w:left="1417"/>
    </w:pPr>
  </w:style>
  <w:style w:type="paragraph" w:customStyle="1" w:styleId="115">
    <w:name w:val="图表目录11"/>
    <w:basedOn w:val="1"/>
    <w:next w:val="1"/>
    <w:unhideWhenUsed/>
    <w:qFormat/>
    <w:uiPriority w:val="99"/>
  </w:style>
  <w:style w:type="paragraph" w:customStyle="1" w:styleId="116">
    <w:name w:val="目录 211"/>
    <w:basedOn w:val="1"/>
    <w:next w:val="1"/>
    <w:unhideWhenUsed/>
    <w:qFormat/>
    <w:uiPriority w:val="39"/>
    <w:pPr>
      <w:spacing w:after="57"/>
      <w:ind w:left="283"/>
    </w:pPr>
  </w:style>
  <w:style w:type="paragraph" w:customStyle="1" w:styleId="117">
    <w:name w:val="目录 911"/>
    <w:basedOn w:val="1"/>
    <w:next w:val="1"/>
    <w:unhideWhenUsed/>
    <w:qFormat/>
    <w:uiPriority w:val="39"/>
    <w:pPr>
      <w:spacing w:after="57"/>
      <w:ind w:left="2268"/>
    </w:pPr>
  </w:style>
  <w:style w:type="paragraph" w:customStyle="1" w:styleId="118">
    <w:name w:val="普通(网站)12"/>
    <w:basedOn w:val="1"/>
    <w:qFormat/>
    <w:uiPriority w:val="99"/>
    <w:pPr>
      <w:widowControl/>
      <w:spacing w:before="100" w:beforeAutospacing="1" w:after="100" w:afterAutospacing="1"/>
      <w:jc w:val="left"/>
    </w:pPr>
    <w:rPr>
      <w:rFonts w:ascii="宋体" w:hAnsi="宋体" w:cs="宋体"/>
      <w:sz w:val="24"/>
    </w:rPr>
  </w:style>
  <w:style w:type="paragraph" w:customStyle="1" w:styleId="119">
    <w:name w:val="标题11"/>
    <w:basedOn w:val="1"/>
    <w:next w:val="1"/>
    <w:qFormat/>
    <w:uiPriority w:val="10"/>
    <w:pPr>
      <w:spacing w:before="300" w:after="200"/>
      <w:contextualSpacing/>
    </w:pPr>
    <w:rPr>
      <w:sz w:val="48"/>
      <w:szCs w:val="48"/>
    </w:rPr>
  </w:style>
  <w:style w:type="table" w:customStyle="1" w:styleId="120">
    <w:name w:val="网格型11"/>
    <w:qFormat/>
    <w:uiPriority w:val="59"/>
  </w:style>
  <w:style w:type="character" w:customStyle="1" w:styleId="121">
    <w:name w:val="要点1"/>
    <w:link w:val="1"/>
    <w:qFormat/>
    <w:uiPriority w:val="0"/>
    <w:rPr>
      <w:b/>
    </w:rPr>
  </w:style>
  <w:style w:type="character" w:customStyle="1" w:styleId="122">
    <w:name w:val="尾注引用11"/>
    <w:link w:val="1"/>
    <w:unhideWhenUsed/>
    <w:qFormat/>
    <w:uiPriority w:val="99"/>
    <w:rPr>
      <w:vertAlign w:val="superscript"/>
    </w:rPr>
  </w:style>
  <w:style w:type="character" w:customStyle="1" w:styleId="123">
    <w:name w:val="超链接11"/>
    <w:basedOn w:val="94"/>
    <w:link w:val="1"/>
    <w:unhideWhenUsed/>
    <w:qFormat/>
    <w:uiPriority w:val="99"/>
    <w:rPr>
      <w:color w:val="0000FF"/>
      <w:u w:val="single"/>
    </w:rPr>
  </w:style>
  <w:style w:type="character" w:customStyle="1" w:styleId="124">
    <w:name w:val="脚注引用11"/>
    <w:link w:val="1"/>
    <w:unhideWhenUsed/>
    <w:qFormat/>
    <w:uiPriority w:val="99"/>
    <w:rPr>
      <w:vertAlign w:val="superscript"/>
    </w:rPr>
  </w:style>
  <w:style w:type="table" w:customStyle="1" w:styleId="125">
    <w:name w:val="Plain Table 1"/>
    <w:basedOn w:val="95"/>
    <w:qFormat/>
    <w:uiPriority w:val="59"/>
    <w:pPr>
      <w:spacing w:after="0" w:line="240" w:lineRule="auto"/>
    </w:pPr>
  </w:style>
  <w:style w:type="table" w:customStyle="1" w:styleId="126">
    <w:name w:val="Plain Table 2"/>
    <w:basedOn w:val="95"/>
    <w:qFormat/>
    <w:uiPriority w:val="59"/>
    <w:pPr>
      <w:spacing w:after="0" w:line="240" w:lineRule="auto"/>
    </w:pPr>
  </w:style>
  <w:style w:type="table" w:customStyle="1" w:styleId="127">
    <w:name w:val="Plain Table 3"/>
    <w:basedOn w:val="95"/>
    <w:qFormat/>
    <w:uiPriority w:val="99"/>
    <w:pPr>
      <w:spacing w:after="0" w:line="240" w:lineRule="auto"/>
    </w:pPr>
  </w:style>
  <w:style w:type="table" w:customStyle="1" w:styleId="128">
    <w:name w:val="Plain Table 4"/>
    <w:basedOn w:val="95"/>
    <w:qFormat/>
    <w:uiPriority w:val="99"/>
    <w:pPr>
      <w:spacing w:after="0" w:line="240" w:lineRule="auto"/>
    </w:pPr>
  </w:style>
  <w:style w:type="table" w:customStyle="1" w:styleId="129">
    <w:name w:val="Plain Table 5"/>
    <w:basedOn w:val="95"/>
    <w:qFormat/>
    <w:uiPriority w:val="99"/>
    <w:pPr>
      <w:spacing w:after="0" w:line="240" w:lineRule="auto"/>
    </w:pPr>
  </w:style>
  <w:style w:type="table" w:customStyle="1" w:styleId="130">
    <w:name w:val="Grid Table 1 Light"/>
    <w:basedOn w:val="95"/>
    <w:qFormat/>
    <w:uiPriority w:val="99"/>
    <w:pPr>
      <w:spacing w:after="0" w:line="240" w:lineRule="auto"/>
    </w:pPr>
  </w:style>
  <w:style w:type="table" w:customStyle="1" w:styleId="131">
    <w:name w:val="Grid Table 2"/>
    <w:basedOn w:val="95"/>
    <w:qFormat/>
    <w:uiPriority w:val="99"/>
    <w:pPr>
      <w:spacing w:after="0" w:line="240" w:lineRule="auto"/>
    </w:pPr>
  </w:style>
  <w:style w:type="table" w:customStyle="1" w:styleId="132">
    <w:name w:val="Grid Table 3"/>
    <w:basedOn w:val="95"/>
    <w:qFormat/>
    <w:uiPriority w:val="99"/>
    <w:pPr>
      <w:spacing w:after="0" w:line="240" w:lineRule="auto"/>
    </w:pPr>
  </w:style>
  <w:style w:type="table" w:customStyle="1" w:styleId="133">
    <w:name w:val="Grid Table 4"/>
    <w:basedOn w:val="95"/>
    <w:qFormat/>
    <w:uiPriority w:val="59"/>
    <w:pPr>
      <w:spacing w:after="0" w:line="240" w:lineRule="auto"/>
    </w:pPr>
  </w:style>
  <w:style w:type="table" w:customStyle="1" w:styleId="134">
    <w:name w:val="Grid Table 5 Dark"/>
    <w:basedOn w:val="95"/>
    <w:qFormat/>
    <w:uiPriority w:val="99"/>
    <w:pPr>
      <w:spacing w:after="0" w:line="240" w:lineRule="auto"/>
    </w:pPr>
  </w:style>
  <w:style w:type="table" w:customStyle="1" w:styleId="135">
    <w:name w:val="Grid Table 6 Colorful"/>
    <w:basedOn w:val="95"/>
    <w:qFormat/>
    <w:uiPriority w:val="99"/>
    <w:pPr>
      <w:spacing w:after="0" w:line="240" w:lineRule="auto"/>
    </w:pPr>
  </w:style>
  <w:style w:type="table" w:customStyle="1" w:styleId="136">
    <w:name w:val="Grid Table 7 Colorful"/>
    <w:basedOn w:val="95"/>
    <w:qFormat/>
    <w:uiPriority w:val="99"/>
    <w:pPr>
      <w:spacing w:after="0" w:line="240" w:lineRule="auto"/>
    </w:pPr>
  </w:style>
  <w:style w:type="table" w:customStyle="1" w:styleId="137">
    <w:name w:val="List Table 1 Light"/>
    <w:basedOn w:val="95"/>
    <w:qFormat/>
    <w:uiPriority w:val="99"/>
    <w:pPr>
      <w:spacing w:after="0" w:line="240" w:lineRule="auto"/>
    </w:pPr>
  </w:style>
  <w:style w:type="table" w:customStyle="1" w:styleId="138">
    <w:name w:val="List Table 2"/>
    <w:basedOn w:val="95"/>
    <w:qFormat/>
    <w:uiPriority w:val="99"/>
    <w:pPr>
      <w:spacing w:after="0" w:line="240" w:lineRule="auto"/>
    </w:pPr>
  </w:style>
  <w:style w:type="table" w:customStyle="1" w:styleId="139">
    <w:name w:val="List Table 3"/>
    <w:basedOn w:val="95"/>
    <w:qFormat/>
    <w:uiPriority w:val="99"/>
    <w:pPr>
      <w:spacing w:after="0" w:line="240" w:lineRule="auto"/>
    </w:pPr>
  </w:style>
  <w:style w:type="table" w:customStyle="1" w:styleId="140">
    <w:name w:val="List Table 4"/>
    <w:basedOn w:val="95"/>
    <w:qFormat/>
    <w:uiPriority w:val="99"/>
    <w:pPr>
      <w:spacing w:after="0" w:line="240" w:lineRule="auto"/>
    </w:pPr>
  </w:style>
  <w:style w:type="table" w:customStyle="1" w:styleId="141">
    <w:name w:val="List Table 5 Dark"/>
    <w:basedOn w:val="95"/>
    <w:qFormat/>
    <w:uiPriority w:val="99"/>
    <w:pPr>
      <w:spacing w:after="0" w:line="240" w:lineRule="auto"/>
    </w:pPr>
  </w:style>
  <w:style w:type="table" w:customStyle="1" w:styleId="142">
    <w:name w:val="List Table 6 Colorful"/>
    <w:basedOn w:val="95"/>
    <w:qFormat/>
    <w:uiPriority w:val="99"/>
    <w:pPr>
      <w:spacing w:after="0" w:line="240" w:lineRule="auto"/>
    </w:pPr>
  </w:style>
  <w:style w:type="table" w:customStyle="1" w:styleId="143">
    <w:name w:val="List Table 7 Colorful"/>
    <w:basedOn w:val="95"/>
    <w:qFormat/>
    <w:uiPriority w:val="99"/>
    <w:pPr>
      <w:spacing w:after="0" w:line="240" w:lineRule="auto"/>
    </w:pPr>
  </w:style>
  <w:style w:type="paragraph" w:customStyle="1" w:styleId="144">
    <w:name w:val="TOC Heading"/>
    <w:unhideWhenUsed/>
    <w:qFormat/>
    <w:uiPriority w:val="39"/>
    <w:rPr>
      <w:rFonts w:hint="default" w:ascii="Times New Roman" w:hAnsi="Times New Roman" w:eastAsia="宋体" w:cs="Times New Roman"/>
    </w:rPr>
  </w:style>
  <w:style w:type="paragraph" w:styleId="145">
    <w:name w:val="List Paragraph"/>
    <w:basedOn w:val="1"/>
    <w:qFormat/>
    <w:uiPriority w:val="34"/>
    <w:pPr>
      <w:ind w:left="720"/>
      <w:contextualSpacing/>
    </w:pPr>
  </w:style>
  <w:style w:type="paragraph" w:styleId="146">
    <w:name w:val="No Spacing"/>
    <w:qFormat/>
    <w:uiPriority w:val="1"/>
    <w:rPr>
      <w:rFonts w:hint="default" w:ascii="Times New Roman" w:hAnsi="Times New Roman" w:eastAsia="宋体" w:cs="Times New Roman"/>
      <w:lang w:val="en-US" w:eastAsia="zh-CN" w:bidi="ar-SA"/>
    </w:rPr>
  </w:style>
  <w:style w:type="paragraph" w:styleId="147">
    <w:name w:val="Quote"/>
    <w:basedOn w:val="1"/>
    <w:next w:val="1"/>
    <w:qFormat/>
    <w:uiPriority w:val="29"/>
    <w:pPr>
      <w:ind w:left="720" w:right="720"/>
    </w:pPr>
    <w:rPr>
      <w:i/>
    </w:rPr>
  </w:style>
  <w:style w:type="paragraph" w:styleId="148">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149">
    <w:name w:val="标题 11"/>
    <w:basedOn w:val="1"/>
    <w:next w:val="1"/>
    <w:qFormat/>
    <w:uiPriority w:val="0"/>
    <w:pPr>
      <w:keepNext/>
      <w:keepLines/>
      <w:spacing w:before="340" w:after="330" w:line="578" w:lineRule="auto"/>
      <w:outlineLvl w:val="0"/>
    </w:pPr>
    <w:rPr>
      <w:b/>
      <w:bCs/>
      <w:sz w:val="44"/>
      <w:szCs w:val="44"/>
    </w:rPr>
  </w:style>
  <w:style w:type="paragraph" w:customStyle="1" w:styleId="150">
    <w:name w:val="标题 31"/>
    <w:basedOn w:val="1"/>
    <w:next w:val="1"/>
    <w:link w:val="151"/>
    <w:qFormat/>
    <w:uiPriority w:val="9"/>
    <w:pPr>
      <w:keepNext/>
      <w:keepLines/>
      <w:spacing w:before="320" w:after="200"/>
      <w:outlineLvl w:val="2"/>
    </w:pPr>
    <w:rPr>
      <w:rFonts w:ascii="Arial" w:hAnsi="Arial" w:eastAsia="Arial" w:cs="Arial"/>
      <w:sz w:val="30"/>
      <w:szCs w:val="30"/>
    </w:rPr>
  </w:style>
  <w:style w:type="character" w:customStyle="1" w:styleId="151">
    <w:name w:val="标题 3 Char"/>
    <w:link w:val="150"/>
    <w:qFormat/>
    <w:uiPriority w:val="9"/>
    <w:rPr>
      <w:rFonts w:ascii="Arial" w:hAnsi="Arial" w:eastAsia="Arial" w:cs="Arial"/>
      <w:sz w:val="30"/>
      <w:szCs w:val="30"/>
    </w:rPr>
  </w:style>
  <w:style w:type="paragraph" w:customStyle="1" w:styleId="152">
    <w:name w:val="标题 51"/>
    <w:basedOn w:val="1"/>
    <w:next w:val="1"/>
    <w:link w:val="153"/>
    <w:qFormat/>
    <w:uiPriority w:val="9"/>
    <w:pPr>
      <w:keepNext/>
      <w:keepLines/>
      <w:spacing w:before="320" w:after="200"/>
      <w:outlineLvl w:val="4"/>
    </w:pPr>
    <w:rPr>
      <w:rFonts w:ascii="Arial" w:hAnsi="Arial" w:eastAsia="Arial" w:cs="Arial"/>
      <w:b/>
      <w:bCs/>
      <w:sz w:val="24"/>
    </w:rPr>
  </w:style>
  <w:style w:type="character" w:customStyle="1" w:styleId="153">
    <w:name w:val="标题 5 Char"/>
    <w:link w:val="152"/>
    <w:qFormat/>
    <w:uiPriority w:val="9"/>
    <w:rPr>
      <w:rFonts w:ascii="Arial" w:hAnsi="Arial" w:eastAsia="Arial" w:cs="Arial"/>
      <w:b/>
      <w:bCs/>
      <w:sz w:val="24"/>
      <w:szCs w:val="24"/>
    </w:rPr>
  </w:style>
  <w:style w:type="paragraph" w:customStyle="1" w:styleId="154">
    <w:name w:val="标题 61"/>
    <w:basedOn w:val="1"/>
    <w:next w:val="1"/>
    <w:link w:val="155"/>
    <w:qFormat/>
    <w:uiPriority w:val="9"/>
    <w:pPr>
      <w:keepNext/>
      <w:keepLines/>
      <w:spacing w:before="320" w:after="200"/>
      <w:outlineLvl w:val="5"/>
    </w:pPr>
    <w:rPr>
      <w:rFonts w:ascii="Arial" w:hAnsi="Arial" w:eastAsia="Arial" w:cs="Arial"/>
      <w:b/>
      <w:bCs/>
      <w:sz w:val="22"/>
      <w:szCs w:val="22"/>
    </w:rPr>
  </w:style>
  <w:style w:type="character" w:customStyle="1" w:styleId="155">
    <w:name w:val="标题 6 Char"/>
    <w:link w:val="154"/>
    <w:qFormat/>
    <w:uiPriority w:val="9"/>
    <w:rPr>
      <w:rFonts w:ascii="Arial" w:hAnsi="Arial" w:eastAsia="Arial" w:cs="Arial"/>
      <w:b/>
      <w:bCs/>
      <w:sz w:val="22"/>
      <w:szCs w:val="22"/>
    </w:rPr>
  </w:style>
  <w:style w:type="character" w:customStyle="1" w:styleId="156">
    <w:name w:val="标题 7 Char"/>
    <w:link w:val="78"/>
    <w:qFormat/>
    <w:uiPriority w:val="9"/>
    <w:rPr>
      <w:rFonts w:ascii="Arial" w:hAnsi="Arial" w:eastAsia="Arial" w:cs="Arial"/>
      <w:b/>
      <w:bCs/>
      <w:i/>
      <w:iCs/>
      <w:sz w:val="22"/>
      <w:szCs w:val="22"/>
    </w:rPr>
  </w:style>
  <w:style w:type="paragraph" w:customStyle="1" w:styleId="157">
    <w:name w:val="标题 81"/>
    <w:basedOn w:val="1"/>
    <w:next w:val="1"/>
    <w:link w:val="158"/>
    <w:qFormat/>
    <w:uiPriority w:val="9"/>
    <w:pPr>
      <w:keepNext/>
      <w:keepLines/>
      <w:spacing w:before="320" w:after="200"/>
      <w:outlineLvl w:val="7"/>
    </w:pPr>
    <w:rPr>
      <w:rFonts w:ascii="Arial" w:hAnsi="Arial" w:eastAsia="Arial" w:cs="Arial"/>
      <w:i/>
      <w:iCs/>
      <w:sz w:val="22"/>
      <w:szCs w:val="22"/>
    </w:rPr>
  </w:style>
  <w:style w:type="character" w:customStyle="1" w:styleId="158">
    <w:name w:val="标题 8 Char"/>
    <w:link w:val="157"/>
    <w:qFormat/>
    <w:uiPriority w:val="9"/>
    <w:rPr>
      <w:rFonts w:ascii="Arial" w:hAnsi="Arial" w:eastAsia="Arial" w:cs="Arial"/>
      <w:i/>
      <w:iCs/>
      <w:sz w:val="22"/>
      <w:szCs w:val="22"/>
    </w:rPr>
  </w:style>
  <w:style w:type="paragraph" w:customStyle="1" w:styleId="159">
    <w:name w:val="标题 91"/>
    <w:basedOn w:val="1"/>
    <w:next w:val="1"/>
    <w:link w:val="160"/>
    <w:qFormat/>
    <w:uiPriority w:val="9"/>
    <w:pPr>
      <w:keepNext/>
      <w:keepLines/>
      <w:spacing w:before="320" w:after="200"/>
      <w:outlineLvl w:val="8"/>
    </w:pPr>
    <w:rPr>
      <w:rFonts w:ascii="Arial" w:hAnsi="Arial" w:eastAsia="Arial" w:cs="Arial"/>
      <w:i/>
      <w:iCs/>
      <w:szCs w:val="21"/>
    </w:rPr>
  </w:style>
  <w:style w:type="character" w:customStyle="1" w:styleId="160">
    <w:name w:val="标题 9 Char"/>
    <w:link w:val="159"/>
    <w:qFormat/>
    <w:uiPriority w:val="9"/>
    <w:rPr>
      <w:rFonts w:ascii="Arial" w:hAnsi="Arial" w:eastAsia="Arial" w:cs="Arial"/>
      <w:i/>
      <w:iCs/>
      <w:sz w:val="21"/>
      <w:szCs w:val="21"/>
    </w:rPr>
  </w:style>
  <w:style w:type="character" w:customStyle="1" w:styleId="161">
    <w:name w:val="默认段落字体1"/>
    <w:link w:val="1"/>
    <w:unhideWhenUsed/>
    <w:qFormat/>
    <w:uiPriority w:val="1"/>
  </w:style>
  <w:style w:type="table" w:customStyle="1" w:styleId="162">
    <w:name w:val="普通表格1"/>
    <w:unhideWhenUsed/>
    <w:qFormat/>
    <w:uiPriority w:val="99"/>
  </w:style>
  <w:style w:type="paragraph" w:customStyle="1" w:styleId="163">
    <w:name w:val="目录 71"/>
    <w:basedOn w:val="1"/>
    <w:next w:val="1"/>
    <w:unhideWhenUsed/>
    <w:qFormat/>
    <w:uiPriority w:val="39"/>
    <w:pPr>
      <w:spacing w:after="57"/>
      <w:ind w:left="1701"/>
    </w:pPr>
  </w:style>
  <w:style w:type="paragraph" w:customStyle="1" w:styleId="164">
    <w:name w:val="题注1"/>
    <w:basedOn w:val="1"/>
    <w:next w:val="1"/>
    <w:qFormat/>
    <w:uiPriority w:val="35"/>
    <w:pPr>
      <w:spacing w:line="276" w:lineRule="auto"/>
    </w:pPr>
    <w:rPr>
      <w:b/>
      <w:bCs/>
      <w:color w:val="4F81BD"/>
      <w:sz w:val="18"/>
      <w:szCs w:val="18"/>
    </w:rPr>
  </w:style>
  <w:style w:type="paragraph" w:customStyle="1" w:styleId="165">
    <w:name w:val="批注文字1"/>
    <w:basedOn w:val="1"/>
    <w:qFormat/>
    <w:uiPriority w:val="0"/>
    <w:pPr>
      <w:jc w:val="left"/>
    </w:pPr>
  </w:style>
  <w:style w:type="paragraph" w:customStyle="1" w:styleId="166">
    <w:name w:val="目录 51"/>
    <w:basedOn w:val="1"/>
    <w:next w:val="1"/>
    <w:unhideWhenUsed/>
    <w:qFormat/>
    <w:uiPriority w:val="39"/>
    <w:pPr>
      <w:spacing w:after="57"/>
      <w:ind w:left="1134"/>
    </w:pPr>
  </w:style>
  <w:style w:type="paragraph" w:customStyle="1" w:styleId="167">
    <w:name w:val="目录 31"/>
    <w:basedOn w:val="1"/>
    <w:next w:val="1"/>
    <w:unhideWhenUsed/>
    <w:qFormat/>
    <w:uiPriority w:val="39"/>
    <w:pPr>
      <w:spacing w:after="57"/>
      <w:ind w:left="567"/>
    </w:pPr>
  </w:style>
  <w:style w:type="paragraph" w:customStyle="1" w:styleId="168">
    <w:name w:val="纯文本1"/>
    <w:basedOn w:val="1"/>
    <w:unhideWhenUsed/>
    <w:qFormat/>
    <w:uiPriority w:val="99"/>
    <w:rPr>
      <w:rFonts w:ascii="宋体" w:hAnsi="Courier New"/>
      <w:sz w:val="20"/>
      <w:szCs w:val="20"/>
    </w:rPr>
  </w:style>
  <w:style w:type="paragraph" w:customStyle="1" w:styleId="169">
    <w:name w:val="目录 81"/>
    <w:basedOn w:val="1"/>
    <w:next w:val="1"/>
    <w:unhideWhenUsed/>
    <w:qFormat/>
    <w:uiPriority w:val="39"/>
    <w:pPr>
      <w:spacing w:after="57"/>
      <w:ind w:left="1984"/>
    </w:pPr>
  </w:style>
  <w:style w:type="paragraph" w:customStyle="1" w:styleId="170">
    <w:name w:val="日期1"/>
    <w:basedOn w:val="1"/>
    <w:next w:val="1"/>
    <w:qFormat/>
    <w:uiPriority w:val="0"/>
    <w:rPr>
      <w:rFonts w:eastAsia="仿宋_GB2312"/>
      <w:sz w:val="28"/>
      <w:szCs w:val="20"/>
    </w:rPr>
  </w:style>
  <w:style w:type="paragraph" w:customStyle="1" w:styleId="171">
    <w:name w:val="正文文本缩进 21"/>
    <w:basedOn w:val="1"/>
    <w:qFormat/>
    <w:uiPriority w:val="0"/>
    <w:pPr>
      <w:spacing w:line="10" w:lineRule="atLeast"/>
      <w:ind w:firstLine="475"/>
    </w:pPr>
    <w:rPr>
      <w:rFonts w:ascii="仿宋_GB2312" w:eastAsia="仿宋_GB2312"/>
      <w:sz w:val="24"/>
    </w:rPr>
  </w:style>
  <w:style w:type="paragraph" w:customStyle="1" w:styleId="172">
    <w:name w:val="尾注文本1"/>
    <w:basedOn w:val="1"/>
    <w:link w:val="173"/>
    <w:unhideWhenUsed/>
    <w:qFormat/>
    <w:uiPriority w:val="99"/>
    <w:rPr>
      <w:sz w:val="20"/>
    </w:rPr>
  </w:style>
  <w:style w:type="character" w:customStyle="1" w:styleId="173">
    <w:name w:val="尾注文本 Char"/>
    <w:link w:val="172"/>
    <w:qFormat/>
    <w:uiPriority w:val="99"/>
    <w:rPr>
      <w:sz w:val="20"/>
    </w:rPr>
  </w:style>
  <w:style w:type="paragraph" w:customStyle="1" w:styleId="174">
    <w:name w:val="批注框文本1"/>
    <w:basedOn w:val="1"/>
    <w:link w:val="175"/>
    <w:unhideWhenUsed/>
    <w:qFormat/>
    <w:uiPriority w:val="99"/>
    <w:rPr>
      <w:sz w:val="18"/>
      <w:szCs w:val="18"/>
    </w:rPr>
  </w:style>
  <w:style w:type="character" w:customStyle="1" w:styleId="175">
    <w:name w:val="批注框文本 Char"/>
    <w:link w:val="174"/>
    <w:semiHidden/>
    <w:qFormat/>
    <w:uiPriority w:val="99"/>
    <w:rPr>
      <w:rFonts w:ascii="Times New Roman" w:hAnsi="Times New Roman"/>
      <w:sz w:val="18"/>
      <w:szCs w:val="18"/>
    </w:rPr>
  </w:style>
  <w:style w:type="paragraph" w:customStyle="1" w:styleId="176">
    <w:name w:val="页眉1"/>
    <w:basedOn w:val="1"/>
    <w:next w:val="1"/>
    <w:qFormat/>
    <w:uiPriority w:val="0"/>
    <w:pPr>
      <w:pBdr>
        <w:bottom w:val="single" w:color="000000" w:sz="6" w:space="1"/>
      </w:pBdr>
      <w:tabs>
        <w:tab w:val="center" w:pos="4153"/>
        <w:tab w:val="right" w:pos="8306"/>
      </w:tabs>
      <w:jc w:val="center"/>
    </w:pPr>
    <w:rPr>
      <w:sz w:val="18"/>
      <w:szCs w:val="18"/>
    </w:rPr>
  </w:style>
  <w:style w:type="paragraph" w:customStyle="1" w:styleId="177">
    <w:name w:val="目录 41"/>
    <w:basedOn w:val="1"/>
    <w:next w:val="1"/>
    <w:unhideWhenUsed/>
    <w:qFormat/>
    <w:uiPriority w:val="39"/>
    <w:pPr>
      <w:spacing w:after="57"/>
      <w:ind w:left="850"/>
    </w:pPr>
  </w:style>
  <w:style w:type="paragraph" w:customStyle="1" w:styleId="178">
    <w:name w:val="副标题1"/>
    <w:basedOn w:val="1"/>
    <w:next w:val="1"/>
    <w:link w:val="179"/>
    <w:qFormat/>
    <w:uiPriority w:val="11"/>
    <w:pPr>
      <w:spacing w:before="200" w:after="200"/>
    </w:pPr>
    <w:rPr>
      <w:sz w:val="24"/>
    </w:rPr>
  </w:style>
  <w:style w:type="character" w:customStyle="1" w:styleId="179">
    <w:name w:val="副标题 Char"/>
    <w:link w:val="178"/>
    <w:qFormat/>
    <w:uiPriority w:val="11"/>
    <w:rPr>
      <w:sz w:val="24"/>
      <w:szCs w:val="24"/>
    </w:rPr>
  </w:style>
  <w:style w:type="paragraph" w:customStyle="1" w:styleId="180">
    <w:name w:val="目录 61"/>
    <w:basedOn w:val="1"/>
    <w:next w:val="1"/>
    <w:unhideWhenUsed/>
    <w:qFormat/>
    <w:uiPriority w:val="39"/>
    <w:pPr>
      <w:spacing w:after="57"/>
      <w:ind w:left="1417"/>
    </w:pPr>
  </w:style>
  <w:style w:type="paragraph" w:customStyle="1" w:styleId="181">
    <w:name w:val="图表目录1"/>
    <w:basedOn w:val="1"/>
    <w:next w:val="1"/>
    <w:unhideWhenUsed/>
    <w:qFormat/>
    <w:uiPriority w:val="99"/>
  </w:style>
  <w:style w:type="paragraph" w:customStyle="1" w:styleId="182">
    <w:name w:val="目录 21"/>
    <w:basedOn w:val="1"/>
    <w:next w:val="1"/>
    <w:unhideWhenUsed/>
    <w:qFormat/>
    <w:uiPriority w:val="39"/>
    <w:pPr>
      <w:spacing w:after="57"/>
      <w:ind w:left="283"/>
    </w:pPr>
  </w:style>
  <w:style w:type="paragraph" w:customStyle="1" w:styleId="183">
    <w:name w:val="目录 91"/>
    <w:basedOn w:val="1"/>
    <w:next w:val="1"/>
    <w:unhideWhenUsed/>
    <w:qFormat/>
    <w:uiPriority w:val="39"/>
    <w:pPr>
      <w:spacing w:after="57"/>
      <w:ind w:left="2268"/>
    </w:pPr>
  </w:style>
  <w:style w:type="paragraph" w:customStyle="1" w:styleId="184">
    <w:name w:val="普通(网站)11"/>
    <w:basedOn w:val="1"/>
    <w:qFormat/>
    <w:uiPriority w:val="0"/>
    <w:pPr>
      <w:widowControl/>
      <w:spacing w:before="100" w:beforeAutospacing="1" w:after="100" w:afterAutospacing="1"/>
      <w:jc w:val="left"/>
    </w:pPr>
    <w:rPr>
      <w:rFonts w:ascii="宋体" w:hAnsi="宋体" w:cs="宋体"/>
      <w:sz w:val="24"/>
    </w:rPr>
  </w:style>
  <w:style w:type="character" w:customStyle="1" w:styleId="185">
    <w:name w:val="标题 Char"/>
    <w:link w:val="83"/>
    <w:qFormat/>
    <w:uiPriority w:val="10"/>
    <w:rPr>
      <w:sz w:val="48"/>
      <w:szCs w:val="48"/>
    </w:rPr>
  </w:style>
  <w:style w:type="table" w:customStyle="1" w:styleId="186">
    <w:name w:val="网格型1"/>
    <w:basedOn w:val="162"/>
    <w:qFormat/>
    <w:uiPriority w:val="0"/>
    <w:pPr>
      <w:widowControl w:val="0"/>
      <w:jc w:val="both"/>
    </w:pPr>
  </w:style>
  <w:style w:type="character" w:customStyle="1" w:styleId="187">
    <w:name w:val="尾注引用1"/>
    <w:link w:val="1"/>
    <w:unhideWhenUsed/>
    <w:qFormat/>
    <w:uiPriority w:val="99"/>
    <w:rPr>
      <w:vertAlign w:val="superscript"/>
    </w:rPr>
  </w:style>
  <w:style w:type="character" w:customStyle="1" w:styleId="188">
    <w:name w:val="页码1"/>
    <w:link w:val="1"/>
    <w:qFormat/>
    <w:uiPriority w:val="0"/>
  </w:style>
  <w:style w:type="character" w:customStyle="1" w:styleId="189">
    <w:name w:val="已访问的超链接1"/>
    <w:link w:val="1"/>
    <w:unhideWhenUsed/>
    <w:qFormat/>
    <w:uiPriority w:val="99"/>
    <w:rPr>
      <w:color w:val="333333"/>
      <w:u w:val="none"/>
    </w:rPr>
  </w:style>
  <w:style w:type="character" w:customStyle="1" w:styleId="190">
    <w:name w:val="超链接1"/>
    <w:link w:val="1"/>
    <w:qFormat/>
    <w:uiPriority w:val="0"/>
    <w:rPr>
      <w:color w:val="0000FF"/>
      <w:u w:val="single"/>
    </w:rPr>
  </w:style>
  <w:style w:type="character" w:customStyle="1" w:styleId="191">
    <w:name w:val="批注引用1"/>
    <w:link w:val="1"/>
    <w:qFormat/>
    <w:uiPriority w:val="0"/>
    <w:rPr>
      <w:sz w:val="21"/>
      <w:szCs w:val="21"/>
    </w:rPr>
  </w:style>
  <w:style w:type="character" w:customStyle="1" w:styleId="192">
    <w:name w:val="脚注引用1"/>
    <w:link w:val="1"/>
    <w:unhideWhenUsed/>
    <w:qFormat/>
    <w:uiPriority w:val="99"/>
    <w:rPr>
      <w:vertAlign w:val="superscript"/>
    </w:rPr>
  </w:style>
  <w:style w:type="character" w:customStyle="1" w:styleId="193">
    <w:name w:val="Heading 1 Char"/>
    <w:link w:val="1"/>
    <w:qFormat/>
    <w:uiPriority w:val="9"/>
    <w:rPr>
      <w:rFonts w:ascii="Arial" w:hAnsi="Arial" w:eastAsia="Arial" w:cs="Arial"/>
      <w:sz w:val="40"/>
      <w:szCs w:val="40"/>
    </w:rPr>
  </w:style>
  <w:style w:type="character" w:customStyle="1" w:styleId="194">
    <w:name w:val="Endnote Text Char"/>
    <w:link w:val="1"/>
    <w:qFormat/>
    <w:uiPriority w:val="99"/>
    <w:rPr>
      <w:sz w:val="20"/>
    </w:rPr>
  </w:style>
  <w:style w:type="character" w:customStyle="1" w:styleId="195">
    <w:name w:val="Header Char"/>
    <w:link w:val="1"/>
    <w:qFormat/>
    <w:uiPriority w:val="99"/>
  </w:style>
  <w:style w:type="character" w:customStyle="1" w:styleId="196">
    <w:name w:val="Heading 6 Char"/>
    <w:link w:val="1"/>
    <w:qFormat/>
    <w:uiPriority w:val="9"/>
    <w:rPr>
      <w:rFonts w:ascii="Arial" w:hAnsi="Arial" w:eastAsia="Arial" w:cs="Arial"/>
      <w:b/>
      <w:bCs/>
      <w:sz w:val="22"/>
      <w:szCs w:val="22"/>
    </w:rPr>
  </w:style>
  <w:style w:type="character" w:customStyle="1" w:styleId="197">
    <w:name w:val="Heading 2 Char"/>
    <w:link w:val="1"/>
    <w:qFormat/>
    <w:uiPriority w:val="9"/>
    <w:rPr>
      <w:rFonts w:ascii="Arial" w:hAnsi="Arial" w:eastAsia="Arial" w:cs="Arial"/>
      <w:sz w:val="34"/>
    </w:rPr>
  </w:style>
  <w:style w:type="character" w:customStyle="1" w:styleId="198">
    <w:name w:val="Heading 4 Char"/>
    <w:link w:val="1"/>
    <w:qFormat/>
    <w:uiPriority w:val="9"/>
    <w:rPr>
      <w:rFonts w:ascii="Arial" w:hAnsi="Arial" w:eastAsia="Arial" w:cs="Arial"/>
      <w:b/>
      <w:bCs/>
      <w:sz w:val="26"/>
      <w:szCs w:val="26"/>
    </w:rPr>
  </w:style>
  <w:style w:type="character" w:customStyle="1" w:styleId="199">
    <w:name w:val="Subtitle Char"/>
    <w:link w:val="1"/>
    <w:qFormat/>
    <w:uiPriority w:val="11"/>
    <w:rPr>
      <w:sz w:val="24"/>
      <w:szCs w:val="24"/>
    </w:rPr>
  </w:style>
  <w:style w:type="character" w:customStyle="1" w:styleId="200">
    <w:name w:val="明显引用 Char"/>
    <w:link w:val="201"/>
    <w:qFormat/>
    <w:uiPriority w:val="30"/>
    <w:rPr>
      <w:i/>
    </w:rPr>
  </w:style>
  <w:style w:type="paragraph" w:customStyle="1" w:styleId="201">
    <w:name w:val="明显引用1"/>
    <w:basedOn w:val="1"/>
    <w:next w:val="1"/>
    <w:link w:val="20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02">
    <w:name w:val="Heading 8 Char"/>
    <w:link w:val="1"/>
    <w:qFormat/>
    <w:uiPriority w:val="9"/>
    <w:rPr>
      <w:rFonts w:ascii="Arial" w:hAnsi="Arial" w:eastAsia="Arial" w:cs="Arial"/>
      <w:i/>
      <w:iCs/>
      <w:sz w:val="22"/>
      <w:szCs w:val="22"/>
    </w:rPr>
  </w:style>
  <w:style w:type="character" w:customStyle="1" w:styleId="203">
    <w:name w:val="引用 Char"/>
    <w:link w:val="204"/>
    <w:qFormat/>
    <w:uiPriority w:val="29"/>
    <w:rPr>
      <w:i/>
    </w:rPr>
  </w:style>
  <w:style w:type="paragraph" w:customStyle="1" w:styleId="204">
    <w:name w:val="引用1"/>
    <w:basedOn w:val="1"/>
    <w:next w:val="1"/>
    <w:link w:val="203"/>
    <w:qFormat/>
    <w:uiPriority w:val="29"/>
    <w:pPr>
      <w:ind w:left="720" w:right="720"/>
    </w:pPr>
    <w:rPr>
      <w:i/>
    </w:rPr>
  </w:style>
  <w:style w:type="character" w:customStyle="1" w:styleId="205">
    <w:name w:val="Footnote Text Char"/>
    <w:link w:val="1"/>
    <w:qFormat/>
    <w:uiPriority w:val="99"/>
    <w:rPr>
      <w:sz w:val="18"/>
    </w:rPr>
  </w:style>
  <w:style w:type="character" w:customStyle="1" w:styleId="206">
    <w:name w:val="Heading 5 Char"/>
    <w:link w:val="1"/>
    <w:qFormat/>
    <w:uiPriority w:val="9"/>
    <w:rPr>
      <w:rFonts w:ascii="Arial" w:hAnsi="Arial" w:eastAsia="Arial" w:cs="Arial"/>
      <w:b/>
      <w:bCs/>
      <w:sz w:val="24"/>
      <w:szCs w:val="24"/>
    </w:rPr>
  </w:style>
  <w:style w:type="character" w:customStyle="1" w:styleId="207">
    <w:name w:val="Intense Quote Char"/>
    <w:link w:val="1"/>
    <w:qFormat/>
    <w:uiPriority w:val="30"/>
    <w:rPr>
      <w:i/>
    </w:rPr>
  </w:style>
  <w:style w:type="character" w:customStyle="1" w:styleId="208">
    <w:name w:val="Heading 3 Char"/>
    <w:link w:val="1"/>
    <w:qFormat/>
    <w:uiPriority w:val="9"/>
    <w:rPr>
      <w:rFonts w:ascii="Arial" w:hAnsi="Arial" w:eastAsia="Arial" w:cs="Arial"/>
      <w:sz w:val="30"/>
      <w:szCs w:val="30"/>
    </w:rPr>
  </w:style>
  <w:style w:type="character" w:customStyle="1" w:styleId="209">
    <w:name w:val="Caption Char"/>
    <w:link w:val="1"/>
    <w:qFormat/>
    <w:uiPriority w:val="99"/>
  </w:style>
  <w:style w:type="character" w:customStyle="1" w:styleId="210">
    <w:name w:val="Footer Char"/>
    <w:link w:val="1"/>
    <w:qFormat/>
    <w:uiPriority w:val="99"/>
  </w:style>
  <w:style w:type="character" w:customStyle="1" w:styleId="211">
    <w:name w:val="Quote Char"/>
    <w:link w:val="1"/>
    <w:qFormat/>
    <w:uiPriority w:val="29"/>
    <w:rPr>
      <w:i/>
    </w:rPr>
  </w:style>
  <w:style w:type="character" w:customStyle="1" w:styleId="212">
    <w:name w:val="Title Char"/>
    <w:link w:val="1"/>
    <w:qFormat/>
    <w:uiPriority w:val="10"/>
    <w:rPr>
      <w:sz w:val="48"/>
      <w:szCs w:val="48"/>
    </w:rPr>
  </w:style>
  <w:style w:type="character" w:customStyle="1" w:styleId="213">
    <w:name w:val="Heading 9 Char"/>
    <w:link w:val="1"/>
    <w:qFormat/>
    <w:uiPriority w:val="9"/>
    <w:rPr>
      <w:rFonts w:ascii="Arial" w:hAnsi="Arial" w:eastAsia="Arial" w:cs="Arial"/>
      <w:i/>
      <w:iCs/>
      <w:sz w:val="21"/>
      <w:szCs w:val="21"/>
    </w:rPr>
  </w:style>
  <w:style w:type="character" w:customStyle="1" w:styleId="214">
    <w:name w:val="Heading 7 Char"/>
    <w:link w:val="1"/>
    <w:qFormat/>
    <w:uiPriority w:val="9"/>
    <w:rPr>
      <w:rFonts w:ascii="Arial" w:hAnsi="Arial" w:eastAsia="Arial" w:cs="Arial"/>
      <w:b/>
      <w:bCs/>
      <w:i/>
      <w:iCs/>
      <w:sz w:val="22"/>
      <w:szCs w:val="22"/>
    </w:rPr>
  </w:style>
  <w:style w:type="paragraph" w:customStyle="1" w:styleId="215">
    <w:name w:val="TOC 标题1"/>
    <w:unhideWhenUsed/>
    <w:qFormat/>
    <w:uiPriority w:val="39"/>
    <w:rPr>
      <w:rFonts w:hint="default" w:ascii="Times New Roman" w:hAnsi="Times New Roman" w:eastAsia="宋体" w:cs="Times New Roman"/>
      <w:lang w:val="en-US" w:eastAsia="zh-CN" w:bidi="ar-SA"/>
    </w:rPr>
  </w:style>
  <w:style w:type="paragraph" w:customStyle="1" w:styleId="216">
    <w:name w:val="DAS正文"/>
    <w:basedOn w:val="1"/>
    <w:qFormat/>
    <w:uiPriority w:val="0"/>
    <w:pPr>
      <w:spacing w:line="360" w:lineRule="auto"/>
      <w:ind w:right="181" w:firstLine="480"/>
    </w:pPr>
    <w:rPr>
      <w:rFonts w:ascii="Verdana" w:hAnsi="Verdana"/>
      <w:sz w:val="24"/>
    </w:rPr>
  </w:style>
  <w:style w:type="paragraph" w:customStyle="1" w:styleId="217">
    <w:name w:val="UserStyle_0"/>
    <w:basedOn w:val="1"/>
    <w:next w:val="1"/>
    <w:qFormat/>
    <w:uiPriority w:val="0"/>
  </w:style>
  <w:style w:type="paragraph" w:customStyle="1" w:styleId="218">
    <w:name w:val="列出段落"/>
    <w:basedOn w:val="1"/>
    <w:qFormat/>
    <w:uiPriority w:val="34"/>
    <w:pPr>
      <w:ind w:left="720"/>
      <w:contextualSpacing/>
    </w:pPr>
  </w:style>
  <w:style w:type="paragraph" w:customStyle="1" w:styleId="219">
    <w:name w:val="TOC 标题11"/>
    <w:unhideWhenUsed/>
    <w:qFormat/>
    <w:uiPriority w:val="39"/>
    <w:rPr>
      <w:rFonts w:hint="default" w:ascii="Times New Roman" w:hAnsi="Times New Roman" w:eastAsia="宋体" w:cs="Times New Roman"/>
      <w:lang w:val="en-US" w:eastAsia="zh-CN" w:bidi="ar-SA"/>
    </w:rPr>
  </w:style>
  <w:style w:type="paragraph" w:customStyle="1" w:styleId="220">
    <w:name w:val="普通(网站)1"/>
    <w:basedOn w:val="22"/>
    <w:qFormat/>
    <w:uiPriority w:val="0"/>
    <w:pPr>
      <w:widowControl/>
      <w:spacing w:before="100" w:beforeAutospacing="1" w:after="100" w:afterAutospacing="1"/>
      <w:jc w:val="left"/>
    </w:pPr>
    <w:rPr>
      <w:rFonts w:ascii="宋体" w:hAnsi="宋体"/>
      <w:sz w:val="24"/>
    </w:rPr>
  </w:style>
  <w:style w:type="paragraph" w:customStyle="1" w:styleId="221">
    <w:name w:val="默认段落字体 Para Char Char Char Char Char Char Char"/>
    <w:basedOn w:val="1"/>
    <w:qFormat/>
    <w:uiPriority w:val="0"/>
    <w:rPr>
      <w:rFonts w:ascii="Tahoma" w:hAnsi="Tahoma"/>
      <w:sz w:val="24"/>
      <w:szCs w:val="20"/>
    </w:rPr>
  </w:style>
  <w:style w:type="paragraph" w:customStyle="1" w:styleId="222">
    <w:name w:val="普通正文"/>
    <w:basedOn w:val="1"/>
    <w:qFormat/>
    <w:uiPriority w:val="0"/>
    <w:pPr>
      <w:spacing w:before="120" w:after="120" w:line="360" w:lineRule="auto"/>
      <w:ind w:firstLine="480"/>
      <w:jc w:val="left"/>
    </w:pPr>
    <w:rPr>
      <w:rFonts w:ascii="Arial" w:hAnsi="Arial"/>
      <w:sz w:val="24"/>
    </w:rPr>
  </w:style>
  <w:style w:type="paragraph" w:customStyle="1" w:styleId="223">
    <w:name w:val="Char"/>
    <w:basedOn w:val="1"/>
    <w:qFormat/>
    <w:uiPriority w:val="0"/>
    <w:pPr>
      <w:tabs>
        <w:tab w:val="left" w:pos="360"/>
      </w:tabs>
    </w:pPr>
    <w:rPr>
      <w:sz w:val="24"/>
    </w:rPr>
  </w:style>
  <w:style w:type="paragraph" w:customStyle="1" w:styleId="224">
    <w:name w:val="_HT_正文"/>
    <w:basedOn w:val="1"/>
    <w:qFormat/>
    <w:uiPriority w:val="0"/>
    <w:pPr>
      <w:spacing w:line="360" w:lineRule="auto"/>
      <w:ind w:firstLine="200"/>
    </w:pPr>
    <w:rPr>
      <w:sz w:val="24"/>
    </w:rPr>
  </w:style>
  <w:style w:type="paragraph" w:customStyle="1" w:styleId="225">
    <w:name w:val="p0"/>
    <w:basedOn w:val="1"/>
    <w:qFormat/>
    <w:uiPriority w:val="0"/>
    <w:pPr>
      <w:widowControl/>
    </w:pPr>
    <w:rPr>
      <w:szCs w:val="21"/>
    </w:rPr>
  </w:style>
  <w:style w:type="paragraph" w:customStyle="1" w:styleId="226">
    <w:name w:val="无间隔2"/>
    <w:qFormat/>
    <w:uiPriority w:val="1"/>
    <w:rPr>
      <w:rFonts w:hint="default" w:ascii="Times New Roman" w:hAnsi="Times New Roman" w:eastAsia="宋体" w:cs="Times New Roman"/>
      <w:lang w:val="en-US" w:eastAsia="zh-CN" w:bidi="ar-SA"/>
    </w:rPr>
  </w:style>
  <w:style w:type="paragraph" w:customStyle="1" w:styleId="227">
    <w:name w:val="正文49"/>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228">
    <w:name w:val="投标文件正文"/>
    <w:basedOn w:val="1"/>
    <w:qFormat/>
    <w:uiPriority w:val="0"/>
    <w:pPr>
      <w:spacing w:before="40" w:after="40" w:line="400" w:lineRule="exact"/>
      <w:ind w:firstLine="200"/>
    </w:pPr>
    <w:rPr>
      <w:sz w:val="24"/>
    </w:rPr>
  </w:style>
  <w:style w:type="table" w:customStyle="1" w:styleId="229">
    <w:name w:val="List Table 5 Dark - Accent 6"/>
    <w:basedOn w:val="162"/>
    <w:qFormat/>
    <w:uiPriority w:val="99"/>
  </w:style>
  <w:style w:type="table" w:customStyle="1" w:styleId="230">
    <w:name w:val="Grid Table 1 Light - Accent 3"/>
    <w:basedOn w:val="162"/>
    <w:qFormat/>
    <w:uiPriority w:val="99"/>
  </w:style>
  <w:style w:type="table" w:customStyle="1" w:styleId="231">
    <w:name w:val="Grid Table 1 Light - Accent 2"/>
    <w:basedOn w:val="162"/>
    <w:qFormat/>
    <w:uiPriority w:val="99"/>
  </w:style>
  <w:style w:type="table" w:customStyle="1" w:styleId="232">
    <w:name w:val="List Table 3 - Accent 3"/>
    <w:basedOn w:val="162"/>
    <w:qFormat/>
    <w:uiPriority w:val="99"/>
  </w:style>
  <w:style w:type="table" w:customStyle="1" w:styleId="233">
    <w:name w:val="Grid Table 2 - Accent 1"/>
    <w:basedOn w:val="162"/>
    <w:qFormat/>
    <w:uiPriority w:val="99"/>
  </w:style>
  <w:style w:type="table" w:customStyle="1" w:styleId="234">
    <w:name w:val="Bordered - Accent 4"/>
    <w:basedOn w:val="162"/>
    <w:qFormat/>
    <w:uiPriority w:val="99"/>
  </w:style>
  <w:style w:type="table" w:customStyle="1" w:styleId="235">
    <w:name w:val="Grid Table 1 Light - Accent 5"/>
    <w:basedOn w:val="162"/>
    <w:qFormat/>
    <w:uiPriority w:val="99"/>
  </w:style>
  <w:style w:type="table" w:customStyle="1" w:styleId="236">
    <w:name w:val="Grid Table 2 - Accent 5"/>
    <w:basedOn w:val="162"/>
    <w:qFormat/>
    <w:uiPriority w:val="99"/>
  </w:style>
  <w:style w:type="table" w:customStyle="1" w:styleId="237">
    <w:name w:val="List Table 4 - Accent 2"/>
    <w:basedOn w:val="162"/>
    <w:qFormat/>
    <w:uiPriority w:val="99"/>
  </w:style>
  <w:style w:type="table" w:customStyle="1" w:styleId="238">
    <w:name w:val="Grid Table 5 Dark - Accent 2"/>
    <w:basedOn w:val="162"/>
    <w:qFormat/>
    <w:uiPriority w:val="99"/>
  </w:style>
  <w:style w:type="table" w:customStyle="1" w:styleId="239">
    <w:name w:val="清单表 1 浅色1"/>
    <w:basedOn w:val="162"/>
    <w:qFormat/>
    <w:uiPriority w:val="99"/>
  </w:style>
  <w:style w:type="table" w:customStyle="1" w:styleId="240">
    <w:name w:val="List Table 2 - Accent 1"/>
    <w:basedOn w:val="162"/>
    <w:qFormat/>
    <w:uiPriority w:val="99"/>
  </w:style>
  <w:style w:type="table" w:customStyle="1" w:styleId="241">
    <w:name w:val="List Table 6 Colorful - Accent 1"/>
    <w:basedOn w:val="162"/>
    <w:qFormat/>
    <w:uiPriority w:val="99"/>
  </w:style>
  <w:style w:type="table" w:customStyle="1" w:styleId="242">
    <w:name w:val="Grid Table 1 Light - Accent 1"/>
    <w:basedOn w:val="162"/>
    <w:qFormat/>
    <w:uiPriority w:val="99"/>
  </w:style>
  <w:style w:type="table" w:customStyle="1" w:styleId="243">
    <w:name w:val="Grid Table 3 - Accent 3"/>
    <w:basedOn w:val="162"/>
    <w:qFormat/>
    <w:uiPriority w:val="99"/>
  </w:style>
  <w:style w:type="table" w:customStyle="1" w:styleId="244">
    <w:name w:val="Bordered &amp; Lined - Accent 4"/>
    <w:basedOn w:val="162"/>
    <w:qFormat/>
    <w:uiPriority w:val="99"/>
    <w:rPr>
      <w:color w:val="404040"/>
    </w:rPr>
  </w:style>
  <w:style w:type="table" w:customStyle="1" w:styleId="245">
    <w:name w:val="List Table 2 - Accent 2"/>
    <w:basedOn w:val="162"/>
    <w:qFormat/>
    <w:uiPriority w:val="99"/>
  </w:style>
  <w:style w:type="table" w:customStyle="1" w:styleId="246">
    <w:name w:val="清单表 5 深色1"/>
    <w:basedOn w:val="162"/>
    <w:qFormat/>
    <w:uiPriority w:val="99"/>
  </w:style>
  <w:style w:type="table" w:customStyle="1" w:styleId="247">
    <w:name w:val="Lined - Accent 5"/>
    <w:basedOn w:val="162"/>
    <w:qFormat/>
    <w:uiPriority w:val="99"/>
    <w:rPr>
      <w:color w:val="404040"/>
    </w:rPr>
  </w:style>
  <w:style w:type="table" w:customStyle="1" w:styleId="248">
    <w:name w:val="Bordered - Accent 6"/>
    <w:basedOn w:val="162"/>
    <w:qFormat/>
    <w:uiPriority w:val="99"/>
  </w:style>
  <w:style w:type="table" w:customStyle="1" w:styleId="249">
    <w:name w:val="清单表 6 彩色1"/>
    <w:basedOn w:val="162"/>
    <w:qFormat/>
    <w:uiPriority w:val="99"/>
  </w:style>
  <w:style w:type="table" w:customStyle="1" w:styleId="250">
    <w:name w:val="Grid Table 5 Dark- Accent 1"/>
    <w:basedOn w:val="162"/>
    <w:qFormat/>
    <w:uiPriority w:val="99"/>
  </w:style>
  <w:style w:type="table" w:customStyle="1" w:styleId="251">
    <w:name w:val="Grid Table 6 Colorful - Accent 6"/>
    <w:basedOn w:val="162"/>
    <w:qFormat/>
    <w:uiPriority w:val="99"/>
  </w:style>
  <w:style w:type="table" w:customStyle="1" w:styleId="252">
    <w:name w:val="List Table 3 - Accent 5"/>
    <w:basedOn w:val="162"/>
    <w:qFormat/>
    <w:uiPriority w:val="99"/>
  </w:style>
  <w:style w:type="table" w:customStyle="1" w:styleId="253">
    <w:name w:val="Grid Table 4 - Accent 6"/>
    <w:basedOn w:val="162"/>
    <w:qFormat/>
    <w:uiPriority w:val="59"/>
  </w:style>
  <w:style w:type="table" w:customStyle="1" w:styleId="254">
    <w:name w:val="Bordered - Accent 3"/>
    <w:basedOn w:val="162"/>
    <w:qFormat/>
    <w:uiPriority w:val="99"/>
  </w:style>
  <w:style w:type="table" w:customStyle="1" w:styleId="255">
    <w:name w:val="List Table 4 - Accent 3"/>
    <w:basedOn w:val="162"/>
    <w:qFormat/>
    <w:uiPriority w:val="99"/>
  </w:style>
  <w:style w:type="table" w:customStyle="1" w:styleId="256">
    <w:name w:val="网格表 5 深色1"/>
    <w:basedOn w:val="162"/>
    <w:qFormat/>
    <w:uiPriority w:val="99"/>
  </w:style>
  <w:style w:type="table" w:customStyle="1" w:styleId="257">
    <w:name w:val="Grid Table 2 - Accent 6"/>
    <w:basedOn w:val="162"/>
    <w:qFormat/>
    <w:uiPriority w:val="99"/>
  </w:style>
  <w:style w:type="table" w:customStyle="1" w:styleId="258">
    <w:name w:val="List Table 4 - Accent 4"/>
    <w:basedOn w:val="162"/>
    <w:qFormat/>
    <w:uiPriority w:val="99"/>
  </w:style>
  <w:style w:type="table" w:customStyle="1" w:styleId="259">
    <w:name w:val="Lined - Accent 3"/>
    <w:basedOn w:val="162"/>
    <w:qFormat/>
    <w:uiPriority w:val="99"/>
    <w:rPr>
      <w:color w:val="404040"/>
    </w:rPr>
  </w:style>
  <w:style w:type="table" w:customStyle="1" w:styleId="260">
    <w:name w:val="Grid Table 2 - Accent 2"/>
    <w:basedOn w:val="162"/>
    <w:qFormat/>
    <w:uiPriority w:val="99"/>
  </w:style>
  <w:style w:type="table" w:customStyle="1" w:styleId="261">
    <w:name w:val="Grid Table 7 Colorful - Accent 3"/>
    <w:basedOn w:val="162"/>
    <w:qFormat/>
    <w:uiPriority w:val="99"/>
  </w:style>
  <w:style w:type="table" w:customStyle="1" w:styleId="262">
    <w:name w:val="网格表 31"/>
    <w:basedOn w:val="162"/>
    <w:qFormat/>
    <w:uiPriority w:val="99"/>
  </w:style>
  <w:style w:type="table" w:customStyle="1" w:styleId="263">
    <w:name w:val="List Table 5 Dark - Accent 2"/>
    <w:basedOn w:val="162"/>
    <w:qFormat/>
    <w:uiPriority w:val="99"/>
  </w:style>
  <w:style w:type="table" w:customStyle="1" w:styleId="264">
    <w:name w:val="List Table 1 Light - Accent 5"/>
    <w:basedOn w:val="162"/>
    <w:qFormat/>
    <w:uiPriority w:val="99"/>
  </w:style>
  <w:style w:type="table" w:customStyle="1" w:styleId="265">
    <w:name w:val="List Table 1 Light - Accent 2"/>
    <w:basedOn w:val="162"/>
    <w:qFormat/>
    <w:uiPriority w:val="99"/>
  </w:style>
  <w:style w:type="table" w:customStyle="1" w:styleId="266">
    <w:name w:val="无格式表格 31"/>
    <w:basedOn w:val="162"/>
    <w:qFormat/>
    <w:uiPriority w:val="99"/>
  </w:style>
  <w:style w:type="table" w:customStyle="1" w:styleId="267">
    <w:name w:val="Bordered &amp; Lined - Accent 2"/>
    <w:basedOn w:val="162"/>
    <w:qFormat/>
    <w:uiPriority w:val="99"/>
    <w:rPr>
      <w:color w:val="404040"/>
    </w:rPr>
  </w:style>
  <w:style w:type="table" w:customStyle="1" w:styleId="268">
    <w:name w:val="网格表 1 浅色1"/>
    <w:basedOn w:val="162"/>
    <w:qFormat/>
    <w:uiPriority w:val="99"/>
  </w:style>
  <w:style w:type="table" w:customStyle="1" w:styleId="269">
    <w:name w:val="网格表 6 彩色1"/>
    <w:basedOn w:val="162"/>
    <w:qFormat/>
    <w:uiPriority w:val="99"/>
  </w:style>
  <w:style w:type="table" w:customStyle="1" w:styleId="270">
    <w:name w:val="List Table 1 Light - Accent 3"/>
    <w:basedOn w:val="162"/>
    <w:qFormat/>
    <w:uiPriority w:val="99"/>
  </w:style>
  <w:style w:type="table" w:customStyle="1" w:styleId="271">
    <w:name w:val="Lined - Accent 2"/>
    <w:basedOn w:val="162"/>
    <w:qFormat/>
    <w:uiPriority w:val="99"/>
    <w:rPr>
      <w:color w:val="404040"/>
    </w:rPr>
  </w:style>
  <w:style w:type="table" w:customStyle="1" w:styleId="272">
    <w:name w:val="List Table 6 Colorful - Accent 4"/>
    <w:basedOn w:val="162"/>
    <w:qFormat/>
    <w:uiPriority w:val="99"/>
  </w:style>
  <w:style w:type="table" w:customStyle="1" w:styleId="273">
    <w:name w:val="Grid Table 6 Colorful - Accent 3"/>
    <w:basedOn w:val="162"/>
    <w:qFormat/>
    <w:uiPriority w:val="99"/>
  </w:style>
  <w:style w:type="table" w:customStyle="1" w:styleId="274">
    <w:name w:val="List Table 5 Dark - Accent 5"/>
    <w:basedOn w:val="162"/>
    <w:qFormat/>
    <w:uiPriority w:val="99"/>
  </w:style>
  <w:style w:type="table" w:customStyle="1" w:styleId="275">
    <w:name w:val="无格式表格 51"/>
    <w:basedOn w:val="162"/>
    <w:qFormat/>
    <w:uiPriority w:val="99"/>
  </w:style>
  <w:style w:type="table" w:customStyle="1" w:styleId="276">
    <w:name w:val="List Table 7 Colorful - Accent 3"/>
    <w:basedOn w:val="162"/>
    <w:qFormat/>
    <w:uiPriority w:val="99"/>
  </w:style>
  <w:style w:type="table" w:customStyle="1" w:styleId="277">
    <w:name w:val="Grid Table 4 - Accent 2"/>
    <w:basedOn w:val="162"/>
    <w:qFormat/>
    <w:uiPriority w:val="59"/>
  </w:style>
  <w:style w:type="table" w:customStyle="1" w:styleId="278">
    <w:name w:val="List Table 3 - Accent 2"/>
    <w:basedOn w:val="162"/>
    <w:qFormat/>
    <w:uiPriority w:val="99"/>
  </w:style>
  <w:style w:type="table" w:customStyle="1" w:styleId="279">
    <w:name w:val="网格表 41"/>
    <w:basedOn w:val="162"/>
    <w:qFormat/>
    <w:uiPriority w:val="59"/>
  </w:style>
  <w:style w:type="table" w:customStyle="1" w:styleId="280">
    <w:name w:val="Bordered &amp; Lined - Accent 3"/>
    <w:basedOn w:val="162"/>
    <w:qFormat/>
    <w:uiPriority w:val="99"/>
    <w:rPr>
      <w:color w:val="404040"/>
    </w:rPr>
  </w:style>
  <w:style w:type="table" w:customStyle="1" w:styleId="281">
    <w:name w:val="List Table 4 - Accent 6"/>
    <w:basedOn w:val="162"/>
    <w:qFormat/>
    <w:uiPriority w:val="99"/>
  </w:style>
  <w:style w:type="table" w:customStyle="1" w:styleId="282">
    <w:name w:val="Grid Table 5 Dark - Accent 6"/>
    <w:basedOn w:val="162"/>
    <w:qFormat/>
    <w:uiPriority w:val="99"/>
  </w:style>
  <w:style w:type="table" w:customStyle="1" w:styleId="283">
    <w:name w:val="Lined - Accent 6"/>
    <w:basedOn w:val="162"/>
    <w:qFormat/>
    <w:uiPriority w:val="99"/>
    <w:rPr>
      <w:color w:val="404040"/>
    </w:rPr>
  </w:style>
  <w:style w:type="table" w:customStyle="1" w:styleId="284">
    <w:name w:val="List Table 6 Colorful - Accent 5"/>
    <w:basedOn w:val="162"/>
    <w:qFormat/>
    <w:uiPriority w:val="99"/>
  </w:style>
  <w:style w:type="table" w:customStyle="1" w:styleId="285">
    <w:name w:val="List Table 7 Colorful - Accent 1"/>
    <w:basedOn w:val="162"/>
    <w:qFormat/>
    <w:uiPriority w:val="99"/>
  </w:style>
  <w:style w:type="table" w:customStyle="1" w:styleId="286">
    <w:name w:val="Bordered &amp; Lined - Accent 1"/>
    <w:basedOn w:val="162"/>
    <w:qFormat/>
    <w:uiPriority w:val="99"/>
    <w:rPr>
      <w:color w:val="404040"/>
    </w:rPr>
  </w:style>
  <w:style w:type="table" w:customStyle="1" w:styleId="287">
    <w:name w:val="List Table 1 Light - Accent 6"/>
    <w:basedOn w:val="162"/>
    <w:qFormat/>
    <w:uiPriority w:val="99"/>
  </w:style>
  <w:style w:type="table" w:customStyle="1" w:styleId="288">
    <w:name w:val="Grid Table 6 Colorful - Accent 2"/>
    <w:basedOn w:val="162"/>
    <w:qFormat/>
    <w:uiPriority w:val="99"/>
  </w:style>
  <w:style w:type="table" w:customStyle="1" w:styleId="289">
    <w:name w:val="Bordered"/>
    <w:basedOn w:val="162"/>
    <w:qFormat/>
    <w:uiPriority w:val="99"/>
  </w:style>
  <w:style w:type="table" w:customStyle="1" w:styleId="290">
    <w:name w:val="网格表 7 彩色1"/>
    <w:basedOn w:val="162"/>
    <w:qFormat/>
    <w:uiPriority w:val="99"/>
  </w:style>
  <w:style w:type="table" w:customStyle="1" w:styleId="291">
    <w:name w:val="Grid Table 1 Light - Accent 4"/>
    <w:basedOn w:val="162"/>
    <w:qFormat/>
    <w:uiPriority w:val="99"/>
  </w:style>
  <w:style w:type="table" w:customStyle="1" w:styleId="292">
    <w:name w:val="List Table 3 - Accent 1"/>
    <w:basedOn w:val="162"/>
    <w:qFormat/>
    <w:uiPriority w:val="99"/>
  </w:style>
  <w:style w:type="table" w:customStyle="1" w:styleId="293">
    <w:name w:val="Grid Table 3 - Accent 6"/>
    <w:basedOn w:val="162"/>
    <w:qFormat/>
    <w:uiPriority w:val="99"/>
  </w:style>
  <w:style w:type="table" w:customStyle="1" w:styleId="294">
    <w:name w:val="Grid Table 3 - Accent 1"/>
    <w:basedOn w:val="162"/>
    <w:qFormat/>
    <w:uiPriority w:val="99"/>
  </w:style>
  <w:style w:type="table" w:customStyle="1" w:styleId="295">
    <w:name w:val="List Table 4 - Accent 5"/>
    <w:basedOn w:val="162"/>
    <w:qFormat/>
    <w:uiPriority w:val="99"/>
  </w:style>
  <w:style w:type="table" w:customStyle="1" w:styleId="296">
    <w:name w:val="Grid Table 7 Colorful - Accent 1"/>
    <w:basedOn w:val="162"/>
    <w:qFormat/>
    <w:uiPriority w:val="99"/>
  </w:style>
  <w:style w:type="table" w:customStyle="1" w:styleId="297">
    <w:name w:val="List Table 2 - Accent 6"/>
    <w:basedOn w:val="162"/>
    <w:qFormat/>
    <w:uiPriority w:val="99"/>
  </w:style>
  <w:style w:type="table" w:customStyle="1" w:styleId="298">
    <w:name w:val="List Table 6 Colorful - Accent 2"/>
    <w:basedOn w:val="162"/>
    <w:qFormat/>
    <w:uiPriority w:val="99"/>
  </w:style>
  <w:style w:type="table" w:customStyle="1" w:styleId="299">
    <w:name w:val="Bordered &amp; Lined - Accent 6"/>
    <w:basedOn w:val="162"/>
    <w:qFormat/>
    <w:uiPriority w:val="99"/>
    <w:rPr>
      <w:color w:val="404040"/>
    </w:rPr>
  </w:style>
  <w:style w:type="table" w:customStyle="1" w:styleId="300">
    <w:name w:val="Bordered - Accent 5"/>
    <w:basedOn w:val="162"/>
    <w:qFormat/>
    <w:uiPriority w:val="99"/>
  </w:style>
  <w:style w:type="table" w:customStyle="1" w:styleId="301">
    <w:name w:val="List Table 2 - Accent 4"/>
    <w:basedOn w:val="162"/>
    <w:qFormat/>
    <w:uiPriority w:val="99"/>
  </w:style>
  <w:style w:type="table" w:customStyle="1" w:styleId="302">
    <w:name w:val="List Table 3 - Accent 6"/>
    <w:basedOn w:val="162"/>
    <w:qFormat/>
    <w:uiPriority w:val="99"/>
  </w:style>
  <w:style w:type="table" w:customStyle="1" w:styleId="303">
    <w:name w:val="List Table 2 - Accent 3"/>
    <w:basedOn w:val="162"/>
    <w:qFormat/>
    <w:uiPriority w:val="99"/>
  </w:style>
  <w:style w:type="table" w:customStyle="1" w:styleId="304">
    <w:name w:val="List Table 5 Dark - Accent 3"/>
    <w:basedOn w:val="162"/>
    <w:qFormat/>
    <w:uiPriority w:val="99"/>
  </w:style>
  <w:style w:type="table" w:customStyle="1" w:styleId="305">
    <w:name w:val="无格式表格 41"/>
    <w:basedOn w:val="162"/>
    <w:qFormat/>
    <w:uiPriority w:val="99"/>
  </w:style>
  <w:style w:type="table" w:customStyle="1" w:styleId="306">
    <w:name w:val="Grid Table 7 Colorful - Accent 2"/>
    <w:basedOn w:val="162"/>
    <w:qFormat/>
    <w:uiPriority w:val="99"/>
  </w:style>
  <w:style w:type="table" w:customStyle="1" w:styleId="307">
    <w:name w:val="Grid Table 3 - Accent 5"/>
    <w:basedOn w:val="162"/>
    <w:qFormat/>
    <w:uiPriority w:val="99"/>
  </w:style>
  <w:style w:type="table" w:customStyle="1" w:styleId="308">
    <w:name w:val="Grid Table 2 - Accent 3"/>
    <w:basedOn w:val="162"/>
    <w:qFormat/>
    <w:uiPriority w:val="99"/>
  </w:style>
  <w:style w:type="table" w:customStyle="1" w:styleId="309">
    <w:name w:val="List Table 2 - Accent 5"/>
    <w:basedOn w:val="162"/>
    <w:qFormat/>
    <w:uiPriority w:val="99"/>
  </w:style>
  <w:style w:type="table" w:customStyle="1" w:styleId="310">
    <w:name w:val="Bordered - Accent 1"/>
    <w:basedOn w:val="162"/>
    <w:qFormat/>
    <w:uiPriority w:val="99"/>
  </w:style>
  <w:style w:type="table" w:customStyle="1" w:styleId="311">
    <w:name w:val="List Table 1 Light - Accent 4"/>
    <w:basedOn w:val="162"/>
    <w:qFormat/>
    <w:uiPriority w:val="99"/>
  </w:style>
  <w:style w:type="table" w:customStyle="1" w:styleId="312">
    <w:name w:val="Grid Table 4 - Accent 5"/>
    <w:basedOn w:val="162"/>
    <w:qFormat/>
    <w:uiPriority w:val="59"/>
  </w:style>
  <w:style w:type="table" w:customStyle="1" w:styleId="313">
    <w:name w:val="无格式表格 21"/>
    <w:basedOn w:val="162"/>
    <w:qFormat/>
    <w:uiPriority w:val="59"/>
  </w:style>
  <w:style w:type="table" w:customStyle="1" w:styleId="314">
    <w:name w:val="Grid Table 5 Dark - Accent 3"/>
    <w:basedOn w:val="162"/>
    <w:qFormat/>
    <w:uiPriority w:val="99"/>
  </w:style>
  <w:style w:type="table" w:customStyle="1" w:styleId="315">
    <w:name w:val="Grid Table 3 - Accent 4"/>
    <w:basedOn w:val="162"/>
    <w:qFormat/>
    <w:uiPriority w:val="99"/>
  </w:style>
  <w:style w:type="table" w:customStyle="1" w:styleId="316">
    <w:name w:val="清单表 21"/>
    <w:basedOn w:val="162"/>
    <w:qFormat/>
    <w:uiPriority w:val="99"/>
  </w:style>
  <w:style w:type="table" w:customStyle="1" w:styleId="317">
    <w:name w:val="Grid Table 7 Colorful - Accent 4"/>
    <w:basedOn w:val="162"/>
    <w:qFormat/>
    <w:uiPriority w:val="99"/>
  </w:style>
  <w:style w:type="table" w:customStyle="1" w:styleId="318">
    <w:name w:val="Grid Table 1 Light - Accent 6"/>
    <w:basedOn w:val="162"/>
    <w:qFormat/>
    <w:uiPriority w:val="99"/>
  </w:style>
  <w:style w:type="table" w:customStyle="1" w:styleId="319">
    <w:name w:val="Bordered &amp; Lined - Accent"/>
    <w:basedOn w:val="162"/>
    <w:qFormat/>
    <w:uiPriority w:val="99"/>
    <w:rPr>
      <w:color w:val="404040"/>
    </w:rPr>
  </w:style>
  <w:style w:type="table" w:customStyle="1" w:styleId="320">
    <w:name w:val="清单表 41"/>
    <w:basedOn w:val="162"/>
    <w:qFormat/>
    <w:uiPriority w:val="99"/>
  </w:style>
  <w:style w:type="table" w:customStyle="1" w:styleId="321">
    <w:name w:val="List Table 7 Colorful - Accent 2"/>
    <w:basedOn w:val="162"/>
    <w:qFormat/>
    <w:uiPriority w:val="99"/>
  </w:style>
  <w:style w:type="table" w:customStyle="1" w:styleId="322">
    <w:name w:val="Grid Table 7 Colorful - Accent 5"/>
    <w:basedOn w:val="162"/>
    <w:qFormat/>
    <w:uiPriority w:val="99"/>
  </w:style>
  <w:style w:type="table" w:customStyle="1" w:styleId="323">
    <w:name w:val="Lined - Accent"/>
    <w:basedOn w:val="162"/>
    <w:qFormat/>
    <w:uiPriority w:val="99"/>
    <w:rPr>
      <w:color w:val="404040"/>
    </w:rPr>
  </w:style>
  <w:style w:type="table" w:customStyle="1" w:styleId="324">
    <w:name w:val="无格式表格 11"/>
    <w:basedOn w:val="162"/>
    <w:qFormat/>
    <w:uiPriority w:val="59"/>
  </w:style>
  <w:style w:type="table" w:customStyle="1" w:styleId="325">
    <w:name w:val="Grid Table 6 Colorful - Accent 5"/>
    <w:basedOn w:val="162"/>
    <w:qFormat/>
    <w:uiPriority w:val="99"/>
  </w:style>
  <w:style w:type="table" w:customStyle="1" w:styleId="326">
    <w:name w:val="List Table 7 Colorful - Accent 4"/>
    <w:basedOn w:val="162"/>
    <w:qFormat/>
    <w:uiPriority w:val="99"/>
  </w:style>
  <w:style w:type="table" w:customStyle="1" w:styleId="327">
    <w:name w:val="List Table 6 Colorful - Accent 3"/>
    <w:basedOn w:val="162"/>
    <w:qFormat/>
    <w:uiPriority w:val="99"/>
  </w:style>
  <w:style w:type="table" w:customStyle="1" w:styleId="328">
    <w:name w:val="List Table 7 Colorful - Accent 6"/>
    <w:basedOn w:val="162"/>
    <w:qFormat/>
    <w:uiPriority w:val="99"/>
  </w:style>
  <w:style w:type="table" w:customStyle="1" w:styleId="329">
    <w:name w:val="清单表 31"/>
    <w:basedOn w:val="162"/>
    <w:qFormat/>
    <w:uiPriority w:val="99"/>
  </w:style>
  <w:style w:type="table" w:customStyle="1" w:styleId="330">
    <w:name w:val="Grid Table 5 Dark - Accent 5"/>
    <w:basedOn w:val="162"/>
    <w:qFormat/>
    <w:uiPriority w:val="99"/>
  </w:style>
  <w:style w:type="table" w:customStyle="1" w:styleId="331">
    <w:name w:val="List Table 5 Dark - Accent 1"/>
    <w:basedOn w:val="162"/>
    <w:qFormat/>
    <w:uiPriority w:val="99"/>
  </w:style>
  <w:style w:type="table" w:customStyle="1" w:styleId="332">
    <w:name w:val="Bordered - Accent 2"/>
    <w:basedOn w:val="162"/>
    <w:qFormat/>
    <w:uiPriority w:val="99"/>
  </w:style>
  <w:style w:type="table" w:customStyle="1" w:styleId="333">
    <w:name w:val="List Table 1 Light - Accent 1"/>
    <w:basedOn w:val="162"/>
    <w:qFormat/>
    <w:uiPriority w:val="99"/>
  </w:style>
  <w:style w:type="table" w:customStyle="1" w:styleId="334">
    <w:name w:val="List Table 3 - Accent 4"/>
    <w:basedOn w:val="162"/>
    <w:qFormat/>
    <w:uiPriority w:val="99"/>
  </w:style>
  <w:style w:type="table" w:customStyle="1" w:styleId="335">
    <w:name w:val="Grid Table 6 Colorful - Accent 4"/>
    <w:basedOn w:val="162"/>
    <w:qFormat/>
    <w:uiPriority w:val="99"/>
  </w:style>
  <w:style w:type="table" w:customStyle="1" w:styleId="336">
    <w:name w:val="Grid Table 4 - Accent 4"/>
    <w:basedOn w:val="162"/>
    <w:qFormat/>
    <w:uiPriority w:val="59"/>
  </w:style>
  <w:style w:type="table" w:customStyle="1" w:styleId="337">
    <w:name w:val="List Table 4 - Accent 1"/>
    <w:basedOn w:val="162"/>
    <w:qFormat/>
    <w:uiPriority w:val="99"/>
  </w:style>
  <w:style w:type="table" w:customStyle="1" w:styleId="338">
    <w:name w:val="Grid Table 7 Colorful - Accent 6"/>
    <w:basedOn w:val="162"/>
    <w:qFormat/>
    <w:uiPriority w:val="99"/>
  </w:style>
  <w:style w:type="table" w:customStyle="1" w:styleId="339">
    <w:name w:val="Grid Table 2 - Accent 4"/>
    <w:basedOn w:val="162"/>
    <w:qFormat/>
    <w:uiPriority w:val="99"/>
  </w:style>
  <w:style w:type="table" w:customStyle="1" w:styleId="340">
    <w:name w:val="Table Grid Light"/>
    <w:basedOn w:val="162"/>
    <w:qFormat/>
    <w:uiPriority w:val="59"/>
  </w:style>
  <w:style w:type="table" w:customStyle="1" w:styleId="341">
    <w:name w:val="Grid Table 4 - Accent 1"/>
    <w:basedOn w:val="162"/>
    <w:qFormat/>
    <w:uiPriority w:val="59"/>
  </w:style>
  <w:style w:type="table" w:customStyle="1" w:styleId="342">
    <w:name w:val="Grid Table 6 Colorful - Accent 1"/>
    <w:basedOn w:val="162"/>
    <w:qFormat/>
    <w:uiPriority w:val="99"/>
  </w:style>
  <w:style w:type="table" w:customStyle="1" w:styleId="343">
    <w:name w:val="List Table 7 Colorful - Accent 5"/>
    <w:basedOn w:val="162"/>
    <w:qFormat/>
    <w:uiPriority w:val="99"/>
  </w:style>
  <w:style w:type="table" w:customStyle="1" w:styleId="344">
    <w:name w:val="List Table 5 Dark - Accent 4"/>
    <w:basedOn w:val="162"/>
    <w:qFormat/>
    <w:uiPriority w:val="99"/>
  </w:style>
  <w:style w:type="table" w:customStyle="1" w:styleId="345">
    <w:name w:val="网格表 21"/>
    <w:basedOn w:val="162"/>
    <w:qFormat/>
    <w:uiPriority w:val="99"/>
  </w:style>
  <w:style w:type="table" w:customStyle="1" w:styleId="346">
    <w:name w:val="Grid Table 4 - Accent 3"/>
    <w:basedOn w:val="162"/>
    <w:qFormat/>
    <w:uiPriority w:val="59"/>
  </w:style>
  <w:style w:type="table" w:customStyle="1" w:styleId="347">
    <w:name w:val="Lined - Accent 1"/>
    <w:basedOn w:val="162"/>
    <w:qFormat/>
    <w:uiPriority w:val="99"/>
    <w:rPr>
      <w:color w:val="404040"/>
    </w:rPr>
  </w:style>
  <w:style w:type="table" w:customStyle="1" w:styleId="348">
    <w:name w:val="Grid Table 3 - Accent 2"/>
    <w:basedOn w:val="162"/>
    <w:qFormat/>
    <w:uiPriority w:val="99"/>
  </w:style>
  <w:style w:type="table" w:customStyle="1" w:styleId="349">
    <w:name w:val="清单表 7 彩色1"/>
    <w:basedOn w:val="162"/>
    <w:qFormat/>
    <w:uiPriority w:val="99"/>
  </w:style>
  <w:style w:type="table" w:customStyle="1" w:styleId="350">
    <w:name w:val="Lined - Accent 4"/>
    <w:basedOn w:val="162"/>
    <w:qFormat/>
    <w:uiPriority w:val="99"/>
    <w:rPr>
      <w:color w:val="404040"/>
    </w:rPr>
  </w:style>
  <w:style w:type="table" w:customStyle="1" w:styleId="351">
    <w:name w:val="Grid Table 5 Dark- Accent 4"/>
    <w:basedOn w:val="162"/>
    <w:qFormat/>
    <w:uiPriority w:val="99"/>
  </w:style>
  <w:style w:type="table" w:customStyle="1" w:styleId="352">
    <w:name w:val="Bordered &amp; Lined - Accent 5"/>
    <w:basedOn w:val="162"/>
    <w:qFormat/>
    <w:uiPriority w:val="99"/>
    <w:rPr>
      <w:color w:val="404040"/>
    </w:rPr>
  </w:style>
  <w:style w:type="table" w:customStyle="1" w:styleId="353">
    <w:name w:val="List Table 6 Colorful - Accent 6"/>
    <w:basedOn w:val="162"/>
    <w:qFormat/>
    <w:uiPriority w:val="99"/>
  </w:style>
  <w:style w:type="character" w:customStyle="1" w:styleId="354">
    <w:name w:val="NormalCharacter"/>
    <w:semiHidden/>
    <w:qFormat/>
    <w:uiPriority w:val="0"/>
    <w:rPr>
      <w:sz w:val="28"/>
      <w:lang w:val="en-US" w:eastAsia="zh-CN" w:bidi="ar-SA"/>
    </w:rPr>
  </w:style>
  <w:style w:type="paragraph" w:customStyle="1" w:styleId="355">
    <w:name w:val="首行缩进"/>
    <w:basedOn w:val="61"/>
    <w:next w:val="1"/>
    <w:qFormat/>
    <w:uiPriority w:val="0"/>
    <w:pPr>
      <w:ind w:firstLine="480"/>
    </w:pPr>
    <w:rPr>
      <w:sz w:val="20"/>
      <w:szCs w:val="20"/>
      <w:lang w:val="zh-CN"/>
    </w:rPr>
  </w:style>
  <w:style w:type="paragraph" w:customStyle="1" w:styleId="356">
    <w:name w:val="纯文本2"/>
    <w:basedOn w:val="20"/>
    <w:qFormat/>
    <w:uiPriority w:val="0"/>
    <w:rPr>
      <w:rFonts w:ascii="宋体" w:hAnsi="Courier New"/>
      <w:sz w:val="20"/>
      <w:szCs w:val="20"/>
    </w:rPr>
  </w:style>
  <w:style w:type="table" w:customStyle="1" w:styleId="357">
    <w:name w:val="Table Normal"/>
    <w:unhideWhenUsed/>
    <w:qFormat/>
    <w:uiPriority w:val="0"/>
    <w:tblPr>
      <w:tblCellMar>
        <w:top w:w="0" w:type="dxa"/>
        <w:left w:w="0" w:type="dxa"/>
        <w:bottom w:w="0" w:type="dxa"/>
        <w:right w:w="0" w:type="dxa"/>
      </w:tblCellMar>
    </w:tblPr>
  </w:style>
  <w:style w:type="paragraph" w:customStyle="1" w:styleId="358">
    <w:name w:val="纯文本11"/>
    <w:qFormat/>
    <w:uiPriority w:val="0"/>
    <w:pPr>
      <w:widowControl w:val="0"/>
      <w:jc w:val="both"/>
    </w:pPr>
    <w:rPr>
      <w:rFonts w:hint="default" w:ascii="宋体" w:hAnsi="Courier New" w:eastAsia="宋体" w:cs="Times New Roman"/>
      <w:sz w:val="24"/>
      <w:szCs w:val="22"/>
      <w:lang w:val="en-US" w:eastAsia="zh-CN" w:bidi="ar-SA"/>
    </w:rPr>
  </w:style>
  <w:style w:type="paragraph" w:customStyle="1" w:styleId="359">
    <w:name w:val="样式正文3"/>
    <w:qFormat/>
    <w:uiPriority w:val="0"/>
    <w:pPr>
      <w:widowControl w:val="0"/>
      <w:spacing w:after="0" w:line="360" w:lineRule="auto"/>
      <w:ind w:firstLine="560"/>
      <w:jc w:val="both"/>
    </w:pPr>
    <w:rPr>
      <w:rFonts w:hint="default" w:ascii="宋体" w:hAnsi="宋体" w:eastAsia="宋体" w:cs="Times New Roman"/>
      <w:sz w:val="28"/>
      <w:szCs w:val="28"/>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Pages>83</Pages>
  <Words>14620</Words>
  <Characters>15509</Characters>
  <TotalTime>0</TotalTime>
  <ScaleCrop>false</ScaleCrop>
  <LinksUpToDate>false</LinksUpToDate>
  <CharactersWithSpaces>15576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2023-11-17T14:31:00Z</dcterms:created>
  <dc:creator>x</dc:creator>
  <cp:lastModifiedBy>瑞阳及中鸿亿博专用</cp:lastModifiedBy>
  <dcterms:modified xsi:type="dcterms:W3CDTF">2026-06-23T07:20:54Z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A3FC0027060D41D7936D63A53D2FFD9F_13</vt:lpwstr>
  </property>
  <property fmtid="{D5CDD505-2E9C-101B-9397-08002B2CF9AE}" pid="4" name="KSOTemplateDocerSaveRecord">
    <vt:lpwstr>eyJoZGlkIjoiMTM4ZWI2MTk2ZTM3MTgxMTEzMDE4ZWE1ZmExYjViNmIiLCJ1c2VySWQiOiIxMTQwMzg1MzY5In0=</vt:lpwstr>
  </property>
</Properties>
</file>