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76"/>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976"/>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76"/>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 xml:space="preserve">（</w:t>
      </w:r>
      <w:r>
        <w:rPr>
          <w:rFonts w:hint="eastAsia" w:ascii="黑体" w:hAnsi="华文中宋" w:eastAsia="黑体"/>
          <w:bCs/>
          <w:color w:val="000000"/>
          <w:spacing w:val="20"/>
          <w:sz w:val="52"/>
          <w:szCs w:val="52"/>
          <w:highlight w:val="none"/>
          <w:shd w:val="clear" w:color="ffffff" w:fill="d9d9d9"/>
          <w:lang w:val="en-US" w:eastAsia="zh-CN"/>
        </w:rPr>
        <w:t xml:space="preserve">暗标</w:t>
      </w:r>
      <w:r>
        <w:rPr>
          <w:rFonts w:hint="eastAsia" w:ascii="黑体" w:hAnsi="华文中宋" w:eastAsia="黑体"/>
          <w:bCs/>
          <w:color w:val="000000"/>
          <w:spacing w:val="20"/>
          <w:sz w:val="52"/>
          <w:szCs w:val="52"/>
          <w:highlight w:val="none"/>
          <w:shd w:val="clear" w:color="ffffff" w:fill="d9d9d9"/>
          <w:lang w:eastAsia="zh-CN"/>
        </w:rPr>
        <w:t xml:space="preserve">）</w:t>
      </w:r>
      <w:r/>
    </w:p>
    <w:p>
      <w:pPr>
        <w:pStyle w:val="97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项目编号：JSZC-320211-JZCG-G2026-0006</w:t>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项目名称：无锡市第二中医医院物业服务外包</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人：无锡市第二中医医院</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w:t>
      </w:r>
      <w:r>
        <w:rPr>
          <w:rFonts w:hint="eastAsia" w:ascii="黑体" w:hAnsi="华文中宋" w:eastAsia="黑体"/>
          <w:bCs/>
          <w:color w:val="000000"/>
          <w:sz w:val="32"/>
          <w:szCs w:val="32"/>
          <w:highlight w:val="none"/>
          <w:lang w:val="en-US" w:eastAsia="zh-CN"/>
        </w:rPr>
        <w:t xml:space="preserve">滨湖区</w:t>
      </w:r>
      <w:r>
        <w:rPr>
          <w:rFonts w:hint="eastAsia" w:ascii="黑体" w:hAnsi="华文中宋" w:eastAsia="黑体"/>
          <w:bCs/>
          <w:color w:val="000000"/>
          <w:sz w:val="32"/>
          <w:szCs w:val="32"/>
          <w:highlight w:val="none"/>
        </w:rPr>
        <w:t xml:space="preserve">公共资源交易中心</w:t>
      </w:r>
      <w:r/>
    </w:p>
    <w:p>
      <w:pPr>
        <w:pStyle w:val="97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五</w:t>
      </w:r>
      <w:r>
        <w:rPr>
          <w:rFonts w:hint="eastAsia" w:ascii="黑体" w:hAnsi="华文中宋" w:eastAsia="黑体"/>
          <w:bCs/>
          <w:color w:val="000000"/>
          <w:sz w:val="32"/>
          <w:szCs w:val="32"/>
          <w:highlight w:val="none"/>
        </w:rPr>
        <w:t xml:space="preserve">月</w:t>
      </w:r>
      <w:r/>
    </w:p>
    <w:p>
      <w:pPr>
        <w:pStyle w:val="976"/>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bookmarkStart w:id="6" w:name="_Toc35393791"/>
      <w:r/>
      <w:bookmarkStart w:id="7" w:name="_Toc28359080"/>
      <w:r/>
      <w:bookmarkStart w:id="8" w:name="_Toc38985264"/>
      <w:r/>
      <w:bookmarkStart w:id="9" w:name="_Toc28359003"/>
      <w:r/>
      <w:bookmarkStart w:id="10" w:name="_Toc35393622"/>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无锡市第二中医医院</w:t>
      </w:r>
      <w:r>
        <w:rPr>
          <w:rFonts w:hint="eastAsia" w:ascii="宋体" w:hAnsi="宋体"/>
          <w:color w:val="000000"/>
          <w:sz w:val="24"/>
          <w:szCs w:val="24"/>
          <w:highlight w:val="none"/>
        </w:rPr>
        <w:t xml:space="preserve">的委托，无锡市</w:t>
      </w:r>
      <w:r>
        <w:rPr>
          <w:rFonts w:hint="eastAsia" w:ascii="宋体" w:hAnsi="宋体"/>
          <w:color w:val="000000"/>
          <w:sz w:val="24"/>
          <w:szCs w:val="24"/>
          <w:highlight w:val="none"/>
          <w:lang w:val="en-US" w:eastAsia="zh-CN"/>
        </w:rPr>
        <w:t xml:space="preserve">滨湖区</w:t>
      </w:r>
      <w:r>
        <w:rPr>
          <w:rFonts w:hint="eastAsia" w:ascii="宋体" w:hAnsi="宋体"/>
          <w:color w:val="000000"/>
          <w:sz w:val="24"/>
          <w:szCs w:val="24"/>
          <w:highlight w:val="none"/>
        </w:rPr>
        <w:t xml:space="preserve">公共资源交易中心就</w:t>
      </w:r>
      <w:r>
        <w:rPr>
          <w:rFonts w:hint="eastAsia" w:ascii="宋体" w:hAnsi="宋体"/>
          <w:color w:val="000000"/>
          <w:sz w:val="24"/>
          <w:szCs w:val="24"/>
          <w:highlight w:val="none"/>
          <w:lang w:val="en-US" w:eastAsia="zh-CN"/>
        </w:rPr>
        <w:t xml:space="preserve">无锡市第二中医医院物业服务外包项目</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val="en-US" w:eastAsia="zh-CN"/>
        </w:rPr>
        <w:t xml:space="preserve">无锡市第二中医医院物业服务外包</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12</w:t>
      </w:r>
      <w:r>
        <w:rPr>
          <w:rFonts w:hint="eastAsia" w:ascii="宋体" w:hAnsi="宋体"/>
          <w:b/>
          <w:bCs/>
          <w:color w:val="0000ff"/>
          <w:sz w:val="24"/>
          <w:szCs w:val="24"/>
          <w:highlight w:val="none"/>
        </w:rPr>
        <w:t xml:space="preserve">日</w:t>
      </w:r>
      <w:r>
        <w:rPr>
          <w:rFonts w:hint="eastAsia" w:ascii="宋体" w:hAnsi="宋体"/>
          <w:b/>
          <w:bCs/>
          <w:color w:val="000000"/>
          <w:sz w:val="24"/>
          <w:szCs w:val="24"/>
          <w:highlight w:val="none"/>
        </w:rPr>
        <w:t xml:space="preserve">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91"/>
        <w:ind w:firstLine="452"/>
        <w:keepLines w:val="0"/>
        <w:keepNext w:val="0"/>
        <w:spacing w:before="0" w:after="0" w:line="500" w:lineRule="exact"/>
        <w:rPr>
          <w:color w:val="000000"/>
          <w:sz w:val="30"/>
          <w:szCs w:val="30"/>
          <w:highlight w:val="none"/>
        </w:rPr>
      </w:pPr>
      <w:r/>
      <w:bookmarkStart w:id="11" w:name="_Toc38985263"/>
      <w:r/>
      <w:bookmarkStart w:id="12" w:name="_Toc35393621"/>
      <w:r/>
      <w:bookmarkStart w:id="13" w:name="_Toc28359002"/>
      <w:r/>
      <w:bookmarkStart w:id="14" w:name="_Toc28359079"/>
      <w:r/>
      <w:bookmarkStart w:id="15" w:name="_Toc35393790"/>
      <w:r/>
      <w:bookmarkStart w:id="16" w:name="_Hlk24379207"/>
      <w:r>
        <w:rPr>
          <w:rFonts w:hint="eastAsia"/>
          <w:color w:val="000000"/>
          <w:sz w:val="30"/>
          <w:szCs w:val="30"/>
          <w:highlight w:val="none"/>
        </w:rPr>
        <w:t xml:space="preserve">一、项目基本情况</w:t>
      </w:r>
      <w:bookmarkEnd w:id="11"/>
      <w:r/>
      <w:bookmarkEnd w:id="12"/>
      <w:r/>
      <w:bookmarkEnd w:id="13"/>
      <w:r/>
      <w:bookmarkEnd w:id="14"/>
      <w:r/>
      <w:bookmarkEnd w:id="15"/>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1.项目编号：JSZC-320211-JZCG-G2026-0006</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2.项目名称：无锡市第二中医医院物业服务外包</w:t>
      </w:r>
      <w:bookmarkEnd w:id="16"/>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900</w:t>
      </w:r>
      <w:r>
        <w:rPr>
          <w:rFonts w:hint="eastAsia" w:ascii="宋体" w:hAnsi="宋体"/>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lang w:val="en-US" w:eastAsia="zh-CN"/>
        </w:rPr>
        <w:t xml:space="preserve"> 881.5007</w:t>
      </w:r>
      <w:r>
        <w:rPr>
          <w:rFonts w:hint="eastAsia" w:ascii="宋体" w:hAnsi="宋体"/>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6"/>
      <w:r/>
      <w:bookmarkEnd w:id="7"/>
      <w:r/>
      <w:bookmarkEnd w:id="8"/>
      <w:r/>
      <w:bookmarkEnd w:id="9"/>
      <w:r/>
      <w:bookmarkEnd w:id="10"/>
      <w:r/>
      <w:r/>
    </w:p>
    <w:p>
      <w:pPr>
        <w:ind w:firstLine="480"/>
        <w:spacing w:line="500" w:lineRule="exact"/>
        <w:rPr>
          <w:rFonts w:ascii="宋体" w:hAnsi="宋体"/>
          <w:color w:val="00000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500" w:lineRule="exact"/>
        <w:rPr>
          <w:rStyle w:val="965"/>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
          <w:bCs w:val="0"/>
          <w:color w:val="0000ff"/>
          <w:sz w:val="24"/>
          <w:szCs w:val="24"/>
          <w:highlight w:val="none"/>
        </w:rPr>
        <w:t xml:space="preserve">202</w:t>
      </w:r>
      <w:r>
        <w:rPr>
          <w:rFonts w:hint="eastAsia" w:ascii="宋体" w:hAnsi="宋体"/>
          <w:b/>
          <w:bCs w:val="0"/>
          <w:color w:val="0000ff"/>
          <w:sz w:val="24"/>
          <w:szCs w:val="24"/>
          <w:highlight w:val="none"/>
          <w:lang w:val="en-US" w:eastAsia="zh-CN"/>
        </w:rPr>
        <w:t xml:space="preserve">6</w:t>
      </w:r>
      <w:r>
        <w:rPr>
          <w:rFonts w:hint="eastAsia" w:ascii="宋体" w:hAnsi="宋体"/>
          <w:b/>
          <w:bCs w:val="0"/>
          <w:color w:val="0000ff"/>
          <w:sz w:val="24"/>
          <w:szCs w:val="24"/>
          <w:highlight w:val="none"/>
        </w:rPr>
        <w:t xml:space="preserve">年</w:t>
      </w:r>
      <w:r>
        <w:rPr>
          <w:rFonts w:hint="eastAsia" w:ascii="宋体" w:hAnsi="宋体"/>
          <w:b/>
          <w:bCs w:val="0"/>
          <w:color w:val="0000ff"/>
          <w:sz w:val="24"/>
          <w:szCs w:val="24"/>
          <w:highlight w:val="none"/>
          <w:lang w:val="en-US" w:eastAsia="zh-CN"/>
        </w:rPr>
        <w:t xml:space="preserve">06</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12</w:t>
      </w:r>
      <w:r>
        <w:rPr>
          <w:rFonts w:hint="eastAsia" w:ascii="宋体" w:hAnsi="宋体"/>
          <w:b/>
          <w:bCs w:val="0"/>
          <w:color w:val="0000ff"/>
          <w:sz w:val="24"/>
          <w:szCs w:val="24"/>
          <w:highlight w:val="none"/>
        </w:rPr>
        <w:t xml:space="preserve">日</w:t>
      </w:r>
      <w:r>
        <w:rPr>
          <w:rFonts w:hint="eastAsia" w:ascii="宋体" w:hAnsi="宋体"/>
          <w:b/>
          <w:bCs w:val="0"/>
          <w:color w:val="000000"/>
          <w:sz w:val="24"/>
          <w:szCs w:val="24"/>
          <w:highlight w:val="none"/>
        </w:rPr>
        <w:t xml:space="preserve">09点30分</w:t>
      </w:r>
      <w:r>
        <w:rPr>
          <w:rFonts w:hint="eastAsia" w:ascii="宋体" w:hAnsi="宋体"/>
          <w:bCs/>
          <w:color w:val="000000"/>
          <w:sz w:val="24"/>
          <w:szCs w:val="24"/>
          <w:highlight w:val="none"/>
        </w:rPr>
        <w:t xml:space="preserve">（北京时间）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891"/>
        <w:ind w:firstLine="452"/>
        <w:keepLines w:val="0"/>
        <w:keepNext w:val="0"/>
        <w:spacing w:before="0" w:after="0" w:line="500" w:lineRule="exact"/>
        <w:rPr>
          <w:color w:val="000000"/>
          <w:sz w:val="30"/>
          <w:szCs w:val="30"/>
          <w:highlight w:val="none"/>
        </w:rPr>
      </w:pPr>
      <w:r/>
      <w:bookmarkStart w:id="27" w:name="_Toc28359084"/>
      <w:r/>
      <w:bookmarkStart w:id="28" w:name="_Toc28359007"/>
      <w:r/>
      <w:bookmarkStart w:id="29" w:name="_Toc38985267"/>
      <w:r/>
      <w:bookmarkStart w:id="30" w:name="_Toc35393625"/>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91"/>
        <w:ind w:firstLine="452"/>
        <w:keepLines w:val="0"/>
        <w:keepNext w:val="0"/>
        <w:spacing w:before="0" w:after="0" w:line="500" w:lineRule="exact"/>
        <w:rPr>
          <w:color w:val="000000"/>
          <w:sz w:val="30"/>
          <w:szCs w:val="30"/>
          <w:highlight w:val="none"/>
        </w:rPr>
      </w:pPr>
      <w:r/>
      <w:bookmarkStart w:id="35" w:name="_Toc35393796"/>
      <w:r/>
      <w:bookmarkStart w:id="36" w:name="_Toc35393627"/>
      <w:r/>
      <w:bookmarkStart w:id="37" w:name="_Toc38985269"/>
      <w:r/>
      <w:bookmarkStart w:id="38" w:name="_Toc28359008"/>
      <w:r/>
      <w:bookmarkStart w:id="39" w:name="_Toc28359085"/>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356"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56"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rPr>
        <w:t xml:space="preserve">  徐鹏飞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名称：无锡市第二中医医院</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联系人：殷丹燕</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联系电话：15306179955</w:t>
      </w:r>
      <w:r/>
    </w:p>
    <w:p>
      <w:pPr>
        <w:ind w:firstLine="480"/>
        <w:jc w:val="left"/>
        <w:spacing w:line="356"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联系地址：滨湖区太湖街道信成道390号</w:t>
      </w:r>
      <w:r/>
    </w:p>
    <w:p>
      <w:pPr>
        <w:pStyle w:val="89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513029202"/>
      <w:r/>
      <w:bookmarkStart w:id="42" w:name="_Toc16938518"/>
      <w:r/>
      <w:bookmarkStart w:id="43" w:name="_Toc20823274"/>
      <w:r/>
      <w:bookmarkStart w:id="44" w:name="_Toc120614213"/>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891"/>
        <w:ind w:firstLine="452"/>
        <w:keepLines w:val="0"/>
        <w:keepNext w:val="0"/>
        <w:spacing w:before="0" w:after="0" w:line="500" w:lineRule="exact"/>
        <w:rPr>
          <w:rFonts w:hint="eastAsia"/>
          <w:color w:val="000000"/>
          <w:sz w:val="30"/>
          <w:szCs w:val="30"/>
          <w:highlight w:val="none"/>
        </w:rPr>
      </w:pPr>
      <w:r/>
      <w:bookmarkStart w:id="45" w:name="_Toc120614214"/>
      <w:r/>
      <w:bookmarkStart w:id="46" w:name="_Toc513029203"/>
      <w:r/>
      <w:bookmarkStart w:id="47" w:name="_Toc16938519"/>
      <w:r/>
      <w:bookmarkStart w:id="48" w:name="_Toc20823275"/>
      <w:r>
        <w:rPr>
          <w:rFonts w:hint="eastAsia"/>
          <w:color w:val="000000"/>
          <w:sz w:val="30"/>
          <w:szCs w:val="30"/>
          <w:highlight w:val="none"/>
        </w:rPr>
        <w:t xml:space="preserve">一、总则</w:t>
      </w:r>
      <w:bookmarkEnd w:id="45"/>
      <w:r/>
      <w:bookmarkEnd w:id="46"/>
      <w:r/>
      <w:bookmarkEnd w:id="47"/>
      <w:r/>
      <w:bookmarkEnd w:id="48"/>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53" w:name="_Toc513029205"/>
      <w:r/>
      <w:bookmarkStart w:id="54" w:name="_Toc20823277"/>
      <w:r/>
      <w:bookmarkStart w:id="55" w:name="_Toc16938521"/>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56" w:name="_Toc513029206"/>
      <w:r/>
      <w:bookmarkStart w:id="57" w:name="_Toc16938522"/>
      <w:r/>
      <w:bookmarkStart w:id="58" w:name="_Toc20823278"/>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59" w:name="_Toc513029207"/>
      <w:r/>
      <w:bookmarkStart w:id="60" w:name="_Toc462564067"/>
      <w:r/>
      <w:bookmarkStart w:id="61" w:name="_Toc20823279"/>
      <w:r/>
      <w:bookmarkStart w:id="62" w:name="_Toc16938523"/>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无锡市滨湖区公共资源交易中心</w:t>
      </w:r>
      <w:r>
        <w:rPr>
          <w:rFonts w:hint="eastAsia" w:ascii="宋体" w:hAnsi="宋体"/>
          <w:color w:val="000000"/>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891"/>
        <w:ind w:firstLine="452"/>
        <w:keepLines w:val="0"/>
        <w:keepNext w:val="0"/>
        <w:spacing w:before="0" w:after="0" w:line="500" w:lineRule="exact"/>
        <w:rPr>
          <w:rFonts w:hint="eastAsia"/>
          <w:color w:val="000000"/>
          <w:sz w:val="30"/>
          <w:szCs w:val="30"/>
          <w:highlight w:val="none"/>
        </w:rPr>
      </w:pPr>
      <w:r/>
      <w:bookmarkStart w:id="63" w:name="_Toc120614215"/>
      <w:r/>
      <w:bookmarkStart w:id="64" w:name="_Toc513029209"/>
      <w:r/>
      <w:bookmarkStart w:id="65" w:name="_Toc16938525"/>
      <w:r/>
      <w:bookmarkStart w:id="66" w:name="_Toc20823281"/>
      <w:r>
        <w:rPr>
          <w:rFonts w:hint="eastAsia"/>
          <w:color w:val="000000"/>
          <w:sz w:val="30"/>
          <w:szCs w:val="30"/>
          <w:highlight w:val="none"/>
        </w:rPr>
        <w:t xml:space="preserve">二、招标文件</w:t>
      </w:r>
      <w:bookmarkEnd w:id="63"/>
      <w:r/>
      <w:bookmarkEnd w:id="64"/>
      <w:r/>
      <w:bookmarkEnd w:id="65"/>
      <w:r/>
      <w:bookmarkEnd w:id="66"/>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67" w:name="_Toc20823282"/>
      <w:r/>
      <w:bookmarkStart w:id="68" w:name="_Toc513029210"/>
      <w:r/>
      <w:bookmarkStart w:id="69" w:name="_Toc16938526"/>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70" w:name="_Toc16938527"/>
      <w:r/>
      <w:bookmarkStart w:id="71" w:name="_Toc20823283"/>
      <w:r/>
      <w:bookmarkStart w:id="72" w:name="_Toc513029211"/>
      <w:r/>
      <w:bookmarkStart w:id="73" w:name="_Toc462564070"/>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74" w:name="_Toc462564071"/>
      <w:r/>
      <w:bookmarkStart w:id="75" w:name="_Toc513029212"/>
      <w:r/>
      <w:bookmarkStart w:id="76" w:name="_Toc20823284"/>
      <w:r/>
      <w:bookmarkStart w:id="77" w:name="_Toc16938528"/>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891"/>
        <w:ind w:firstLine="452"/>
        <w:keepLines w:val="0"/>
        <w:keepNext w:val="0"/>
        <w:spacing w:before="0" w:after="0" w:line="500" w:lineRule="exact"/>
        <w:rPr>
          <w:rFonts w:hint="eastAsia"/>
          <w:color w:val="000000"/>
          <w:sz w:val="30"/>
          <w:szCs w:val="30"/>
          <w:highlight w:val="none"/>
        </w:rPr>
      </w:pPr>
      <w:r/>
      <w:bookmarkStart w:id="78" w:name="_Toc120614216"/>
      <w:r/>
      <w:bookmarkStart w:id="79" w:name="_Toc513029213"/>
      <w:r/>
      <w:bookmarkStart w:id="80" w:name="_Toc462564072"/>
      <w:r/>
      <w:bookmarkStart w:id="81" w:name="_Toc20823285"/>
      <w:r/>
      <w:bookmarkStart w:id="82" w:name="_Toc16938529"/>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83" w:name="_Toc16938530"/>
      <w:r/>
      <w:bookmarkStart w:id="84" w:name="_Toc462564073"/>
      <w:r/>
      <w:bookmarkStart w:id="85" w:name="_Toc513029214"/>
      <w:r/>
      <w:bookmarkStart w:id="86" w:name="_Toc20823286"/>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87" w:name="_Toc20823287"/>
      <w:r/>
      <w:bookmarkStart w:id="88" w:name="_Toc462564074"/>
      <w:r/>
      <w:bookmarkStart w:id="89" w:name="_Toc16938531"/>
      <w:r/>
      <w:bookmarkStart w:id="90" w:name="_Toc513029215"/>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不得有体现投标人身份的内容是指：</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10.4.4不得有其他体现投标人身份的内容。</w:t>
      </w:r>
      <w:r/>
    </w:p>
    <w:p>
      <w:pPr>
        <w:ind w:firstLine="361"/>
        <w:spacing w:line="440" w:lineRule="exact"/>
        <w:rPr>
          <w:rFonts w:hint="eastAsia" w:ascii="宋体" w:hAnsi="宋体" w:eastAsia="宋体" w:cs="宋体"/>
          <w:sz w:val="24"/>
          <w:highlight w:val="none"/>
        </w:rPr>
      </w:pPr>
      <w:r>
        <w:rPr>
          <w:rFonts w:hint="eastAsia" w:ascii="宋体" w:hAnsi="宋体" w:eastAsia="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91" w:name="_Hlt26670360"/>
      <w:r/>
      <w:bookmarkEnd w:id="91"/>
      <w:r/>
      <w:bookmarkStart w:id="92" w:name="_Hlt26954838"/>
      <w:r/>
      <w:bookmarkEnd w:id="92"/>
      <w:r/>
      <w:bookmarkStart w:id="93" w:name="_Hlt26668975"/>
      <w:r/>
      <w:bookmarkEnd w:id="93"/>
      <w:r/>
      <w:bookmarkStart w:id="94" w:name="_Toc14577357"/>
      <w:r/>
      <w:bookmarkStart w:id="95" w:name="_Toc513029219"/>
      <w:r/>
      <w:bookmarkStart w:id="96" w:name="_Toc49090509"/>
      <w:r/>
      <w:bookmarkStart w:id="97" w:name="_Toc513029216"/>
      <w:r/>
      <w:bookmarkStart w:id="98" w:name="_Toc14577354"/>
      <w:r/>
      <w:bookmarkStart w:id="99" w:name="_Toc49090507"/>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06" w:name="_Hlt26954844"/>
      <w:r/>
      <w:bookmarkEnd w:id="106"/>
      <w:r/>
      <w:bookmarkStart w:id="107" w:name="_Hlt26670403"/>
      <w:r/>
      <w:bookmarkEnd w:id="107"/>
      <w:r/>
      <w:bookmarkStart w:id="108" w:name="_Hlt26668983"/>
      <w:r/>
      <w:bookmarkEnd w:id="108"/>
      <w:r/>
      <w:bookmarkStart w:id="109" w:name="_Hlt26954731"/>
      <w:r/>
      <w:bookmarkEnd w:id="109"/>
      <w:r/>
      <w:bookmarkStart w:id="110" w:name="_Hlt26670486"/>
      <w:r/>
      <w:bookmarkEnd w:id="110"/>
      <w:r/>
      <w:bookmarkStart w:id="111" w:name="_Hlt26954842"/>
      <w:r/>
      <w:bookmarkEnd w:id="111"/>
      <w:r/>
      <w:bookmarkStart w:id="112" w:name="_Hlt26954846"/>
      <w:r/>
      <w:bookmarkEnd w:id="112"/>
      <w:r/>
      <w:bookmarkStart w:id="113" w:name="_Hlt26954848"/>
      <w:r/>
      <w:bookmarkEnd w:id="113"/>
      <w:r/>
      <w:bookmarkStart w:id="114" w:name="_Hlt26670425"/>
      <w:r/>
      <w:bookmarkEnd w:id="114"/>
      <w:r/>
      <w:bookmarkStart w:id="115" w:name="_Hlt26670482"/>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891"/>
        <w:ind w:firstLine="452"/>
        <w:keepLines w:val="0"/>
        <w:keepNext w:val="0"/>
        <w:spacing w:before="0" w:after="0" w:line="500" w:lineRule="exact"/>
        <w:rPr>
          <w:rFonts w:hint="eastAsia"/>
          <w:color w:val="000000"/>
          <w:sz w:val="30"/>
          <w:szCs w:val="30"/>
          <w:highlight w:val="none"/>
        </w:rPr>
      </w:pPr>
      <w:r/>
      <w:bookmarkStart w:id="121" w:name="_Hlt26954852"/>
      <w:r/>
      <w:bookmarkEnd w:id="121"/>
      <w:r/>
      <w:bookmarkStart w:id="122" w:name="_Hlt26954739"/>
      <w:r/>
      <w:bookmarkEnd w:id="122"/>
      <w:r/>
      <w:bookmarkStart w:id="123" w:name="_Toc120614217"/>
      <w:r/>
      <w:bookmarkStart w:id="124" w:name="_Toc16938540"/>
      <w:r/>
      <w:bookmarkStart w:id="125" w:name="_Toc20823296"/>
      <w:r/>
      <w:bookmarkStart w:id="126" w:name="_Toc513029224"/>
      <w:r>
        <w:rPr>
          <w:rFonts w:hint="eastAsia"/>
          <w:color w:val="000000"/>
          <w:sz w:val="30"/>
          <w:szCs w:val="30"/>
          <w:highlight w:val="none"/>
        </w:rPr>
        <w:t xml:space="preserve">四、投标文件的递交</w:t>
      </w:r>
      <w:bookmarkEnd w:id="123"/>
      <w:r/>
      <w:bookmarkEnd w:id="124"/>
      <w:r/>
      <w:bookmarkEnd w:id="125"/>
      <w:r/>
      <w:bookmarkEnd w:id="126"/>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27" w:name="_Toc16938541"/>
      <w:r/>
      <w:bookmarkStart w:id="128" w:name="_Toc20823297"/>
      <w:r/>
      <w:bookmarkStart w:id="129" w:name="_Toc462564084"/>
      <w:r/>
      <w:bookmarkStart w:id="130" w:name="_Toc513029225"/>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0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bookmarkStart w:id="132" w:name="_Toc513029226"/>
      <w:r/>
      <w:bookmarkStart w:id="133" w:name="_Toc20823298"/>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34" w:name="_Toc513029227"/>
      <w:r/>
      <w:bookmarkStart w:id="135" w:name="_Toc20823299"/>
      <w:r/>
      <w:bookmarkStart w:id="136" w:name="_Toc16938543"/>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37" w:name="_Toc513029228"/>
      <w:r/>
      <w:bookmarkStart w:id="138" w:name="_Toc20823300"/>
      <w:r/>
      <w:bookmarkStart w:id="139" w:name="_Toc16938544"/>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891"/>
        <w:ind w:firstLine="452"/>
        <w:keepLines w:val="0"/>
        <w:keepNext w:val="0"/>
        <w:spacing w:before="0" w:after="0" w:line="500" w:lineRule="exact"/>
        <w:rPr>
          <w:rFonts w:hint="eastAsia"/>
          <w:color w:val="000000"/>
          <w:sz w:val="30"/>
          <w:szCs w:val="30"/>
          <w:highlight w:val="none"/>
        </w:rPr>
      </w:pPr>
      <w:r/>
      <w:bookmarkStart w:id="140" w:name="_Toc20823301"/>
      <w:r/>
      <w:bookmarkStart w:id="141" w:name="_Toc16938545"/>
      <w:r/>
      <w:bookmarkStart w:id="142" w:name="_Toc513029229"/>
      <w:r/>
      <w:bookmarkStart w:id="143" w:name="_Toc120614218"/>
      <w:r>
        <w:rPr>
          <w:rFonts w:hint="eastAsia"/>
          <w:color w:val="000000"/>
          <w:sz w:val="30"/>
          <w:szCs w:val="30"/>
          <w:highlight w:val="none"/>
        </w:rPr>
        <w:t xml:space="preserve">五、开标与评标</w:t>
      </w:r>
      <w:bookmarkEnd w:id="140"/>
      <w:r/>
      <w:bookmarkEnd w:id="141"/>
      <w:r/>
      <w:bookmarkEnd w:id="142"/>
      <w:r/>
      <w:bookmarkEnd w:id="143"/>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44" w:name="_Toc16938546"/>
      <w:r/>
      <w:bookmarkStart w:id="145" w:name="_Toc513029230"/>
      <w:r/>
      <w:bookmarkStart w:id="146" w:name="_Toc20823302"/>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47" w:name="_Toc20823303"/>
      <w:r/>
      <w:bookmarkStart w:id="148" w:name="_Toc513029231"/>
      <w:r/>
      <w:bookmarkStart w:id="149" w:name="_Toc16938547"/>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50" w:name="_Toc513029232"/>
      <w:r/>
      <w:bookmarkStart w:id="151" w:name="_Toc16938548"/>
      <w:r/>
      <w:bookmarkStart w:id="152" w:name="_Toc20823304"/>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720"/>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53" w:name="_Toc16938549"/>
      <w:r/>
      <w:bookmarkStart w:id="154" w:name="_Toc20823305"/>
      <w:r/>
      <w:bookmarkStart w:id="155" w:name="_Toc513029233"/>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6" w:name="_Toc16938550"/>
      <w:r/>
      <w:bookmarkStart w:id="157" w:name="_Toc20823306"/>
      <w:r/>
      <w:bookmarkStart w:id="158" w:name="_Toc513029234"/>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59" w:name="_Toc513029235"/>
      <w:r/>
      <w:bookmarkStart w:id="160" w:name="_Toc16938551"/>
      <w:r/>
      <w:bookmarkStart w:id="161" w:name="_Toc20823307"/>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26.4技术标（暗标）中出现该报价供应商单位名称、简称、人员姓名、Logo、商标、电话号码等任何标识标记及其他暗示性标志的；</w:t>
      </w:r>
      <w:r/>
    </w:p>
    <w:p>
      <w:pPr>
        <w:ind w:firstLine="480"/>
        <w:spacing w:line="50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26.5商务标（明标）和技术标（暗标），其中某一标被本项目评委确认为无效响应文件的；</w:t>
      </w:r>
      <w:r/>
    </w:p>
    <w:p>
      <w:pPr>
        <w:ind w:firstLine="480"/>
        <w:spacing w:line="50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26.6暗标未按要求编制，编制粗糙、缺漏项、格式混乱、条理不清的；</w:t>
      </w:r>
      <w:r/>
    </w:p>
    <w:p>
      <w:pPr>
        <w:pStyle w:val="891"/>
        <w:ind w:firstLine="452"/>
        <w:keepLines w:val="0"/>
        <w:keepNext w:val="0"/>
        <w:spacing w:before="0" w:after="0" w:line="500" w:lineRule="exact"/>
        <w:rPr>
          <w:rFonts w:hint="eastAsia"/>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63" w:name="_Toc513029238"/>
      <w:r/>
      <w:bookmarkStart w:id="164" w:name="_Toc20823310"/>
      <w:r/>
      <w:bookmarkStart w:id="165" w:name="_Toc16938554"/>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1"/>
        <w:ind w:firstLine="452"/>
        <w:keepLines w:val="0"/>
        <w:keepNext w:val="0"/>
        <w:spacing w:before="0" w:after="0" w:line="500" w:lineRule="exact"/>
        <w:rPr>
          <w:rFonts w:hint="eastAsia"/>
          <w:color w:val="000000"/>
          <w:sz w:val="30"/>
          <w:szCs w:val="30"/>
          <w:highlight w:val="none"/>
        </w:rPr>
      </w:pPr>
      <w:r/>
      <w:bookmarkStart w:id="167" w:name="_Toc120614220"/>
      <w:r/>
      <w:bookmarkStart w:id="168" w:name="_Toc16938552"/>
      <w:r/>
      <w:bookmarkStart w:id="169" w:name="_Toc20823308"/>
      <w:r/>
      <w:bookmarkStart w:id="170" w:name="_Toc513029236"/>
      <w:r>
        <w:rPr>
          <w:rFonts w:hint="eastAsia"/>
          <w:color w:val="000000"/>
          <w:sz w:val="30"/>
          <w:szCs w:val="30"/>
          <w:highlight w:val="none"/>
        </w:rPr>
        <w:t xml:space="preserve">七、授予合同</w:t>
      </w:r>
      <w:bookmarkEnd w:id="167"/>
      <w:r/>
      <w:bookmarkEnd w:id="168"/>
      <w:r/>
      <w:bookmarkEnd w:id="169"/>
      <w:r/>
      <w:bookmarkEnd w:id="170"/>
      <w:r/>
      <w:r/>
    </w:p>
    <w:p>
      <w:pPr>
        <w:pStyle w:val="892"/>
        <w:ind w:firstLine="422"/>
        <w:keepLines w:val="0"/>
        <w:keepNext w:val="0"/>
        <w:spacing w:before="0" w:after="0" w:line="500" w:lineRule="exact"/>
        <w:rPr>
          <w:rFonts w:hint="eastAsia" w:ascii="宋体" w:hAnsi="宋体" w:eastAsia="宋体"/>
          <w:bCs w:val="0"/>
          <w:color w:val="000000"/>
          <w:highlight w:val="none"/>
        </w:rPr>
      </w:pPr>
      <w:r/>
      <w:bookmarkStart w:id="171" w:name="_Toc16938553"/>
      <w:r/>
      <w:bookmarkStart w:id="172" w:name="_Toc20823309"/>
      <w:r/>
      <w:bookmarkStart w:id="173" w:name="_Toc513029237"/>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16938558"/>
      <w:r/>
      <w:bookmarkStart w:id="175" w:name="_Toc20823314"/>
      <w:r/>
      <w:bookmarkStart w:id="176" w:name="_Toc120614221"/>
      <w:r/>
      <w:bookmarkStart w:id="177" w:name="_Toc479757207"/>
      <w:r/>
      <w:bookmarkStart w:id="178" w:name="_Toc513029242"/>
      <w:r>
        <w:rPr>
          <w:rFonts w:ascii="宋体" w:hAnsi="宋体"/>
          <w:bCs/>
          <w:color w:val="000000"/>
          <w:sz w:val="24"/>
          <w:highlight w:val="none"/>
          <w:shd w:val="clear" w:color="ffffff" w:fill="d9d9d9"/>
        </w:rPr>
        <w:br w:type="page" w:clear="all"/>
      </w:r>
      <w:bookmarkEnd w:id="174"/>
      <w:r/>
      <w:bookmarkEnd w:id="175"/>
      <w:r/>
      <w:bookmarkEnd w:id="176"/>
      <w:r/>
      <w:bookmarkEnd w:id="177"/>
      <w:r/>
      <w:bookmarkEnd w:id="178"/>
      <w:r/>
      <w:bookmarkStart w:id="179" w:name="_Toc513029243"/>
      <w:r/>
      <w:bookmarkStart w:id="180" w:name="_Toc16938559"/>
      <w:r/>
      <w:bookmarkStart w:id="181" w:name="_Toc20823315"/>
      <w:r>
        <w:rPr>
          <w:rFonts w:hint="eastAsia" w:ascii="黑体" w:hAnsi="黑体" w:eastAsia="黑体"/>
          <w:color w:val="000000" w:themeColor="text1"/>
          <w:sz w:val="36"/>
          <w:szCs w:val="36"/>
          <w:highlight w:val="none"/>
        </w:rPr>
        <w:t xml:space="preserve">第三章  合同文本</w:t>
      </w:r>
      <w:r/>
    </w:p>
    <w:p>
      <w:pPr>
        <w:ind w:firstLine="480"/>
        <w:spacing w:line="4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925"/>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925"/>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925"/>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925"/>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400" w:lineRule="exact"/>
        <w:rPr>
          <w:color w:val="000000"/>
          <w:sz w:val="24"/>
          <w:szCs w:val="24"/>
          <w:highlight w:val="none"/>
        </w:rPr>
      </w:pPr>
      <w:r>
        <w:rPr>
          <w:color w:val="000000"/>
          <w:sz w:val="24"/>
          <w:szCs w:val="24"/>
          <w:highlight w:val="none"/>
        </w:rPr>
      </w:r>
      <w:r/>
    </w:p>
    <w:p>
      <w:pPr>
        <w:ind w:firstLine="480"/>
        <w:jc w:val="center"/>
        <w:spacing w:line="400" w:lineRule="exact"/>
        <w:rPr>
          <w:rFonts w:hint="eastAsia" w:ascii="黑体" w:hAnsi="黑体" w:eastAsia="黑体"/>
          <w:color w:val="000000"/>
          <w:sz w:val="36"/>
          <w:szCs w:val="36"/>
          <w:highlight w:val="none"/>
        </w:rPr>
      </w:pPr>
      <w:r>
        <w:rPr>
          <w:color w:val="000000"/>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62564139"/>
      <w:r/>
      <w:bookmarkStart w:id="188" w:name="_Toc479757211"/>
      <w:r>
        <w:rPr>
          <w:rFonts w:hint="eastAsia" w:ascii="黑体" w:hAnsi="黑体" w:eastAsia="黑体"/>
          <w:color w:val="000000"/>
          <w:sz w:val="36"/>
          <w:szCs w:val="36"/>
          <w:highlight w:val="none"/>
        </w:rPr>
        <w:t xml:space="preserve">第</w:t>
      </w:r>
      <w:bookmarkEnd w:id="183"/>
      <w:r>
        <w:rPr>
          <w:rFonts w:hint="eastAsia" w:ascii="黑体" w:hAnsi="黑体" w:eastAsia="黑体"/>
          <w:color w:val="000000"/>
          <w:sz w:val="36"/>
          <w:szCs w:val="36"/>
          <w:highlight w:val="none"/>
        </w:rPr>
        <w:t xml:space="preserve">四章 采购需求</w:t>
      </w:r>
      <w:bookmarkEnd w:id="184"/>
      <w:r/>
      <w:bookmarkEnd w:id="185"/>
      <w:r/>
      <w:bookmarkEnd w:id="186"/>
      <w:r/>
      <w:r/>
    </w:p>
    <w:p>
      <w:pPr>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480"/>
        <w:jc w:val="left"/>
        <w:spacing w:line="360" w:lineRule="auto"/>
        <w:rPr>
          <w:rFonts w:hint="eastAsia" w:ascii="宋体" w:hAnsi="宋体"/>
          <w:color w:val="000000"/>
          <w:sz w:val="24"/>
          <w:szCs w:val="24"/>
          <w:highlight w:val="none"/>
        </w:rPr>
      </w:pPr>
      <w:r/>
      <w:bookmarkStart w:id="189" w:name="_Toc49090575"/>
      <w:r/>
      <w:bookmarkStart w:id="190" w:name="_Toc26554093"/>
      <w:r>
        <w:rPr>
          <w:rFonts w:hint="eastAsia" w:ascii="宋体" w:hAnsi="宋体"/>
          <w:color w:val="000000"/>
          <w:sz w:val="24"/>
          <w:szCs w:val="24"/>
          <w:highlight w:val="none"/>
        </w:rPr>
        <w:t xml:space="preserve">投标人所投内容必须满足以下要求，不得有负偏离。</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pStyle w:val="925"/>
        <w:ind w:firstLine="480"/>
        <w:spacing w:line="400" w:lineRule="exact"/>
        <w:rPr>
          <w:rFonts w:hint="eastAsia" w:hAnsi="宋体"/>
          <w:color w:val="000000"/>
          <w:sz w:val="24"/>
          <w:szCs w:val="24"/>
          <w:highlight w:val="none"/>
          <w:lang w:val="en-US"/>
        </w:rPr>
      </w:pPr>
      <w:r>
        <w:rPr>
          <w:rFonts w:hint="eastAsia" w:hAnsi="宋体"/>
          <w:color w:val="000000"/>
          <w:sz w:val="24"/>
          <w:szCs w:val="24"/>
          <w:highlight w:val="none"/>
          <w:lang w:eastAsia="zh-CN"/>
        </w:rPr>
        <w:t xml:space="preserve">一、项目基本情况</w:t>
      </w:r>
      <w:r/>
    </w:p>
    <w:p>
      <w:pPr>
        <w:pStyle w:val="925"/>
        <w:ind w:firstLine="480"/>
        <w:spacing w:line="400" w:lineRule="exact"/>
        <w:rPr>
          <w:rFonts w:hint="default" w:hAnsi="宋体"/>
          <w:color w:val="000000"/>
          <w:sz w:val="24"/>
          <w:szCs w:val="24"/>
          <w:highlight w:val="none"/>
          <w:lang w:val="en-US" w:eastAsia="zh-CN"/>
        </w:rPr>
      </w:pPr>
      <w:r>
        <w:rPr>
          <w:rFonts w:hint="eastAsia" w:hAnsi="宋体"/>
          <w:color w:val="000000"/>
          <w:sz w:val="24"/>
          <w:szCs w:val="24"/>
          <w:highlight w:val="none"/>
          <w:lang w:val="en-US" w:eastAsia="zh-CN"/>
        </w:rPr>
        <w:t xml:space="preserve">本次采购项目为无锡市第二中医医院后勤管理服务社会化项目，为继续落实推进医院后勤服务社会化的要求，为医院患者、职工提供专业、高效、优质的后勤管理服务。采购内容主要包括：保洁、运送、垃圾清运、集中清洗等工作。</w:t>
      </w:r>
      <w:r>
        <w:rPr>
          <w:rFonts w:hint="default" w:hAnsi="宋体"/>
          <w:color w:val="000000"/>
          <w:sz w:val="24"/>
          <w:szCs w:val="24"/>
          <w:highlight w:val="none"/>
          <w:lang w:val="en-US" w:eastAsia="zh-CN"/>
        </w:rPr>
        <w:t xml:space="preserve"> </w:t>
      </w:r>
      <w:r/>
    </w:p>
    <w:p>
      <w:pPr>
        <w:pStyle w:val="925"/>
        <w:ind w:firstLine="480"/>
        <w:spacing w:line="400" w:lineRule="exact"/>
        <w:rPr>
          <w:rFonts w:hint="default" w:hAnsi="宋体"/>
          <w:color w:val="000000"/>
          <w:sz w:val="24"/>
          <w:szCs w:val="24"/>
          <w:highlight w:val="none"/>
          <w:lang w:val="en-US" w:eastAsia="zh-CN"/>
        </w:rPr>
      </w:pPr>
      <w:r>
        <w:rPr>
          <w:rFonts w:hint="eastAsia" w:hAnsi="宋体"/>
          <w:color w:val="000000"/>
          <w:sz w:val="24"/>
          <w:szCs w:val="24"/>
          <w:highlight w:val="none"/>
          <w:lang w:val="en-US" w:eastAsia="zh-CN"/>
        </w:rPr>
        <w:t xml:space="preserve">服务期：三年</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自合同签订之日起</w:t>
      </w:r>
      <w:r>
        <w:rPr>
          <w:rFonts w:hint="default" w:hAnsi="宋体"/>
          <w:color w:val="000000"/>
          <w:sz w:val="24"/>
          <w:szCs w:val="24"/>
          <w:highlight w:val="none"/>
          <w:lang w:val="en-US" w:eastAsia="zh-CN"/>
        </w:rPr>
        <w:t xml:space="preserve">)</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服务项目质量要求：符合国家相关规范，满足采购文件及采购需求。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二、作业服务内容和要求：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（一）保洁管理服务内容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医院的后勤管理服务业务归属后勤科，由后勤科负责监督、协调、指导、考评中标单位的工作。</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．保洁管理服务范围和内容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）全方位立体的保洁后勤工作；</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）生活及医疗垃圾的收集、清运和无害化处理；</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）除“四害”及消毒消杀；</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）医疗场所、病房、卫生间的专业清洁与消毒；</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．保洁管理服务的要求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）在现基础上营造“安全、整洁、有序”的就医环境；</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）确保环境卫生符合行业检查标准，以及国家爱国卫生城市检查标准要求；</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）保持雨天排水畅通，地面不积水；</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）确保无鼠害、虫害；</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）确保环境安全各种排放达标；</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）确保医疗场所、病房、卫生间达到专业清洁与消毒，不发生交叉作业；</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）垃圾按规范要求分类收集、包装、储存、运输、确保不发生污染事故；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）保持环境清洁，外墙美观无破损；</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）因管理因素造成医院及周边环境污染，以及人身伤害或由此引发的其它事故，由中标服务方承担全部责任；</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）保洁员工年龄：男员工</w:t>
      </w:r>
      <w:r>
        <w:rPr>
          <w:rFonts w:hint="default" w:hAnsi="宋体"/>
          <w:color w:val="000000"/>
          <w:sz w:val="24"/>
          <w:szCs w:val="24"/>
          <w:highlight w:val="none"/>
          <w:lang w:val="en-US" w:eastAsia="zh-CN"/>
        </w:rPr>
        <w:t xml:space="preserve">65</w:t>
      </w:r>
      <w:r>
        <w:rPr>
          <w:rFonts w:hint="eastAsia" w:hAnsi="宋体"/>
          <w:color w:val="000000"/>
          <w:sz w:val="24"/>
          <w:szCs w:val="24"/>
          <w:highlight w:val="none"/>
          <w:lang w:val="en-US" w:eastAsia="zh-CN"/>
        </w:rPr>
        <w:t xml:space="preserve">周岁以下、女员工</w:t>
      </w:r>
      <w:r>
        <w:rPr>
          <w:rFonts w:hint="default" w:hAnsi="宋体"/>
          <w:color w:val="000000"/>
          <w:sz w:val="24"/>
          <w:szCs w:val="24"/>
          <w:highlight w:val="none"/>
          <w:lang w:val="en-US" w:eastAsia="zh-CN"/>
        </w:rPr>
        <w:t xml:space="preserve">60</w:t>
      </w:r>
      <w:r>
        <w:rPr>
          <w:rFonts w:hint="eastAsia" w:hAnsi="宋体"/>
          <w:color w:val="000000"/>
          <w:sz w:val="24"/>
          <w:szCs w:val="24"/>
          <w:highlight w:val="none"/>
          <w:lang w:val="en-US" w:eastAsia="zh-CN"/>
        </w:rPr>
        <w:t xml:space="preserve">周岁以下，身体健康。</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（二）运送管理服务内容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陪检运送管理服务业务归属后勤科，由后勤科负责监督、协调、指导、考评中标服务方的工作。</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．医疗运送管理服务的范围和内容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）负责各类标本的收集运送，发放结果报告单。</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）负责运送、陪同病人检查。</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）负责“</w:t>
      </w:r>
      <w:r>
        <w:rPr>
          <w:rFonts w:hint="default" w:hAnsi="宋体"/>
          <w:color w:val="000000"/>
          <w:sz w:val="24"/>
          <w:szCs w:val="24"/>
          <w:highlight w:val="none"/>
          <w:lang w:val="en-US" w:eastAsia="zh-CN"/>
        </w:rPr>
        <w:t xml:space="preserve">120</w:t>
      </w:r>
      <w:r>
        <w:rPr>
          <w:rFonts w:hint="eastAsia" w:hAnsi="宋体"/>
          <w:color w:val="000000"/>
          <w:sz w:val="24"/>
          <w:szCs w:val="24"/>
          <w:highlight w:val="none"/>
          <w:lang w:val="en-US" w:eastAsia="zh-CN"/>
        </w:rPr>
        <w:t xml:space="preserve">”急救中心</w:t>
      </w:r>
      <w:r>
        <w:rPr>
          <w:rFonts w:hint="default" w:hAnsi="宋体"/>
          <w:color w:val="000000"/>
          <w:sz w:val="24"/>
          <w:szCs w:val="24"/>
          <w:highlight w:val="none"/>
          <w:lang w:val="en-US" w:eastAsia="zh-CN"/>
        </w:rPr>
        <w:t xml:space="preserve">24</w:t>
      </w:r>
      <w:r>
        <w:rPr>
          <w:rFonts w:hint="eastAsia" w:hAnsi="宋体"/>
          <w:color w:val="000000"/>
          <w:sz w:val="24"/>
          <w:szCs w:val="24"/>
          <w:highlight w:val="none"/>
          <w:lang w:val="en-US" w:eastAsia="zh-CN"/>
        </w:rPr>
        <w:t xml:space="preserve">小时服务。</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）负责手术病人的接送。</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．运送管理服务要求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）运送员工年龄：男</w:t>
      </w:r>
      <w:r>
        <w:rPr>
          <w:rFonts w:hint="default" w:hAnsi="宋体"/>
          <w:color w:val="000000"/>
          <w:sz w:val="24"/>
          <w:szCs w:val="24"/>
          <w:highlight w:val="none"/>
          <w:lang w:val="en-US" w:eastAsia="zh-CN"/>
        </w:rPr>
        <w:t xml:space="preserve">65</w:t>
      </w:r>
      <w:r>
        <w:rPr>
          <w:rFonts w:hint="eastAsia" w:hAnsi="宋体"/>
          <w:color w:val="000000"/>
          <w:sz w:val="24"/>
          <w:szCs w:val="24"/>
          <w:highlight w:val="none"/>
          <w:lang w:val="en-US" w:eastAsia="zh-CN"/>
        </w:rPr>
        <w:t xml:space="preserve">周岁、女</w:t>
      </w:r>
      <w:r>
        <w:rPr>
          <w:rFonts w:hint="default" w:hAnsi="宋体"/>
          <w:color w:val="000000"/>
          <w:sz w:val="24"/>
          <w:szCs w:val="24"/>
          <w:highlight w:val="none"/>
          <w:lang w:val="en-US" w:eastAsia="zh-CN"/>
        </w:rPr>
        <w:t xml:space="preserve">60</w:t>
      </w:r>
      <w:r>
        <w:rPr>
          <w:rFonts w:hint="eastAsia" w:hAnsi="宋体"/>
          <w:color w:val="000000"/>
          <w:sz w:val="24"/>
          <w:szCs w:val="24"/>
          <w:highlight w:val="none"/>
          <w:lang w:val="en-US" w:eastAsia="zh-CN"/>
        </w:rPr>
        <w:t xml:space="preserve">周岁以下，身体健康；</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）服务必须符合医疗服务规范要求。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）因管理不善、服务不规范导致的服务纠纷和质量事故或由此引起的其它事件，由中标方承担全部责任。</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）必须配备现代化的通讯工具和调度设备。</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三、后勤管理服务质量考核及要求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（一）病区保洁工作要求</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、主任办公室、医生办公室、护士站、治疗室、值班室等场所每天至少打扫二次，地面清拖，桌面清擦，墙面每月至少抹灰一次。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、病区地面每天清拖二次，如被呕吐物、分泌物或粪便污染时，应立即使用</w:t>
      </w:r>
      <w:r>
        <w:rPr>
          <w:rFonts w:hint="default" w:hAnsi="宋体"/>
          <w:color w:val="000000"/>
          <w:sz w:val="24"/>
          <w:szCs w:val="24"/>
          <w:highlight w:val="none"/>
          <w:lang w:val="en-US" w:eastAsia="zh-CN"/>
        </w:rPr>
        <w:t xml:space="preserve">1000mg/L</w:t>
      </w:r>
      <w:r>
        <w:rPr>
          <w:rFonts w:hint="eastAsia" w:hAnsi="宋体"/>
          <w:color w:val="000000"/>
          <w:sz w:val="24"/>
          <w:szCs w:val="24"/>
          <w:highlight w:val="none"/>
          <w:lang w:val="en-US" w:eastAsia="zh-CN"/>
        </w:rPr>
        <w:t xml:space="preserve">氯消毒剂擦拭。墙面瓷砖每周至少擦洗一次，墙面每月至少抹灰一次，如有血液或体液污染时，应立即使用</w:t>
      </w:r>
      <w:r>
        <w:rPr>
          <w:rFonts w:hint="default" w:hAnsi="宋体"/>
          <w:color w:val="000000"/>
          <w:sz w:val="24"/>
          <w:szCs w:val="24"/>
          <w:highlight w:val="none"/>
          <w:lang w:val="en-US" w:eastAsia="zh-CN"/>
        </w:rPr>
        <w:t xml:space="preserve">1000mg/L</w:t>
      </w:r>
      <w:r>
        <w:rPr>
          <w:rFonts w:hint="eastAsia" w:hAnsi="宋体"/>
          <w:color w:val="000000"/>
          <w:sz w:val="24"/>
          <w:szCs w:val="24"/>
          <w:highlight w:val="none"/>
          <w:lang w:val="en-US" w:eastAsia="zh-CN"/>
        </w:rPr>
        <w:t xml:space="preserve">含氯消毒剂擦拭。走道用洗地机每天清洗一次。消防梯每天清拖至少二次，电梯厅及家属等候区不间断巡回检查打扫，以确保各区域的整洁。</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、病床、床头柜、设备带、窗台、餐板每天抹灰一次；楼层玻璃门及候诊椅每天擦洗一次；门、门框、家具、电器等每周抹灰一次。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、污洗间、卫生间不间断巡回检查打扫，确保洗污间、卫生间的整洁和无异味，每天消毒一次</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每周彻底清洁打扫一次。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、楼梯扶手每天擦洗一次，病区内窗每月擦洗一次，病区灯罩每两月打扫一次，空调进出风口每季度清洗一次，医院垃圾房每天至少清扫两次。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、每天清理室内花木花盆内的烟头和纸屑，定期清洗托盘。</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各室抹布应分开使用，用后清洗消毒，晾干分类放置；不同区域（污染区、半污染区、清洁区）使用的拖把，分开放置，清洗后悬挂；各科室使用后的抹布、拖把每天由清洗中心的工人负责收到清洗中心集中消毒、清洗后再分发给各病区使用。</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、保洁人员要有节约意识，养成随手关灯的习惯。发现病区设施设备损坏或破损应及时告知护士长，以便及时维修。</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、医院如有突击任务，公司必须保证物资和人员的及时到位，保质保量完成乙方的临时突击任务。</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、完成好护士长交办的相关临时工作。</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（二）保洁服务标准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、所有在岗人员必须通过培训、试用、综合考核合格后方可上岗，做到一员多能。</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、工作时间内所有员工必须统一着装，佩戴好工号牌，做到着装整洁，举止大方。</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、不准迟到、早退，不准串岗、脱岗，不做与工作无关的事，做到文明用语，礼貌待人，宽容忍让，互相协作。</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、工作期间必须保证各保洁区域内：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）墙面光亮干净，无污垢、无积灰、无蜘蛛网。</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）地面清洁，无积水、无垃圾、无污垢、无卫生死角。</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）卫生间台盆、坐便器、便池、浴室保证清洁卫生，无异味、无污垢、无积水，及时更换垃圾袋（垃圾袋内垃圾不得超过三分之二）。</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）室内门、窗框、楼梯扶手干净，无灰尘、无污垢。</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）床、床头柜、设备带、窗台、餐板干净，无积灰、无污渍。</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）消防设施干净，无积灰。</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电梯轿厢清洁，无积灰、无垃圾、无积水。</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外平台、雨棚清洁，无垃圾。</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医院内、外场、停车场、花园、草丛保持清洁，无垃圾。</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（三）医院保洁工作考核细则</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加强对员工的业务培训，提高工作质量，改善服务态度，督促和检查各部门的工作情况，发现问题及时整改。使用部门每月一次对当月的内勤工作进行全面的考评和打分，每扣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分扣款</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元。</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医院有关人员不定期对相关工作进行检查，对检查中发现的问题视情节轻重作出要求整改、扣款等处理，直至要求更换员工；发现一处扣款</w:t>
      </w:r>
      <w:r>
        <w:rPr>
          <w:rFonts w:hint="default" w:hAnsi="宋体"/>
          <w:color w:val="000000"/>
          <w:sz w:val="24"/>
          <w:szCs w:val="24"/>
          <w:highlight w:val="none"/>
          <w:lang w:val="en-US" w:eastAsia="zh-CN"/>
        </w:rPr>
        <w:t xml:space="preserve">50</w:t>
      </w:r>
      <w:r>
        <w:rPr>
          <w:rFonts w:hint="eastAsia" w:hAnsi="宋体"/>
          <w:color w:val="000000"/>
          <w:sz w:val="24"/>
          <w:szCs w:val="24"/>
          <w:highlight w:val="none"/>
          <w:lang w:val="en-US" w:eastAsia="zh-CN"/>
        </w:rPr>
        <w:t xml:space="preserve">元。</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在医院对住院病人满意度调查中涉及保洁工作不到位而扣分的，以及发生病人或使用部门投诉情况的，医院在核实情况后将做相应的处理。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在医院的重大活动中发生保洁质量问题，对医院造成不良影响的，将对公司进行</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500</w:t>
      </w:r>
      <w:r>
        <w:rPr>
          <w:rFonts w:hint="eastAsia" w:hAnsi="宋体"/>
          <w:color w:val="000000"/>
          <w:sz w:val="24"/>
          <w:szCs w:val="24"/>
          <w:highlight w:val="none"/>
          <w:lang w:val="en-US" w:eastAsia="zh-CN"/>
        </w:rPr>
        <w:t xml:space="preserve">元的罚款处理，并限期整改。</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公司应经常性地对员工进行教育，提高员工的基本素质。任何人员都不得私自将医院的任何物品带出院外，违者视情节轻重罚款</w:t>
      </w:r>
      <w:r>
        <w:rPr>
          <w:rFonts w:hint="default" w:hAnsi="宋体"/>
          <w:color w:val="000000"/>
          <w:sz w:val="24"/>
          <w:szCs w:val="24"/>
          <w:highlight w:val="none"/>
          <w:lang w:val="en-US" w:eastAsia="zh-CN"/>
        </w:rPr>
        <w:t xml:space="preserve">50</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200</w:t>
      </w:r>
      <w:r>
        <w:rPr>
          <w:rFonts w:hint="eastAsia" w:hAnsi="宋体"/>
          <w:color w:val="000000"/>
          <w:sz w:val="24"/>
          <w:szCs w:val="24"/>
          <w:highlight w:val="none"/>
          <w:lang w:val="en-US" w:eastAsia="zh-CN"/>
        </w:rPr>
        <w:t xml:space="preserve">元，屡教不改者，立即开除。</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（四）各区域工作标准</w:t>
      </w:r>
      <w:r/>
    </w:p>
    <w:tbl>
      <w:tblPr>
        <w:tblStyle w:val="717"/>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4"/>
        <w:gridCol w:w="1089"/>
        <w:gridCol w:w="3145"/>
        <w:gridCol w:w="2984"/>
      </w:tblGrid>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服务质量标准</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要求</w:t>
            </w:r>
            <w:r/>
          </w:p>
        </w:tc>
      </w:tr>
      <w:tr>
        <w:trPr>
          <w:jc w:val="center"/>
          <w:trHeight w:val="400"/>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vMerge w:val="restart"/>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院</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大环境</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做到</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六净</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。即路面净、路沿净、人行道净、树坑墙根净、雨水口净、宣传栏净；并做到果皮桶、垃圾箱外表无明显污迹，无垃圾粘附物，人工草坪无纸屑，院内无杂草。</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每天两次清扫；</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白班分段巡视，发现污水、杂物、痰渍及时清扫干净；</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及时清理雨后积水；</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区域内垃圾桶每天至少倾倒两次，并每天刷洗一次；</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明沟、暗沟每周彻底清理一次，如有堵塞情况，自发现时起，半小时内疏通；</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室外宣传牌护栏每天抹一次。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院</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目视无明显污渍。</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每天抹一次（不锈钢门用中性不锈钢清洁剂清洁保养）。</w:t>
            </w:r>
            <w:r/>
          </w:p>
        </w:tc>
      </w:tr>
      <w:tr>
        <w:trPr>
          <w:jc w:val="center"/>
          <w:trHeight w:val="400"/>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vMerge w:val="restart"/>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房</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屋</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棚</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顶</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无垃圾及杂物。</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每季至少清扫一次。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04" w:type="dxa"/>
            <w:vAlign w:val="center"/>
            <w:vMerge w:val="restart"/>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急</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诊</w:t>
            </w:r>
            <w:r/>
          </w:p>
        </w:tc>
        <w:tc>
          <w:tcPr>
            <w:shd w:val="clear" w:color="auto" w:fill="auto"/>
            <w:tcBorders>
              <w:top w:val="single" w:color="auto" w:sz="4" w:space="0"/>
              <w:left w:val="single" w:color="auto" w:sz="4" w:space="0"/>
              <w:bottom w:val="single" w:color="auto" w:sz="4" w:space="0"/>
              <w:right w:val="single" w:color="auto" w:sz="4" w:space="0"/>
            </w:tcBorders>
            <w:tcW w:w="1089"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诊室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检查室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留察室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抢救室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室内整洁，墙壁无灰尘、蜘蛛网，墙裙踢脚线无污迹；地面干净、无杂物；窗户明亮；痰盂清洁，外表无痰迹；垃圾桶上盖、外表无污迹，垃圾无外溢。</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地面有杂物、纸屑等垃圾时，随时清除；</w:t>
            </w:r>
            <w:r>
              <w:rPr>
                <w:rFonts w:hint="default" w:hAnsi="宋体"/>
                <w:color w:val="000000"/>
                <w:sz w:val="24"/>
                <w:szCs w:val="24"/>
                <w:highlight w:val="none"/>
                <w:lang w:val="en-US" w:eastAsia="zh-CN"/>
              </w:rPr>
              <w:t xml:space="preserve"> 2.</w:t>
            </w:r>
            <w:r>
              <w:rPr>
                <w:rFonts w:hint="eastAsia" w:hAnsi="宋体"/>
                <w:color w:val="000000"/>
                <w:sz w:val="24"/>
                <w:szCs w:val="24"/>
                <w:highlight w:val="none"/>
                <w:lang w:val="en-US" w:eastAsia="zh-CN"/>
              </w:rPr>
              <w:t xml:space="preserve">每天用尘推推二次，尽量用最少的时间，达到清洁的效果，不影响医疗工作；</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每周用消毒液消毒地面一次；</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墙裙及踢脚线每周抹一次；</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室内灯具及空调每月抹一次，天花板每月除尘一次；</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内窗玻璃每月擦洗一次；外窗玻璃每两月擦洗一次；</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垃圾桶每天倾倒两次，表面每天擦洗一次；</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各诊室候诊区桌椅等物每周用消毒液抹一次。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04" w:type="dxa"/>
            <w:vAlign w:val="center"/>
            <w:vMerge w:val="continue"/>
            <w:textDirection w:val="lrTb"/>
            <w:noWrap/>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089"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候诊</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大厅</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地面清洁无杂物；候诊椅干净，无污迹，无灰尘。</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定期用全自动洗地机清洗，每周用消毒液消毒一次；</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每天用尘推推三次；随时巡视，及时清除地面杂物、痰迹等。</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04"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室</w:t>
            </w:r>
            <w:r/>
          </w:p>
        </w:tc>
        <w:tc>
          <w:tcPr>
            <w:shd w:val="clear" w:color="auto" w:fill="auto"/>
            <w:tcBorders>
              <w:top w:val="single" w:color="auto" w:sz="4" w:space="0"/>
              <w:left w:val="single" w:color="auto" w:sz="4" w:space="0"/>
              <w:bottom w:val="single" w:color="auto" w:sz="4" w:space="0"/>
              <w:right w:val="single" w:color="auto" w:sz="4" w:space="0"/>
            </w:tcBorders>
            <w:tcW w:w="1089"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普通病房</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室内整洁，墙壁无灰尘、蛛网，墙裙踢脚线无污迹；地面干净、无杂物；门窗清洁、明亮；垃圾桶外表无污迹，垃圾无外溢；病床、床头柜、设备带、家具、家电无灰尘、无污迹；空气菌落计数≤</w:t>
            </w:r>
            <w:r>
              <w:rPr>
                <w:rFonts w:hint="default" w:hAnsi="宋体"/>
                <w:color w:val="000000"/>
                <w:sz w:val="24"/>
                <w:szCs w:val="24"/>
                <w:highlight w:val="none"/>
                <w:lang w:val="en-US" w:eastAsia="zh-CN"/>
              </w:rPr>
              <w:t xml:space="preserve">500cfu/M3</w:t>
            </w:r>
            <w:r>
              <w:rPr>
                <w:rFonts w:hint="eastAsia" w:hAnsi="宋体"/>
                <w:color w:val="000000"/>
                <w:sz w:val="24"/>
                <w:szCs w:val="24"/>
                <w:highlight w:val="none"/>
                <w:lang w:val="en-US" w:eastAsia="zh-CN"/>
              </w:rPr>
              <w:t xml:space="preserve">，物体表面菌落计数≤</w:t>
            </w:r>
            <w:r>
              <w:rPr>
                <w:rFonts w:hint="default" w:hAnsi="宋体"/>
                <w:color w:val="000000"/>
                <w:sz w:val="24"/>
                <w:szCs w:val="24"/>
                <w:highlight w:val="none"/>
                <w:lang w:val="en-US" w:eastAsia="zh-CN"/>
              </w:rPr>
              <w:t xml:space="preserve">10 cfu/ M3</w:t>
            </w:r>
            <w:r>
              <w:rPr>
                <w:rFonts w:hint="eastAsia" w:hAnsi="宋体"/>
                <w:color w:val="000000"/>
                <w:sz w:val="24"/>
                <w:szCs w:val="24"/>
                <w:highlight w:val="none"/>
                <w:lang w:val="en-US" w:eastAsia="zh-CN"/>
              </w:rPr>
              <w:t xml:space="preserve">；不得检出致病微生物。</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地面有杂物、纸屑等垃圾时，随时清除；</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地面保证一日二拖（上午上班前、下午上班前）；</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保证走廊一日早、中二拖；</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病床、床头柜、设备带、家具、家电等每天抹一次（每床一抹布），每个出院病人床单元终末消毒一次（包括病床）；</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病房卫生间洁具每天至少擦洗一次并用消毒液消毒；</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室内灯具及空调每月抹一次，天花板每月除尘一次；</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内窗玻璃每月擦洗一次；外窗玻璃每两月擦洗一次；</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垃圾桶每天至少倾倒两次，垃圾不得溢出，及时更换垃圾袋，表面每天擦洗一次并消毒；生活垃圾使用黑色垃圾袋；</w:t>
            </w: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卫生工具按办公区、病房、走道、厕所等分别固定使用和放置。</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医护办公室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检查室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化验室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值班室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处置室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更衣室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室内整洁有序；地面无灰尘、无杂物，墙面无蛛网。</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定期用全自动洗地机全面清洗地面并用消毒液消毒；</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每天用湿尘推拖地二次，尽量用最少的时间，达到清洁的效果，不影响正常工作；</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办公桌椅每天抹一次（抹布分室使用）。</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垃圾篓每天倾倒二次，及时更换垃圾袋，每周清洗一次；</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内窗玻璃每月清洁一次；</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外窗玻璃每两月清洁一次；</w:t>
            </w:r>
            <w:r>
              <w:rPr>
                <w:rFonts w:hint="default" w:hAnsi="宋体"/>
                <w:color w:val="000000"/>
                <w:sz w:val="24"/>
                <w:szCs w:val="24"/>
                <w:highlight w:val="none"/>
                <w:lang w:val="en-US" w:eastAsia="zh-CN"/>
              </w:rPr>
              <w:t xml:space="preserve"> 7.</w:t>
            </w:r>
            <w:r>
              <w:rPr>
                <w:rFonts w:hint="eastAsia" w:hAnsi="宋体"/>
                <w:color w:val="000000"/>
                <w:sz w:val="24"/>
                <w:szCs w:val="24"/>
                <w:highlight w:val="none"/>
                <w:lang w:val="en-US" w:eastAsia="zh-CN"/>
              </w:rPr>
              <w:t xml:space="preserve">灯罩每两月清洁一次；</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空调进出风口每季度清洗一次。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治疗室</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换药室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基本要求同上，地面无药迹；治疗台、治疗车（盘）、药车无灰尘、无药迹，车轮无头发及杂物缠绕。</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定期每周用全自动洗地车全面清洁；并用消毒液消毒；</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每天清扫地面二次，清扫后用湿尘推拖地两次；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每天用消毒液对治疗台、治疗车（盘）及药车进行保洁处理；每周清理车轮一次，每月用润滑油对车轮进行保养。</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处置室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基本要求同上</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按院感科要求分类清理垃圾。</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门厅</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走廊</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楼梯</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通道</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大理石地面清洁光亮、无污渍；</w:t>
            </w:r>
            <w:r>
              <w:rPr>
                <w:rFonts w:hint="default" w:hAnsi="宋体"/>
                <w:color w:val="000000"/>
                <w:sz w:val="24"/>
                <w:szCs w:val="24"/>
                <w:highlight w:val="none"/>
                <w:lang w:val="en-US" w:eastAsia="zh-CN"/>
              </w:rPr>
              <w:t xml:space="preserve">PVC</w:t>
            </w:r>
            <w:r>
              <w:rPr>
                <w:rFonts w:hint="eastAsia" w:hAnsi="宋体"/>
                <w:color w:val="000000"/>
                <w:sz w:val="24"/>
                <w:szCs w:val="24"/>
                <w:highlight w:val="none"/>
                <w:lang w:val="en-US" w:eastAsia="zh-CN"/>
              </w:rPr>
              <w:t xml:space="preserve">地面清洁光亮、无污渍；墙面干净；楼梯扶手无积灰、无污渍。</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每天用全自动洗地车或擦地机清洗地面；</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每天用湿尘推拖地二次；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每天随时巡视，及时清理地面杂物及痰迹等；</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楼梯每天拖地一次，扶手及不锈钢每天抹灰一次，不锈钢体每周用清洁液或光亮剂保养一次。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监护室、手术室</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同普通病房；</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室内整洁，地面无杂物，窗户明亮，病床、床头柜、设施设备无灰尘无污迹。</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同普通病房；</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监护室、手术室每周末彻底全面大扫除和消毒一次；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监护室、手术室推车每日用消毒液擦拭一次。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电</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梯</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轿厢内无杂物，无污迹；厢体不锈钢表面无灰尘。</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每天清扫并用尘推清洁电梯轿厢多次；</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每天抹电梯一次；</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每天用中性不锈钢清洁剂清洁厢体并保养一次；</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电梯门槽每天清扫一次。</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公共卫生间</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地面无烟头、纸屑、果皮、污渍、积水；天花板、墙角、灯具目视无灰尘和蜘蛛网；瓷砖干净；便池便器洁净无黄渍；台盆清洁；门窗清洁、明亮；室内无异味臭味。</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每天上、下午上班后清洁便器、台盆；</w:t>
            </w:r>
            <w:r>
              <w:rPr>
                <w:rFonts w:hint="default" w:hAnsi="宋体"/>
                <w:color w:val="000000"/>
                <w:sz w:val="24"/>
                <w:szCs w:val="24"/>
                <w:highlight w:val="none"/>
                <w:lang w:val="en-US" w:eastAsia="zh-CN"/>
              </w:rPr>
              <w:t xml:space="preserve"> 2.</w:t>
            </w:r>
            <w:r>
              <w:rPr>
                <w:rFonts w:hint="eastAsia" w:hAnsi="宋体"/>
                <w:color w:val="000000"/>
                <w:sz w:val="24"/>
                <w:szCs w:val="24"/>
                <w:highlight w:val="none"/>
                <w:lang w:val="en-US" w:eastAsia="zh-CN"/>
              </w:rPr>
              <w:t xml:space="preserve">每小时清洁地面一次，并冲洗便器；</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清洗完后点好卫生香或使用喷香机；</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每天消毒一次便器、台盆；</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及时更换垃圾袋。</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每周清洁一次墙面、门窗及天花板。</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天台露台</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地面无垃圾，排水沟无积水，无重油，管道无堵塞。</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每日清理露台二次，地面无烟头、杂物。</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每周巡查一次排水沟，及时疏通排水管道；</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每周清理天台一次，清扫烟头、垃圾及积水。</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生活垃圾、医用垃圾的收集、清理</w:t>
            </w:r>
            <w:r/>
          </w:p>
        </w:tc>
        <w:tc>
          <w:tcPr>
            <w:shd w:val="clear" w:color="auto" w:fill="auto"/>
            <w:tcBorders>
              <w:top w:val="single" w:color="auto" w:sz="4" w:space="0"/>
              <w:left w:val="single" w:color="auto" w:sz="4" w:space="0"/>
              <w:bottom w:val="single" w:color="auto" w:sz="4" w:space="0"/>
              <w:right w:val="single" w:color="auto" w:sz="4" w:space="0"/>
            </w:tcBorders>
            <w:tcW w:w="31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垃圾分类收集，及时清理，防止污染扩散；垃圾桶每天清洗并消毒，堆放整齐；垃圾房每天冲洗，保持整洁。</w:t>
            </w:r>
            <w:r/>
          </w:p>
        </w:tc>
        <w:tc>
          <w:tcPr>
            <w:shd w:val="clear" w:color="auto" w:fill="auto"/>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生活垃圾房由绿色可移动式垃圾桶组成，避免异味及污染，杜绝四害繁殖，经常清洗；</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医用垃圾必须在院内感染科的监管下，严格用专用黄色垃圾袋收集医用垃圾，黄色可移动式垃圾桶密封转运；</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严禁在运输过程中出现抛洒滴漏现象；</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正确佩戴防护用品；</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按规范每天认真做好登记；</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医疗垃圾桶每天清洗、消毒两次；</w:t>
            </w: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垃圾桶堆放整齐；</w:t>
            </w: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垃圾房每天冲洗两次，保持整洁。</w:t>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（五）保洁服务质量考核细则</w:t>
      </w:r>
      <w:r/>
    </w:p>
    <w:tbl>
      <w:tblPr>
        <w:tblStyle w:val="717"/>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4"/>
        <w:gridCol w:w="3797"/>
        <w:gridCol w:w="850"/>
        <w:gridCol w:w="3146"/>
        <w:gridCol w:w="78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病区保洁管理（</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分数</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质量考核扣分内容</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得分</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病区</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（一）综合管理</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员工仪表端正、着工装、佩戴工牌。热情服务，规范服务。严格遵守劳动纪律，做好班前准备，在岗在位，文明礼貌，言行举止符合规范要求。</w:t>
            </w:r>
            <w:r>
              <w:rPr>
                <w:rFonts w:hint="default" w:hAnsi="宋体"/>
                <w:color w:val="000000"/>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未按规定着装、仪表仪容、规范服务不符合要求，一次一项扣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分。违反劳动纪律、规章制度要求一次扣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部门职责明确，各项管理服务制度健全，内容印制上墙。</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制度不明确、制度不健全扣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分，制度未上墙一处扣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各岗位员工工作内容、操作流程符合规定要求，工作规范，作风严谨，并严格按规范标准要求进行操作。</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岗位内容不全，操作流程不规范，未按规范标准操作一次一项扣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有完善的员工培训计划并组织实施。</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无员工培训计划扣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分，未组织实施扣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469"/>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按规定不擅自将医院的物品带回。</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违规者扣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（二）病区保洁（</w:t>
            </w:r>
            <w:r>
              <w:rPr>
                <w:rFonts w:hint="default" w:hAnsi="宋体"/>
                <w:color w:val="000000"/>
                <w:sz w:val="24"/>
                <w:szCs w:val="24"/>
                <w:highlight w:val="none"/>
                <w:lang w:val="en-US" w:eastAsia="zh-CN"/>
              </w:rPr>
              <w:t xml:space="preserve">40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环境清洁设施齐全，设有垃圾箱、清洁清扫工具等。</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每发现一项配备不齐，扣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1884"/>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清洁卫生各责任范围明确到人，清洁区内清洁保洁达到服务标准。清洁员着装统一、工作仔细、形象良好，并积极主动学习新的保洁知识，提高保洁、清洁技术。清洁工人数应按合同要求配备充足。</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责任范围不明确的扣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分，清洁保洁不符合标准每个点位扣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分，着装不统一、形象不佳，每人次扣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分，保洁美化培训工作有计划无落实或无计划，扣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分。清洁工未按要求配备</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每缺一人扣</w:t>
            </w:r>
            <w:r>
              <w:rPr>
                <w:rFonts w:hint="default" w:hAnsi="宋体"/>
                <w:color w:val="000000"/>
                <w:sz w:val="24"/>
                <w:szCs w:val="24"/>
                <w:highlight w:val="none"/>
                <w:lang w:val="en-US" w:eastAsia="zh-CN"/>
              </w:rPr>
              <w:t xml:space="preserve">2000</w:t>
            </w:r>
            <w:r>
              <w:rPr>
                <w:rFonts w:hint="eastAsia" w:hAnsi="宋体"/>
                <w:color w:val="000000"/>
                <w:sz w:val="24"/>
                <w:szCs w:val="24"/>
                <w:highlight w:val="none"/>
                <w:lang w:val="en-US" w:eastAsia="zh-CN"/>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规范服务，打扫卫生时不可影响他人工作或病人休息，根据不同情况执行相应的作业规程，按照室内、卫生间内等清洁标准完成保洁工作。进行清洁工作时，物品轻拿轻放，移动的东西要恢复原位，不得损坏物品。</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不服从管理、不礼貌扣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分，发现在无菌区和污染区或传染病和非传染病区交叉作业扣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分，将污染区的物品带入无菌区扣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分，不同的地方都应配置清洁用品，不得混用，发现一次，扣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分。室内清洁方面，玻璃、桌面及角落有灰尘、污迹、水渍，均扣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分。如某责任区卫生普遍差，扣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分，并追究责任。损坏物品要按价赔偿，并扣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大厅、走廊、楼梯干净明亮，无纸屑、果皮、污渍，垃圾盖上不得堆有垃圾，筒内的垃圾不能超过</w:t>
            </w:r>
            <w:r>
              <w:rPr>
                <w:rFonts w:hint="default" w:hAnsi="宋体"/>
                <w:color w:val="000000"/>
                <w:sz w:val="24"/>
                <w:szCs w:val="24"/>
                <w:highlight w:val="none"/>
                <w:lang w:val="en-US" w:eastAsia="zh-CN"/>
              </w:rPr>
              <w:t xml:space="preserve">2/3</w:t>
            </w:r>
            <w:r>
              <w:rPr>
                <w:rFonts w:hint="eastAsia" w:hAnsi="宋体"/>
                <w:color w:val="00000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地面无保洁、有痰迹、卫生设施有污渍。各转角处有蜘蛛网、积尘垃圾堆积，均扣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6211"/>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医生、护士办公室、更衣室、值班室室内保持干净、清爽，无积尘及其他杂物。</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治疗室：水池台面清洁、无积水、周围无霉斑，治疗室内干净卫生、无污渍及异味。</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w:t>
            </w:r>
            <w:r>
              <w:rPr>
                <w:rFonts w:hint="eastAsia" w:hAnsi="宋体"/>
                <w:color w:val="000000"/>
                <w:sz w:val="24"/>
                <w:szCs w:val="24"/>
                <w:highlight w:val="none"/>
                <w:lang w:val="en-US" w:eastAsia="zh-CN"/>
              </w:rPr>
              <w:t xml:space="preserve">病房：床头柜等无污迹、灰尘和杂物；地面清洁、无污渍及垃圾，墙面洁净，工作时不得影响病人休息，清洁完毕后将物品复位。并按照不同科室的要求做好保洁工作。</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w:t>
            </w:r>
            <w:r>
              <w:rPr>
                <w:rFonts w:hint="eastAsia" w:hAnsi="宋体"/>
                <w:color w:val="000000"/>
                <w:sz w:val="24"/>
                <w:szCs w:val="24"/>
                <w:highlight w:val="none"/>
                <w:lang w:val="en-US" w:eastAsia="zh-CN"/>
              </w:rPr>
              <w:t xml:space="preserve">洗手间：无异味、无积水及污渍，坐厕隔板消毒干净，镜子镜面无污渍、手印。</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墙面、玻璃窗、天花板、灯饰等有灰尘蜘蛛网，桌椅台面有污迹灰尘。地面杂物，垃圾篓清理不及时，物品摆放杂乱无序，发现一项扣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12264"/>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门诊</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w:t>
            </w:r>
            <w:r>
              <w:rPr>
                <w:rFonts w:hint="eastAsia" w:hAnsi="宋体"/>
                <w:color w:val="000000"/>
                <w:sz w:val="24"/>
                <w:szCs w:val="24"/>
                <w:highlight w:val="none"/>
                <w:lang w:val="en-US" w:eastAsia="zh-CN"/>
              </w:rPr>
              <w:t xml:space="preserve">处置室：地面整洁、干净，垃圾清倒及时，无异味散发、污洗室要分清各类工具的摆放区域及具体位置，并有明显的标识；水池无垃圾无积水，无乱摆、乱挂现象，并根据科室要求，做好职责范围内的其它工作。</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开水间：地面无垃圾、积水，有警示标识。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11.</w:t>
            </w:r>
            <w:r>
              <w:rPr>
                <w:rFonts w:hint="eastAsia" w:hAnsi="宋体"/>
                <w:color w:val="000000"/>
                <w:sz w:val="24"/>
                <w:szCs w:val="24"/>
                <w:highlight w:val="none"/>
                <w:lang w:val="en-US" w:eastAsia="zh-CN"/>
              </w:rPr>
              <w:t xml:space="preserve">货梯前垃圾桶：冲洗干净，摆放整齐。地面洁净不积水，每天至少清洗</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次，确保无异味。配餐梯前无污迹及杂物。</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12.PVC</w:t>
            </w:r>
            <w:r>
              <w:rPr>
                <w:rFonts w:hint="eastAsia" w:hAnsi="宋体"/>
                <w:color w:val="000000"/>
                <w:sz w:val="24"/>
                <w:szCs w:val="24"/>
                <w:highlight w:val="none"/>
                <w:lang w:val="en-US" w:eastAsia="zh-CN"/>
              </w:rPr>
              <w:t xml:space="preserve">地面：每年至少打蜡</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次。</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13.</w:t>
            </w:r>
            <w:r>
              <w:rPr>
                <w:rFonts w:hint="eastAsia" w:hAnsi="宋体"/>
                <w:color w:val="000000"/>
                <w:sz w:val="24"/>
                <w:szCs w:val="24"/>
                <w:highlight w:val="none"/>
                <w:lang w:val="en-US" w:eastAsia="zh-CN"/>
              </w:rPr>
              <w:t xml:space="preserve">楼内的地面</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含楼梯</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：保持干燥，尤其雨天要加强管理，设有警示标识，防止跌倒。</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14.</w:t>
            </w:r>
            <w:r>
              <w:rPr>
                <w:rFonts w:hint="eastAsia" w:hAnsi="宋体"/>
                <w:color w:val="000000"/>
                <w:sz w:val="24"/>
                <w:szCs w:val="24"/>
                <w:highlight w:val="none"/>
                <w:lang w:val="en-US" w:eastAsia="zh-CN"/>
              </w:rPr>
              <w:t xml:space="preserve">地面有水迹，防滑标识到位。</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设备清洁无污渍，谨慎操作，防止损坏。地面药渍、血渍、杂物等及时清理。玻璃明亮无污，达不到，每项扣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面有水迹污物，面盆有污渍，水龙头生锈等，均扣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分，大小便池有污物清洗不净阻塞，卫生球没有及时更换有异味，均扣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分，手纸、洗手液没有及时更换，墙面有污渍、手印，均扣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地面有垃圾、水迹、清洁工具放置混乱无标识分类，水池清洗不净，堵塞没及时疏通，及其它不符合规范要求，每项扣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因天气等原因地面湿滑未尽告知义务或采取相应措施，致使人员滑到受伤扣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分，并承担由此而引发的其他责任。</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（三）门急诊保洁（</w:t>
            </w: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诊疗室地面、楼道、厕所、急诊、观察室、输液室、电梯等整洁地面清洁、干燥，厕所无臭味。垃圾桶周围无污迹。</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不符合一项，扣</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（四）外围保洁（</w:t>
            </w: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路面无明显泥沙、污垢，每</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平方米内烟头纸屑平均不超过</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标识牌、公共设施目视无明显灰尘。平台、转换层及裙楼平台无积水、杂物，无垃圾、无青苔、无积水、无污迹，明沟通畅。</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Height w:val="727"/>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宣传栏、无污迹，无乱张贴现象。</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外墙</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幕墙</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面目视无污迹，每年清洗</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次，玻璃面无灰尘，铁栏上无铁锈。</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垃圾池和垃圾箱按规定及时清运，无积水，清运后及时冲洗，场地没臭味。</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（五）除“四害”消杀（</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844"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至少每年对全院环境进行</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次全面消杀工作，并做好记录，确保“四害”密度控制在国家规定的标准范围内。</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无按时消杀，扣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分，院内发现老鼠、蟑螂及蚊蝇孳生地，扣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分，并追究责任。</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（六）综合服务满意度（</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整体服务月平均满意度（医护人员、住院病人）不得低于</w:t>
            </w:r>
            <w:r>
              <w:rPr>
                <w:rFonts w:hint="default" w:hAnsi="宋体"/>
                <w:color w:val="000000"/>
                <w:sz w:val="24"/>
                <w:szCs w:val="24"/>
                <w:highlight w:val="none"/>
                <w:lang w:val="en-US"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4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每低于</w:t>
            </w:r>
            <w:r>
              <w:rPr>
                <w:rFonts w:hint="default" w:hAnsi="宋体"/>
                <w:color w:val="000000"/>
                <w:sz w:val="24"/>
                <w:szCs w:val="24"/>
                <w:highlight w:val="none"/>
                <w:lang w:val="en-US" w:eastAsia="zh-CN"/>
              </w:rPr>
              <w:t xml:space="preserve">85%</w:t>
            </w:r>
            <w:r>
              <w:rPr>
                <w:rFonts w:hint="eastAsia" w:hAnsi="宋体"/>
                <w:color w:val="000000"/>
                <w:sz w:val="24"/>
                <w:szCs w:val="24"/>
                <w:highlight w:val="none"/>
                <w:lang w:val="en-US" w:eastAsia="zh-CN"/>
              </w:rPr>
              <w:t xml:space="preserve">一个点</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低于</w:t>
            </w:r>
            <w:r>
              <w:rPr>
                <w:rFonts w:hint="default" w:hAnsi="宋体"/>
                <w:color w:val="000000"/>
                <w:sz w:val="24"/>
                <w:szCs w:val="24"/>
                <w:highlight w:val="none"/>
                <w:lang w:val="en-US" w:eastAsia="zh-CN"/>
              </w:rPr>
              <w:t xml:space="preserve">80%</w:t>
            </w:r>
            <w:r>
              <w:rPr>
                <w:rFonts w:hint="eastAsia" w:hAnsi="宋体"/>
                <w:color w:val="000000"/>
                <w:sz w:val="24"/>
                <w:szCs w:val="24"/>
                <w:highlight w:val="none"/>
                <w:lang w:val="en-US" w:eastAsia="zh-CN"/>
              </w:rPr>
              <w:t xml:space="preserve">给予一个点扣款</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元处罚。</w:t>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（六）陪检运送服务要求</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）服务内容：</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陪检服务：负责完成病员的检查任务，并实行全程陪同，在护送病人检查过程中，</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要确保病人安全、稳定、到位，防止意外发生。</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送检标本：负责收集送检各种化验标本，工作中要细心认真核对，防止损坏标本，不出差错。</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送药退药：及时有效地做好送药退药工作，确保病人及时用药，并做好交接签字工作，防止发生差错。</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供应物资：负责病区物品，材料的报损、领取工作，确保临床使用，抢救物品随叫随到。</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、应急服务：负责应急病区各项突发工作，如加床、拆床、借抢救物品等。</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）服务标准：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急查标本、急送会诊单、通知单、急求药品、必须及时迅速处理。</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领取的各类药品、办公用品、医用品等物品应准确无遗漏无差错，贵重药品必须有经手人签字。</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外勤人员不得私自拿药，不得变卖病人药品，不得私自收费，不得延误时间。</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（七）陪检运送服务质量考核细则</w:t>
      </w:r>
      <w:r/>
    </w:p>
    <w:tbl>
      <w:tblPr>
        <w:tblStyle w:val="717"/>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3780"/>
        <w:gridCol w:w="720"/>
        <w:gridCol w:w="3060"/>
        <w:gridCol w:w="1080"/>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陪检运送管理（</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分数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质量考核扣分内容</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得分</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陪检运送服务</w:t>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（一）综合管理</w:t>
            </w: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员工仪表端正、着工装、佩戴工牌。热情服务，规范服务。严格遵守劳动纪律，做好班前准备，在岗在位，文明礼貌，言行举止符合规范要求。</w:t>
            </w:r>
            <w:r>
              <w:rPr>
                <w:rFonts w:hint="default" w:hAnsi="宋体"/>
                <w:color w:val="000000"/>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未按规定着装、仪表仪容、规范服务不符合要求，一次一项扣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分。违反劳动纪律、规章制度要求一次扣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部门职责明确，各项管理服务制度健全，内容印制上墙。</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制度不明确、制度不健全扣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分，制度未上墙一处扣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各岗位员工工作内容、操作流程符合规定要求，工作规范，作风严谨，并严格按规范标准要求进行操作。</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岗位内容不全，操作流程不规范，未按规范标准操作一次一项扣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有完善的员工培训计划并组织实施。</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无员工培训计划扣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分，未组织实施扣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按规定不擅自将医院的物品带回。</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违规者扣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（二）运送管理（</w:t>
            </w:r>
            <w:r>
              <w:rPr>
                <w:rFonts w:hint="default" w:hAnsi="宋体"/>
                <w:color w:val="000000"/>
                <w:sz w:val="24"/>
                <w:szCs w:val="24"/>
                <w:highlight w:val="none"/>
                <w:lang w:val="en-US" w:eastAsia="zh-CN"/>
              </w:rPr>
              <w:t xml:space="preserve">85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严格执行“核查”制度，防止差错发生。</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未执行制度要求，违规一次扣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严格执行感染控制要求和消毒隔离制度，防止交叉感染。</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 xml:space="preserve">未执行制度要求，违规一次扣</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标本：</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）按时收集各病区的各种标本，并正确无误的将报告发到各病区。</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）执行急、平、常规的收集流程，特别是急查的标本接到临床需求要在</w:t>
            </w: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分钟内送验；</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）登记、签收，做到准确、及时。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陪检：</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）对住院病人分病重、一级、卧床、生活不能自理进行陪检。</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）认真查对病区、床号、姓名、检查项目、检查治疗前的准备，并注意保护病人隐私。</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）一般情况按急诊、预约（空腹、浅表及饮水）、普通的顺序，以缩短病人等候时间。</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）重病人必须有医护人员陪同。</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）检查运输工具，保持良好功能，注意工具的清洁、消毒，防止交叉感染。</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）注意病人的安全，系好安全带。运送前向病人及家属做好告知工作。</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运送途中发生跌倒、坠床由公司承担一切责任。新病床不能出新综合楼，发生一次扣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由于员工运送不当，发生病人坠床，一切后果由公司承担。</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pStyle w:val="925"/>
              <w:ind w:left="0" w:right="0" w:firstLine="480"/>
              <w:keepLines w:val="0"/>
              <w:keepNext w:val="0"/>
              <w:spacing w:before="0" w:beforeAutospacing="0" w:after="0" w:afterAutospacing="0" w:line="400" w:lineRule="exact"/>
              <w:rPr>
                <w:rFonts w:hint="default" w:hAnsi="宋体"/>
                <w:color w:val="000000"/>
                <w:sz w:val="24"/>
                <w:szCs w:val="24"/>
                <w:highlight w:val="none"/>
                <w:lang w:eastAsia="zh-CN"/>
              </w:rPr>
              <w:suppressLineNumbers w:val="0"/>
            </w:pPr>
            <w:r>
              <w:rPr>
                <w:rFonts w:hint="default" w:hAnsi="宋体"/>
                <w:color w:val="000000"/>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领物、送物：</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）科室随时急用的要随叫随到。</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）领取各类物品，针剂、口服药及借用、归还抢救设备等，按要求送到相关病区。</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）针剂药品要注意包装，运送途中要防止碰撞、避免破损、丢失。由于运送不当者，由当事人全额赔偿。</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4</w:t>
            </w:r>
            <w:r>
              <w:rPr>
                <w:rFonts w:hint="eastAsia" w:hAnsi="宋体"/>
                <w:color w:val="000000"/>
                <w:sz w:val="24"/>
                <w:szCs w:val="24"/>
                <w:highlight w:val="none"/>
                <w:lang w:val="en-US" w:eastAsia="zh-CN"/>
              </w:rPr>
              <w:t xml:space="preserve">）取血时按要求立即送病区，交护士再次核对。</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）要与科室对接，签收。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对于急的送检没有在</w:t>
            </w: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分钟内到达者，扣一次</w:t>
            </w:r>
            <w:r>
              <w:rPr>
                <w:rFonts w:hint="default" w:hAnsi="宋体"/>
                <w:color w:val="000000"/>
                <w:sz w:val="24"/>
                <w:szCs w:val="24"/>
                <w:highlight w:val="none"/>
                <w:lang w:val="en-US" w:eastAsia="zh-CN"/>
              </w:rPr>
              <w:t xml:space="preserve">50</w:t>
            </w:r>
            <w:r>
              <w:rPr>
                <w:rFonts w:hint="eastAsia" w:hAnsi="宋体"/>
                <w:color w:val="000000"/>
                <w:sz w:val="24"/>
                <w:szCs w:val="24"/>
                <w:highlight w:val="none"/>
                <w:lang w:val="en-US" w:eastAsia="zh-CN"/>
              </w:rPr>
              <w:t xml:space="preserve">元。</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rPr>
                <w:rFonts w:hint="eastAsia" w:hAnsi="宋体"/>
                <w:color w:val="000000"/>
                <w:sz w:val="24"/>
                <w:szCs w:val="24"/>
                <w:highlight w:val="none"/>
                <w:lang w:val="en-US" w:eastAsia="zh-CN"/>
              </w:rPr>
              <w:t xml:space="preserve">文书：</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）按要求、按流程收集各科室的文书如报表、危重病人通知单等</w:t>
            </w:r>
            <w:r>
              <w:rPr>
                <w:rFonts w:hint="default" w:hAnsi="宋体"/>
                <w:color w:val="000000"/>
                <w:sz w:val="24"/>
                <w:szCs w:val="24"/>
                <w:highlight w:val="none"/>
                <w:lang w:val="en-US" w:eastAsia="zh-CN"/>
              </w:rPr>
              <w:t xml:space="preserve">.</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）将各种文书分别送到相应的科室。</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一项不符合，扣</w:t>
            </w: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分。</w:t>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（三）综合服务满意度（</w:t>
            </w: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整体服务月平均满意度（医护人员、住院病人）不得低于</w:t>
            </w:r>
            <w:r>
              <w:rPr>
                <w:rFonts w:hint="default" w:hAnsi="宋体"/>
                <w:color w:val="000000"/>
                <w:sz w:val="24"/>
                <w:szCs w:val="24"/>
                <w:highlight w:val="none"/>
                <w:lang w:val="en-US"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25"/>
              <w:ind w:right="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每低于</w:t>
            </w:r>
            <w:r>
              <w:rPr>
                <w:rFonts w:hint="default" w:hAnsi="宋体"/>
                <w:color w:val="000000"/>
                <w:sz w:val="24"/>
                <w:szCs w:val="24"/>
                <w:highlight w:val="none"/>
                <w:lang w:val="en-US" w:eastAsia="zh-CN"/>
              </w:rPr>
              <w:t xml:space="preserve">85%</w:t>
            </w:r>
            <w:r>
              <w:rPr>
                <w:rFonts w:hint="eastAsia" w:hAnsi="宋体"/>
                <w:color w:val="000000"/>
                <w:sz w:val="24"/>
                <w:szCs w:val="24"/>
                <w:highlight w:val="none"/>
                <w:lang w:val="en-US" w:eastAsia="zh-CN"/>
              </w:rPr>
              <w:t xml:space="preserve">一个点</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扣</w:t>
            </w: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分</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低于</w:t>
            </w:r>
            <w:r>
              <w:rPr>
                <w:rFonts w:hint="default" w:hAnsi="宋体"/>
                <w:color w:val="000000"/>
                <w:sz w:val="24"/>
                <w:szCs w:val="24"/>
                <w:highlight w:val="none"/>
                <w:lang w:val="en-US" w:eastAsia="zh-CN"/>
              </w:rPr>
              <w:t xml:space="preserve">80%</w:t>
            </w:r>
            <w:r>
              <w:rPr>
                <w:rFonts w:hint="eastAsia" w:hAnsi="宋体"/>
                <w:color w:val="000000"/>
                <w:sz w:val="24"/>
                <w:szCs w:val="24"/>
                <w:highlight w:val="none"/>
                <w:lang w:val="en-US" w:eastAsia="zh-CN"/>
              </w:rPr>
              <w:t xml:space="preserve">给予一个点扣款</w:t>
            </w:r>
            <w:r>
              <w:rPr>
                <w:rFonts w:hint="default" w:hAnsi="宋体"/>
                <w:color w:val="000000"/>
                <w:sz w:val="24"/>
                <w:szCs w:val="24"/>
                <w:highlight w:val="none"/>
                <w:lang w:val="en-US" w:eastAsia="zh-CN"/>
              </w:rPr>
              <w:t xml:space="preserve">100</w:t>
            </w:r>
            <w:r>
              <w:rPr>
                <w:rFonts w:hint="eastAsia" w:hAnsi="宋体"/>
                <w:color w:val="000000"/>
                <w:sz w:val="24"/>
                <w:szCs w:val="24"/>
                <w:highlight w:val="none"/>
                <w:lang w:val="en-US" w:eastAsia="zh-CN"/>
              </w:rPr>
              <w:t xml:space="preserve">元处罚。</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（八）项目配置</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、人员配置</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29"/>
        <w:gridCol w:w="1485"/>
        <w:gridCol w:w="4549"/>
        <w:gridCol w:w="2268"/>
      </w:tblGrid>
      <w:tr>
        <w:trPr>
          <w:trHeight w:val="8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现人数配置</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vMerge w:val="restart"/>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1F大厅+公厕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1F放射科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1F输液室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1F急诊陪检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1F120担架员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1F急诊保洁（日班、夜班）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1F口腔科保洁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2F大厅+公厕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2F检验科保洁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针灸推拿科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3F大厅+公厕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3F胃镜室3人、五官科1人保洁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3F供应室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4楼手术室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保洁+工勤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妇科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门诊、病房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vMerge w:val="restart"/>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6病区（脾胃病、眼科、）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7病区（外科、泌尿外科）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8F（脑外科）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机动顶岗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司梯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康复中心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1F、2F保洁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3F保洁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5F保洁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6F保洁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运送、陪检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vMerge w:val="restart"/>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陪检、运送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陪检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中夜班（送药、陪检）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保洁+工勤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拿血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收发被服工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治未病中心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保洁+工勤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洗衣房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消毒清洗推尘、毛巾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9"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34"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r>
      <w:r>
        <w:rPr>
          <w:rFonts w:hint="eastAsia" w:hAnsi="宋体"/>
          <w:color w:val="000000"/>
          <w:sz w:val="24"/>
          <w:szCs w:val="24"/>
          <w:highlight w:val="none"/>
          <w:lang w:val="en-US" w:eastAsia="zh-CN"/>
        </w:rPr>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、工具设备要求：</w:t>
      </w:r>
      <w:r/>
    </w:p>
    <w:tbl>
      <w:tblPr>
        <w:tblStyle w:val="717"/>
        <w:tblpPr w:horzAnchor="page" w:tblpX="1992" w:vertAnchor="text" w:tblpY="255" w:leftFromText="180" w:topFromText="0" w:rightFromText="180" w:bottomFromText="0"/>
        <w:tblW w:w="877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3718"/>
        <w:gridCol w:w="1560"/>
        <w:gridCol w:w="2551"/>
      </w:tblGrid>
      <w:tr>
        <w:trPr>
          <w:trHeight w:val="200"/>
        </w:trPr>
        <w:tc>
          <w:tcPr>
            <w:shd w:val="clear" w:color="auto" w:fill="auto"/>
            <w:tcBorders>
              <w:top w:val="single" w:color="auto"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序号</w:t>
            </w:r>
            <w:r/>
          </w:p>
        </w:tc>
        <w:tc>
          <w:tcPr>
            <w:shd w:val="clear" w:color="auto" w:fill="auto"/>
            <w:tcBorders>
              <w:top w:val="single" w:color="auto"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设备名称</w:t>
            </w:r>
            <w:r/>
          </w:p>
        </w:tc>
        <w:tc>
          <w:tcPr>
            <w:shd w:val="clear" w:color="auto" w:fill="auto"/>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数量</w:t>
            </w:r>
            <w:r/>
          </w:p>
        </w:tc>
        <w:tc>
          <w:tcPr>
            <w:shd w:val="clear" w:color="auto" w:fill="auto"/>
            <w:tcBorders>
              <w:top w:val="single" w:color="auto"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备注</w:t>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全自动洗地机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多功能擦地机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吸水吸尘机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吹干机</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000000"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保洁工具车</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000000"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rHeight w:val="90"/>
        </w:trPr>
        <w:tc>
          <w:tcPr>
            <w:shd w:val="clear" w:color="auto" w:fill="auto"/>
            <w:tcBorders>
              <w:top w:val="none" w:color="000000" w:sz="4" w:space="0"/>
              <w:left w:val="single" w:color="auto" w:sz="4" w:space="0"/>
              <w:bottom w:val="single" w:color="auto" w:sz="4" w:space="0"/>
              <w:right w:val="single" w:color="000000" w:sz="4" w:space="0"/>
            </w:tcBorders>
            <w:tcW w:w="94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000000" w:sz="4" w:space="0"/>
            </w:tcBorders>
            <w:tcW w:w="371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高压水枪</w:t>
            </w:r>
            <w:r/>
          </w:p>
        </w:tc>
        <w:tc>
          <w:tcPr>
            <w:shd w:val="clear" w:color="auto" w:fill="auto"/>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注：该项配备指满足本项目正常运行的必需物品采购费用，采购单位认为的最低配备要求包含但不限于以上表格的内容。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（九）保洁易耗品要求</w:t>
      </w:r>
      <w:r/>
    </w:p>
    <w:tbl>
      <w:tblPr>
        <w:tblStyle w:val="717"/>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7"/>
        <w:gridCol w:w="3566"/>
        <w:gridCol w:w="2095"/>
        <w:gridCol w:w="948"/>
        <w:gridCol w:w="966"/>
      </w:tblGrid>
      <w:tr>
        <w:trPr>
          <w:trHeight w:val="420"/>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序号</w:t>
            </w:r>
            <w:r/>
          </w:p>
        </w:tc>
        <w:tc>
          <w:tcPr>
            <w:shd w:val="clear" w:color="auto" w:fill="auto"/>
            <w:tcBorders>
              <w:top w:val="single" w:color="auto" w:sz="4" w:space="0"/>
              <w:left w:val="single" w:color="000000" w:sz="4" w:space="0"/>
              <w:bottom w:val="single" w:color="auto" w:sz="4" w:space="0"/>
              <w:right w:val="single" w:color="auto" w:sz="4" w:space="0"/>
            </w:tcBorders>
            <w:tcW w:w="3566"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易耗品名称</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规格</w:t>
            </w:r>
            <w:r/>
          </w:p>
        </w:tc>
        <w:tc>
          <w:tcPr>
            <w:shd w:val="clear" w:color="auto" w:fill="auto"/>
            <w:tcBorders>
              <w:top w:val="single" w:color="auto" w:sz="4" w:space="0"/>
              <w:left w:val="single" w:color="000000" w:sz="4" w:space="0"/>
              <w:bottom w:val="single" w:color="auto" w:sz="4" w:space="0"/>
              <w:right w:val="single" w:color="000000" w:sz="4" w:space="0"/>
            </w:tcBorders>
            <w:tcW w:w="948"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数量</w:t>
            </w:r>
            <w:r/>
          </w:p>
        </w:tc>
        <w:tc>
          <w:tcPr>
            <w:shd w:val="clear" w:color="auto" w:fill="auto"/>
            <w:tcBorders>
              <w:top w:val="single" w:color="auto" w:sz="4" w:space="0"/>
              <w:left w:val="single" w:color="000000" w:sz="4" w:space="0"/>
              <w:bottom w:val="single" w:color="auto" w:sz="4" w:space="0"/>
              <w:right w:val="single" w:color="auto" w:sz="4" w:space="0"/>
            </w:tcBorders>
            <w:tcW w:w="966" w:type="dxa"/>
            <w:vAlign w:val="center"/>
            <w:vMerge w:val="restart"/>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备注</w:t>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大垃圾袋（黑）</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100mm*120mm</w:t>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垃圾袋（黑）</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100mm*80mm</w:t>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垃圾袋（黑）</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70mm*80mm</w:t>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垃圾袋（黑）</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50mm*60mm</w:t>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尘推架</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尘推布</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平板拖杆</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洁净区平板拖布（分色</w:t>
            </w:r>
            <w:r>
              <w:rPr>
                <w:rFonts w:hint="default" w:hAnsi="宋体"/>
                <w:color w:val="000000"/>
                <w:sz w:val="24"/>
                <w:szCs w:val="24"/>
                <w:highlight w:val="none"/>
                <w:lang w:val="en-US" w:eastAsia="zh-CN"/>
              </w:rPr>
              <w:t xml:space="preserve">)</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污染区平板拖布</w:t>
            </w:r>
            <w:r>
              <w:rPr>
                <w:rFonts w:hint="default" w:hAnsi="宋体"/>
                <w:color w:val="000000"/>
                <w:sz w:val="24"/>
                <w:szCs w:val="24"/>
                <w:highlight w:val="none"/>
                <w:lang w:val="en-US" w:eastAsia="zh-CN"/>
              </w:rPr>
              <w:t xml:space="preserve">(</w:t>
            </w:r>
            <w:r>
              <w:rPr>
                <w:rFonts w:hint="eastAsia" w:hAnsi="宋体"/>
                <w:color w:val="000000"/>
                <w:sz w:val="24"/>
                <w:szCs w:val="24"/>
                <w:highlight w:val="none"/>
                <w:lang w:val="en-US" w:eastAsia="zh-CN"/>
              </w:rPr>
              <w:t xml:space="preserve">分色）</w:t>
            </w:r>
            <w:r/>
          </w:p>
        </w:tc>
        <w:tc>
          <w:tcPr>
            <w:shd w:val="clear" w:color="auto" w:fill="auto"/>
            <w:tcBorders>
              <w:top w:val="none" w:color="000000"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半污染区平板拖布（分色）</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污染区毛巾（分色）</w:t>
            </w:r>
            <w:r/>
          </w:p>
        </w:tc>
        <w:tc>
          <w:tcPr>
            <w:shd w:val="clear" w:color="auto" w:fill="auto"/>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12</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半污染区毛巾（分色）</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洁净区毛巾（分色）</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榨水车</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百洁布</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玻璃刮刀</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涂水器</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伸缩杆</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19</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推水刮</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20</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刮条</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21</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铝合金梯</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台盆刷</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长柄地刷</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水管</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擦片（黑垫）</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擦片（红垫）</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云石刀片</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铲刀</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铁锹</w:t>
            </w:r>
            <w:r/>
          </w:p>
        </w:tc>
        <w:tc>
          <w:tcPr>
            <w:shd w:val="clear" w:color="auto" w:fill="auto"/>
            <w:tcBorders>
              <w:top w:val="none" w:color="000000"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杂物篮</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31</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喷壶</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水桶</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皮老虎</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卫生刷</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卫生球</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肥皂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37</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洗衣粉</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38</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化油剂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39</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静电牵尘剂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40</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中性清洁剂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41</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玻璃清洁剂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不锈钢光亮剂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空气清新剂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洁厕液</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全能消毒清洁剂（地面用）</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高泡地毯除渍剂</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室内扫把、簸箕</w:t>
            </w:r>
            <w:r/>
          </w:p>
        </w:tc>
        <w:tc>
          <w:tcPr>
            <w:shd w:val="clear" w:color="auto" w:fill="auto"/>
            <w:tcBorders>
              <w:top w:val="none" w:color="000000"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地面警示牌</w:t>
            </w:r>
            <w:r/>
          </w:p>
        </w:tc>
        <w:tc>
          <w:tcPr>
            <w:shd w:val="clear" w:color="auto" w:fill="auto"/>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000000"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员工春夏服装</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auto"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auto" w:sz="4" w:space="0"/>
              <w:bottom w:val="single" w:color="auto"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工号牌</w:t>
            </w:r>
            <w:r/>
          </w:p>
        </w:tc>
        <w:tc>
          <w:tcPr>
            <w:shd w:val="clear" w:color="auto" w:fill="auto"/>
            <w:tcBorders>
              <w:top w:val="single" w:color="auto" w:sz="4" w:space="0"/>
              <w:left w:val="single" w:color="auto" w:sz="4" w:space="0"/>
              <w:bottom w:val="single" w:color="auto"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single" w:color="auto"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51</w:t>
            </w:r>
            <w:r/>
          </w:p>
        </w:tc>
        <w:tc>
          <w:tcPr>
            <w:shd w:val="clear" w:color="auto" w:fill="auto"/>
            <w:tcBorders>
              <w:top w:val="single" w:color="auto"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雨鞋</w:t>
            </w:r>
            <w:r/>
          </w:p>
        </w:tc>
        <w:tc>
          <w:tcPr>
            <w:shd w:val="clear" w:color="auto" w:fill="auto"/>
            <w:tcBorders>
              <w:top w:val="single" w:color="auto"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single" w:color="auto"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52</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雨衣</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53</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塑料护袖</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54</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一次性口罩</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55</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纱手套</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r>
        <w:trPr/>
        <w:tc>
          <w:tcPr>
            <w:shd w:val="clear" w:color="auto" w:fill="auto"/>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default" w:hAnsi="宋体"/>
                <w:color w:val="000000"/>
                <w:sz w:val="24"/>
                <w:szCs w:val="24"/>
                <w:highlight w:val="none"/>
                <w:lang w:val="en-US" w:eastAsia="zh-CN"/>
              </w:rPr>
              <w:t xml:space="preserve">56</w:t>
            </w:r>
            <w:r/>
          </w:p>
        </w:tc>
        <w:tc>
          <w:tcPr>
            <w:shd w:val="clear" w:color="auto" w:fill="auto"/>
            <w:tcBorders>
              <w:top w:val="none" w:color="000000" w:sz="4" w:space="0"/>
              <w:left w:val="none" w:color="000000" w:sz="4" w:space="0"/>
              <w:bottom w:val="single" w:color="000000" w:sz="4" w:space="0"/>
              <w:right w:val="single" w:color="auto" w:sz="4" w:space="0"/>
            </w:tcBorders>
            <w:tcW w:w="35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橡胶手套</w:t>
            </w:r>
            <w:r/>
          </w:p>
        </w:tc>
        <w:tc>
          <w:tcPr>
            <w:shd w:val="clear" w:color="auto" w:fill="auto"/>
            <w:tcBorders>
              <w:top w:val="none" w:color="000000" w:sz="4" w:space="0"/>
              <w:left w:val="single" w:color="auto" w:sz="4" w:space="0"/>
              <w:bottom w:val="single" w:color="000000" w:sz="4" w:space="0"/>
              <w:right w:val="single" w:color="000000" w:sz="4" w:space="0"/>
            </w:tcBorders>
            <w:tcW w:w="2095"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948"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25"/>
              <w:ind w:left="0" w:right="0" w:firstLine="480"/>
              <w:keepLines w:val="0"/>
              <w:keepNext w:val="0"/>
              <w:spacing w:before="0" w:beforeAutospacing="0" w:after="0" w:afterAutospacing="0" w:line="400" w:lineRule="exact"/>
              <w:rPr>
                <w:rFonts w:hint="eastAsia" w:hAnsi="宋体"/>
                <w:color w:val="000000"/>
                <w:sz w:val="24"/>
                <w:szCs w:val="24"/>
                <w:highlight w:val="none"/>
                <w:lang w:val="en-US" w:eastAsia="zh-CN"/>
              </w:rPr>
              <w:suppressLineNumbers w:val="0"/>
            </w:pPr>
            <w:r>
              <w:rPr>
                <w:rFonts w:hint="eastAsia" w:hAnsi="宋体"/>
                <w:color w:val="000000"/>
                <w:sz w:val="24"/>
                <w:szCs w:val="24"/>
                <w:highlight w:val="none"/>
                <w:lang w:val="en-US" w:eastAsia="zh-CN"/>
              </w:rPr>
              <w:t xml:space="preserve">　</w:t>
            </w:r>
            <w:r/>
          </w:p>
        </w:tc>
      </w:tr>
    </w:tbl>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注：该项配备指满足本项目正常运行的必需物品采购费用，采购单位认为的最低配备要求包含但不限于以上表格的内容。</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（十）其他相关说明：</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1.</w:t>
      </w:r>
      <w:r>
        <w:rPr>
          <w:rFonts w:hint="eastAsia" w:hAnsi="宋体"/>
          <w:color w:val="000000"/>
          <w:sz w:val="24"/>
          <w:szCs w:val="24"/>
          <w:highlight w:val="none"/>
          <w:lang w:val="en-US" w:eastAsia="zh-CN"/>
        </w:rPr>
        <w:t xml:space="preserve">后勤服务工作人员的工资须符合国家、省、市的相关规定，符合无锡市最低工资标准；实行八小时工作。</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2.</w:t>
      </w:r>
      <w:r>
        <w:rPr>
          <w:rFonts w:hint="eastAsia" w:hAnsi="宋体"/>
          <w:color w:val="000000"/>
          <w:sz w:val="24"/>
          <w:szCs w:val="24"/>
          <w:highlight w:val="none"/>
          <w:lang w:val="en-US" w:eastAsia="zh-CN"/>
        </w:rPr>
        <w:t xml:space="preserve">投标报价中人员社保费用根据拟派人员符合年龄条件的予以缴纳社保测算。</w:t>
      </w:r>
      <w:r>
        <w:rPr>
          <w:rFonts w:hint="default" w:hAnsi="宋体"/>
          <w:color w:val="000000"/>
          <w:sz w:val="24"/>
          <w:szCs w:val="24"/>
          <w:highlight w:val="none"/>
          <w:lang w:val="en-US" w:eastAsia="zh-CN"/>
        </w:rPr>
        <w:t xml:space="preserve"> </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投标报价中含生活垃圾袋、清洁设备、保洁易耗材料等保洁服务成本、人员工资、规定所用卫生材料（对照清洁设备要求、清洁易耗品要求）以及人员意外成本和所应承担的税收等中标方所涉及的一切相关费用。</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注：</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①医疗垃圾专业公司清出院外的费用不包含在此次投标报价之内；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②因特殊情况需加班产生的费用不包含在此次投标报价之内，由院方另行支付；</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③医疗垃圾袋、消毒片、扎带、白色可回收垃圾袋由医院提供，不包含在此次投标报价之内；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④石材养护及</w:t>
      </w:r>
      <w:r>
        <w:rPr>
          <w:rFonts w:hint="default" w:hAnsi="宋体"/>
          <w:color w:val="000000"/>
          <w:sz w:val="24"/>
          <w:szCs w:val="24"/>
          <w:highlight w:val="none"/>
          <w:lang w:val="en-US" w:eastAsia="zh-CN"/>
        </w:rPr>
        <w:t xml:space="preserve">PVC</w:t>
      </w:r>
      <w:r>
        <w:rPr>
          <w:rFonts w:hint="eastAsia" w:hAnsi="宋体"/>
          <w:color w:val="000000"/>
          <w:sz w:val="24"/>
          <w:szCs w:val="24"/>
          <w:highlight w:val="none"/>
          <w:lang w:val="en-US" w:eastAsia="zh-CN"/>
        </w:rPr>
        <w:t xml:space="preserve">打蜡费用不包含在此次投标报价之内；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⑤开荒保洁相关费用不包含在此次投标报价之内。</w:t>
      </w:r>
      <w:r/>
    </w:p>
    <w:p>
      <w:pPr>
        <w:pStyle w:val="925"/>
        <w:ind w:firstLine="480"/>
        <w:spacing w:line="40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增加服务人员或服务项目由双方协商解决。</w:t>
      </w:r>
      <w:r/>
    </w:p>
    <w:p>
      <w:pPr>
        <w:pStyle w:val="925"/>
        <w:ind w:firstLine="480"/>
        <w:spacing w:line="400" w:lineRule="exact"/>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5</w:t>
      </w:r>
      <w:r>
        <w:rPr>
          <w:rFonts w:hint="eastAsia" w:hAnsi="宋体"/>
          <w:color w:val="000000"/>
          <w:sz w:val="24"/>
          <w:szCs w:val="24"/>
          <w:highlight w:val="none"/>
          <w:lang w:val="en-US" w:eastAsia="zh-CN"/>
        </w:rPr>
        <w:t xml:space="preserve">、付款方式：采购人根据月度考核结果于每月</w:t>
      </w:r>
      <w:r>
        <w:rPr>
          <w:rFonts w:hint="default"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日之前支付上月的服务费用，支付方式由银行转账支付，中标供应商需提供增值税发票。</w:t>
      </w:r>
      <w:r/>
    </w:p>
    <w:p>
      <w:pPr>
        <w:pStyle w:val="925"/>
        <w:ind w:firstLine="480"/>
        <w:spacing w:line="400" w:lineRule="exact"/>
        <w:rPr>
          <w:rFonts w:hint="eastAsia" w:hAnsi="宋体"/>
          <w:color w:val="000000"/>
          <w:sz w:val="24"/>
          <w:szCs w:val="24"/>
          <w:highlight w:val="none"/>
          <w:lang w:eastAsia="zh-CN"/>
        </w:rPr>
      </w:pPr>
      <w:r>
        <w:rPr>
          <w:rFonts w:hint="eastAsia" w:hAnsi="宋体"/>
          <w:color w:val="000000"/>
          <w:sz w:val="24"/>
          <w:szCs w:val="24"/>
          <w:highlight w:val="none"/>
          <w:lang w:eastAsia="zh-CN"/>
        </w:rPr>
        <w:br w:type="page" w:clear="all"/>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中标方必须按采购人要求将本项目中货物送到指定地点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包括可能的分布范围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b/>
          <w:color w:val="000000"/>
          <w:sz w:val="30"/>
          <w:szCs w:val="30"/>
          <w:highlight w:val="none"/>
        </w:rPr>
        <w:br w:type="page" w:clear="all"/>
      </w:r>
      <w:r>
        <w:rPr>
          <w:rFonts w:ascii="宋体"/>
          <w:bCs/>
          <w:color w:val="000000" w:themeColor="text1"/>
          <w:sz w:val="24"/>
          <w:szCs w:val="24"/>
          <w:highlight w:val="none"/>
        </w:rPr>
      </w:r>
      <w:r/>
    </w:p>
    <w:p>
      <w:pPr>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1" w:name="OLE_LINK1"/>
      <w:r/>
      <w:bookmarkStart w:id="192" w:name="OLE_LINK2"/>
      <w:r>
        <w:rPr>
          <w:rFonts w:hint="eastAsia" w:ascii="宋体"/>
          <w:bCs/>
          <w:color w:val="000000"/>
          <w:sz w:val="24"/>
          <w:szCs w:val="24"/>
          <w:highlight w:val="none"/>
        </w:rPr>
        <w:t xml:space="preserve">《保障中小企业款项支付条例》（中华人民共和国国务院令第802号）</w:t>
      </w:r>
      <w:bookmarkEnd w:id="191"/>
      <w:r/>
      <w:bookmarkEnd w:id="192"/>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0"/>
          <w:numId w:val="0"/>
        </w:numPr>
        <w:ind w:left="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3" w:name="_Toc120614281"/>
      <w:r>
        <w:rPr>
          <w:rFonts w:hint="eastAsia" w:ascii="黑体" w:hAnsi="黑体" w:eastAsia="黑体"/>
          <w:color w:val="000000"/>
          <w:sz w:val="36"/>
          <w:szCs w:val="36"/>
          <w:highlight w:val="none"/>
        </w:rPr>
        <w:t xml:space="preserve">第五章  评标方法与评标标准</w:t>
      </w:r>
      <w:r/>
    </w:p>
    <w:p>
      <w:pPr>
        <w:pStyle w:val="976"/>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976"/>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976"/>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976"/>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6"/>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6"/>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976"/>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p>
    <w:p>
      <w:pPr>
        <w:pStyle w:val="976"/>
        <w:numPr>
          <w:ilvl w:val="0"/>
          <w:numId w:val="7"/>
        </w:numPr>
        <w:ind w:firstLine="360"/>
        <w:spacing w:before="0" w:after="0" w:line="500" w:lineRule="exact"/>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pStyle w:val="976"/>
        <w:numPr>
          <w:ilvl w:val="0"/>
          <w:numId w:val="0"/>
        </w:numPr>
        <w:ind w:firstLine="562"/>
        <w:spacing w:before="0" w:after="0" w:line="500" w:lineRule="exact"/>
        <w:rPr>
          <w:rFonts w:hint="eastAsia" w:ascii="宋体" w:hAnsi="宋体"/>
          <w:b/>
          <w:color w:val="000000"/>
          <w:sz w:val="28"/>
          <w:szCs w:val="28"/>
          <w:highlight w:val="none"/>
        </w:rPr>
      </w:pPr>
      <w:r>
        <w:rPr>
          <w:rFonts w:hint="eastAsia" w:ascii="宋体" w:hAnsi="宋体" w:eastAsia="宋体" w:cs="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5"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30</w:t>
      </w:r>
      <w:r>
        <w:rPr>
          <w:rFonts w:hint="eastAsia" w:cs="宋体" w:asciiTheme="minorEastAsia" w:hAnsiTheme="minorEastAsia"/>
          <w:b/>
          <w:sz w:val="24"/>
        </w:rPr>
        <w:t xml:space="preserve">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2、报价供应商综合情况</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20</w:t>
      </w:r>
      <w:r>
        <w:rPr>
          <w:rFonts w:hint="eastAsia" w:cs="宋体" w:asciiTheme="minorEastAsia" w:hAnsiTheme="minorEastAsia"/>
          <w:b/>
          <w:bCs/>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50</w:t>
      </w:r>
      <w:r>
        <w:rPr>
          <w:rFonts w:hint="eastAsia" w:asciiTheme="minorEastAsia" w:hAnsiTheme="minorEastAsia"/>
          <w:b/>
          <w:bCs/>
          <w:sz w:val="24"/>
        </w:rPr>
        <w:t xml:space="preserve">分</w:t>
      </w:r>
      <w:bookmarkEnd w:id="195"/>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194"/>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eastAsia="宋体" w:cs="Times New Roman"/>
          <w:b/>
          <w:bCs/>
          <w:color w:val="000000"/>
          <w:sz w:val="24"/>
          <w:szCs w:val="24"/>
          <w:lang w:val="en-US" w:eastAsia="zh-CN" w:bidi="ar-SA"/>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2.</w:t>
      </w:r>
      <w:r>
        <w:rPr>
          <w:rFonts w:hint="eastAsia" w:cs="宋体" w:asciiTheme="minorEastAsia" w:hAnsiTheme="minorEastAsia"/>
          <w:b/>
          <w:sz w:val="24"/>
        </w:rPr>
        <w:t xml:space="preserve">报价供应商综合情况</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20</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val="en-US" w:eastAsia="zh-CN"/>
        </w:rPr>
        <w:t xml:space="preserve">:</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zh-CN" w:bidi="ar-SA"/>
        </w:rPr>
        <w:t xml:space="preserve">、人员配置情况（5分）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①</w:t>
      </w:r>
      <w:r>
        <w:rPr>
          <w:rFonts w:hint="eastAsia" w:ascii="宋体" w:hAnsi="宋体" w:eastAsia="宋体" w:cs="Times New Roman"/>
          <w:b/>
          <w:bCs/>
          <w:color w:val="000000"/>
          <w:sz w:val="24"/>
          <w:szCs w:val="24"/>
          <w:lang w:val="en-US" w:eastAsia="zh-CN" w:bidi="ar-SA"/>
        </w:rPr>
        <w:t xml:space="preserve">.项目负责人要求（3分）</w:t>
      </w:r>
      <w:r>
        <w:rPr>
          <w:rFonts w:hint="eastAsia" w:ascii="宋体" w:hAnsi="宋体" w:eastAsia="宋体" w:cs="Times New Roman"/>
          <w:b w:val="0"/>
          <w:bCs w:val="0"/>
          <w:color w:val="000000"/>
          <w:sz w:val="24"/>
          <w:szCs w:val="24"/>
          <w:lang w:val="en-US" w:eastAsia="zh-CN" w:bidi="ar-SA"/>
        </w:rPr>
        <w:t xml:space="preserve">：法定退休年龄以下，学历为专科及以上学历的得1分，具有项目经理上岗证或项目经理岗位技能证书的得1分，具有三年（含）以上医疗机构同类项目管理经验的得1分。需由第三方服务单位出具证明。【提供项目负责人相关证明材料、劳动合同及社保机构出具的本企业的2025年12月～2026年2月的缴费证明，上述资料复印件加盖公章装订进入投标文件，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②</w:t>
      </w:r>
      <w:r>
        <w:rPr>
          <w:rFonts w:hint="eastAsia" w:ascii="宋体" w:hAnsi="宋体" w:eastAsia="宋体" w:cs="Times New Roman"/>
          <w:b/>
          <w:bCs/>
          <w:color w:val="000000"/>
          <w:sz w:val="24"/>
          <w:szCs w:val="24"/>
          <w:lang w:val="en-US" w:eastAsia="zh-CN" w:bidi="ar-SA"/>
        </w:rPr>
        <w:t xml:space="preserve">.主管人员配置（1分）</w:t>
      </w:r>
      <w:r>
        <w:rPr>
          <w:rFonts w:hint="eastAsia" w:ascii="宋体" w:hAnsi="宋体" w:eastAsia="宋体" w:cs="Times New Roman"/>
          <w:b w:val="0"/>
          <w:bCs w:val="0"/>
          <w:color w:val="000000"/>
          <w:sz w:val="24"/>
          <w:szCs w:val="24"/>
          <w:lang w:val="en-US" w:eastAsia="zh-CN" w:bidi="ar-SA"/>
        </w:rPr>
        <w:t xml:space="preserve">：主管人员在法定退休年龄以下且学历在专科（含）以上学历的，具有二年（含）以上医疗机构同类项目负责经验的得1分。需第三方服务单位出具证明【提供主管人员相关证明材料、劳动合同及社保机构出具的本企业的2025年12月～2026年2月的缴费证明，上述资料复印件加盖公章装订进入投标文件，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③</w:t>
      </w:r>
      <w:r>
        <w:rPr>
          <w:rFonts w:hint="eastAsia" w:ascii="宋体" w:hAnsi="宋体" w:eastAsia="宋体" w:cs="Times New Roman"/>
          <w:b/>
          <w:bCs/>
          <w:color w:val="000000"/>
          <w:sz w:val="24"/>
          <w:szCs w:val="24"/>
          <w:lang w:val="en-US" w:eastAsia="zh-CN" w:bidi="ar-SA"/>
        </w:rPr>
        <w:t xml:space="preserve">.其他服务人员配置（1分）</w:t>
      </w:r>
      <w:r>
        <w:rPr>
          <w:rFonts w:hint="eastAsia" w:ascii="宋体" w:hAnsi="宋体" w:eastAsia="宋体" w:cs="Times New Roman"/>
          <w:b w:val="0"/>
          <w:bCs w:val="0"/>
          <w:color w:val="000000"/>
          <w:sz w:val="24"/>
          <w:szCs w:val="24"/>
          <w:lang w:val="en-US" w:eastAsia="zh-CN" w:bidi="ar-SA"/>
        </w:rPr>
        <w:t xml:space="preserve">：其余人员(除项目负责人及主管人员外)持有红十字救护员证书的得1分。【提供人员相关证明材料、劳动合同及社保机构出具的本企业的2025年12月～2026年2月的缴费证明，上述资料复印件加盖公章装订进入投标文件，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、投标人评价（15分）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①</w:t>
      </w:r>
      <w:r>
        <w:rPr>
          <w:rFonts w:hint="eastAsia" w:ascii="宋体" w:hAnsi="宋体" w:eastAsia="宋体" w:cs="Times New Roman"/>
          <w:b/>
          <w:bCs/>
          <w:color w:val="000000"/>
          <w:sz w:val="24"/>
          <w:szCs w:val="24"/>
          <w:lang w:val="en-US" w:eastAsia="zh-CN" w:bidi="ar-SA"/>
        </w:rPr>
        <w:t xml:space="preserve">.体系证书（6分）</w:t>
      </w:r>
      <w:r>
        <w:rPr>
          <w:rFonts w:hint="eastAsia" w:ascii="宋体" w:hAnsi="宋体" w:eastAsia="宋体" w:cs="Times New Roman"/>
          <w:b w:val="0"/>
          <w:bCs w:val="0"/>
          <w:color w:val="000000"/>
          <w:sz w:val="24"/>
          <w:szCs w:val="24"/>
          <w:lang w:val="en-US" w:eastAsia="zh-CN" w:bidi="ar-SA"/>
        </w:rPr>
        <w:t xml:space="preserve">投标供应商具有有效期内的质量管理体系认证证书、环境管理体系认证证书、职业安全健康管理体系认证证书有1个得2分，本项最高得6分。需提供官方完整截图。（投标时提供证书复印件加盖公章放入投标文件中，不提供本项不得分）</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②</w:t>
      </w:r>
      <w:r>
        <w:rPr>
          <w:rFonts w:hint="eastAsia" w:ascii="宋体" w:hAnsi="宋体" w:eastAsia="宋体" w:cs="Times New Roman"/>
          <w:b/>
          <w:bCs/>
          <w:color w:val="000000"/>
          <w:sz w:val="24"/>
          <w:szCs w:val="24"/>
          <w:lang w:val="en-US" w:eastAsia="zh-CN" w:bidi="ar-SA"/>
        </w:rPr>
        <w:t xml:space="preserve">.业绩（4分）</w:t>
      </w:r>
      <w:r>
        <w:rPr>
          <w:rFonts w:hint="eastAsia" w:ascii="宋体" w:hAnsi="宋体" w:eastAsia="宋体" w:cs="Times New Roman"/>
          <w:b w:val="0"/>
          <w:bCs w:val="0"/>
          <w:color w:val="000000"/>
          <w:sz w:val="24"/>
          <w:szCs w:val="24"/>
          <w:lang w:val="en-US" w:eastAsia="zh-CN" w:bidi="ar-SA"/>
        </w:rPr>
        <w:t xml:space="preserve">投标供应商于2023年1月1日以来承担过同类业绩证明材料，每提供1个业绩得1分，本项最高得4分。时间以合同（协议）上签订时间为准；须同时提供中标通知书及合同复印件加公章装订在投标文件中，上述资料未按要求提供或提供不全不得分（同一单位不重复计分）（业绩的认定：需提供中标通知书及合同复印件加盖公章）。</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③</w:t>
      </w:r>
      <w:r>
        <w:rPr>
          <w:rFonts w:hint="eastAsia" w:ascii="宋体" w:hAnsi="宋体" w:eastAsia="宋体" w:cs="Times New Roman"/>
          <w:b/>
          <w:bCs/>
          <w:color w:val="000000"/>
          <w:sz w:val="24"/>
          <w:szCs w:val="24"/>
          <w:lang w:val="en-US" w:eastAsia="zh-CN" w:bidi="ar-SA"/>
        </w:rPr>
        <w:t xml:space="preserve">. 购买保险（2分）</w:t>
      </w:r>
      <w:r>
        <w:rPr>
          <w:rFonts w:hint="eastAsia" w:ascii="宋体" w:hAnsi="宋体" w:eastAsia="宋体" w:cs="Times New Roman"/>
          <w:b w:val="0"/>
          <w:bCs w:val="0"/>
          <w:color w:val="000000"/>
          <w:sz w:val="24"/>
          <w:szCs w:val="24"/>
          <w:lang w:val="en-US" w:eastAsia="zh-CN" w:bidi="ar-SA"/>
        </w:rPr>
        <w:t xml:space="preserve">投标人购买有效期内相关责任险种的（类似公司员工意外险、雇主责任险等），有1种得1分，最多得2分。没有不得分（投标时提供相关购买证明文件复印件加盖公章）</w:t>
      </w:r>
      <w:r/>
    </w:p>
    <w:p>
      <w:pPr>
        <w:ind w:firstLine="482"/>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eastAsia="宋体" w:cs="Calibri"/>
          <w:b/>
          <w:bCs/>
          <w:color w:val="000000"/>
          <w:sz w:val="24"/>
          <w:szCs w:val="24"/>
          <w:lang w:val="en-US" w:eastAsia="zh-CN" w:bidi="ar-SA"/>
        </w:rPr>
        <w:t xml:space="preserve">④</w:t>
      </w:r>
      <w:r>
        <w:rPr>
          <w:rFonts w:hint="eastAsia" w:ascii="宋体" w:hAnsi="宋体" w:eastAsia="宋体" w:cs="Times New Roman"/>
          <w:b/>
          <w:bCs/>
          <w:color w:val="000000"/>
          <w:sz w:val="24"/>
          <w:szCs w:val="24"/>
          <w:lang w:val="en-US" w:eastAsia="zh-CN" w:bidi="ar-SA"/>
        </w:rPr>
        <w:t xml:space="preserve">.物业信息化系统（3分）</w:t>
      </w:r>
      <w:r>
        <w:rPr>
          <w:rFonts w:hint="eastAsia" w:ascii="宋体" w:hAnsi="宋体" w:eastAsia="宋体" w:cs="Times New Roman"/>
          <w:b w:val="0"/>
          <w:bCs w:val="0"/>
          <w:color w:val="000000"/>
          <w:sz w:val="24"/>
          <w:szCs w:val="24"/>
          <w:lang w:val="en-US" w:eastAsia="zh-CN" w:bidi="ar-SA"/>
        </w:rPr>
        <w:t xml:space="preserve">投标供应商拟投入信息化管理系统。软件系统应属于投标供应商自有或购买或联合开发的，自有或联合开发的需提供相关产权证明；购买的需提供采购合同（提供的相关证明复印件需加盖公章）得1分。有对该系统有实际运行证明材料复印件，（如操作界面截屏等材料）得1分。对系统的合理性、可操作性的描述（内容包含：对人员合理管理、所自动生成的工时、工作量等数据清单，运送工作任务能否可由PC端、手机APP等下单，为招标人提供各种参考数据）进行综合评议，最多得1分。　</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r>
      <w:r/>
    </w:p>
    <w:p>
      <w:pPr>
        <w:ind w:firstLine="482"/>
        <w:spacing w:line="360" w:lineRule="auto"/>
        <w:tabs>
          <w:tab w:val="left" w:pos="945" w:leader="none"/>
          <w:tab w:val="left" w:pos="1155" w:leader="none"/>
          <w:tab w:val="left" w:pos="3823" w:leader="none"/>
        </w:tabs>
        <w:rPr>
          <w:rFonts w:hint="eastAsia" w:ascii="宋体" w:hAnsi="宋体" w:eastAsia="宋体" w:cs="宋体"/>
          <w:b/>
          <w:bCs/>
          <w:sz w:val="24"/>
        </w:rPr>
      </w:pPr>
      <w:r>
        <w:rPr>
          <w:rFonts w:hint="eastAsia" w:ascii="宋体" w:hAnsi="宋体" w:eastAsia="宋体" w:cs="宋体"/>
          <w:b/>
          <w:bCs/>
          <w:sz w:val="24"/>
        </w:rPr>
        <w:t xml:space="preserve">3.服务方案</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p>
    <w:p>
      <w:pPr>
        <w:pStyle w:val="976"/>
        <w:ind w:firstLine="422"/>
        <w:spacing w:before="0" w:after="0" w:line="500" w:lineRule="exact"/>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 xml:space="preserve">注：技术部分属于暗标，投标人在制作技术部分相关内容时不得有体现投标人身份的内容，否则投标无效。</w:t>
      </w:r>
      <w:r/>
    </w:p>
    <w:p>
      <w:pPr>
        <w:pStyle w:val="976"/>
        <w:ind w:firstLine="422"/>
        <w:spacing w:before="0" w:after="0" w:line="500" w:lineRule="exact"/>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zh-CN" w:bidi="ar-SA"/>
        </w:rPr>
        <w:t xml:space="preserve">、整体方案及策划思路（20分）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医院后勤服务管理定位3分：定位清晰，支撑临床，提升体验得3分；定位基本准确，保障日常运转得2分；定位模糊，仅停留在事务性层面得1分。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医院整体管理方案策划3分：方案系统全面，针对性强，有创新得3分。方案较完整，但缺乏亮点得2分。方案零散，仅为简单罗列处1分。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项目服务管理具体措施5分：措施详实，可操作性强，有信息化手段得5分。措施具体，流程清晰，能指导日常工作得4分。措施覆盖基本内容，但细节不足得3分。措施笼统，缺乏执行支撑得2分。仅有框架，无实质内容得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医院项目服务的操作规范及作业标准4分：建立标准化作业程序（SOP），数据量化清晰处4分。有明确流程，但量化不足得3分。有简单要求，但标准宽泛得2分。无成文规范，凭经验操作得1分。</w:t>
      </w:r>
      <w:r/>
    </w:p>
    <w:p>
      <w:pPr>
        <w:numPr>
          <w:ilvl w:val="0"/>
          <w:numId w:val="8"/>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医院项目服务管理指标承诺5分：指标全面有挑战，有第三方考核机制得5分。有基本承诺，但缺乏监督体系得3分。无明确指标，无可量化依据得1分。</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、管理人员配备及员工管理（10分）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宋体"/>
          <w:b w:val="0"/>
          <w:bCs w:val="0"/>
          <w:color w:val="000000"/>
          <w:sz w:val="24"/>
          <w:szCs w:val="24"/>
          <w:lang w:val="en-US" w:eastAsia="zh-CN" w:bidi="ar-SA"/>
        </w:rPr>
        <w:t xml:space="preserve">①</w:t>
      </w:r>
      <w:r>
        <w:rPr>
          <w:rFonts w:hint="eastAsia" w:ascii="宋体" w:hAnsi="宋体" w:eastAsia="宋体" w:cs="Times New Roman"/>
          <w:b w:val="0"/>
          <w:bCs w:val="0"/>
          <w:color w:val="000000"/>
          <w:sz w:val="24"/>
          <w:szCs w:val="24"/>
          <w:lang w:val="en-US" w:eastAsia="zh-CN" w:bidi="ar-SA"/>
        </w:rPr>
        <w:t xml:space="preserve">、员工录用标准2分：标准明确，与岗位高度匹配，流程规范得2分。标准模糊或执行随意不得分。 </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宋体"/>
          <w:b w:val="0"/>
          <w:bCs w:val="0"/>
          <w:color w:val="000000"/>
          <w:sz w:val="24"/>
          <w:szCs w:val="24"/>
          <w:lang w:val="en-US" w:eastAsia="zh-CN" w:bidi="ar-SA"/>
        </w:rPr>
        <w:t xml:space="preserve">②</w:t>
      </w:r>
      <w:r>
        <w:rPr>
          <w:rFonts w:hint="eastAsia" w:ascii="宋体" w:hAnsi="宋体" w:eastAsia="宋体" w:cs="Times New Roman"/>
          <w:b w:val="0"/>
          <w:bCs w:val="0"/>
          <w:color w:val="000000"/>
          <w:sz w:val="24"/>
          <w:szCs w:val="24"/>
          <w:lang w:val="en-US" w:eastAsia="zh-CN" w:bidi="ar-SA"/>
        </w:rPr>
        <w:t xml:space="preserve">、员工培训方案2分：方案系统，覆盖岗前和在岗，有考核闭环得2分。方案简单，或缺乏实操性不得分。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cs="Calibri"/>
          <w:b w:val="0"/>
          <w:bCs w:val="0"/>
          <w:color w:val="000000"/>
          <w:sz w:val="24"/>
          <w:szCs w:val="24"/>
          <w:lang w:val="en-US" w:eastAsia="zh-CN" w:bidi="ar-SA"/>
        </w:rPr>
        <w:t xml:space="preserve">③</w:t>
      </w:r>
      <w:r>
        <w:rPr>
          <w:rFonts w:hint="eastAsia" w:ascii="宋体" w:hAnsi="宋体" w:eastAsia="宋体" w:cs="Times New Roman"/>
          <w:b w:val="0"/>
          <w:bCs w:val="0"/>
          <w:color w:val="000000"/>
          <w:sz w:val="24"/>
          <w:szCs w:val="24"/>
          <w:lang w:val="en-US" w:eastAsia="zh-CN" w:bidi="ar-SA"/>
        </w:rPr>
        <w:t xml:space="preserve">、主要员工岗位职责2分：职责清晰，分工明确，无交叉空白得2分。职责笼统，或界定不清不得分。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default" w:ascii="Calibri" w:hAnsi="Calibri" w:cs="Calibri"/>
          <w:b w:val="0"/>
          <w:bCs w:val="0"/>
          <w:color w:val="000000"/>
          <w:sz w:val="24"/>
          <w:szCs w:val="24"/>
          <w:lang w:val="en-US" w:eastAsia="zh-CN" w:bidi="ar-SA"/>
        </w:rPr>
        <w:t xml:space="preserve">④</w:t>
      </w:r>
      <w:r>
        <w:rPr>
          <w:rFonts w:hint="eastAsia" w:ascii="宋体" w:hAnsi="宋体" w:eastAsia="宋体" w:cs="Times New Roman"/>
          <w:b w:val="0"/>
          <w:bCs w:val="0"/>
          <w:color w:val="000000"/>
          <w:sz w:val="24"/>
          <w:szCs w:val="24"/>
          <w:lang w:val="en-US" w:eastAsia="zh-CN" w:bidi="ar-SA"/>
        </w:rPr>
        <w:t xml:space="preserve">、员工考核与奖惩机制2分：机制健全，指标量化，赏罚分明得2分。机制缺失，或流于形式，不得分。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宋体"/>
          <w:b w:val="0"/>
          <w:bCs w:val="0"/>
          <w:color w:val="000000"/>
          <w:sz w:val="24"/>
          <w:szCs w:val="24"/>
          <w:lang w:val="en-US" w:eastAsia="zh-CN" w:bidi="ar-SA"/>
        </w:rPr>
        <w:t xml:space="preserve">⑤</w:t>
      </w:r>
      <w:r>
        <w:rPr>
          <w:rFonts w:hint="eastAsia" w:ascii="宋体" w:hAnsi="宋体" w:eastAsia="宋体" w:cs="Times New Roman"/>
          <w:b w:val="0"/>
          <w:bCs w:val="0"/>
          <w:color w:val="000000"/>
          <w:sz w:val="24"/>
          <w:szCs w:val="24"/>
          <w:lang w:val="en-US" w:eastAsia="zh-CN" w:bidi="ar-SA"/>
        </w:rPr>
        <w:t xml:space="preserve">.员工仪容仪表、着装及标识2分：统一规范，整洁得体，标识清晰得2分。 要求不严，或执行不到位不得分。</w:t>
      </w:r>
      <w:r/>
    </w:p>
    <w:p>
      <w:pPr>
        <w:ind w:firstLine="482"/>
        <w:jc w:val="left"/>
        <w:spacing w:line="500" w:lineRule="exact"/>
        <w:tabs>
          <w:tab w:val="left" w:pos="1440" w:leader="none"/>
        </w:tabs>
        <w:rPr>
          <w:rFonts w:hint="eastAsia" w:ascii="宋体" w:hAnsi="宋体" w:eastAsia="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3)</w:t>
      </w:r>
      <w:r>
        <w:rPr>
          <w:rFonts w:hint="eastAsia" w:ascii="宋体" w:hAnsi="宋体" w:eastAsia="宋体" w:cs="Times New Roman"/>
          <w:b/>
          <w:bCs/>
          <w:color w:val="000000"/>
          <w:sz w:val="24"/>
          <w:szCs w:val="24"/>
          <w:lang w:val="en-US" w:eastAsia="zh-CN" w:bidi="ar-SA"/>
        </w:rPr>
        <w:t xml:space="preserve">、管理机构设置及管理制度及其他（20分）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管理工作流程、重点、难点和措施2分： 流程清晰，重难点把握精准，应对措施具体可行得2分。不符合以上要求不得分。  </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管理机制的建立2分：机制健全，运行顺畅，形成闭环管理得2分。不符合以上要求不得分。  </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各项管理规章制度2分：制度完备，覆盖全面，合规性强得2分。不符合以上要求不得分。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与采购人以及其他单位、部门的综合协调方案2分：</w:t>
      </w:r>
      <w:r>
        <w:rPr>
          <w:rFonts w:hint="default" w:ascii="宋体" w:hAnsi="宋体" w:eastAsia="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协调机制畅通，职责边界清晰，沟通高效得2分。不符合以上要求不得分。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正式接管前具体措施2分：措施周密，筹备充分，无缝衔接得2分。不符合以上要求不得分。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特殊情况应急预案及措施2分：预案完整，针对性强，定期演练得2分。不符合以上要求不得分。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过失及意外保障措施2分：保障机制完善，责任界定清晰，有补救措施得2分。不符合以上要求不得分。                              </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档案资料管理2分：</w:t>
      </w:r>
      <w:r>
        <w:rPr>
          <w:rFonts w:hint="default" w:ascii="宋体" w:hAnsi="宋体" w:eastAsia="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归档及时，分类规范得2分，不符合以上要求不得分。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后勤管理设备及物品的配备及维保使用方案2分：</w:t>
      </w:r>
      <w:r>
        <w:rPr>
          <w:rFonts w:hint="default" w:ascii="宋体" w:hAnsi="宋体" w:eastAsia="宋体" w:cs="Times New Roman"/>
          <w:b w:val="0"/>
          <w:bCs w:val="0"/>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配备齐全，维保计划周密，使用规范得2分。不符合以上要求不得分。</w:t>
      </w:r>
      <w:r/>
    </w:p>
    <w:p>
      <w:pPr>
        <w:numPr>
          <w:ilvl w:val="0"/>
          <w:numId w:val="9"/>
        </w:numPr>
        <w:ind w:left="0" w:firstLine="40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t xml:space="preserve">服务特色与创新2分：特色鲜明，有实质性创新举措得2分。不符合以上要求不得分。</w:t>
      </w:r>
      <w:r/>
    </w:p>
    <w:p>
      <w:pPr>
        <w:ind w:firstLine="480"/>
        <w:jc w:val="left"/>
        <w:spacing w:line="500" w:lineRule="exact"/>
        <w:tabs>
          <w:tab w:val="left" w:pos="1440" w:leader="none"/>
        </w:tabs>
        <w:rPr>
          <w:rFonts w:hint="eastAsia" w:ascii="宋体" w:hAnsi="宋体" w:eastAsia="宋体" w:cs="Times New Roman"/>
          <w:b w:val="0"/>
          <w:bCs w:val="0"/>
          <w:color w:val="000000"/>
          <w:sz w:val="24"/>
          <w:szCs w:val="24"/>
          <w:lang w:val="en-US" w:eastAsia="zh-CN" w:bidi="ar-SA"/>
        </w:rPr>
        <w:outlineLvl w:val="0"/>
      </w:pPr>
      <w:r>
        <w:rPr>
          <w:rFonts w:hint="eastAsia" w:ascii="宋体" w:hAnsi="宋体" w:eastAsia="宋体" w:cs="Times New Roman"/>
          <w:b w:val="0"/>
          <w:bCs w:val="0"/>
          <w:color w:val="000000"/>
          <w:sz w:val="24"/>
          <w:szCs w:val="24"/>
          <w:lang w:val="en-US" w:eastAsia="zh-CN" w:bidi="ar-SA"/>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shd w:val="nil" w:color="auto"/>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br w:type="page" w:clear="all"/>
      </w:r>
      <w:r>
        <w:rPr>
          <w:rFonts w:hint="eastAsia" w:ascii="黑体" w:hAnsi="黑体" w:eastAsia="黑体"/>
          <w:color w:val="000000"/>
          <w:sz w:val="36"/>
          <w:szCs w:val="36"/>
          <w:highlight w:val="none"/>
        </w:rPr>
      </w:r>
      <w:r/>
    </w:p>
    <w:p>
      <w:pPr>
        <w:ind w:firstLine="720"/>
        <w:jc w:val="left"/>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89"/>
      <w:r/>
      <w:bookmarkEnd w:id="190"/>
      <w:r/>
      <w:bookmarkEnd w:id="193"/>
      <w:r>
        <w:rPr>
          <w:rFonts w:hint="eastAsia" w:ascii="黑体" w:hAnsi="黑体" w:eastAsia="黑体"/>
          <w:color w:val="000000"/>
          <w:sz w:val="36"/>
          <w:szCs w:val="36"/>
          <w:highlight w:val="none"/>
        </w:rPr>
        <w:t xml:space="preserve">投标文件内容与格式</w:t>
      </w:r>
      <w:r/>
    </w:p>
    <w:p>
      <w:pPr>
        <w:pStyle w:val="976"/>
        <w:ind w:firstLine="602"/>
        <w:spacing w:before="0" w:after="0" w:line="500" w:lineRule="exact"/>
        <w:rPr>
          <w:rFonts w:hint="eastAsia" w:cs="Arial"/>
          <w:b/>
          <w:color w:val="000000"/>
          <w:sz w:val="30"/>
          <w:szCs w:val="30"/>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color w:val="000000"/>
          <w:sz w:val="30"/>
          <w:szCs w:val="30"/>
          <w:highlight w:val="none"/>
        </w:rPr>
        <w:t xml:space="preserve">第一部分  投标文件内容</w:t>
      </w:r>
      <w:r/>
    </w:p>
    <w:p>
      <w:pPr>
        <w:pStyle w:val="976"/>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1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6"/>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976"/>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976"/>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5"/>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97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976"/>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976"/>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97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976"/>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0"/>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6"/>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6"/>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76"/>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6"/>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6"/>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6"/>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976"/>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项目，兹授权：</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974"/>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974"/>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974"/>
        <w:ind w:firstLine="0"/>
        <w:spacing w:line="360" w:lineRule="auto"/>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974"/>
        <w:ind w:firstLine="0"/>
        <w:spacing w:line="360" w:lineRule="auto"/>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974"/>
        <w:ind w:firstLine="0"/>
        <w:spacing w:line="360" w:lineRule="auto"/>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4"/>
        <w:ind w:firstLine="0"/>
        <w:spacing w:line="360" w:lineRule="auto"/>
        <w:rPr>
          <w:rFonts w:hint="eastAsia"/>
          <w:color w:val="000000"/>
          <w:sz w:val="21"/>
          <w:szCs w:val="21"/>
          <w:highlight w:val="none"/>
        </w:rPr>
      </w:pPr>
      <w:r>
        <w:rPr>
          <w:rFonts w:hint="eastAsia"/>
          <w:color w:val="000000"/>
          <w:sz w:val="21"/>
          <w:szCs w:val="21"/>
          <w:highlight w:val="none"/>
        </w:rPr>
      </w:r>
      <w:r/>
    </w:p>
    <w:p>
      <w:pPr>
        <w:pStyle w:val="974"/>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974"/>
        <w:numPr>
          <w:ilvl w:val="0"/>
          <w:numId w:val="12"/>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974"/>
        <w:numPr>
          <w:ilvl w:val="0"/>
          <w:numId w:val="12"/>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4"/>
        <w:numPr>
          <w:ilvl w:val="0"/>
          <w:numId w:val="12"/>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974"/>
        <w:numPr>
          <w:ilvl w:val="0"/>
          <w:numId w:val="12"/>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74"/>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jc w:val="right"/>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p>
    <w:p>
      <w:pPr>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1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02"/>
              <w:jc w:val="center"/>
              <w:spacing w:line="400" w:lineRule="exact"/>
              <w:rPr>
                <w:rFonts w:hint="eastAsia" w:hAnsi="宋体"/>
                <w:bCs/>
                <w:color w:val="000000"/>
                <w:szCs w:val="24"/>
                <w:highlight w:val="none"/>
              </w:rPr>
            </w:pPr>
            <w:r>
              <w:rPr>
                <w:rFonts w:hint="eastAsia" w:hAnsi="宋体"/>
                <w:bCs/>
                <w:color w:val="000000"/>
                <w:szCs w:val="24"/>
                <w:highlight w:val="none"/>
              </w:rPr>
            </w:r>
            <w:r/>
          </w:p>
        </w:tc>
        <w:tc>
          <w:tcPr>
            <w:tcW w:w="3188" w:type="dxa"/>
            <w:vAlign w:val="center"/>
            <w:textDirection w:val="lrTb"/>
            <w:noWrap w:val="false"/>
          </w:tcPr>
          <w:p>
            <w:pPr>
              <w:pStyle w:val="1002"/>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3"/>
        </w:numPr>
        <w:spacing w:line="360" w:lineRule="auto"/>
        <w:rPr>
          <w:rFonts w:hint="eastAsia"/>
          <w:b/>
          <w:color w:val="000000" w:themeColor="text1"/>
          <w:sz w:val="28"/>
          <w:szCs w:val="28"/>
          <w:highlight w:val="none"/>
        </w:rPr>
      </w:pPr>
      <w:r>
        <w:rPr>
          <w:rFonts w:hint="eastAsia" w:ascii="黑体" w:eastAsia="黑体"/>
          <w:bCs/>
          <w:color w:val="000000"/>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71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71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71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717"/>
        <w:tblpPr w:horzAnchor="page" w:tblpX="1470" w:vertAnchor="text" w:tblpY="415" w:leftFromText="180" w:topFromText="0" w:rightFromText="180" w:bottomFromText="0"/>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tc>
          <w:tcPr>
            <w:tcW w:w="867"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tc>
          <w:tcPr>
            <w:tcW w:w="86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tc>
          <w:tcPr>
            <w:gridSpan w:val="3"/>
            <w:tcW w:w="5104"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ind w:firstLine="315"/>
        <w:spacing w:line="400" w:lineRule="exact"/>
        <w:rPr>
          <w:rFonts w:ascii="宋体" w:hAnsi="宋体"/>
          <w:bCs/>
          <w:color w:val="000000"/>
          <w:highlight w:val="none"/>
        </w:rPr>
        <w:outlineLvl w:val="0"/>
      </w:pPr>
      <w:r>
        <w:rPr>
          <w:rFonts w:ascii="宋体" w:hAnsi="宋体"/>
          <w:bCs/>
          <w:color w:val="000000"/>
          <w:highlight w:val="none"/>
        </w:rPr>
      </w:r>
      <w:r/>
    </w:p>
    <w:p>
      <w:pPr>
        <w:rPr>
          <w:rFonts w:hint="eastAsia"/>
          <w:b/>
          <w:color w:val="000000"/>
          <w:sz w:val="28"/>
          <w:szCs w:val="28"/>
          <w:highlight w:val="none"/>
        </w:rPr>
      </w:pPr>
      <w:r>
        <w:rPr>
          <w:rFonts w:ascii="宋体" w:hAnsi="宋体"/>
          <w:bCs/>
          <w:color w:val="000000"/>
          <w:highlight w:val="none"/>
        </w:rPr>
        <w:br w:type="page" w:clear="all"/>
      </w:r>
      <w:bookmarkEnd w:id="198"/>
      <w:r/>
      <w:bookmarkEnd w:id="199"/>
      <w:r/>
      <w:bookmarkEnd w:id="200"/>
      <w:r/>
      <w:bookmarkStart w:id="202"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1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7"/>
      <w:r/>
      <w:bookmarkEnd w:id="188"/>
      <w:r/>
      <w:bookmarkEnd w:id="202"/>
      <w:r/>
      <w:bookmarkStart w:id="203" w:name="_格式2__法定代表人授权书"/>
      <w:r/>
      <w:bookmarkEnd w:id="203"/>
      <w:r/>
      <w:bookmarkStart w:id="204" w:name="_Hlt26671374"/>
      <w:r/>
      <w:bookmarkEnd w:id="204"/>
      <w:r/>
      <w:bookmarkStart w:id="205" w:name="_Hlt26609389"/>
      <w:r/>
      <w:bookmarkEnd w:id="205"/>
      <w:r/>
      <w:bookmarkStart w:id="206" w:name="_Hlt26955066"/>
      <w:r/>
      <w:bookmarkEnd w:id="206"/>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p>
    <w:p>
      <w:pPr>
        <w:rPr>
          <w:rFonts w:hint="eastAsia"/>
          <w:color w:val="000000" w:themeColor="text1"/>
          <w:highlight w:val="none"/>
        </w:rPr>
      </w:pPr>
      <w:r>
        <w:rPr>
          <w:rFonts w:hint="eastAsia" w:ascii="宋体" w:hAnsi="宋体"/>
          <w:bCs/>
          <w:color w:val="000000" w:themeColor="text1"/>
          <w:highlight w:val="none"/>
        </w:rPr>
        <w:t xml:space="preserve">2. 上表内容须提供投标人近一年中任意一个月份</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不含投标当月</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经社保部门确认的社保缴纳名单复印件；若上表中所填报人员有属于“按国家规定可不缴纳社保的人员”的，则该类人员须提供相关证明材料复印件。</w:t>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p>
    <w:p>
      <w:pPr>
        <w:ind w:firstLine="420"/>
        <w:rPr>
          <w:color w:val="000000"/>
          <w:highlight w:val="yellow"/>
        </w:rPr>
      </w:pPr>
      <w:r/>
      <w:bookmarkStart w:id="207" w:name="_GoBack"/>
      <w:r/>
      <w:bookmarkEnd w:id="207"/>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２７</w:t>
    </w:r>
    <w:r>
      <w:rPr>
        <w:rFonts w:ascii="宋体" w:hAnsi="宋体"/>
      </w:rPr>
      <w:fldChar w:fldCharType="end"/>
    </w:r>
    <w:r/>
  </w:p>
  <w:p>
    <w:pPr>
      <w:pStyle w:val="93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3"/>
  </w:num>
  <w:num w:numId="5">
    <w:abstractNumId w:val="7"/>
  </w:num>
  <w:num w:numId="6">
    <w:abstractNumId w:val="6"/>
  </w:num>
  <w:num w:numId="7">
    <w:abstractNumId w:val="1"/>
  </w:num>
  <w:num w:numId="8">
    <w:abstractNumId w:val="2"/>
  </w:num>
  <w:num w:numId="9">
    <w:abstractNumId w:val="9"/>
  </w:num>
  <w:num w:numId="10">
    <w:abstractNumId w:val="12"/>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4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rPr>
  </w:style>
  <w:style w:type="paragraph" w:styleId="720">
    <w:name w:val="Body Text"/>
    <w:basedOn w:val="706"/>
    <w:uiPriority w:val="99"/>
    <w:qFormat/>
    <w:rPr>
      <w:rFonts w:ascii="华文中宋" w:hAnsi="Times New Roman" w:eastAsia="华文中宋" w:cs="Times New Roman"/>
      <w:bCs/>
      <w:sz w:val="28"/>
      <w:szCs w:val="20"/>
    </w:rPr>
  </w:style>
  <w:style w:type="paragraph" w:styleId="721">
    <w:name w:val="toc 5"/>
    <w:basedOn w:val="706"/>
    <w:next w:val="706"/>
    <w:uiPriority w:val="39"/>
    <w:unhideWhenUsed/>
    <w:qFormat/>
    <w:pPr>
      <w:ind w:left="1134" w:right="0" w:firstLine="0"/>
      <w:spacing w:after="57"/>
    </w:pPr>
  </w:style>
  <w:style w:type="paragraph" w:styleId="722">
    <w:name w:val="toc 3"/>
    <w:basedOn w:val="706"/>
    <w:next w:val="706"/>
    <w:uiPriority w:val="39"/>
    <w:unhideWhenUsed/>
    <w:qFormat/>
    <w:pPr>
      <w:ind w:left="567" w:right="0" w:firstLine="0"/>
      <w:spacing w:after="57"/>
    </w:pPr>
  </w:style>
  <w:style w:type="paragraph" w:styleId="723">
    <w:name w:val="toc 8"/>
    <w:basedOn w:val="706"/>
    <w:next w:val="706"/>
    <w:uiPriority w:val="39"/>
    <w:unhideWhenUsed/>
    <w:qFormat/>
    <w:pPr>
      <w:ind w:left="1984" w:right="0" w:firstLine="0"/>
      <w:spacing w:after="57"/>
    </w:pPr>
  </w:style>
  <w:style w:type="paragraph" w:styleId="724">
    <w:name w:val="endnote text"/>
    <w:basedOn w:val="706"/>
    <w:link w:val="886"/>
    <w:uiPriority w:val="99"/>
    <w:semiHidden/>
    <w:unhideWhenUsed/>
    <w:qFormat/>
    <w:pPr>
      <w:spacing w:after="0" w:line="240" w:lineRule="auto"/>
    </w:pPr>
    <w:rPr>
      <w:sz w:val="20"/>
    </w:rPr>
  </w:style>
  <w:style w:type="paragraph" w:styleId="725">
    <w:name w:val="Footer"/>
    <w:basedOn w:val="706"/>
    <w:link w:val="759"/>
    <w:uiPriority w:val="99"/>
    <w:unhideWhenUsed/>
    <w:qFormat/>
    <w:pPr>
      <w:spacing w:after="0" w:line="240" w:lineRule="auto"/>
      <w:tabs>
        <w:tab w:val="center" w:pos="7143" w:leader="none"/>
        <w:tab w:val="right" w:pos="14287" w:leader="none"/>
      </w:tabs>
    </w:pPr>
  </w:style>
  <w:style w:type="paragraph" w:styleId="726">
    <w:name w:val="Header"/>
    <w:basedOn w:val="706"/>
    <w:link w:val="757"/>
    <w:uiPriority w:val="99"/>
    <w:unhideWhenUsed/>
    <w:qFormat/>
    <w:pPr>
      <w:spacing w:after="0" w:line="240" w:lineRule="auto"/>
      <w:tabs>
        <w:tab w:val="center" w:pos="7143" w:leader="none"/>
        <w:tab w:val="right" w:pos="14287" w:leader="none"/>
      </w:tabs>
    </w:pPr>
  </w:style>
  <w:style w:type="paragraph" w:styleId="727">
    <w:name w:val="toc 1"/>
    <w:basedOn w:val="706"/>
    <w:next w:val="706"/>
    <w:uiPriority w:val="39"/>
    <w:unhideWhenUsed/>
    <w:qFormat/>
    <w:pPr>
      <w:ind w:left="0" w:right="0" w:firstLine="0"/>
      <w:spacing w:after="57"/>
    </w:pPr>
  </w:style>
  <w:style w:type="paragraph" w:styleId="728">
    <w:name w:val="toc 4"/>
    <w:basedOn w:val="706"/>
    <w:next w:val="706"/>
    <w:uiPriority w:val="39"/>
    <w:unhideWhenUsed/>
    <w:qFormat/>
    <w:pPr>
      <w:ind w:left="850" w:right="0" w:firstLine="0"/>
      <w:spacing w:after="57"/>
    </w:pPr>
  </w:style>
  <w:style w:type="paragraph" w:styleId="729">
    <w:name w:val="Subtitle"/>
    <w:basedOn w:val="706"/>
    <w:next w:val="706"/>
    <w:link w:val="752"/>
    <w:uiPriority w:val="11"/>
    <w:qFormat/>
    <w:pPr>
      <w:spacing w:before="200" w:after="200"/>
    </w:pPr>
    <w:rPr>
      <w:sz w:val="24"/>
      <w:szCs w:val="24"/>
    </w:rPr>
  </w:style>
  <w:style w:type="paragraph" w:styleId="730">
    <w:name w:val="footnote text"/>
    <w:basedOn w:val="706"/>
    <w:link w:val="885"/>
    <w:uiPriority w:val="99"/>
    <w:semiHidden/>
    <w:unhideWhenUsed/>
    <w:qFormat/>
    <w:pPr>
      <w:spacing w:after="40" w:line="240" w:lineRule="auto"/>
    </w:pPr>
    <w:rPr>
      <w:sz w:val="18"/>
    </w:rPr>
  </w:style>
  <w:style w:type="paragraph" w:styleId="731">
    <w:name w:val="toc 6"/>
    <w:basedOn w:val="706"/>
    <w:next w:val="706"/>
    <w:uiPriority w:val="39"/>
    <w:unhideWhenUsed/>
    <w:qFormat/>
    <w:pPr>
      <w:ind w:left="1417" w:right="0" w:firstLine="0"/>
      <w:spacing w:after="57"/>
    </w:pPr>
  </w:style>
  <w:style w:type="paragraph" w:styleId="732">
    <w:name w:val="table of figures"/>
    <w:basedOn w:val="706"/>
    <w:next w:val="706"/>
    <w:uiPriority w:val="99"/>
    <w:unhideWhenUsed/>
    <w:qFormat/>
    <w:pPr>
      <w:spacing w:after="0" w:afterAutospacing="0"/>
    </w:pPr>
  </w:style>
  <w:style w:type="paragraph" w:styleId="733">
    <w:name w:val="toc 2"/>
    <w:basedOn w:val="706"/>
    <w:next w:val="706"/>
    <w:uiPriority w:val="39"/>
    <w:unhideWhenUsed/>
    <w:qFormat/>
    <w:pPr>
      <w:ind w:left="283" w:right="0" w:firstLine="0"/>
      <w:spacing w:after="57"/>
    </w:pPr>
  </w:style>
  <w:style w:type="paragraph" w:styleId="734">
    <w:name w:val="toc 9"/>
    <w:basedOn w:val="706"/>
    <w:next w:val="706"/>
    <w:uiPriority w:val="39"/>
    <w:unhideWhenUsed/>
    <w:qFormat/>
    <w:pPr>
      <w:ind w:left="2268" w:right="0" w:firstLine="0"/>
      <w:spacing w:after="57"/>
    </w:pPr>
  </w:style>
  <w:style w:type="paragraph" w:styleId="735">
    <w:name w:val="Title"/>
    <w:basedOn w:val="706"/>
    <w:next w:val="706"/>
    <w:link w:val="751"/>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rPr>
  </w:style>
  <w:style w:type="character" w:styleId="739">
    <w:name w:val="footnote reference"/>
    <w:uiPriority w:val="99"/>
    <w:unhideWhenUsed/>
    <w:qFormat/>
    <w:rPr>
      <w:vertAlign w:val="superscript"/>
    </w:rPr>
  </w:style>
  <w:style w:type="character" w:styleId="740" w:customStyle="1">
    <w:name w:val="Heading 1 Char"/>
    <w:link w:val="707"/>
    <w:uiPriority w:val="9"/>
    <w:qFormat/>
    <w:rPr>
      <w:rFonts w:ascii="Arial" w:hAnsi="Arial" w:eastAsia="Arial" w:cs="Arial"/>
      <w:sz w:val="40"/>
      <w:szCs w:val="40"/>
    </w:rPr>
  </w:style>
  <w:style w:type="character" w:styleId="741" w:customStyle="1">
    <w:name w:val="Heading 2 Char"/>
    <w:link w:val="708"/>
    <w:uiPriority w:val="9"/>
    <w:qFormat/>
    <w:rPr>
      <w:rFonts w:ascii="Arial" w:hAnsi="Arial" w:eastAsia="Arial" w:cs="Arial"/>
      <w:sz w:val="34"/>
    </w:rPr>
  </w:style>
  <w:style w:type="character" w:styleId="742" w:customStyle="1">
    <w:name w:val="Heading 3 Char"/>
    <w:link w:val="709"/>
    <w:uiPriority w:val="9"/>
    <w:qFormat/>
    <w:rPr>
      <w:rFonts w:ascii="Arial" w:hAnsi="Arial" w:eastAsia="Arial" w:cs="Arial"/>
      <w:sz w:val="30"/>
      <w:szCs w:val="30"/>
    </w:rPr>
  </w:style>
  <w:style w:type="character" w:styleId="743" w:customStyle="1">
    <w:name w:val="Heading 4 Char"/>
    <w:link w:val="710"/>
    <w:uiPriority w:val="9"/>
    <w:qFormat/>
    <w:rPr>
      <w:rFonts w:ascii="Arial" w:hAnsi="Arial" w:eastAsia="Arial" w:cs="Arial"/>
      <w:b/>
      <w:bCs/>
      <w:sz w:val="26"/>
      <w:szCs w:val="26"/>
    </w:rPr>
  </w:style>
  <w:style w:type="character" w:styleId="744" w:customStyle="1">
    <w:name w:val="Heading 5 Char"/>
    <w:link w:val="711"/>
    <w:uiPriority w:val="9"/>
    <w:qFormat/>
    <w:rPr>
      <w:rFonts w:ascii="Arial" w:hAnsi="Arial" w:eastAsia="Arial" w:cs="Arial"/>
      <w:b/>
      <w:bCs/>
      <w:sz w:val="24"/>
      <w:szCs w:val="24"/>
    </w:rPr>
  </w:style>
  <w:style w:type="character" w:styleId="745" w:customStyle="1">
    <w:name w:val="Heading 6 Char"/>
    <w:link w:val="712"/>
    <w:uiPriority w:val="9"/>
    <w:qFormat/>
    <w:rPr>
      <w:rFonts w:ascii="Arial" w:hAnsi="Arial" w:eastAsia="Arial" w:cs="Arial"/>
      <w:b/>
      <w:bCs/>
      <w:sz w:val="22"/>
      <w:szCs w:val="22"/>
    </w:rPr>
  </w:style>
  <w:style w:type="character" w:styleId="746" w:customStyle="1">
    <w:name w:val="Heading 7 Char"/>
    <w:link w:val="713"/>
    <w:uiPriority w:val="9"/>
    <w:qFormat/>
    <w:rPr>
      <w:rFonts w:ascii="Arial" w:hAnsi="Arial" w:eastAsia="Arial" w:cs="Arial"/>
      <w:b/>
      <w:bCs/>
      <w:i/>
      <w:iCs/>
      <w:sz w:val="22"/>
      <w:szCs w:val="22"/>
    </w:rPr>
  </w:style>
  <w:style w:type="character" w:styleId="747" w:customStyle="1">
    <w:name w:val="Heading 8 Char"/>
    <w:link w:val="714"/>
    <w:uiPriority w:val="9"/>
    <w:qFormat/>
    <w:rPr>
      <w:rFonts w:ascii="Arial" w:hAnsi="Arial" w:eastAsia="Arial" w:cs="Arial"/>
      <w:i/>
      <w:iCs/>
      <w:sz w:val="22"/>
      <w:szCs w:val="22"/>
    </w:rPr>
  </w:style>
  <w:style w:type="character" w:styleId="748" w:customStyle="1">
    <w:name w:val="Heading 9 Char"/>
    <w:link w:val="715"/>
    <w:uiPriority w:val="9"/>
    <w:qFormat/>
    <w:rPr>
      <w:rFonts w:ascii="Arial" w:hAnsi="Arial" w:eastAsia="Arial" w:cs="Arial"/>
      <w:i/>
      <w:iCs/>
      <w:sz w:val="21"/>
      <w:szCs w:val="21"/>
    </w:rPr>
  </w:style>
  <w:style w:type="paragraph" w:styleId="749">
    <w:name w:val="List Paragraph"/>
    <w:basedOn w:val="706"/>
    <w:uiPriority w:val="34"/>
    <w:qFormat/>
    <w:pPr>
      <w:contextualSpacing/>
      <w:ind w:left="720"/>
    </w:pPr>
  </w:style>
  <w:style w:type="paragraph" w:styleId="750">
    <w:name w:val="No Spacing"/>
    <w:uiPriority w:val="1"/>
    <w:qFormat/>
    <w:pPr>
      <w:spacing w:before="0" w:after="0" w:line="240" w:lineRule="auto"/>
    </w:pPr>
    <w:rPr>
      <w:rFonts w:hint="default" w:ascii="Calibri" w:hAnsi="Calibri" w:eastAsia="宋体" w:cs="Times New Roman"/>
    </w:rPr>
  </w:style>
  <w:style w:type="character" w:styleId="751" w:customStyle="1">
    <w:name w:val="Title Char"/>
    <w:link w:val="735"/>
    <w:uiPriority w:val="10"/>
    <w:qFormat/>
    <w:rPr>
      <w:sz w:val="48"/>
      <w:szCs w:val="48"/>
    </w:rPr>
  </w:style>
  <w:style w:type="character" w:styleId="752" w:customStyle="1">
    <w:name w:val="Subtitle Char"/>
    <w:link w:val="729"/>
    <w:uiPriority w:val="11"/>
    <w:qFormat/>
    <w:rPr>
      <w:sz w:val="24"/>
      <w:szCs w:val="24"/>
    </w:rPr>
  </w:style>
  <w:style w:type="paragraph" w:styleId="753">
    <w:name w:val="Quote"/>
    <w:basedOn w:val="706"/>
    <w:next w:val="706"/>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6"/>
    <w:next w:val="706"/>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6"/>
    <w:uiPriority w:val="99"/>
    <w:qFormat/>
  </w:style>
  <w:style w:type="character" w:styleId="758" w:customStyle="1">
    <w:name w:val="Footer Char"/>
    <w:link w:val="725"/>
    <w:uiPriority w:val="99"/>
    <w:qFormat/>
  </w:style>
  <w:style w:type="character" w:styleId="759" w:customStyle="1">
    <w:name w:val="Caption Char"/>
    <w:link w:val="725"/>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30"/>
    <w:uiPriority w:val="99"/>
    <w:qFormat/>
    <w:rPr>
      <w:sz w:val="18"/>
    </w:rPr>
  </w:style>
  <w:style w:type="character" w:styleId="886" w:customStyle="1">
    <w:name w:val="Endnote Text Char"/>
    <w:link w:val="724"/>
    <w:uiPriority w:val="99"/>
    <w:qFormat/>
    <w:rPr>
      <w:sz w:val="20"/>
    </w:rPr>
  </w:style>
  <w:style w:type="paragraph" w:styleId="887" w:customStyle="1">
    <w:name w:val="TOC Heading"/>
    <w:uiPriority w:val="39"/>
    <w:unhideWhenUsed/>
    <w:qFormat/>
    <w:rPr>
      <w:rFonts w:hint="default" w:ascii="Calibri" w:hAnsi="Calibri" w:eastAsia="宋体" w:cs="Times New Roman"/>
    </w:rPr>
  </w:style>
  <w:style w:type="paragraph" w:styleId="888" w:customStyle="1">
    <w:name w:val="标题 11"/>
    <w:basedOn w:val="706"/>
    <w:next w:val="706"/>
    <w:link w:val="900"/>
    <w:uiPriority w:val="0"/>
    <w:qFormat/>
    <w:pPr>
      <w:jc w:val="center"/>
      <w:keepNext/>
      <w:outlineLvl w:val="0"/>
    </w:pPr>
    <w:rPr>
      <w:rFonts w:ascii="楷体_GB2312" w:eastAsia="楷体_GB2312"/>
      <w:sz w:val="28"/>
      <w:szCs w:val="28"/>
    </w:rPr>
  </w:style>
  <w:style w:type="paragraph" w:styleId="889" w:customStyle="1">
    <w:name w:val="标题 21"/>
    <w:basedOn w:val="706"/>
    <w:next w:val="890"/>
    <w:link w:val="901"/>
    <w:uiPriority w:val="0"/>
    <w:qFormat/>
    <w:pPr>
      <w:jc w:val="center"/>
      <w:keepLines/>
      <w:keepNext/>
      <w:spacing w:before="260" w:after="260" w:line="416" w:lineRule="auto"/>
      <w:outlineLvl w:val="1"/>
    </w:pPr>
    <w:rPr>
      <w:rFonts w:ascii="Arial" w:hAnsi="Arial" w:eastAsia="幼圆"/>
      <w:b/>
      <w:bCs/>
      <w:sz w:val="44"/>
      <w:szCs w:val="44"/>
    </w:rPr>
  </w:style>
  <w:style w:type="paragraph" w:styleId="890" w:customStyle="1">
    <w:name w:val="正文缩进1"/>
    <w:basedOn w:val="706"/>
    <w:link w:val="902"/>
    <w:uiPriority w:val="0"/>
    <w:qFormat/>
    <w:pPr>
      <w:ind w:firstLine="420"/>
    </w:pPr>
    <w:rPr>
      <w:sz w:val="20"/>
    </w:rPr>
  </w:style>
  <w:style w:type="paragraph" w:styleId="891" w:customStyle="1">
    <w:name w:val="标题 31"/>
    <w:basedOn w:val="706"/>
    <w:next w:val="890"/>
    <w:link w:val="903"/>
    <w:uiPriority w:val="0"/>
    <w:qFormat/>
    <w:pPr>
      <w:keepLines/>
      <w:keepNext/>
      <w:spacing w:before="260" w:after="260" w:line="416" w:lineRule="auto"/>
      <w:outlineLvl w:val="2"/>
    </w:pPr>
    <w:rPr>
      <w:b/>
      <w:bCs/>
      <w:sz w:val="32"/>
      <w:szCs w:val="32"/>
    </w:rPr>
  </w:style>
  <w:style w:type="paragraph" w:styleId="892" w:customStyle="1">
    <w:name w:val="标题 41"/>
    <w:basedOn w:val="706"/>
    <w:next w:val="890"/>
    <w:link w:val="904"/>
    <w:uiPriority w:val="0"/>
    <w:qFormat/>
    <w:pPr>
      <w:keepLines/>
      <w:keepNext/>
      <w:spacing w:before="280" w:after="290" w:line="376" w:lineRule="auto"/>
      <w:outlineLvl w:val="3"/>
    </w:pPr>
    <w:rPr>
      <w:rFonts w:ascii="Arial" w:hAnsi="Arial" w:eastAsia="黑体"/>
      <w:b/>
      <w:bCs/>
      <w:sz w:val="28"/>
      <w:szCs w:val="28"/>
    </w:rPr>
  </w:style>
  <w:style w:type="paragraph" w:styleId="893" w:customStyle="1">
    <w:name w:val="标题 51"/>
    <w:basedOn w:val="706"/>
    <w:next w:val="890"/>
    <w:link w:val="905"/>
    <w:uiPriority w:val="0"/>
    <w:qFormat/>
    <w:pPr>
      <w:keepNext/>
      <w:outlineLvl w:val="4"/>
    </w:pPr>
    <w:rPr>
      <w:rFonts w:ascii="宋体"/>
      <w:color w:val="000000"/>
      <w:sz w:val="28"/>
      <w:szCs w:val="28"/>
    </w:rPr>
  </w:style>
  <w:style w:type="paragraph" w:styleId="894" w:customStyle="1">
    <w:name w:val="标题 61"/>
    <w:basedOn w:val="706"/>
    <w:next w:val="706"/>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6"/>
    <w:next w:val="706"/>
    <w:link w:val="907"/>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6"/>
    <w:next w:val="706"/>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6"/>
    <w:next w:val="706"/>
    <w:link w:val="909"/>
    <w:uiPriority w:val="0"/>
    <w:qFormat/>
    <w:pPr>
      <w:numPr>
        <w:ilvl w:val="8"/>
        <w:numId w:val="1"/>
      </w:numPr>
      <w:keepLines/>
      <w:keepNext/>
      <w:spacing w:before="240" w:after="64" w:line="320" w:lineRule="auto"/>
      <w:outlineLvl w:val="8"/>
    </w:pPr>
    <w:rPr>
      <w:rFonts w:ascii="Arial" w:hAnsi="Arial" w:eastAsia="黑体"/>
      <w:sz w:val="20"/>
    </w:rPr>
  </w:style>
  <w:style w:type="character" w:styleId="898" w:customStyle="1">
    <w:name w:val="默认段落字体1"/>
    <w:link w:val="706"/>
    <w:uiPriority w:val="1"/>
    <w:unhideWhenUsed/>
    <w:qFormat/>
  </w:style>
  <w:style w:type="table" w:styleId="899" w:customStyle="1">
    <w:name w:val="普通表格1"/>
    <w:uiPriority w:val="99"/>
    <w:unhideWhenUsed/>
    <w:qFormat/>
    <w:tblPr/>
  </w:style>
  <w:style w:type="character" w:styleId="900" w:customStyle="1">
    <w:name w:val="标题 1 Char"/>
    <w:link w:val="888"/>
    <w:uiPriority w:val="0"/>
    <w:qFormat/>
    <w:rPr>
      <w:rFonts w:ascii="楷体_GB2312" w:hAnsi="Times New Roman" w:eastAsia="楷体_GB2312" w:cs="Times New Roman"/>
      <w:sz w:val="28"/>
      <w:szCs w:val="28"/>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正文缩进 Char"/>
    <w:link w:val="890"/>
    <w:uiPriority w:val="0"/>
    <w:qFormat/>
    <w:rPr>
      <w:rFonts w:ascii="Times New Roman" w:hAnsi="Times New Roman" w:eastAsia="宋体" w:cs="Times New Roman"/>
      <w:szCs w:val="21"/>
    </w:rPr>
  </w:style>
  <w:style w:type="character" w:styleId="903" w:customStyle="1">
    <w:name w:val="标题 3 Char"/>
    <w:link w:val="891"/>
    <w:uiPriority w:val="0"/>
    <w:qFormat/>
    <w:rPr>
      <w:rFonts w:ascii="Times New Roman" w:hAnsi="Times New Roman" w:eastAsia="宋体" w:cs="Times New Roman"/>
      <w:b/>
      <w:bCs/>
      <w:sz w:val="32"/>
      <w:szCs w:val="32"/>
    </w:rPr>
  </w:style>
  <w:style w:type="character" w:styleId="904" w:customStyle="1">
    <w:name w:val="标题 4 Char"/>
    <w:link w:val="892"/>
    <w:uiPriority w:val="0"/>
    <w:qFormat/>
    <w:rPr>
      <w:rFonts w:ascii="Arial" w:hAnsi="Arial" w:eastAsia="黑体" w:cs="Arial"/>
      <w:b/>
      <w:bCs/>
      <w:sz w:val="28"/>
      <w:szCs w:val="28"/>
    </w:rPr>
  </w:style>
  <w:style w:type="character" w:styleId="905" w:customStyle="1">
    <w:name w:val="标题 5 Char"/>
    <w:link w:val="893"/>
    <w:uiPriority w:val="0"/>
    <w:qFormat/>
    <w:rPr>
      <w:rFonts w:ascii="宋体" w:hAnsi="Times New Roman" w:eastAsia="宋体" w:cs="Times New Roman"/>
      <w:color w:val="000000"/>
      <w:sz w:val="28"/>
      <w:szCs w:val="28"/>
    </w:rPr>
  </w:style>
  <w:style w:type="character" w:styleId="906" w:customStyle="1">
    <w:name w:val="标题 6 Char"/>
    <w:link w:val="894"/>
    <w:uiPriority w:val="0"/>
    <w:qFormat/>
    <w:rPr>
      <w:rFonts w:ascii="Arial" w:hAnsi="Arial" w:eastAsia="黑体" w:cs="Times New Roman"/>
      <w:b/>
      <w:bCs/>
      <w:sz w:val="24"/>
      <w:szCs w:val="24"/>
    </w:rPr>
  </w:style>
  <w:style w:type="character" w:styleId="907" w:customStyle="1">
    <w:name w:val="标题 7 Char"/>
    <w:link w:val="895"/>
    <w:uiPriority w:val="0"/>
    <w:qFormat/>
    <w:rPr>
      <w:rFonts w:ascii="Times New Roman" w:hAnsi="Times New Roman" w:eastAsia="宋体" w:cs="Times New Roman"/>
      <w:b/>
      <w:bCs/>
      <w:sz w:val="24"/>
      <w:szCs w:val="24"/>
    </w:rPr>
  </w:style>
  <w:style w:type="character" w:styleId="908" w:customStyle="1">
    <w:name w:val="标题 8 Char"/>
    <w:link w:val="896"/>
    <w:uiPriority w:val="0"/>
    <w:qFormat/>
    <w:rPr>
      <w:rFonts w:ascii="Arial" w:hAnsi="Arial" w:eastAsia="黑体" w:cs="Times New Roman"/>
      <w:sz w:val="24"/>
      <w:szCs w:val="24"/>
    </w:rPr>
  </w:style>
  <w:style w:type="character" w:styleId="909" w:customStyle="1">
    <w:name w:val="标题 9 Char"/>
    <w:link w:val="897"/>
    <w:uiPriority w:val="0"/>
    <w:qFormat/>
    <w:rPr>
      <w:rFonts w:ascii="Arial" w:hAnsi="Arial" w:eastAsia="黑体" w:cs="Times New Roman"/>
      <w:szCs w:val="21"/>
    </w:rPr>
  </w:style>
  <w:style w:type="paragraph" w:styleId="910" w:customStyle="1">
    <w:name w:val="列表 31"/>
    <w:basedOn w:val="706"/>
    <w:uiPriority w:val="0"/>
    <w:qFormat/>
    <w:pPr>
      <w:ind w:left="100" w:hanging="200"/>
    </w:pPr>
  </w:style>
  <w:style w:type="paragraph" w:styleId="911" w:customStyle="1">
    <w:name w:val="目录 71"/>
    <w:basedOn w:val="706"/>
    <w:next w:val="706"/>
    <w:uiPriority w:val="0"/>
    <w:semiHidden/>
    <w:qFormat/>
    <w:pPr>
      <w:ind w:left="1260"/>
      <w:jc w:val="left"/>
    </w:pPr>
  </w:style>
  <w:style w:type="paragraph" w:styleId="912" w:customStyle="1">
    <w:name w:val="文档结构图1"/>
    <w:basedOn w:val="706"/>
    <w:link w:val="913"/>
    <w:uiPriority w:val="0"/>
    <w:semiHidden/>
    <w:qFormat/>
    <w:pPr>
      <w:shd w:val="clear" w:color="auto" w:fill="000080"/>
    </w:pPr>
    <w:rPr>
      <w:sz w:val="20"/>
    </w:r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706"/>
    <w:link w:val="915"/>
    <w:uiPriority w:val="0"/>
    <w:semiHidden/>
    <w:qFormat/>
    <w:pPr>
      <w:jc w:val="left"/>
    </w:pPr>
    <w:rPr>
      <w:sz w:val="20"/>
    </w:rPr>
  </w:style>
  <w:style w:type="character" w:styleId="915" w:customStyle="1">
    <w:name w:val="批注文字 Char"/>
    <w:link w:val="914"/>
    <w:uiPriority w:val="0"/>
    <w:semiHidden/>
    <w:qFormat/>
    <w:rPr>
      <w:rFonts w:ascii="Times New Roman" w:hAnsi="Times New Roman" w:eastAsia="宋体" w:cs="Times New Roman"/>
      <w:szCs w:val="21"/>
    </w:rPr>
  </w:style>
  <w:style w:type="paragraph" w:styleId="916" w:customStyle="1">
    <w:name w:val="正文文本 31"/>
    <w:basedOn w:val="706"/>
    <w:link w:val="917"/>
    <w:uiPriority w:val="0"/>
    <w:qFormat/>
    <w:rPr>
      <w:rFonts w:ascii="仿宋_GB2312" w:hAnsi="Arial" w:eastAsia="仿宋_GB2312"/>
      <w:sz w:val="32"/>
      <w:szCs w:val="32"/>
    </w:rPr>
  </w:style>
  <w:style w:type="character" w:styleId="917" w:customStyle="1">
    <w:name w:val="正文文本 3 Char"/>
    <w:link w:val="916"/>
    <w:uiPriority w:val="0"/>
    <w:qFormat/>
    <w:rPr>
      <w:rFonts w:ascii="仿宋_GB2312" w:hAnsi="Arial" w:eastAsia="仿宋_GB2312" w:cs="Times New Roman"/>
      <w:sz w:val="32"/>
      <w:szCs w:val="32"/>
    </w:rPr>
  </w:style>
  <w:style w:type="paragraph" w:styleId="918" w:customStyle="1">
    <w:name w:val="正文文本1"/>
    <w:basedOn w:val="706"/>
    <w:link w:val="919"/>
    <w:uiPriority w:val="0"/>
    <w:qFormat/>
    <w:rPr>
      <w:rFonts w:ascii="楷体_GB2312" w:hAnsi="Arial" w:eastAsia="楷体_GB2312"/>
      <w:sz w:val="28"/>
      <w:szCs w:val="28"/>
    </w:rPr>
  </w:style>
  <w:style w:type="character" w:styleId="919" w:customStyle="1">
    <w:name w:val="正文文本 Char"/>
    <w:link w:val="918"/>
    <w:uiPriority w:val="0"/>
    <w:qFormat/>
    <w:rPr>
      <w:rFonts w:ascii="楷体_GB2312" w:hAnsi="Arial" w:eastAsia="楷体_GB2312" w:cs="Times New Roman"/>
      <w:sz w:val="28"/>
      <w:szCs w:val="28"/>
    </w:rPr>
  </w:style>
  <w:style w:type="paragraph" w:styleId="920" w:customStyle="1">
    <w:name w:val="正文文本缩进1"/>
    <w:basedOn w:val="706"/>
    <w:link w:val="921"/>
    <w:uiPriority w:val="0"/>
    <w:qFormat/>
    <w:pPr>
      <w:ind w:firstLine="645"/>
    </w:pPr>
    <w:rPr>
      <w:rFonts w:ascii="楷体_GB2312" w:eastAsia="楷体_GB2312"/>
      <w:sz w:val="32"/>
      <w:szCs w:val="32"/>
    </w:rPr>
  </w:style>
  <w:style w:type="character" w:styleId="921" w:customStyle="1">
    <w:name w:val="正文文本缩进 Char"/>
    <w:link w:val="920"/>
    <w:uiPriority w:val="0"/>
    <w:qFormat/>
    <w:rPr>
      <w:rFonts w:ascii="楷体_GB2312" w:hAnsi="Times New Roman" w:eastAsia="楷体_GB2312" w:cs="Times New Roman"/>
      <w:sz w:val="32"/>
      <w:szCs w:val="32"/>
    </w:rPr>
  </w:style>
  <w:style w:type="paragraph" w:styleId="922" w:customStyle="1">
    <w:name w:val="列表 21"/>
    <w:basedOn w:val="706"/>
    <w:uiPriority w:val="0"/>
    <w:qFormat/>
    <w:pPr>
      <w:ind w:left="100" w:hanging="200"/>
    </w:pPr>
  </w:style>
  <w:style w:type="paragraph" w:styleId="923" w:customStyle="1">
    <w:name w:val="目录 51"/>
    <w:basedOn w:val="706"/>
    <w:next w:val="706"/>
    <w:uiPriority w:val="0"/>
    <w:semiHidden/>
    <w:qFormat/>
    <w:pPr>
      <w:ind w:left="840"/>
      <w:jc w:val="left"/>
    </w:pPr>
  </w:style>
  <w:style w:type="paragraph" w:styleId="924" w:customStyle="1">
    <w:name w:val="目录 31"/>
    <w:basedOn w:val="706"/>
    <w:next w:val="706"/>
    <w:uiPriority w:val="0"/>
    <w:semiHidden/>
    <w:qFormat/>
    <w:pPr>
      <w:ind w:left="420"/>
      <w:jc w:val="left"/>
    </w:pPr>
    <w:rPr>
      <w:i/>
      <w:iCs/>
      <w:szCs w:val="24"/>
    </w:rPr>
  </w:style>
  <w:style w:type="paragraph" w:styleId="925" w:customStyle="1">
    <w:name w:val="纯文本1"/>
    <w:basedOn w:val="706"/>
    <w:link w:val="926"/>
    <w:uiPriority w:val="0"/>
    <w:qFormat/>
    <w:rPr>
      <w:rFonts w:ascii="宋体" w:hAnsi="Courier New"/>
      <w:sz w:val="20"/>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706"/>
    <w:next w:val="706"/>
    <w:uiPriority w:val="0"/>
    <w:semiHidden/>
    <w:qFormat/>
    <w:pPr>
      <w:ind w:left="1470"/>
      <w:jc w:val="left"/>
    </w:pPr>
  </w:style>
  <w:style w:type="paragraph" w:styleId="928" w:customStyle="1">
    <w:name w:val="日期1"/>
    <w:basedOn w:val="706"/>
    <w:next w:val="706"/>
    <w:link w:val="929"/>
    <w:uiPriority w:val="0"/>
    <w:qFormat/>
    <w:rPr>
      <w:sz w:val="24"/>
      <w:szCs w:val="24"/>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706"/>
    <w:link w:val="931"/>
    <w:uiPriority w:val="0"/>
    <w:qFormat/>
    <w:pPr>
      <w:ind w:left="630" w:firstLine="645"/>
    </w:pPr>
    <w:rPr>
      <w:rFonts w:ascii="Arial" w:hAnsi="Arial" w:eastAsia="仿宋_GB2312"/>
      <w:sz w:val="32"/>
      <w:szCs w:val="32"/>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706"/>
    <w:link w:val="933"/>
    <w:uiPriority w:val="0"/>
    <w:semiHidden/>
    <w:qFormat/>
    <w:rPr>
      <w:sz w:val="18"/>
      <w:szCs w:val="18"/>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706"/>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70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rFonts w:ascii="Times New Roman" w:hAnsi="Times New Roman" w:eastAsia="宋体" w:cs="Times New Roman"/>
      <w:sz w:val="18"/>
      <w:szCs w:val="18"/>
    </w:rPr>
  </w:style>
  <w:style w:type="paragraph" w:styleId="938"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706"/>
    <w:next w:val="706"/>
    <w:uiPriority w:val="0"/>
    <w:semiHidden/>
    <w:qFormat/>
    <w:pPr>
      <w:ind w:left="630"/>
      <w:jc w:val="left"/>
    </w:pPr>
  </w:style>
  <w:style w:type="paragraph" w:styleId="940" w:customStyle="1">
    <w:name w:val="列表1"/>
    <w:basedOn w:val="706"/>
    <w:uiPriority w:val="0"/>
    <w:qFormat/>
    <w:pPr>
      <w:ind w:left="200" w:hanging="200"/>
    </w:pPr>
  </w:style>
  <w:style w:type="paragraph" w:styleId="941" w:customStyle="1">
    <w:name w:val="目录 61"/>
    <w:basedOn w:val="706"/>
    <w:next w:val="706"/>
    <w:uiPriority w:val="0"/>
    <w:semiHidden/>
    <w:qFormat/>
    <w:pPr>
      <w:ind w:left="1050"/>
      <w:jc w:val="left"/>
    </w:pPr>
  </w:style>
  <w:style w:type="paragraph" w:styleId="942" w:customStyle="1">
    <w:name w:val="正文文本缩进 31"/>
    <w:basedOn w:val="706"/>
    <w:link w:val="943"/>
    <w:uiPriority w:val="0"/>
    <w:qFormat/>
    <w:pPr>
      <w:ind w:left="645" w:firstLine="645"/>
    </w:pPr>
    <w:rPr>
      <w:rFonts w:ascii="Arial" w:hAnsi="Arial" w:eastAsia="仿宋_GB2312"/>
      <w:color w:val="ffff00"/>
      <w:sz w:val="32"/>
      <w:szCs w:val="32"/>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706"/>
    <w:next w:val="706"/>
    <w:uiPriority w:val="0"/>
    <w:semiHidden/>
    <w:qFormat/>
    <w:pPr>
      <w:ind w:left="840" w:hanging="420"/>
    </w:pPr>
  </w:style>
  <w:style w:type="paragraph" w:styleId="945" w:customStyle="1">
    <w:name w:val="目录 21"/>
    <w:basedOn w:val="706"/>
    <w:next w:val="706"/>
    <w:uiPriority w:val="0"/>
    <w:semiHidden/>
    <w:qFormat/>
    <w:pPr>
      <w:ind w:left="210"/>
      <w:jc w:val="left"/>
    </w:pPr>
    <w:rPr>
      <w:smallCaps/>
      <w:szCs w:val="24"/>
    </w:rPr>
  </w:style>
  <w:style w:type="paragraph" w:styleId="946" w:customStyle="1">
    <w:name w:val="目录 91"/>
    <w:basedOn w:val="706"/>
    <w:next w:val="706"/>
    <w:uiPriority w:val="0"/>
    <w:semiHidden/>
    <w:qFormat/>
    <w:pPr>
      <w:ind w:left="1680"/>
      <w:jc w:val="left"/>
    </w:pPr>
  </w:style>
  <w:style w:type="paragraph" w:styleId="947" w:customStyle="1">
    <w:name w:val="正文文本 21"/>
    <w:basedOn w:val="706"/>
    <w:link w:val="948"/>
    <w:uiPriority w:val="0"/>
    <w:qFormat/>
    <w:pPr>
      <w:jc w:val="center"/>
      <w:widowControl/>
    </w:pPr>
    <w:rPr>
      <w:rFonts w:ascii="楷体_GB2312" w:eastAsia="楷体_GB2312"/>
      <w:sz w:val="28"/>
      <w:szCs w:val="28"/>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HTML 预设格式1"/>
    <w:basedOn w:val="706"/>
    <w:link w:val="9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0" w:customStyle="1">
    <w:name w:val="HTML 预设格式 Char"/>
    <w:basedOn w:val="898"/>
    <w:link w:val="949"/>
    <w:uiPriority w:val="99"/>
    <w:semiHidden/>
    <w:qFormat/>
    <w:rPr>
      <w:rFonts w:ascii="宋体" w:hAnsi="宋体" w:cs="宋体"/>
      <w:sz w:val="24"/>
      <w:szCs w:val="24"/>
    </w:rPr>
  </w:style>
  <w:style w:type="paragraph" w:styleId="95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52" w:customStyle="1">
    <w:name w:val="索引 11"/>
    <w:basedOn w:val="706"/>
    <w:next w:val="706"/>
    <w:uiPriority w:val="0"/>
    <w:semiHidden/>
    <w:qFormat/>
    <w:pPr>
      <w:spacing w:line="240" w:lineRule="atLeast"/>
    </w:pPr>
    <w:rPr>
      <w:b/>
      <w:bCs/>
    </w:rPr>
  </w:style>
  <w:style w:type="paragraph" w:styleId="953" w:customStyle="1">
    <w:name w:val="批注主题1"/>
    <w:basedOn w:val="914"/>
    <w:next w:val="914"/>
    <w:link w:val="954"/>
    <w:uiPriority w:val="0"/>
    <w:semiHidden/>
    <w:qFormat/>
    <w:rPr>
      <w:b/>
      <w:bCs/>
    </w:rPr>
  </w:style>
  <w:style w:type="character" w:styleId="954" w:customStyle="1">
    <w:name w:val="批注主题 Char"/>
    <w:link w:val="953"/>
    <w:uiPriority w:val="0"/>
    <w:semiHidden/>
    <w:qFormat/>
    <w:rPr>
      <w:rFonts w:ascii="Times New Roman" w:hAnsi="Times New Roman" w:eastAsia="宋体" w:cs="Times New Roman"/>
      <w:b/>
      <w:bCs/>
      <w:szCs w:val="21"/>
    </w:rPr>
  </w:style>
  <w:style w:type="paragraph" w:styleId="955" w:customStyle="1">
    <w:name w:val="正文首行缩进1"/>
    <w:basedOn w:val="706"/>
    <w:link w:val="956"/>
    <w:uiPriority w:val="0"/>
    <w:qFormat/>
    <w:pPr>
      <w:ind w:firstLine="200"/>
      <w:spacing w:line="360" w:lineRule="auto"/>
    </w:pPr>
    <w:rPr>
      <w:rFonts w:ascii="仿宋_GB2312" w:eastAsia="仿宋_GB2312"/>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paragraph" w:styleId="957" w:customStyle="1">
    <w:name w:val="正文首行缩进 21"/>
    <w:basedOn w:val="920"/>
    <w:link w:val="958"/>
    <w:uiPriority w:val="0"/>
    <w:qFormat/>
    <w:pPr>
      <w:ind w:firstLine="420"/>
      <w:spacing w:line="360" w:lineRule="auto"/>
    </w:pPr>
    <w:rPr>
      <w:rFonts w:ascii="宋体" w:hAnsi="宋体" w:eastAsia="宋体"/>
      <w:szCs w:val="20"/>
    </w:rPr>
  </w:style>
  <w:style w:type="character" w:styleId="958" w:customStyle="1">
    <w:name w:val="正文首行缩进 2 Char"/>
    <w:link w:val="957"/>
    <w:uiPriority w:val="0"/>
    <w:qFormat/>
    <w:rPr>
      <w:rFonts w:ascii="宋体" w:hAnsi="宋体" w:eastAsia="宋体" w:cs="Times New Roman"/>
      <w:sz w:val="32"/>
      <w:szCs w:val="20"/>
    </w:rPr>
  </w:style>
  <w:style w:type="table" w:styleId="959" w:customStyle="1">
    <w:name w:val="网格型1"/>
    <w:basedOn w:val="899"/>
    <w:uiPriority w:val="0"/>
    <w:qFormat/>
    <w:pPr>
      <w:jc w:val="both"/>
      <w:widowControl w:val="off"/>
    </w:pPr>
    <w:rPr>
      <w:rFonts w:ascii="Times New Roman" w:hAnsi="Times New Roman" w:eastAsia="宋体" w:cs="Times New Roman"/>
      <w:sz w:val="20"/>
      <w:szCs w:val="20"/>
    </w:rPr>
    <w:tblPr/>
  </w:style>
  <w:style w:type="character" w:styleId="960" w:customStyle="1">
    <w:name w:val="要点1"/>
    <w:link w:val="706"/>
    <w:uiPriority w:val="0"/>
    <w:qFormat/>
    <w:rPr>
      <w:b/>
      <w:bCs/>
    </w:rPr>
  </w:style>
  <w:style w:type="character" w:styleId="961" w:customStyle="1">
    <w:name w:val="页码1"/>
    <w:link w:val="706"/>
    <w:uiPriority w:val="0"/>
    <w:qFormat/>
  </w:style>
  <w:style w:type="character" w:styleId="962" w:customStyle="1">
    <w:name w:val="已访问的超链接1"/>
    <w:link w:val="706"/>
    <w:uiPriority w:val="0"/>
    <w:qFormat/>
    <w:rPr>
      <w:color w:val="800080"/>
      <w:u w:val="single"/>
    </w:rPr>
  </w:style>
  <w:style w:type="character" w:styleId="963" w:customStyle="1">
    <w:name w:val="HTML 打字机1"/>
    <w:link w:val="706"/>
    <w:uiPriority w:val="99"/>
    <w:qFormat/>
    <w:rPr>
      <w:rFonts w:ascii="宋体" w:hAnsi="宋体" w:eastAsia="宋体" w:cs="宋体"/>
      <w:sz w:val="24"/>
      <w:szCs w:val="24"/>
    </w:rPr>
  </w:style>
  <w:style w:type="character" w:styleId="964" w:customStyle="1">
    <w:name w:val="超链接1"/>
    <w:link w:val="706"/>
    <w:uiPriority w:val="0"/>
    <w:qFormat/>
    <w:rPr>
      <w:color w:val="0000ff"/>
      <w:u w:val="single"/>
    </w:rPr>
  </w:style>
  <w:style w:type="character" w:styleId="965" w:customStyle="1">
    <w:name w:val="批注引用1"/>
    <w:link w:val="706"/>
    <w:uiPriority w:val="0"/>
    <w:semiHidden/>
    <w:qFormat/>
    <w:rPr>
      <w:sz w:val="21"/>
      <w:szCs w:val="21"/>
    </w:rPr>
  </w:style>
  <w:style w:type="character" w:styleId="966" w:customStyle="1">
    <w:name w:val="font5 Char"/>
    <w:link w:val="706"/>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lang w:val="en-US" w:eastAsia="zh-CN" w:bidi="ar-SA"/>
    </w:rPr>
  </w:style>
  <w:style w:type="paragraph" w:styleId="968" w:customStyle="1">
    <w:name w:val="二级目录"/>
    <w:next w:val="706"/>
    <w:link w:val="96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6"/>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06"/>
    <w:next w:val="918"/>
    <w:uiPriority w:val="0"/>
    <w:qFormat/>
    <w:pPr>
      <w:spacing w:after="120"/>
    </w:pPr>
    <w:rPr>
      <w:rFonts w:ascii="宋体" w:hAnsi="Arial"/>
      <w:bCs/>
      <w:iCs/>
      <w:szCs w:val="24"/>
    </w:rPr>
  </w:style>
  <w:style w:type="paragraph" w:styleId="972"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06"/>
    <w:uiPriority w:val="0"/>
    <w:qFormat/>
    <w:pPr>
      <w:ind w:firstLine="200"/>
      <w:tabs>
        <w:tab w:val="left" w:pos="360" w:leader="none"/>
      </w:tabs>
    </w:pPr>
    <w:rPr>
      <w:sz w:val="28"/>
      <w:szCs w:val="30"/>
    </w:rPr>
  </w:style>
  <w:style w:type="paragraph" w:styleId="975" w:customStyle="1">
    <w:name w:val=" Char"/>
    <w:basedOn w:val="912"/>
    <w:uiPriority w:val="0"/>
    <w:qFormat/>
    <w:rPr>
      <w:rFonts w:ascii="Tahoma" w:hAnsi="Tahoma"/>
      <w:sz w:val="24"/>
      <w:szCs w:val="24"/>
    </w:rPr>
  </w:style>
  <w:style w:type="paragraph" w:styleId="97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77" w:customStyle="1">
    <w:name w:val="table_lines"/>
    <w:basedOn w:val="706"/>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2"/>
    <w:uiPriority w:val="0"/>
    <w:qFormat/>
    <w:pPr>
      <w:spacing w:line="360" w:lineRule="auto"/>
    </w:pPr>
    <w:rPr>
      <w:rFonts w:ascii="Tahoma" w:hAnsi="Tahoma"/>
      <w:sz w:val="24"/>
      <w:szCs w:val="24"/>
    </w:rPr>
  </w:style>
  <w:style w:type="paragraph" w:styleId="981" w:customStyle="1">
    <w:name w:val="列出段落"/>
    <w:basedOn w:val="706"/>
    <w:uiPriority w:val="99"/>
    <w:qFormat/>
    <w:pPr>
      <w:contextualSpacing/>
      <w:ind w:left="720"/>
      <w:jc w:val="left"/>
      <w:widowControl/>
    </w:pPr>
    <w:rPr>
      <w:rFonts w:ascii="Calibri" w:hAnsi="Calibri"/>
      <w:sz w:val="24"/>
      <w:szCs w:val="24"/>
      <w:lang w:eastAsia="en-US" w:bidi="en-US"/>
    </w:rPr>
  </w:style>
  <w:style w:type="paragraph" w:styleId="982" w:customStyle="1">
    <w:name w:val="4"/>
    <w:basedOn w:val="706"/>
    <w:next w:val="942"/>
    <w:uiPriority w:val="0"/>
    <w:qFormat/>
    <w:pPr>
      <w:ind w:firstLine="420"/>
      <w:spacing w:line="360" w:lineRule="auto"/>
    </w:pPr>
    <w:rPr>
      <w:color w:val="ff0000"/>
      <w:sz w:val="24"/>
      <w:szCs w:val="24"/>
    </w:rPr>
  </w:style>
  <w:style w:type="paragraph" w:styleId="98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706"/>
    <w:uiPriority w:val="0"/>
    <w:qFormat/>
    <w:pPr>
      <w:spacing w:line="360" w:lineRule="auto"/>
    </w:pPr>
    <w:rPr>
      <w:sz w:val="24"/>
      <w:szCs w:val="20"/>
    </w:rPr>
  </w:style>
  <w:style w:type="paragraph" w:styleId="985" w:customStyle="1">
    <w:name w:val="样式1"/>
    <w:basedOn w:val="706"/>
    <w:uiPriority w:val="0"/>
    <w:qFormat/>
    <w:pPr>
      <w:numPr>
        <w:ilvl w:val="0"/>
        <w:numId w:val="3"/>
      </w:numPr>
    </w:pPr>
    <w:rPr>
      <w:rFonts w:ascii="宋体" w:hAnsi="宋体"/>
    </w:rPr>
  </w:style>
  <w:style w:type="paragraph" w:styleId="98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0"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2"/>
    <w:uiPriority w:val="0"/>
    <w:qFormat/>
    <w:pPr>
      <w:spacing w:line="360" w:lineRule="auto"/>
    </w:pPr>
    <w:rPr>
      <w:rFonts w:ascii="Tahoma" w:hAnsi="Tahoma"/>
      <w:sz w:val="24"/>
      <w:szCs w:val="24"/>
    </w:rPr>
  </w:style>
  <w:style w:type="paragraph" w:styleId="997" w:customStyle="1">
    <w:name w:val="table_1stline"/>
    <w:basedOn w:val="706"/>
    <w:uiPriority w:val="0"/>
    <w:qFormat/>
    <w:pPr>
      <w:jc w:val="left"/>
      <w:spacing w:before="120"/>
      <w:widowControl/>
    </w:pPr>
    <w:rPr>
      <w:bCs/>
      <w:sz w:val="20"/>
      <w:szCs w:val="20"/>
      <w:lang w:val="de-DE" w:eastAsia="de-DE"/>
    </w:rPr>
  </w:style>
  <w:style w:type="paragraph" w:styleId="998"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普通文字"/>
    <w:basedOn w:val="706"/>
    <w:next w:val="706"/>
    <w:uiPriority w:val="99"/>
    <w:qFormat/>
    <w:rPr>
      <w:rFonts w:ascii="宋体" w:hAnsi="Times New Roman" w:eastAsia="宋体" w:cs="Times New Roman"/>
      <w:sz w:val="24"/>
      <w:szCs w:val="20"/>
      <w:u w:val="none"/>
    </w:rPr>
  </w:style>
  <w:style w:type="paragraph" w:styleId="1003" w:customStyle="1">
    <w:name w:val="目录 111"/>
    <w:basedOn w:val="706"/>
    <w:next w:val="706"/>
    <w:uiPriority w:val="39"/>
    <w:unhideWhenUsed/>
    <w:qFormat/>
    <w:pPr>
      <w:jc w:val="left"/>
      <w:spacing w:after="100" w:line="259" w:lineRule="auto"/>
      <w:widowControl/>
    </w:pPr>
    <w:rPr>
      <w:rFonts w:ascii="Calibri" w:hAnsi="Calibri" w:eastAsia="宋体"/>
      <w:sz w:val="22"/>
      <w:szCs w:val="22"/>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8</cp:revision>
  <dcterms:created xsi:type="dcterms:W3CDTF">2023-03-16T02:16:00Z</dcterms:created>
  <dcterms:modified xsi:type="dcterms:W3CDTF">2026-05-27T06:41:08Z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2052-12.1.0.25865</vt:lpwstr>
  </property>
  <property fmtid="{D5CDD505-2E9C-101B-9397-08002B2CF9AE}" pid="4" name="ICV">
    <vt:lpwstr>976384C5E1BD47AC890715EA229F76A9_12</vt:lpwstr>
  </property>
</Properties>
</file>