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7778371"/>
      <w:r/>
      <w:bookmarkStart w:id="1" w:name="_Hlk74841385"/>
      <w:r/>
      <w:r/>
    </w:p>
    <w:p>
      <w:pPr>
        <w:pStyle w:val="1035"/>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bCs/>
          <w:sz w:val="52"/>
          <w:szCs w:val="52"/>
        </w:rPr>
        <w:t xml:space="preserve">江苏第二师范学院两校区学生宿舍加装火灾自动报警系统</w:t>
      </w:r>
      <w:r/>
    </w:p>
    <w:p>
      <w:pPr>
        <w:pStyle w:val="1035"/>
        <w:rPr>
          <w:rFonts w:hint="eastAsia" w:ascii="宋体" w:hAnsi="宋体" w:cs="宋体"/>
        </w:rPr>
      </w:pPr>
      <w:r>
        <w:rPr>
          <w:rFonts w:hint="eastAsia" w:ascii="宋体" w:hAnsi="宋体" w:cs="宋体"/>
        </w:rPr>
      </w:r>
      <w:r/>
    </w:p>
    <w:p>
      <w:pPr>
        <w:pStyle w:val="1035"/>
        <w:rPr>
          <w:rFonts w:hint="eastAsia" w:ascii="宋体" w:hAnsi="宋体" w:cs="宋体"/>
        </w:rPr>
      </w:pPr>
      <w:r>
        <w:rPr>
          <w:rFonts w:hint="eastAsia" w:ascii="宋体" w:hAnsi="宋体" w:cs="宋体"/>
        </w:rPr>
      </w:r>
      <w:r/>
    </w:p>
    <w:p>
      <w:pPr>
        <w:pStyle w:val="1035"/>
        <w:rPr>
          <w:rFonts w:hint="eastAsia" w:ascii="宋体" w:hAnsi="宋体" w:cs="宋体"/>
        </w:rPr>
      </w:pPr>
      <w:r>
        <w:rPr>
          <w:rFonts w:hint="eastAsia" w:ascii="宋体" w:hAnsi="宋体" w:cs="宋体"/>
        </w:rPr>
      </w:r>
      <w:r/>
    </w:p>
    <w:p>
      <w:pPr>
        <w:pStyle w:val="1035"/>
        <w:rPr>
          <w:rFonts w:hint="eastAsia" w:ascii="宋体" w:hAnsi="宋体" w:cs="宋体"/>
        </w:rPr>
      </w:pPr>
      <w:r>
        <w:rPr>
          <w:rFonts w:hint="eastAsia" w:ascii="宋体" w:hAnsi="宋体" w:cs="宋体"/>
        </w:rPr>
      </w:r>
      <w:r/>
    </w:p>
    <w:p>
      <w:pPr>
        <w:pStyle w:val="1035"/>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JSZC-320000-JCEC-G2026-0167</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spacing w:line="360" w:lineRule="auto"/>
        <w:shd w:val="clear" w:color="auto" w:fill="ffffff"/>
        <w:widowControl/>
        <w:rPr>
          <w:rFonts w:hint="eastAsia" w:ascii="宋体" w:hAnsi="宋体" w:cs="宋体"/>
          <w:b/>
          <w:sz w:val="36"/>
          <w:szCs w:val="36"/>
        </w:rPr>
      </w:pPr>
      <w:r>
        <w:rPr>
          <w:rFonts w:hint="eastAsia" w:ascii="宋体" w:hAnsi="宋体" w:cs="宋体"/>
          <w:sz w:val="32"/>
          <w:szCs w:val="32"/>
        </w:rPr>
        <w:t xml:space="preserve">  </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采购人：江苏第二师范学院</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2026</w:t>
      </w:r>
      <w:r>
        <w:rPr>
          <w:rFonts w:hint="eastAsia" w:ascii="Arial" w:hAnsi="宋体" w:cs="Arial"/>
          <w:b/>
          <w:color w:val="000000"/>
          <w:sz w:val="32"/>
          <w:szCs w:val="32"/>
        </w:rPr>
        <w:t xml:space="preserve">年</w:t>
      </w:r>
      <w:r>
        <w:rPr>
          <w:rFonts w:hint="eastAsia" w:ascii="Arial" w:hAnsi="宋体" w:cs="Arial"/>
          <w:b/>
          <w:color w:val="000000"/>
          <w:sz w:val="32"/>
          <w:szCs w:val="32"/>
        </w:rPr>
        <w:t xml:space="preserve">6</w:t>
      </w:r>
      <w:r>
        <w:rPr>
          <w:rFonts w:hint="eastAsia" w:ascii="Arial" w:hAnsi="宋体" w:cs="Arial"/>
          <w:b/>
          <w:color w:val="000000"/>
          <w:sz w:val="32"/>
          <w:szCs w:val="32"/>
        </w:rPr>
        <w:t xml:space="preserve">月</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br w:type="page" w:clear="all"/>
      </w:r>
      <w:r/>
    </w:p>
    <w:p>
      <w:pPr>
        <w:pStyle w:val="1139"/>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1011"/>
        <w:tabs>
          <w:tab w:val="right" w:pos="8296" w:leader="dot"/>
        </w:tabs>
        <w:rPr>
          <w:rFonts w:hint="eastAsia" w:ascii="宋体" w:hAnsi="宋体" w:cs="宋体"/>
          <w:sz w:val="28"/>
          <w:szCs w:val="28"/>
        </w:rPr>
      </w:pPr>
      <w:r>
        <w:rPr>
          <w:rFonts w:hint="eastAsia" w:ascii="宋体" w:hAnsi="宋体" w:cs="宋体"/>
          <w:sz w:val="28"/>
          <w:szCs w:val="28"/>
        </w:rPr>
      </w:r>
      <w:r/>
    </w:p>
    <w:p>
      <w:pPr>
        <w:pStyle w:val="1011"/>
        <w:tabs>
          <w:tab w:val="right" w:pos="8289" w:leader="dot"/>
        </w:tabs>
        <w:rPr>
          <w:rFonts w:hint="eastAsia" w:ascii="宋体" w:hAnsi="宋体" w:cstheme="minorBidi"/>
          <w:b/>
          <w:bCs/>
          <w:sz w:val="28"/>
          <w:szCs w:val="28"/>
          <w14:ligatures w14:val="standardContextual"/>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hyperlink w:tooltip="#_Toc227256247" w:anchor="_Toc227256247" w:history="1">
        <w:r>
          <w:rPr>
            <w:rStyle w:val="1029"/>
            <w:rFonts w:hint="eastAsia" w:ascii="宋体" w:hAnsi="宋体" w:cs="宋体"/>
            <w:b/>
            <w:bCs/>
            <w:sz w:val="28"/>
            <w:szCs w:val="28"/>
          </w:rPr>
          <w:t xml:space="preserve">第一章</w:t>
        </w:r>
        <w:r>
          <w:rPr>
            <w:rStyle w:val="1029"/>
            <w:rFonts w:hint="eastAsia" w:ascii="宋体" w:hAnsi="宋体" w:cs="宋体"/>
            <w:b/>
            <w:bCs/>
            <w:sz w:val="28"/>
            <w:szCs w:val="28"/>
          </w:rPr>
          <w:t xml:space="preserve"> 采购公告</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_Toc227256247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3</w:t>
        </w:r>
        <w:r>
          <w:rPr>
            <w:rFonts w:hint="eastAsia" w:ascii="宋体" w:hAnsi="宋体"/>
            <w:b/>
            <w:bCs/>
            <w:sz w:val="28"/>
            <w:szCs w:val="28"/>
          </w:rPr>
          <w:fldChar w:fldCharType="end"/>
        </w:r>
      </w:hyperlink>
      <w:r/>
      <w:r/>
    </w:p>
    <w:p>
      <w:pPr>
        <w:pStyle w:val="1011"/>
        <w:tabs>
          <w:tab w:val="right" w:pos="8289" w:leader="dot"/>
        </w:tabs>
        <w:rPr>
          <w:rFonts w:hint="eastAsia" w:ascii="宋体" w:hAnsi="宋体" w:cstheme="minorBidi"/>
          <w:b/>
          <w:bCs/>
          <w:sz w:val="28"/>
          <w:szCs w:val="28"/>
          <w14:ligatures w14:val="standardContextual"/>
        </w:rPr>
      </w:pPr>
      <w:r/>
      <w:hyperlink w:tooltip="#_Toc227256248" w:anchor="_Toc227256248" w:history="1">
        <w:r>
          <w:rPr>
            <w:rStyle w:val="1029"/>
            <w:rFonts w:hint="eastAsia" w:ascii="宋体" w:hAnsi="宋体" w:cs="宋体"/>
            <w:b/>
            <w:bCs/>
            <w:sz w:val="28"/>
            <w:szCs w:val="28"/>
          </w:rPr>
          <w:t xml:space="preserve">第二章 供应商须知</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_Toc227256248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6</w:t>
        </w:r>
        <w:r>
          <w:rPr>
            <w:rFonts w:hint="eastAsia" w:ascii="宋体" w:hAnsi="宋体"/>
            <w:b/>
            <w:bCs/>
            <w:sz w:val="28"/>
            <w:szCs w:val="28"/>
          </w:rPr>
          <w:fldChar w:fldCharType="end"/>
        </w:r>
      </w:hyperlink>
      <w:r/>
      <w:r/>
    </w:p>
    <w:p>
      <w:pPr>
        <w:pStyle w:val="1011"/>
        <w:tabs>
          <w:tab w:val="right" w:pos="8289" w:leader="dot"/>
        </w:tabs>
        <w:rPr>
          <w:rFonts w:hint="eastAsia" w:ascii="宋体" w:hAnsi="宋体" w:cstheme="minorBidi"/>
          <w:b/>
          <w:bCs/>
          <w:sz w:val="28"/>
          <w:szCs w:val="28"/>
          <w14:ligatures w14:val="standardContextual"/>
        </w:rPr>
      </w:pPr>
      <w:r/>
      <w:hyperlink w:tooltip="#_Toc227256249" w:anchor="_Toc227256249" w:history="1">
        <w:r>
          <w:rPr>
            <w:rStyle w:val="1029"/>
            <w:rFonts w:hint="eastAsia" w:ascii="宋体" w:hAnsi="宋体" w:cs="宋体"/>
            <w:b/>
            <w:bCs/>
            <w:sz w:val="28"/>
            <w:szCs w:val="28"/>
          </w:rPr>
          <w:t xml:space="preserve">第三章 评标标准</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_Toc227256249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18</w:t>
        </w:r>
        <w:r>
          <w:rPr>
            <w:rFonts w:hint="eastAsia" w:ascii="宋体" w:hAnsi="宋体"/>
            <w:b/>
            <w:bCs/>
            <w:sz w:val="28"/>
            <w:szCs w:val="28"/>
          </w:rPr>
          <w:fldChar w:fldCharType="end"/>
        </w:r>
      </w:hyperlink>
      <w:r/>
      <w:r/>
    </w:p>
    <w:p>
      <w:pPr>
        <w:pStyle w:val="1011"/>
        <w:tabs>
          <w:tab w:val="right" w:pos="8289" w:leader="dot"/>
        </w:tabs>
        <w:rPr>
          <w:rFonts w:hint="eastAsia" w:ascii="宋体" w:hAnsi="宋体" w:cstheme="minorBidi"/>
          <w:b/>
          <w:bCs/>
          <w:sz w:val="28"/>
          <w:szCs w:val="28"/>
          <w14:ligatures w14:val="standardContextual"/>
        </w:rPr>
      </w:pPr>
      <w:r/>
      <w:hyperlink w:tooltip="#_Toc227256250" w:anchor="_Toc227256250" w:history="1">
        <w:r>
          <w:rPr>
            <w:rStyle w:val="1029"/>
            <w:rFonts w:hint="eastAsia" w:ascii="宋体" w:hAnsi="宋体" w:cs="宋体"/>
            <w:b/>
            <w:bCs/>
            <w:sz w:val="28"/>
            <w:szCs w:val="28"/>
          </w:rPr>
          <w:t xml:space="preserve">第四章 采购需求</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_Toc227256250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22</w:t>
        </w:r>
        <w:r>
          <w:rPr>
            <w:rFonts w:hint="eastAsia" w:ascii="宋体" w:hAnsi="宋体"/>
            <w:b/>
            <w:bCs/>
            <w:sz w:val="28"/>
            <w:szCs w:val="28"/>
          </w:rPr>
          <w:fldChar w:fldCharType="end"/>
        </w:r>
      </w:hyperlink>
      <w:r/>
      <w:r/>
    </w:p>
    <w:p>
      <w:pPr>
        <w:pStyle w:val="1011"/>
        <w:tabs>
          <w:tab w:val="right" w:pos="8289" w:leader="dot"/>
        </w:tabs>
        <w:rPr>
          <w:rFonts w:hint="eastAsia" w:ascii="宋体" w:hAnsi="宋体" w:cstheme="minorBidi"/>
          <w:b/>
          <w:bCs/>
          <w:sz w:val="28"/>
          <w:szCs w:val="28"/>
          <w14:ligatures w14:val="standardContextual"/>
        </w:rPr>
      </w:pPr>
      <w:r/>
      <w:hyperlink w:tooltip="#_Toc227256251" w:anchor="_Toc227256251" w:history="1">
        <w:r>
          <w:rPr>
            <w:rStyle w:val="1029"/>
            <w:rFonts w:hint="eastAsia" w:ascii="宋体" w:hAnsi="宋体" w:cs="宋体"/>
            <w:b/>
            <w:bCs/>
            <w:sz w:val="28"/>
            <w:szCs w:val="28"/>
          </w:rPr>
          <w:t xml:space="preserve">第五章 合同主要条款及格式</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_Toc227256251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32</w:t>
        </w:r>
        <w:r>
          <w:rPr>
            <w:rFonts w:hint="eastAsia" w:ascii="宋体" w:hAnsi="宋体"/>
            <w:b/>
            <w:bCs/>
            <w:sz w:val="28"/>
            <w:szCs w:val="28"/>
          </w:rPr>
          <w:fldChar w:fldCharType="end"/>
        </w:r>
      </w:hyperlink>
      <w:r/>
      <w:r/>
    </w:p>
    <w:p>
      <w:pPr>
        <w:pStyle w:val="1011"/>
        <w:tabs>
          <w:tab w:val="right" w:pos="8289" w:leader="dot"/>
        </w:tabs>
        <w:rPr>
          <w:rFonts w:hint="eastAsia" w:ascii="宋体" w:hAnsi="宋体" w:cstheme="minorBidi"/>
          <w:b/>
          <w:bCs/>
          <w:sz w:val="28"/>
          <w:szCs w:val="28"/>
          <w14:ligatures w14:val="standardContextual"/>
        </w:rPr>
      </w:pPr>
      <w:r/>
      <w:hyperlink w:tooltip="#_Toc227256252" w:anchor="_Toc227256252" w:history="1">
        <w:r>
          <w:rPr>
            <w:rStyle w:val="1029"/>
            <w:rFonts w:hint="eastAsia" w:ascii="宋体" w:hAnsi="宋体" w:cs="宋体"/>
            <w:b/>
            <w:bCs/>
            <w:sz w:val="28"/>
            <w:szCs w:val="28"/>
          </w:rPr>
          <w:t xml:space="preserve">第六章 附件</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_Toc227256252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39</w:t>
        </w:r>
        <w:r>
          <w:rPr>
            <w:rFonts w:hint="eastAsia" w:ascii="宋体" w:hAnsi="宋体"/>
            <w:b/>
            <w:bCs/>
            <w:sz w:val="28"/>
            <w:szCs w:val="28"/>
          </w:rPr>
          <w:fldChar w:fldCharType="end"/>
        </w:r>
      </w:hyperlink>
      <w:r/>
      <w:r/>
    </w:p>
    <w:p>
      <w:pPr>
        <w:spacing w:line="360" w:lineRule="auto"/>
        <w:rPr>
          <w:rFonts w:hint="eastAsia" w:ascii="宋体" w:hAnsi="宋体" w:cs="宋体"/>
          <w:b/>
          <w:sz w:val="36"/>
          <w:szCs w:val="36"/>
        </w:rPr>
      </w:pPr>
      <w:r>
        <w:rPr>
          <w:rFonts w:hint="eastAsia" w:ascii="宋体" w:hAnsi="宋体" w:cs="宋体"/>
          <w:b/>
          <w:bCs/>
          <w:sz w:val="28"/>
          <w:szCs w:val="28"/>
        </w:rPr>
        <w:fldChar w:fldCharType="end"/>
      </w:r>
      <w:r/>
    </w:p>
    <w:p>
      <w:pPr>
        <w:pStyle w:val="977"/>
        <w:rPr>
          <w:rFonts w:hint="eastAsia" w:ascii="宋体" w:hAnsi="宋体" w:cs="宋体"/>
          <w:szCs w:val="21"/>
        </w:rPr>
        <w:sectPr>
          <w:footerReference w:type="default" r:id="rId10"/>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977"/>
        <w:rPr>
          <w:rFonts w:hint="eastAsia" w:ascii="宋体" w:hAnsi="宋体" w:cs="宋体"/>
          <w:szCs w:val="21"/>
        </w:rPr>
      </w:pPr>
      <w:r/>
      <w:bookmarkStart w:id="3" w:name="_Toc227256247"/>
      <w:r/>
      <w:bookmarkStart w:id="4" w:name="_Hlk85716974"/>
      <w:r>
        <w:rPr>
          <w:rFonts w:hint="eastAsia" w:ascii="宋体" w:hAnsi="宋体" w:cs="宋体"/>
        </w:rPr>
        <w:t xml:space="preserve">采购公告</w:t>
      </w:r>
      <w:bookmarkStart w:id="5" w:name="OLE_LINK1"/>
      <w:r/>
      <w:bookmarkStart w:id="6" w:name="OLE_LINK7"/>
      <w:r/>
      <w:bookmarkStart w:id="7" w:name="OLE_LINK6"/>
      <w:r/>
      <w:bookmarkStart w:id="8" w:name="OLE_LINK5"/>
      <w:r/>
      <w:bookmarkStart w:id="9" w:name="_Hlk74842529"/>
      <w:r/>
      <w:bookmarkEnd w:id="2"/>
      <w:r/>
      <w:bookmarkEnd w:id="3"/>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4"/>
      <w:r/>
      <w:bookmarkStart w:id="12" w:name="OLE_LINK3"/>
      <w:r/>
      <w:bookmarkStart w:id="13" w:name="_Hlk74841176"/>
      <w:r>
        <w:rPr>
          <w:rFonts w:hint="eastAsia" w:ascii="宋体" w:hAnsi="宋体" w:cs="宋体"/>
          <w:b/>
          <w:bCs/>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江苏第二师范学院两校区学生宿舍加装火灾自动报警系统</w:t>
      </w:r>
      <w:r>
        <w:rPr>
          <w:rFonts w:hint="eastAsia" w:ascii="宋体" w:hAnsi="宋体" w:cs="宋体"/>
          <w:spacing w:val="8"/>
          <w:szCs w:val="21"/>
        </w:rPr>
        <w:t xml:space="preserve">招标项目的潜在供应商应在</w:t>
      </w:r>
      <w:r>
        <w:rPr>
          <w:rFonts w:hint="eastAsia" w:ascii="宋体" w:hAnsi="宋体" w:cs="宋体"/>
          <w:b/>
          <w:bCs/>
          <w:szCs w:val="21"/>
          <w:u w:val="single"/>
        </w:rPr>
        <w:t xml:space="preserve">江苏政府采购网</w:t>
      </w:r>
      <w:r>
        <w:rPr>
          <w:rFonts w:ascii="宋体" w:hAnsi="宋体" w:cs="宋体"/>
          <w:b/>
          <w:bCs/>
          <w:szCs w:val="21"/>
          <w:u w:val="single"/>
        </w:rPr>
        <w:t xml:space="preserve">苏采云系统注册登记成功后系统内免费下载</w:t>
      </w:r>
      <w:r>
        <w:rPr>
          <w:rFonts w:hint="eastAsia" w:ascii="宋体" w:hAnsi="宋体" w:cs="宋体"/>
          <w:spacing w:val="8"/>
          <w:szCs w:val="21"/>
        </w:rPr>
        <w:t xml:space="preserve">获取招标文件，并于</w:t>
      </w:r>
      <w:r>
        <w:rPr>
          <w:rFonts w:hint="eastAsia" w:ascii="宋体" w:hAnsi="宋体" w:cs="宋体"/>
          <w:b/>
          <w:bCs/>
          <w:szCs w:val="21"/>
          <w:u w:val="single"/>
        </w:rPr>
        <w:t xml:space="preserve">2026年</w:t>
      </w:r>
      <w:r>
        <w:rPr>
          <w:rFonts w:hint="eastAsia" w:ascii="宋体" w:hAnsi="宋体" w:cs="宋体"/>
          <w:b/>
          <w:bCs/>
          <w:szCs w:val="21"/>
          <w:u w:val="single"/>
        </w:rPr>
        <w:t xml:space="preserve">6</w:t>
      </w:r>
      <w:r>
        <w:rPr>
          <w:rFonts w:hint="eastAsia" w:ascii="宋体" w:hAnsi="宋体" w:cs="宋体"/>
          <w:b/>
          <w:bCs/>
          <w:szCs w:val="21"/>
          <w:u w:val="single"/>
        </w:rPr>
        <w:t xml:space="preserve">月</w:t>
      </w:r>
      <w:r>
        <w:rPr>
          <w:rFonts w:hint="eastAsia" w:ascii="宋体" w:hAnsi="宋体" w:cs="宋体"/>
          <w:b/>
          <w:bCs/>
          <w:szCs w:val="21"/>
          <w:u w:val="single"/>
        </w:rPr>
        <w:t xml:space="preserve">23</w:t>
      </w:r>
      <w:r>
        <w:rPr>
          <w:rFonts w:hint="eastAsia" w:ascii="宋体" w:hAnsi="宋体" w:cs="宋体"/>
          <w:b/>
          <w:bCs/>
          <w:szCs w:val="21"/>
          <w:u w:val="single"/>
        </w:rPr>
        <w:t xml:space="preserve">日</w:t>
      </w:r>
      <w:r>
        <w:rPr>
          <w:rFonts w:hint="eastAsia" w:ascii="宋体" w:hAnsi="宋体" w:cs="宋体"/>
          <w:b/>
          <w:bCs/>
          <w:szCs w:val="21"/>
          <w:u w:val="single"/>
        </w:rPr>
        <w:t xml:space="preserve">14</w:t>
      </w:r>
      <w:r>
        <w:rPr>
          <w:rFonts w:hint="eastAsia" w:ascii="宋体" w:hAnsi="宋体" w:cs="宋体"/>
          <w:b/>
          <w:bCs/>
          <w:szCs w:val="21"/>
          <w:u w:val="single"/>
        </w:rPr>
        <w:t xml:space="preserve">点30分</w:t>
      </w:r>
      <w:r>
        <w:rPr>
          <w:rFonts w:hint="eastAsia" w:ascii="宋体" w:hAnsi="宋体" w:cs="宋体"/>
          <w:spacing w:val="8"/>
          <w:szCs w:val="21"/>
        </w:rPr>
        <w:t xml:space="preserve">（北京时间）前递交投标文件。</w:t>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1.1项目编号：</w:t>
      </w:r>
      <w:r>
        <w:rPr>
          <w:rFonts w:ascii="宋体" w:hAnsi="宋体" w:cs="宋体"/>
          <w:spacing w:val="8"/>
          <w:szCs w:val="21"/>
        </w:rPr>
        <w:t xml:space="preserve">JSZC-320000-JCEC-G2026-0167</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1.2项目名称：江苏第二师范学院</w:t>
      </w:r>
      <w:bookmarkStart w:id="14" w:name="OLE_LINK8"/>
      <w:r>
        <w:rPr>
          <w:rFonts w:hint="eastAsia" w:ascii="宋体" w:hAnsi="宋体" w:cs="宋体"/>
          <w:spacing w:val="8"/>
          <w:szCs w:val="21"/>
        </w:rPr>
        <w:t xml:space="preserve">两校区学生宿舍加装</w:t>
      </w:r>
      <w:bookmarkStart w:id="15" w:name="OLE_LINK9"/>
      <w:r>
        <w:rPr>
          <w:rFonts w:hint="eastAsia" w:ascii="宋体" w:hAnsi="宋体" w:cs="宋体"/>
          <w:spacing w:val="8"/>
          <w:szCs w:val="21"/>
        </w:rPr>
        <w:t xml:space="preserve">火灾自动报警系统</w:t>
      </w:r>
      <w:bookmarkEnd w:id="14"/>
      <w:r/>
      <w:bookmarkEnd w:id="15"/>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1.3预算金额：189万元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1.4最高限价：189万元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1.5采购需求：结合相关法律法规及标准规范和学校两校区宿舍的实际情况，拟对相关区域加装火灾自动报警相关设备，详见采购文件第四章采购需求。</w:t>
      </w:r>
      <w:r/>
    </w:p>
    <w:p>
      <w:pPr>
        <w:ind w:firstLine="420"/>
        <w:spacing w:line="360" w:lineRule="auto"/>
        <w:rPr>
          <w:rFonts w:hint="eastAsia" w:ascii="宋体" w:hAnsi="宋体" w:cs="宋体"/>
          <w:bCs/>
          <w:szCs w:val="21"/>
        </w:rPr>
      </w:pPr>
      <w:r>
        <w:rPr>
          <w:rFonts w:hint="eastAsia" w:ascii="宋体" w:hAnsi="宋体" w:cs="宋体"/>
          <w:bCs/>
          <w:szCs w:val="21"/>
        </w:rPr>
        <w:t xml:space="preserve">1.6合同履行期限：</w:t>
      </w:r>
      <w:r>
        <w:rPr>
          <w:rFonts w:hint="eastAsia" w:ascii="宋体" w:hAnsi="宋体" w:cs="宋体"/>
          <w:spacing w:val="8"/>
          <w:szCs w:val="21"/>
        </w:rPr>
        <w:t xml:space="preserve">至所有合同内容履行完毕。</w:t>
      </w:r>
      <w:r/>
    </w:p>
    <w:p>
      <w:pPr>
        <w:ind w:firstLine="420"/>
        <w:spacing w:line="360" w:lineRule="auto"/>
        <w:rPr>
          <w:rFonts w:hint="eastAsia" w:ascii="宋体" w:hAnsi="宋体" w:cs="宋体"/>
          <w:bCs/>
          <w:szCs w:val="21"/>
        </w:rPr>
      </w:pPr>
      <w:r>
        <w:rPr>
          <w:rFonts w:hint="eastAsia" w:ascii="宋体" w:hAnsi="宋体" w:cs="宋体"/>
          <w:bCs/>
          <w:szCs w:val="21"/>
        </w:rPr>
        <w:t xml:space="preserve">1.7行业划分</w:t>
      </w:r>
      <w:r>
        <w:rPr>
          <w:rFonts w:hint="eastAsia" w:ascii="Arial" w:hAnsi="Arial" w:cs="Arial"/>
          <w:spacing w:val="8"/>
          <w:szCs w:val="21"/>
        </w:rPr>
        <w:t xml:space="preserve">：工业。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或2025年度经审计的财务审计报告，或近六个月任意一个月的财务报表（至少包括资产负债表、利润表和现金流量表），或近六个月以来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2.3采购人根据采购项目的特殊要求规定的特定条件，并提供符合特殊要求的证明材料或者</w:t>
      </w:r>
      <w:r>
        <w:rPr>
          <w:rFonts w:hint="eastAsia" w:ascii="宋体" w:hAnsi="宋体" w:cs="宋体"/>
          <w:b/>
          <w:spacing w:val="8"/>
          <w:szCs w:val="21"/>
        </w:rPr>
        <w:t xml:space="preserve">情况说明：</w:t>
      </w:r>
      <w:r>
        <w:rPr>
          <w:rFonts w:hint="eastAsia" w:ascii="宋体" w:hAnsi="宋体" w:cs="宋体"/>
          <w:b/>
          <w:bCs/>
          <w:spacing w:val="8"/>
          <w:szCs w:val="21"/>
        </w:rPr>
        <w:t xml:space="preserve">无。</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2.4 拒绝下述供应商参加本次招标活动：</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（1）单位负责人为同一人或者存在直接控股、管理关系的不同供应商，不得参加同一合同项下的政府采购活动。</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（2）为采购项目提供整体设计、规范编制或者项目管理、监理、检测等服务的供应商，不得参加本项目的采购活动。</w:t>
      </w:r>
      <w:r/>
    </w:p>
    <w:p>
      <w:pPr>
        <w:ind w:firstLine="452"/>
        <w:spacing w:line="360" w:lineRule="auto"/>
        <w:rPr>
          <w:rFonts w:hint="eastAsia" w:ascii="宋体" w:hAnsi="宋体" w:cs="宋体"/>
          <w:bCs/>
          <w:szCs w:val="21"/>
        </w:rPr>
      </w:pPr>
      <w:r>
        <w:rPr>
          <w:rFonts w:hint="eastAsia" w:ascii="宋体" w:hAnsi="宋体" w:cs="宋体"/>
          <w:bCs/>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 xml:space="preserve">。</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3.2地点：江苏政府采购网</w:t>
      </w:r>
      <w:r>
        <w:rPr>
          <w:rFonts w:ascii="宋体" w:hAnsi="宋体" w:cs="宋体"/>
          <w:bCs/>
          <w:szCs w:val="21"/>
        </w:rPr>
        <w:t xml:space="preserve">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ascii="宋体" w:hAnsi="宋体" w:cs="宋体"/>
          <w:szCs w:val="21"/>
        </w:rPr>
        <w:t xml:space="preserve">采用网上注册登记方式</w:t>
      </w:r>
      <w:r>
        <w:rPr>
          <w:rFonts w:hint="eastAsia" w:ascii="宋体" w:hAnsi="宋体" w:cs="宋体"/>
          <w:szCs w:val="21"/>
        </w:rPr>
        <w:t xml:space="preserve"> </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四、提交投标文件开始时间、截止时间、地点和开标时间、地点</w:t>
      </w:r>
      <w:r/>
    </w:p>
    <w:p>
      <w:pPr>
        <w:ind w:firstLine="420"/>
        <w:spacing w:line="360" w:lineRule="auto"/>
        <w:rPr>
          <w:rFonts w:hint="eastAsia" w:ascii="宋体" w:hAnsi="宋体" w:cs="宋体"/>
          <w:bCs/>
          <w:szCs w:val="21"/>
        </w:rPr>
      </w:pPr>
      <w:r>
        <w:rPr>
          <w:rFonts w:hint="eastAsia" w:ascii="宋体" w:hAnsi="宋体" w:cs="宋体"/>
          <w:bCs/>
          <w:szCs w:val="21"/>
        </w:rPr>
        <w:t xml:space="preserve">4.1提交投标文件截止时间、开标时间：2026年</w:t>
      </w:r>
      <w:r>
        <w:rPr>
          <w:rFonts w:hint="eastAsia" w:ascii="宋体" w:hAnsi="宋体" w:cs="宋体"/>
          <w:bCs/>
          <w:szCs w:val="21"/>
        </w:rPr>
        <w:t xml:space="preserve">6</w:t>
      </w:r>
      <w:r>
        <w:rPr>
          <w:rFonts w:hint="eastAsia" w:ascii="宋体" w:hAnsi="宋体" w:cs="宋体"/>
          <w:bCs/>
          <w:szCs w:val="21"/>
        </w:rPr>
        <w:t xml:space="preserve">月</w:t>
      </w:r>
      <w:r>
        <w:rPr>
          <w:rFonts w:hint="eastAsia" w:ascii="宋体" w:hAnsi="宋体" w:cs="宋体"/>
          <w:bCs/>
          <w:szCs w:val="21"/>
        </w:rPr>
        <w:t xml:space="preserve">23</w:t>
      </w:r>
      <w:r>
        <w:rPr>
          <w:rFonts w:hint="eastAsia" w:ascii="宋体" w:hAnsi="宋体" w:cs="宋体"/>
          <w:bCs/>
          <w:szCs w:val="21"/>
        </w:rPr>
        <w:t xml:space="preserve">日</w:t>
      </w:r>
      <w:r>
        <w:rPr>
          <w:rFonts w:hint="eastAsia" w:ascii="宋体" w:hAnsi="宋体" w:cs="宋体"/>
          <w:bCs/>
          <w:szCs w:val="21"/>
        </w:rPr>
        <w:t xml:space="preserve">14</w:t>
      </w:r>
      <w:r>
        <w:rPr>
          <w:rFonts w:hint="eastAsia" w:ascii="宋体" w:hAnsi="宋体" w:cs="宋体"/>
          <w:bCs/>
          <w:szCs w:val="21"/>
        </w:rPr>
        <w:t xml:space="preserve">点30分（北京时间）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4.2提交投标文件地点：江苏省政府采购管理交易系统（苏采云）（以下简称“苏采云”）（网址：http://jszfcg.jsczt.cn/）</w:t>
      </w:r>
      <w:r/>
    </w:p>
    <w:p>
      <w:pPr>
        <w:ind w:firstLine="420"/>
        <w:spacing w:line="360" w:lineRule="auto"/>
        <w:rPr>
          <w:rFonts w:hint="eastAsia" w:ascii="宋体" w:hAnsi="宋体" w:cs="宋体"/>
          <w:bCs/>
          <w:szCs w:val="21"/>
        </w:rPr>
      </w:pPr>
      <w:r>
        <w:rPr>
          <w:rFonts w:hint="eastAsia" w:ascii="宋体" w:hAnsi="宋体" w:cs="宋体"/>
          <w:bCs/>
          <w:szCs w:val="21"/>
        </w:rPr>
        <w:t xml:space="preserve">4.3开标地点：“苏采云”网上开标大厅。</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420"/>
        <w:spacing w:line="360" w:lineRule="auto"/>
        <w:shd w:val="clear" w:color="auto" w:fill="ffffff"/>
        <w:widowControl/>
        <w:rPr>
          <w:rFonts w:hint="eastAsia" w:ascii="宋体" w:hAnsi="宋体" w:cs="宋体"/>
          <w:shd w:val="clear" w:color="auto" w:fill="ffffff"/>
          <w:lang w:val="zh-CN"/>
        </w:rPr>
      </w:pPr>
      <w:r>
        <w:rPr>
          <w:rFonts w:hint="eastAsia" w:ascii="宋体" w:hAnsi="宋体" w:cs="宋体"/>
          <w:shd w:val="clear" w:color="auto" w:fill="ffffff"/>
          <w:lang w:val="zh-CN"/>
        </w:rPr>
        <w:t xml:space="preserve">6.1本项目在</w:t>
      </w:r>
      <w:r>
        <w:rPr>
          <w:rFonts w:hint="eastAsia" w:ascii="Arial" w:hAnsi="Arial" w:cs="Arial"/>
          <w:b/>
          <w:szCs w:val="21"/>
          <w:u w:val="single"/>
        </w:rPr>
        <w:t xml:space="preserve">江苏政府采购网、中国政府采购网</w:t>
      </w:r>
      <w:r>
        <w:rPr>
          <w:rFonts w:hint="eastAsia" w:ascii="宋体" w:hAnsi="宋体" w:cs="宋体"/>
          <w:shd w:val="clear" w:color="auto" w:fill="ffffff"/>
          <w:lang w:val="zh-CN"/>
        </w:rPr>
        <w:t xml:space="preserve">发布公告。</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6.2勘察现场：无。</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③“CA数字证书”的获取：</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“苏采云”江苏省客服热线025-83633744、025-83633743。</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7.1采购人信息</w:t>
      </w:r>
      <w:bookmarkEnd w:id="4"/>
      <w:r/>
      <w:bookmarkEnd w:id="9"/>
      <w:r/>
      <w:bookmarkEnd w:id="13"/>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名称：江苏第二师范学院</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地址：南京市溧水区石湫街道新河西路6号</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联系方式：王老师 025-56226328</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7.2采购代理机构信息</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名称：江苏省设备成套股份有限公司</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 系 人：阮真真</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    话：025-83316480</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电子邮箱：</w:t>
      </w:r>
      <w:r>
        <w:rPr>
          <w:rFonts w:hint="eastAsia" w:ascii="宋体" w:hAnsi="宋体" w:cs="宋体"/>
          <w:spacing w:val="15"/>
          <w:shd w:val="clear" w:color="auto" w:fill="ffffff"/>
        </w:rPr>
        <w:t xml:space="preserve">ruanzz</w:t>
      </w:r>
      <w:r>
        <w:rPr>
          <w:rFonts w:hint="eastAsia" w:ascii="宋体" w:hAnsi="宋体" w:cs="宋体"/>
          <w:spacing w:val="15"/>
          <w:shd w:val="clear" w:color="auto" w:fill="ffffff"/>
        </w:rPr>
        <w:t xml:space="preserve">@jcec.cn</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7.3项目联系方式</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项目联系人：阮真真</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    话：025-83316480</w:t>
      </w:r>
      <w:r/>
    </w:p>
    <w:p>
      <w:pPr>
        <w:rPr>
          <w:rFonts w:hint="eastAsia" w:ascii="宋体" w:hAnsi="宋体" w:cs="宋体"/>
          <w:spacing w:val="15"/>
          <w:shd w:val="clear" w:color="auto" w:fill="ffffff"/>
        </w:rPr>
      </w:pPr>
      <w:r>
        <w:rPr>
          <w:rFonts w:hint="eastAsia" w:ascii="宋体" w:hAnsi="宋体" w:cs="宋体"/>
          <w:spacing w:val="15"/>
          <w:shd w:val="clear" w:color="auto" w:fill="ffffff"/>
        </w:rPr>
        <w:br w:type="page" w:clear="all"/>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 </w:t>
      </w:r>
      <w:r/>
    </w:p>
    <w:p>
      <w:pPr>
        <w:pStyle w:val="977"/>
        <w:numPr>
          <w:ilvl w:val="0"/>
          <w:numId w:val="0"/>
        </w:numPr>
        <w:rPr>
          <w:rFonts w:hint="eastAsia" w:ascii="宋体" w:hAnsi="宋体" w:cs="宋体"/>
        </w:rPr>
      </w:pPr>
      <w:r/>
      <w:bookmarkStart w:id="16" w:name="_Toc227256248"/>
      <w:r>
        <w:rPr>
          <w:rFonts w:hint="eastAsia" w:ascii="宋体" w:hAnsi="宋体" w:cs="宋体"/>
        </w:rPr>
        <w:t xml:space="preserve">第二章</w:t>
      </w:r>
      <w:bookmarkStart w:id="17" w:name="_Toc452625218"/>
      <w:r>
        <w:rPr>
          <w:rFonts w:hint="eastAsia" w:ascii="宋体" w:hAnsi="宋体" w:cs="宋体"/>
        </w:rPr>
        <w:t xml:space="preserve"> 供应商须知</w:t>
      </w:r>
      <w:bookmarkEnd w:id="16"/>
      <w:r/>
      <w:bookmarkEnd w:id="17"/>
      <w:r/>
      <w:r/>
    </w:p>
    <w:p>
      <w:pPr>
        <w:ind w:firstLine="424"/>
        <w:spacing w:line="360" w:lineRule="auto"/>
        <w:shd w:val="clear" w:color="auto" w:fill="ffffff"/>
        <w:widowControl/>
        <w:rPr>
          <w:rFonts w:hint="eastAsia" w:ascii="宋体" w:hAnsi="宋体" w:cs="宋体"/>
          <w:szCs w:val="21"/>
        </w:rPr>
      </w:pPr>
      <w:r/>
      <w:bookmarkStart w:id="18" w:name="_Toc25340"/>
      <w:r/>
      <w:bookmarkStart w:id="19" w:name="_Toc481057145"/>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t xml:space="preserve">投标人</w:t>
      </w:r>
      <w:r>
        <w:rPr>
          <w:rFonts w:hint="eastAsia" w:ascii="宋体" w:hAnsi="宋体" w:cs="宋体"/>
          <w:szCs w:val="21"/>
        </w:rPr>
        <w:t xml:space="preserve">（供应商）”是指参加投标竞争，并符合招标文件规定资格条件的法人、其他组织或者自然人。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宋体" w:hAnsi="宋体" w:cs="宋体"/>
          <w:szCs w:val="21"/>
        </w:rPr>
        <w:t xml:space="preserve">投标人</w:t>
      </w:r>
      <w:r>
        <w:rPr>
          <w:rFonts w:hint="eastAsia" w:ascii="宋体" w:hAnsi="宋体" w:cs="宋体"/>
          <w:szCs w:val="21"/>
        </w:rPr>
        <w:t xml:space="preserve">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w:t>
      </w:r>
      <w:r>
        <w:rPr>
          <w:rFonts w:hint="eastAsia" w:ascii="宋体" w:hAnsi="宋体" w:cs="宋体"/>
          <w:szCs w:val="21"/>
        </w:rPr>
        <w:t xml:space="preserve">投标人</w:t>
      </w:r>
      <w:r>
        <w:rPr>
          <w:rFonts w:hint="eastAsia" w:ascii="宋体" w:hAnsi="宋体" w:cs="宋体"/>
          <w:szCs w:val="21"/>
        </w:rPr>
        <w:t xml:space="preserve">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w:t>
      </w:r>
      <w:r>
        <w:rPr>
          <w:rFonts w:hint="eastAsia" w:ascii="宋体" w:hAnsi="宋体" w:cs="宋体"/>
          <w:szCs w:val="21"/>
        </w:rPr>
        <w:t xml:space="preserve">投标人</w:t>
      </w:r>
      <w:r>
        <w:rPr>
          <w:rFonts w:hint="eastAsia" w:ascii="宋体" w:hAnsi="宋体" w:cs="宋体"/>
          <w:szCs w:val="21"/>
        </w:rPr>
        <w:t xml:space="preserve">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本国产品标准适用于货物，包括政府采购货物项目和服务项目中涉及的货物。政府采购活动涉及本国产品的，</w:t>
      </w:r>
      <w:r>
        <w:rPr>
          <w:rFonts w:hint="eastAsia" w:ascii="宋体" w:hAnsi="宋体" w:cs="宋体"/>
          <w:szCs w:val="21"/>
        </w:rPr>
        <w:t xml:space="preserve">投标人</w:t>
      </w:r>
      <w:r>
        <w:rPr>
          <w:rFonts w:hint="eastAsia" w:ascii="宋体" w:hAnsi="宋体" w:cs="宋体"/>
          <w:szCs w:val="21"/>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投标人</w:t>
      </w:r>
      <w:r>
        <w:rPr>
          <w:rFonts w:hint="eastAsia" w:ascii="宋体" w:hAnsi="宋体" w:cs="宋体"/>
          <w:szCs w:val="21"/>
        </w:rPr>
        <w:t xml:space="preserve">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w:t>
      </w:r>
      <w:r>
        <w:rPr>
          <w:rFonts w:hint="eastAsia" w:ascii="宋体" w:hAnsi="宋体" w:cs="宋体"/>
          <w:szCs w:val="21"/>
        </w:rPr>
        <w:t xml:space="preserve">投标人</w:t>
      </w:r>
      <w:r>
        <w:rPr>
          <w:rFonts w:hint="eastAsia" w:ascii="宋体" w:hAnsi="宋体" w:cs="宋体"/>
          <w:szCs w:val="21"/>
        </w:rPr>
        <w:t xml:space="preserve">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w:t>
      </w:r>
      <w:r>
        <w:rPr>
          <w:rFonts w:hint="eastAsia" w:ascii="宋体" w:hAnsi="宋体" w:cs="宋体"/>
          <w:szCs w:val="21"/>
        </w:rPr>
        <w:t xml:space="preserve">投标人</w:t>
      </w:r>
      <w:r>
        <w:rPr>
          <w:rFonts w:hint="eastAsia" w:ascii="宋体" w:hAnsi="宋体" w:cs="宋体"/>
          <w:szCs w:val="21"/>
        </w:rPr>
        <w:t xml:space="preserve">按照招标文件规定提交备选投标方案的，</w:t>
      </w:r>
      <w:r>
        <w:rPr>
          <w:rFonts w:hint="eastAsia" w:ascii="宋体" w:hAnsi="宋体" w:cs="宋体"/>
          <w:szCs w:val="21"/>
        </w:rPr>
        <w:t xml:space="preserve">投标人</w:t>
      </w:r>
      <w:r>
        <w:rPr>
          <w:rFonts w:hint="eastAsia" w:ascii="宋体" w:hAnsi="宋体" w:cs="宋体"/>
          <w:szCs w:val="21"/>
        </w:rPr>
        <w:t xml:space="preserve">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w:t>
      </w:r>
      <w:r>
        <w:rPr>
          <w:rFonts w:hint="eastAsia" w:ascii="宋体" w:hAnsi="宋体" w:cs="宋体"/>
          <w:szCs w:val="21"/>
        </w:rPr>
        <w:t xml:space="preserve">投标人</w:t>
      </w:r>
      <w:r>
        <w:rPr>
          <w:rFonts w:hint="eastAsia" w:ascii="宋体" w:hAnsi="宋体" w:cs="宋体"/>
          <w:szCs w:val="21"/>
        </w:rPr>
        <w:t xml:space="preserve">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w:t>
      </w:r>
      <w:r>
        <w:rPr>
          <w:rFonts w:hint="eastAsia" w:ascii="宋体" w:hAnsi="宋体" w:cs="宋体"/>
          <w:szCs w:val="21"/>
        </w:rPr>
        <w:t xml:space="preserve">投标人</w:t>
      </w:r>
      <w:r>
        <w:rPr>
          <w:rFonts w:hint="eastAsia" w:ascii="宋体" w:hAnsi="宋体" w:cs="宋体"/>
          <w:szCs w:val="21"/>
        </w:rPr>
        <w:t xml:space="preserve">；不足15日的，采购人或者采购代理机构应当顺延提交投标文件的截止时间。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w:t>
      </w:r>
      <w:r>
        <w:rPr>
          <w:rFonts w:hint="eastAsia" w:ascii="宋体" w:hAnsi="宋体" w:cs="宋体"/>
          <w:szCs w:val="21"/>
        </w:rPr>
        <w:t xml:space="preserve">投标人</w:t>
      </w:r>
      <w:r>
        <w:rPr>
          <w:rFonts w:hint="eastAsia" w:ascii="宋体" w:hAnsi="宋体" w:cs="宋体"/>
          <w:szCs w:val="21"/>
        </w:rPr>
        <w:t xml:space="preserve">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w:t>
      </w:r>
      <w:r>
        <w:rPr>
          <w:rFonts w:hint="eastAsia" w:ascii="宋体" w:hAnsi="宋体" w:cs="宋体"/>
          <w:szCs w:val="21"/>
        </w:rPr>
        <w:t xml:space="preserve">投标人</w:t>
      </w:r>
      <w:r>
        <w:rPr>
          <w:rFonts w:hint="eastAsia" w:ascii="宋体" w:hAnsi="宋体" w:cs="宋体"/>
          <w:szCs w:val="21"/>
        </w:rPr>
        <w:t xml:space="preserve">提交的投标文件、技术文件和资料，包括图纸中的说明，以及</w:t>
      </w:r>
      <w:r>
        <w:rPr>
          <w:rFonts w:hint="eastAsia" w:ascii="宋体" w:hAnsi="宋体" w:cs="宋体"/>
          <w:szCs w:val="21"/>
        </w:rPr>
        <w:t xml:space="preserve">投标人</w:t>
      </w:r>
      <w:r>
        <w:rPr>
          <w:rFonts w:hint="eastAsia" w:ascii="宋体" w:hAnsi="宋体" w:cs="宋体"/>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w:t>
      </w:r>
      <w:r>
        <w:rPr>
          <w:rFonts w:hint="eastAsia" w:ascii="宋体" w:hAnsi="宋体" w:cs="宋体"/>
          <w:szCs w:val="21"/>
        </w:rPr>
        <w:t xml:space="preserve">投标人</w:t>
      </w:r>
      <w:r>
        <w:rPr>
          <w:rFonts w:hint="eastAsia" w:ascii="宋体" w:hAnsi="宋体" w:cs="宋体"/>
          <w:szCs w:val="21"/>
        </w:rPr>
        <w:t xml:space="preserve">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投标人</w:t>
      </w:r>
      <w:r>
        <w:rPr>
          <w:rFonts w:hint="eastAsia" w:ascii="宋体" w:hAnsi="宋体" w:cs="宋体"/>
          <w:szCs w:val="21"/>
        </w:rPr>
        <w:t xml:space="preserve">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w:t>
      </w:r>
      <w:r>
        <w:rPr>
          <w:rFonts w:hint="eastAsia" w:ascii="宋体" w:hAnsi="宋体" w:cs="宋体"/>
          <w:szCs w:val="21"/>
        </w:rPr>
        <w:t xml:space="preserve">投标人</w:t>
      </w:r>
      <w:r>
        <w:rPr>
          <w:rFonts w:hint="eastAsia" w:ascii="宋体" w:hAnsi="宋体" w:cs="宋体"/>
          <w:szCs w:val="21"/>
        </w:rPr>
        <w:t xml:space="preserve">应在投标文件中写清相应的项目编号、项目名称、</w:t>
      </w:r>
      <w:r>
        <w:rPr>
          <w:rFonts w:hint="eastAsia" w:ascii="宋体" w:hAnsi="宋体" w:cs="宋体"/>
          <w:szCs w:val="21"/>
        </w:rPr>
        <w:t xml:space="preserve">投标人</w:t>
      </w:r>
      <w:r>
        <w:rPr>
          <w:rFonts w:hint="eastAsia" w:ascii="宋体" w:hAnsi="宋体" w:cs="宋体"/>
          <w:szCs w:val="21"/>
        </w:rPr>
        <w:t xml:space="preserve">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w:t>
      </w:r>
      <w:r>
        <w:rPr>
          <w:rFonts w:hint="eastAsia" w:ascii="宋体" w:hAnsi="宋体" w:cs="宋体"/>
          <w:szCs w:val="21"/>
        </w:rPr>
        <w:t xml:space="preserve">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w:t>
      </w:r>
      <w:r>
        <w:rPr>
          <w:rFonts w:hint="eastAsia" w:ascii="宋体" w:hAnsi="宋体" w:cs="宋体"/>
          <w:szCs w:val="21"/>
        </w:rPr>
        <w:t xml:space="preserve">投标人</w:t>
      </w:r>
      <w:r>
        <w:rPr>
          <w:rFonts w:hint="eastAsia" w:ascii="宋体" w:hAnsi="宋体" w:cs="宋体"/>
          <w:szCs w:val="21"/>
        </w:rPr>
        <w:t xml:space="preserve">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w:t>
      </w:r>
      <w:r>
        <w:rPr>
          <w:rFonts w:hint="eastAsia" w:ascii="宋体" w:hAnsi="宋体" w:cs="宋体"/>
          <w:szCs w:val="21"/>
        </w:rPr>
        <w:t xml:space="preserve">投标人</w:t>
      </w:r>
      <w:r>
        <w:rPr>
          <w:rFonts w:hint="eastAsia" w:ascii="宋体" w:hAnsi="宋体" w:cs="宋体"/>
          <w:szCs w:val="21"/>
        </w:rPr>
        <w:t xml:space="preserve">按照联合体分工承担相同工作的，按照资质等级较低的</w:t>
      </w:r>
      <w:r>
        <w:rPr>
          <w:rFonts w:hint="eastAsia" w:ascii="宋体" w:hAnsi="宋体" w:cs="宋体"/>
          <w:szCs w:val="21"/>
        </w:rPr>
        <w:t xml:space="preserve">投标人</w:t>
      </w:r>
      <w:r>
        <w:rPr>
          <w:rFonts w:hint="eastAsia" w:ascii="宋体" w:hAnsi="宋体" w:cs="宋体"/>
          <w:szCs w:val="21"/>
        </w:rPr>
        <w:t xml:space="preserve">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w:t>
      </w:r>
      <w:r>
        <w:rPr>
          <w:rFonts w:hint="eastAsia" w:ascii="宋体" w:hAnsi="宋体" w:cs="宋体"/>
          <w:szCs w:val="21"/>
        </w:rPr>
        <w:t xml:space="preserve">投标人</w:t>
      </w:r>
      <w:r>
        <w:rPr>
          <w:rFonts w:hint="eastAsia" w:ascii="宋体" w:hAnsi="宋体" w:cs="宋体"/>
          <w:szCs w:val="21"/>
        </w:rPr>
        <w:t xml:space="preserve">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w:t>
      </w:r>
      <w:r>
        <w:rPr>
          <w:rFonts w:hint="eastAsia" w:ascii="宋体" w:hAnsi="宋体" w:cs="宋体"/>
          <w:szCs w:val="21"/>
        </w:rPr>
        <w:t xml:space="preserve">投标人</w:t>
      </w:r>
      <w:r>
        <w:rPr>
          <w:rFonts w:hint="eastAsia" w:ascii="宋体" w:hAnsi="宋体" w:cs="宋体"/>
          <w:szCs w:val="21"/>
        </w:rPr>
        <w:t xml:space="preserve">应当根据招标文件要求编制投标文件，投标文件应对招标文件提出的要求和条件作出实质性响应，并在《商务条款偏离表》和《技术条款偏离表》等处标明满足与否。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”）的条款为实质性条款，技术支持资料（如有）以招标文件需求要求为准，未响应的，视为未对招标文件实质性要求作出响应，评审时</w:t>
      </w:r>
      <w:r>
        <w:rPr>
          <w:rFonts w:ascii="宋体" w:hAnsi="宋体" w:cs="宋体"/>
          <w:b/>
          <w:bCs/>
          <w:szCs w:val="21"/>
        </w:rPr>
        <w:t xml:space="preserve">将其作为无效投标处理</w:t>
      </w:r>
      <w:r>
        <w:rPr>
          <w:rFonts w:hint="eastAsia" w:ascii="宋体" w:hAnsi="宋体" w:cs="宋体"/>
          <w:b/>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w:t>
      </w:r>
      <w:r>
        <w:rPr>
          <w:rFonts w:hint="eastAsia" w:ascii="宋体" w:hAnsi="宋体" w:cs="宋体"/>
          <w:szCs w:val="21"/>
        </w:rPr>
        <w:t xml:space="preserve">投标人</w:t>
      </w:r>
      <w:r>
        <w:rPr>
          <w:rFonts w:hint="eastAsia" w:ascii="宋体" w:hAnsi="宋体" w:cs="宋体"/>
          <w:szCs w:val="21"/>
        </w:rPr>
        <w:t xml:space="preserve">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投标人</w:t>
      </w:r>
      <w:r>
        <w:rPr>
          <w:rFonts w:hint="eastAsia" w:ascii="宋体" w:hAnsi="宋体" w:cs="宋体"/>
          <w:szCs w:val="21"/>
        </w:rPr>
        <w:t xml:space="preserve">资格资信证明文件：</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（8）其他（</w:t>
      </w:r>
      <w:r>
        <w:rPr>
          <w:rFonts w:hint="eastAsia" w:ascii="宋体" w:hAnsi="宋体" w:cs="宋体"/>
          <w:szCs w:val="21"/>
        </w:rPr>
        <w:t xml:space="preserve">投标人</w:t>
      </w:r>
      <w:r>
        <w:rPr>
          <w:rFonts w:hint="eastAsia" w:ascii="宋体" w:hAnsi="宋体" w:cs="宋体"/>
          <w:szCs w:val="21"/>
        </w:rPr>
        <w:t xml:space="preserve">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w:t>
      </w:r>
      <w:r>
        <w:rPr>
          <w:rFonts w:hint="eastAsia" w:ascii="宋体" w:hAnsi="宋体" w:cs="宋体"/>
          <w:szCs w:val="21"/>
        </w:rPr>
        <w:t xml:space="preserve">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投标人</w:t>
      </w:r>
      <w:r>
        <w:rPr>
          <w:rFonts w:hint="eastAsia" w:ascii="宋体" w:hAnsi="宋体" w:cs="宋体"/>
          <w:szCs w:val="21"/>
          <w:lang w:val="zh-CN"/>
        </w:rPr>
        <w:t xml:space="preserve">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投标人</w:t>
      </w:r>
      <w:r>
        <w:rPr>
          <w:rFonts w:hint="eastAsia" w:ascii="宋体" w:hAnsi="宋体" w:cs="宋体"/>
          <w:szCs w:val="21"/>
          <w:lang w:val="zh-CN"/>
        </w:rPr>
        <w:t xml:space="preserve">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w:t>
      </w:r>
      <w:r>
        <w:rPr>
          <w:rFonts w:hint="eastAsia" w:ascii="宋体" w:hAnsi="宋体" w:cs="宋体"/>
          <w:szCs w:val="21"/>
        </w:rPr>
        <w:t xml:space="preserve">投标人</w:t>
      </w:r>
      <w:r>
        <w:rPr>
          <w:rFonts w:hint="eastAsia" w:ascii="宋体" w:hAnsi="宋体" w:cs="宋体"/>
          <w:szCs w:val="21"/>
        </w:rPr>
        <w:t xml:space="preserve">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w:t>
      </w:r>
      <w:r>
        <w:rPr>
          <w:rFonts w:hint="eastAsia" w:ascii="宋体" w:hAnsi="宋体" w:cs="宋体"/>
          <w:szCs w:val="21"/>
        </w:rPr>
        <w:t xml:space="preserve">投标人</w:t>
      </w:r>
      <w:r>
        <w:rPr>
          <w:rFonts w:hint="eastAsia" w:ascii="宋体" w:hAnsi="宋体" w:cs="宋体"/>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w:t>
      </w:r>
      <w:r>
        <w:rPr>
          <w:rFonts w:hint="eastAsia" w:ascii="宋体" w:hAnsi="宋体" w:cs="宋体"/>
          <w:szCs w:val="21"/>
        </w:rPr>
        <w:t xml:space="preserve">投标人</w:t>
      </w:r>
      <w:r>
        <w:rPr>
          <w:rFonts w:hint="eastAsia" w:ascii="宋体" w:hAnsi="宋体" w:cs="宋体"/>
          <w:szCs w:val="21"/>
        </w:rPr>
        <w:t xml:space="preserve">的报价明显低于其他通过符合性审查的</w:t>
      </w:r>
      <w:r>
        <w:rPr>
          <w:rFonts w:hint="eastAsia" w:ascii="宋体" w:hAnsi="宋体" w:cs="宋体"/>
          <w:szCs w:val="21"/>
        </w:rPr>
        <w:t xml:space="preserve">投标人</w:t>
      </w:r>
      <w:r>
        <w:rPr>
          <w:rFonts w:hint="eastAsia" w:ascii="宋体" w:hAnsi="宋体" w:cs="宋体"/>
          <w:szCs w:val="21"/>
        </w:rPr>
        <w:t xml:space="preserve">的报价，有可能影响产品质量或者不能诚信履约的，应当要求其在评标现场合理的时间内提供书面说明，必要时提交相关证明材料；</w:t>
      </w:r>
      <w:r>
        <w:rPr>
          <w:rFonts w:hint="eastAsia" w:ascii="宋体" w:hAnsi="宋体" w:cs="宋体"/>
          <w:szCs w:val="21"/>
        </w:rPr>
        <w:t xml:space="preserve">投标人</w:t>
      </w:r>
      <w:r>
        <w:rPr>
          <w:rFonts w:hint="eastAsia" w:ascii="宋体" w:hAnsi="宋体" w:cs="宋体"/>
          <w:szCs w:val="21"/>
        </w:rPr>
        <w:t xml:space="preserve">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w:t>
      </w:r>
      <w:r>
        <w:rPr>
          <w:rFonts w:hint="eastAsia" w:ascii="宋体" w:hAnsi="宋体" w:cs="宋体"/>
          <w:szCs w:val="21"/>
        </w:rPr>
        <w:t xml:space="preserve">投标人</w:t>
      </w:r>
      <w:r>
        <w:rPr>
          <w:rFonts w:hint="eastAsia" w:ascii="宋体" w:hAnsi="宋体" w:cs="宋体"/>
          <w:szCs w:val="21"/>
        </w:rPr>
        <w:t xml:space="preserve">应在《开标一览表》《分项报价表》等标明投标货物和服务的单价、总价以及分项报价等。</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w:t>
      </w:r>
      <w:r>
        <w:rPr>
          <w:rFonts w:hint="eastAsia" w:ascii="宋体" w:hAnsi="宋体" w:cs="宋体"/>
          <w:szCs w:val="21"/>
        </w:rPr>
        <w:t xml:space="preserve">投标人</w:t>
      </w:r>
      <w:r>
        <w:rPr>
          <w:rFonts w:hint="eastAsia" w:ascii="宋体" w:hAnsi="宋体" w:cs="宋体"/>
          <w:szCs w:val="21"/>
        </w:rPr>
        <w:t xml:space="preserve">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w:t>
      </w:r>
      <w:r>
        <w:rPr>
          <w:rFonts w:hint="eastAsia" w:ascii="宋体" w:hAnsi="宋体" w:cs="宋体"/>
          <w:szCs w:val="21"/>
        </w:rPr>
        <w:t xml:space="preserve">投标人</w:t>
      </w:r>
      <w:r>
        <w:rPr>
          <w:rFonts w:hint="eastAsia" w:ascii="宋体" w:hAnsi="宋体" w:cs="宋体"/>
          <w:szCs w:val="21"/>
        </w:rPr>
        <w:t xml:space="preserve">同意延长投标有效期，这种要求与答复均应以书面形式提交。</w:t>
      </w:r>
      <w:r>
        <w:rPr>
          <w:rFonts w:hint="eastAsia" w:ascii="宋体" w:hAnsi="宋体" w:cs="宋体"/>
          <w:szCs w:val="21"/>
        </w:rPr>
        <w:t xml:space="preserve">投标人</w:t>
      </w:r>
      <w:r>
        <w:rPr>
          <w:rFonts w:hint="eastAsia" w:ascii="宋体" w:hAnsi="宋体" w:cs="宋体"/>
          <w:szCs w:val="21"/>
        </w:rPr>
        <w:t xml:space="preserve">可拒绝这种要求，并且不影响投标保证金的退还。接受延长投标有效期的</w:t>
      </w:r>
      <w:r>
        <w:rPr>
          <w:rFonts w:hint="eastAsia" w:ascii="宋体" w:hAnsi="宋体" w:cs="宋体"/>
          <w:szCs w:val="21"/>
        </w:rPr>
        <w:t xml:space="preserve">投标人</w:t>
      </w:r>
      <w:r>
        <w:rPr>
          <w:rFonts w:hint="eastAsia" w:ascii="宋体" w:hAnsi="宋体" w:cs="宋体"/>
          <w:szCs w:val="21"/>
        </w:rPr>
        <w:t xml:space="preserve">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w:t>
      </w:r>
      <w:r>
        <w:rPr>
          <w:rFonts w:hint="eastAsia" w:ascii="宋体" w:hAnsi="宋体" w:cs="宋体"/>
          <w:szCs w:val="21"/>
        </w:rPr>
        <w:t xml:space="preserve">投标人</w:t>
      </w:r>
      <w:r>
        <w:rPr>
          <w:rFonts w:hint="eastAsia" w:ascii="宋体" w:hAnsi="宋体" w:cs="宋体"/>
          <w:szCs w:val="21"/>
        </w:rPr>
        <w:t xml:space="preserve">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新宋体" w:hAnsi="新宋体" w:eastAsia="新宋体" w:cs="新宋体"/>
          <w:bCs/>
          <w:szCs w:val="21"/>
        </w:rPr>
      </w:pPr>
      <w:r>
        <w:rPr>
          <w:rFonts w:hint="eastAsia" w:ascii="宋体" w:hAnsi="宋体" w:cs="宋体"/>
          <w:bCs/>
          <w:szCs w:val="21"/>
        </w:rPr>
        <w:t xml:space="preserve">16.2 招标代理服务费：本次招标，中标通知书发出后，中标人按照国家计委计价格[2002]1980号规定的收费标准的30%，向采购代理机构支付招标服务费（费率实行差额定率累进法），低于5000元的按人民币2500元收取。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w:t>
      </w:r>
      <w:r>
        <w:rPr>
          <w:rFonts w:hint="eastAsia" w:ascii="宋体" w:hAnsi="宋体" w:cs="宋体"/>
          <w:szCs w:val="21"/>
        </w:rPr>
        <w:t xml:space="preserve">投标人</w:t>
      </w:r>
      <w:r>
        <w:rPr>
          <w:rFonts w:hint="eastAsia" w:ascii="宋体" w:hAnsi="宋体" w:cs="宋体"/>
          <w:szCs w:val="21"/>
        </w:rPr>
        <w:t xml:space="preserve">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w:t>
      </w:r>
      <w:r>
        <w:rPr>
          <w:rFonts w:hint="eastAsia" w:ascii="宋体" w:hAnsi="宋体" w:cs="宋体"/>
          <w:szCs w:val="21"/>
        </w:rPr>
        <w:t xml:space="preserve">投标人</w:t>
      </w:r>
      <w:r>
        <w:rPr>
          <w:rFonts w:hint="eastAsia" w:ascii="宋体" w:hAnsi="宋体" w:cs="宋体"/>
          <w:szCs w:val="21"/>
        </w:rPr>
        <w:t xml:space="preserve">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w:t>
      </w:r>
      <w:r>
        <w:rPr>
          <w:rFonts w:hint="eastAsia" w:ascii="宋体" w:hAnsi="宋体" w:cs="宋体"/>
          <w:szCs w:val="21"/>
        </w:rPr>
        <w:t xml:space="preserve">投标人</w:t>
      </w:r>
      <w:r>
        <w:rPr>
          <w:rFonts w:hint="eastAsia" w:ascii="宋体" w:hAnsi="宋体" w:cs="宋体"/>
          <w:szCs w:val="21"/>
        </w:rPr>
        <w:t xml:space="preserve">应充分考虑网络环境、网络带宽等因素可能对投标产生的影响，如因</w:t>
      </w:r>
      <w:r>
        <w:rPr>
          <w:rFonts w:hint="eastAsia" w:ascii="宋体" w:hAnsi="宋体" w:cs="宋体"/>
          <w:szCs w:val="21"/>
        </w:rPr>
        <w:t xml:space="preserve">投标人</w:t>
      </w:r>
      <w:r>
        <w:rPr>
          <w:rFonts w:hint="eastAsia" w:ascii="宋体" w:hAnsi="宋体" w:cs="宋体"/>
          <w:szCs w:val="21"/>
        </w:rPr>
        <w:t xml:space="preserve">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w:t>
      </w:r>
      <w:r>
        <w:rPr>
          <w:rFonts w:hint="eastAsia" w:ascii="宋体" w:hAnsi="宋体" w:cs="宋体"/>
          <w:szCs w:val="21"/>
        </w:rPr>
        <w:t xml:space="preserve">投标人</w:t>
      </w:r>
      <w:r>
        <w:rPr>
          <w:rFonts w:hint="eastAsia" w:ascii="宋体" w:hAnsi="宋体" w:cs="宋体"/>
          <w:szCs w:val="21"/>
        </w:rPr>
        <w:t xml:space="preserve">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w:t>
      </w:r>
      <w:r>
        <w:rPr>
          <w:rFonts w:hint="eastAsia" w:ascii="宋体" w:hAnsi="宋体" w:cs="宋体"/>
          <w:szCs w:val="21"/>
        </w:rPr>
        <w:t xml:space="preserve">投标人</w:t>
      </w:r>
      <w:r>
        <w:rPr>
          <w:rFonts w:hint="eastAsia" w:ascii="宋体" w:hAnsi="宋体" w:cs="宋体"/>
          <w:szCs w:val="21"/>
        </w:rPr>
        <w:t xml:space="preserve">应当遵循公平竞争的原则，不得恶意串通，不得妨碍其他</w:t>
      </w:r>
      <w:r>
        <w:rPr>
          <w:rFonts w:hint="eastAsia" w:ascii="宋体" w:hAnsi="宋体" w:cs="宋体"/>
          <w:szCs w:val="21"/>
        </w:rPr>
        <w:t xml:space="preserve">投标人</w:t>
      </w:r>
      <w:r>
        <w:rPr>
          <w:rFonts w:hint="eastAsia" w:ascii="宋体" w:hAnsi="宋体" w:cs="宋体"/>
          <w:szCs w:val="21"/>
        </w:rPr>
        <w:t xml:space="preserve">的竞争行为，不得损害采购人或者其他</w:t>
      </w:r>
      <w:r>
        <w:rPr>
          <w:rFonts w:hint="eastAsia" w:ascii="宋体" w:hAnsi="宋体" w:cs="宋体"/>
          <w:szCs w:val="21"/>
        </w:rPr>
        <w:t xml:space="preserve">投标人</w:t>
      </w:r>
      <w:r>
        <w:rPr>
          <w:rFonts w:hint="eastAsia" w:ascii="宋体" w:hAnsi="宋体" w:cs="宋体"/>
          <w:szCs w:val="21"/>
        </w:rPr>
        <w:t xml:space="preserve">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w:t>
      </w:r>
      <w:r>
        <w:rPr>
          <w:rFonts w:hint="eastAsia" w:ascii="宋体" w:hAnsi="宋体" w:cs="宋体"/>
          <w:szCs w:val="21"/>
        </w:rPr>
        <w:t xml:space="preserve">投标人</w:t>
      </w:r>
      <w:r>
        <w:rPr>
          <w:rFonts w:hint="eastAsia" w:ascii="宋体" w:hAnsi="宋体" w:cs="宋体"/>
          <w:szCs w:val="21"/>
        </w:rPr>
        <w:t xml:space="preserve">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w:t>
      </w:r>
      <w:r>
        <w:rPr>
          <w:rFonts w:hint="eastAsia" w:ascii="宋体" w:hAnsi="宋体" w:cs="宋体"/>
        </w:rPr>
        <w:t xml:space="preserve">投标人</w:t>
      </w:r>
      <w:r>
        <w:rPr>
          <w:rFonts w:hint="eastAsia" w:ascii="宋体" w:hAnsi="宋体" w:cs="宋体"/>
        </w:rPr>
        <w:t xml:space="preserve">按照《操作手册》规定参加开标活动，并在“苏采云”系统规定的时间内对投标文件进行解密。“苏采云”系统公布各</w:t>
      </w:r>
      <w:r>
        <w:rPr>
          <w:rFonts w:hint="eastAsia" w:ascii="宋体" w:hAnsi="宋体" w:cs="宋体"/>
        </w:rPr>
        <w:t xml:space="preserve">投标人</w:t>
      </w:r>
      <w:r>
        <w:rPr>
          <w:rFonts w:hint="eastAsia" w:ascii="宋体" w:hAnsi="宋体" w:cs="宋体"/>
        </w:rPr>
        <w:t xml:space="preserve">名称和投标价格。</w:t>
      </w:r>
      <w:r/>
    </w:p>
    <w:p>
      <w:pPr>
        <w:ind w:firstLine="420"/>
        <w:spacing w:line="360" w:lineRule="auto"/>
        <w:rPr>
          <w:rFonts w:hint="eastAsia" w:ascii="宋体" w:hAnsi="宋体" w:cs="宋体"/>
        </w:rPr>
      </w:pPr>
      <w:r>
        <w:rPr>
          <w:rFonts w:hint="eastAsia" w:ascii="宋体" w:hAnsi="宋体" w:cs="宋体"/>
        </w:rPr>
        <w:t xml:space="preserve">21.2 </w:t>
      </w:r>
      <w:r>
        <w:rPr>
          <w:rFonts w:hint="eastAsia" w:ascii="宋体" w:hAnsi="宋体" w:cs="宋体"/>
        </w:rPr>
        <w:t xml:space="preserve">投标人</w:t>
      </w:r>
      <w:r>
        <w:rPr>
          <w:rFonts w:hint="eastAsia" w:ascii="宋体" w:hAnsi="宋体" w:cs="宋体"/>
        </w:rPr>
        <w:t xml:space="preserve">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w:t>
      </w:r>
      <w:r>
        <w:rPr>
          <w:rFonts w:hint="eastAsia" w:ascii="宋体" w:hAnsi="宋体" w:cs="宋体"/>
        </w:rPr>
        <w:t xml:space="preserve">投标人</w:t>
      </w:r>
      <w:r>
        <w:rPr>
          <w:rFonts w:hint="eastAsia" w:ascii="宋体" w:hAnsi="宋体" w:cs="宋体"/>
        </w:rPr>
        <w:t xml:space="preserve">不足3家的，不得开标。</w:t>
      </w:r>
      <w:r/>
    </w:p>
    <w:p>
      <w:pPr>
        <w:ind w:firstLine="420"/>
        <w:spacing w:line="360" w:lineRule="auto"/>
        <w:rPr>
          <w:rFonts w:hint="eastAsia" w:ascii="宋体" w:hAnsi="宋体" w:cs="宋体"/>
        </w:rPr>
      </w:pPr>
      <w:r>
        <w:rPr>
          <w:rFonts w:hint="eastAsia" w:ascii="宋体" w:hAnsi="宋体" w:cs="宋体"/>
        </w:rPr>
        <w:t xml:space="preserve">21.4 </w:t>
      </w:r>
      <w:r>
        <w:rPr>
          <w:rFonts w:hint="eastAsia" w:ascii="宋体" w:hAnsi="宋体" w:cs="宋体"/>
        </w:rPr>
        <w:t xml:space="preserve">投标人</w:t>
      </w:r>
      <w:r>
        <w:rPr>
          <w:rFonts w:hint="eastAsia" w:ascii="宋体" w:hAnsi="宋体" w:cs="宋体"/>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w:t>
      </w:r>
      <w:r>
        <w:rPr>
          <w:rFonts w:hint="eastAsia" w:ascii="宋体" w:hAnsi="宋体" w:cs="宋体"/>
        </w:rPr>
        <w:t xml:space="preserve">投标人</w:t>
      </w:r>
      <w:r>
        <w:rPr>
          <w:rFonts w:hint="eastAsia" w:ascii="宋体" w:hAnsi="宋体" w:cs="宋体"/>
        </w:rPr>
        <w:t xml:space="preserve">不足3家或者通过资格审查或符合性审查的</w:t>
      </w:r>
      <w:r>
        <w:rPr>
          <w:rFonts w:hint="eastAsia" w:ascii="宋体" w:hAnsi="宋体" w:cs="宋体"/>
        </w:rPr>
        <w:t xml:space="preserve">投标人</w:t>
      </w:r>
      <w:r>
        <w:rPr>
          <w:rFonts w:hint="eastAsia" w:ascii="宋体" w:hAnsi="宋体" w:cs="宋体"/>
        </w:rPr>
        <w:t xml:space="preserve">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w:t>
      </w:r>
      <w:r>
        <w:rPr>
          <w:rFonts w:hint="eastAsia" w:ascii="宋体" w:hAnsi="宋体" w:cs="宋体"/>
          <w:bCs/>
          <w:szCs w:val="21"/>
        </w:rPr>
        <w:t xml:space="preserve">投标人</w:t>
      </w:r>
      <w:r>
        <w:rPr>
          <w:rFonts w:hint="eastAsia" w:ascii="宋体" w:hAnsi="宋体" w:cs="宋体"/>
          <w:bCs/>
          <w:szCs w:val="21"/>
        </w:rPr>
        <w:t xml:space="preserve">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w:t>
      </w:r>
      <w:r>
        <w:rPr>
          <w:rFonts w:hint="eastAsia" w:ascii="宋体" w:hAnsi="宋体" w:cs="宋体"/>
          <w:szCs w:val="21"/>
        </w:rPr>
        <w:t xml:space="preserve">投标人</w:t>
      </w:r>
      <w:r>
        <w:rPr>
          <w:rFonts w:hint="eastAsia" w:ascii="宋体" w:hAnsi="宋体" w:cs="宋体"/>
          <w:szCs w:val="21"/>
        </w:rPr>
        <w:t xml:space="preserve">的资格进行审查。合格</w:t>
      </w:r>
      <w:r>
        <w:rPr>
          <w:rFonts w:hint="eastAsia" w:ascii="宋体" w:hAnsi="宋体" w:cs="宋体"/>
          <w:szCs w:val="21"/>
        </w:rPr>
        <w:t xml:space="preserve">投标人</w:t>
      </w:r>
      <w:r>
        <w:rPr>
          <w:rFonts w:hint="eastAsia" w:ascii="宋体" w:hAnsi="宋体" w:cs="宋体"/>
          <w:szCs w:val="21"/>
        </w:rPr>
        <w:t xml:space="preserve">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w:t>
      </w:r>
      <w:r>
        <w:rPr>
          <w:rFonts w:hint="eastAsia" w:ascii="宋体" w:hAnsi="宋体" w:cs="宋体"/>
          <w:szCs w:val="21"/>
        </w:rPr>
        <w:t xml:space="preserve">投标人</w:t>
      </w:r>
      <w:r>
        <w:rPr>
          <w:rFonts w:hint="eastAsia" w:ascii="宋体" w:hAnsi="宋体" w:cs="宋体"/>
          <w:szCs w:val="21"/>
        </w:rPr>
        <w:t xml:space="preserve">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（1）同一</w:t>
      </w:r>
      <w:r>
        <w:rPr>
          <w:rFonts w:hint="eastAsia" w:ascii="宋体" w:hAnsi="宋体" w:cs="宋体"/>
          <w:b/>
          <w:szCs w:val="21"/>
        </w:rPr>
        <w:t xml:space="preserve">投标人</w:t>
      </w:r>
      <w:r>
        <w:rPr>
          <w:rFonts w:hint="eastAsia" w:ascii="宋体" w:hAnsi="宋体" w:cs="宋体"/>
          <w:b/>
          <w:szCs w:val="21"/>
        </w:rPr>
        <w:t xml:space="preserve">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（2）投标文件未按照招标文件要求加盖电子公章的或者签字；</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w:t>
      </w:r>
      <w:r>
        <w:rPr>
          <w:rFonts w:hint="eastAsia" w:ascii="宋体" w:hAnsi="宋体" w:cs="宋体"/>
          <w:b/>
          <w:bCs/>
          <w:szCs w:val="21"/>
        </w:rPr>
        <w:t xml:space="preserve">投标人</w:t>
      </w:r>
      <w:r>
        <w:rPr>
          <w:rFonts w:hint="eastAsia" w:ascii="宋体" w:hAnsi="宋体" w:cs="宋体"/>
          <w:b/>
          <w:bCs/>
          <w:szCs w:val="21"/>
        </w:rPr>
        <w:t xml:space="preserve">，代理机构将通过“苏采云”系统告知其具体原因，评标结束后不再接受有关询问。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w:t>
      </w:r>
      <w:r>
        <w:rPr>
          <w:rFonts w:hint="eastAsia" w:ascii="宋体" w:hAnsi="宋体" w:cs="宋体"/>
          <w:b/>
          <w:bCs/>
          <w:szCs w:val="21"/>
        </w:rPr>
        <w:t xml:space="preserve">投标人</w:t>
      </w:r>
      <w:r>
        <w:rPr>
          <w:rFonts w:hint="eastAsia" w:ascii="宋体" w:hAnsi="宋体" w:cs="宋体"/>
          <w:b/>
          <w:bCs/>
          <w:szCs w:val="21"/>
        </w:rPr>
        <w:t xml:space="preserve">或者对招标文件作实质性响应的</w:t>
      </w:r>
      <w:r>
        <w:rPr>
          <w:rFonts w:hint="eastAsia" w:ascii="宋体" w:hAnsi="宋体" w:cs="宋体"/>
          <w:b/>
          <w:bCs/>
          <w:szCs w:val="21"/>
        </w:rPr>
        <w:t xml:space="preserve">投标人</w:t>
      </w:r>
      <w:r>
        <w:rPr>
          <w:rFonts w:hint="eastAsia" w:ascii="宋体" w:hAnsi="宋体" w:cs="宋体"/>
          <w:b/>
          <w:bCs/>
          <w:szCs w:val="21"/>
        </w:rPr>
        <w:t xml:space="preserve">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投标人</w:t>
      </w:r>
      <w:r>
        <w:rPr>
          <w:rFonts w:hint="eastAsia" w:ascii="宋体" w:hAnsi="宋体" w:cs="宋体"/>
          <w:b/>
          <w:bCs/>
          <w:szCs w:val="21"/>
        </w:rPr>
        <w:t xml:space="preserve">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投标人</w:t>
      </w:r>
      <w:r>
        <w:rPr>
          <w:rFonts w:hint="eastAsia" w:ascii="宋体" w:hAnsi="宋体" w:cs="宋体"/>
          <w:b/>
          <w:bCs/>
          <w:szCs w:val="21"/>
        </w:rPr>
        <w:t xml:space="preserve">以明显低于其他通过符合性审查</w:t>
      </w:r>
      <w:r>
        <w:rPr>
          <w:rFonts w:hint="eastAsia" w:ascii="宋体" w:hAnsi="宋体" w:cs="宋体"/>
          <w:b/>
          <w:bCs/>
          <w:szCs w:val="21"/>
        </w:rPr>
        <w:t xml:space="preserve">投标人</w:t>
      </w:r>
      <w:r>
        <w:rPr>
          <w:rFonts w:hint="eastAsia" w:ascii="宋体" w:hAnsi="宋体" w:cs="宋体"/>
          <w:b/>
          <w:bCs/>
          <w:szCs w:val="21"/>
        </w:rPr>
        <w:t xml:space="preserve">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w:t>
      </w:r>
      <w:r>
        <w:rPr>
          <w:rFonts w:hint="eastAsia" w:ascii="宋体" w:hAnsi="宋体" w:cs="宋体"/>
          <w:szCs w:val="21"/>
        </w:rPr>
        <w:t xml:space="preserve">投标人</w:t>
      </w:r>
      <w:r>
        <w:rPr>
          <w:rFonts w:hint="eastAsia" w:ascii="宋体" w:hAnsi="宋体" w:cs="宋体"/>
          <w:szCs w:val="21"/>
        </w:rPr>
        <w:t xml:space="preserve">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w:t>
      </w:r>
      <w:r>
        <w:rPr>
          <w:rFonts w:hint="eastAsia" w:ascii="宋体" w:hAnsi="宋体" w:cs="宋体"/>
          <w:szCs w:val="21"/>
        </w:rPr>
        <w:t xml:space="preserve">投标人</w:t>
      </w:r>
      <w:r>
        <w:rPr>
          <w:rFonts w:hint="eastAsia" w:ascii="宋体" w:hAnsi="宋体" w:cs="宋体"/>
          <w:szCs w:val="21"/>
        </w:rPr>
        <w:t xml:space="preserve">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w:t>
      </w:r>
      <w:r>
        <w:rPr>
          <w:rFonts w:hint="eastAsia" w:ascii="宋体" w:hAnsi="宋体" w:cs="宋体"/>
          <w:szCs w:val="21"/>
        </w:rPr>
        <w:t xml:space="preserve">投标人</w:t>
      </w:r>
      <w:r>
        <w:rPr>
          <w:rFonts w:hint="eastAsia" w:ascii="宋体" w:hAnsi="宋体" w:cs="宋体"/>
          <w:szCs w:val="21"/>
        </w:rPr>
        <w:t xml:space="preserve">发出《澄清要求函》，接到《澄清要求函》的</w:t>
      </w:r>
      <w:r>
        <w:rPr>
          <w:rFonts w:hint="eastAsia" w:ascii="宋体" w:hAnsi="宋体" w:cs="宋体"/>
          <w:szCs w:val="21"/>
        </w:rPr>
        <w:t xml:space="preserve">投标人</w:t>
      </w:r>
      <w:r>
        <w:rPr>
          <w:rFonts w:hint="eastAsia" w:ascii="宋体" w:hAnsi="宋体" w:cs="宋体"/>
          <w:szCs w:val="21"/>
        </w:rPr>
        <w:t xml:space="preserve">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w:t>
      </w:r>
      <w:r>
        <w:rPr>
          <w:rFonts w:hint="eastAsia" w:ascii="宋体" w:hAnsi="宋体" w:cs="宋体"/>
          <w:szCs w:val="21"/>
        </w:rPr>
        <w:t xml:space="preserve">投标人</w:t>
      </w:r>
      <w:r>
        <w:rPr>
          <w:rFonts w:hint="eastAsia" w:ascii="宋体" w:hAnsi="宋体" w:cs="宋体"/>
          <w:szCs w:val="21"/>
        </w:rPr>
        <w:t xml:space="preserve">如未按规定作出澄清、说明和补正，其风险由</w:t>
      </w:r>
      <w:r>
        <w:rPr>
          <w:rFonts w:hint="eastAsia" w:ascii="宋体" w:hAnsi="宋体" w:cs="宋体"/>
          <w:szCs w:val="21"/>
        </w:rPr>
        <w:t xml:space="preserve">投标人</w:t>
      </w:r>
      <w:r>
        <w:rPr>
          <w:rFonts w:hint="eastAsia" w:ascii="宋体" w:hAnsi="宋体" w:cs="宋体"/>
          <w:szCs w:val="21"/>
        </w:rPr>
        <w:t xml:space="preserve">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cs="宋体"/>
          <w:szCs w:val="21"/>
        </w:rPr>
        <w:t xml:space="preserve">投标人</w:t>
      </w:r>
      <w:r>
        <w:rPr>
          <w:rFonts w:hint="eastAsia" w:ascii="宋体" w:hAnsi="宋体" w:cs="宋体"/>
          <w:szCs w:val="21"/>
        </w:rPr>
        <w:t xml:space="preserve">，调整后的价格对</w:t>
      </w:r>
      <w:r>
        <w:rPr>
          <w:rFonts w:hint="eastAsia" w:ascii="宋体" w:hAnsi="宋体" w:cs="宋体"/>
          <w:szCs w:val="21"/>
        </w:rPr>
        <w:t xml:space="preserve">投标人</w:t>
      </w:r>
      <w:r>
        <w:rPr>
          <w:rFonts w:hint="eastAsia" w:ascii="宋体" w:hAnsi="宋体" w:cs="宋体"/>
          <w:szCs w:val="21"/>
        </w:rPr>
        <w:t xml:space="preserve">具有约束力。如果</w:t>
      </w:r>
      <w:r>
        <w:rPr>
          <w:rFonts w:hint="eastAsia" w:ascii="宋体" w:hAnsi="宋体" w:cs="宋体"/>
          <w:szCs w:val="21"/>
        </w:rPr>
        <w:t xml:space="preserve">投标人</w:t>
      </w:r>
      <w:r>
        <w:rPr>
          <w:rFonts w:hint="eastAsia" w:ascii="宋体" w:hAnsi="宋体" w:cs="宋体"/>
          <w:szCs w:val="21"/>
        </w:rPr>
        <w:t xml:space="preserve">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w:t>
      </w:r>
      <w:r>
        <w:rPr>
          <w:rFonts w:hint="eastAsia" w:ascii="宋体" w:hAnsi="宋体" w:cs="宋体"/>
          <w:szCs w:val="21"/>
        </w:rPr>
        <w:t xml:space="preserve">投标人</w:t>
      </w:r>
      <w:r>
        <w:rPr>
          <w:rFonts w:hint="eastAsia" w:ascii="宋体" w:hAnsi="宋体" w:cs="宋体"/>
          <w:szCs w:val="21"/>
        </w:rPr>
        <w:t xml:space="preserve">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w:t>
      </w:r>
      <w:r>
        <w:rPr>
          <w:rFonts w:hint="eastAsia" w:ascii="宋体" w:hAnsi="宋体" w:cs="宋体"/>
        </w:rPr>
        <w:t xml:space="preserve">投标人</w:t>
      </w:r>
      <w:r>
        <w:rPr>
          <w:rFonts w:hint="eastAsia" w:ascii="宋体" w:hAnsi="宋体" w:cs="宋体"/>
        </w:rPr>
        <w:t xml:space="preserve">的报价明显低于其他通过符合性审查</w:t>
      </w:r>
      <w:r>
        <w:rPr>
          <w:rFonts w:hint="eastAsia" w:ascii="宋体" w:hAnsi="宋体" w:cs="宋体"/>
        </w:rPr>
        <w:t xml:space="preserve">投标人</w:t>
      </w:r>
      <w:r>
        <w:rPr>
          <w:rFonts w:hint="eastAsia" w:ascii="宋体" w:hAnsi="宋体" w:cs="宋体"/>
        </w:rPr>
        <w:t xml:space="preserve">的报价，有可能影响产品质量或者不能诚信履约的，将要求其在评标现场合理的时间内提供书面说明，必要时提交相关证明材料；</w:t>
      </w:r>
      <w:r>
        <w:rPr>
          <w:rFonts w:hint="eastAsia" w:ascii="宋体" w:hAnsi="宋体" w:cs="宋体"/>
          <w:b/>
        </w:rPr>
        <w:t xml:space="preserve">投标人</w:t>
      </w:r>
      <w:r>
        <w:rPr>
          <w:rFonts w:hint="eastAsia" w:ascii="宋体" w:hAnsi="宋体" w:cs="宋体"/>
          <w:b/>
        </w:rPr>
        <w:t xml:space="preserve">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w:t>
      </w:r>
      <w:r>
        <w:rPr>
          <w:rFonts w:hint="eastAsia" w:ascii="宋体" w:hAnsi="宋体" w:cs="宋体"/>
          <w:szCs w:val="21"/>
        </w:rPr>
        <w:t xml:space="preserve">投标人</w:t>
      </w:r>
      <w:r>
        <w:rPr>
          <w:rFonts w:hint="eastAsia" w:ascii="宋体" w:hAnsi="宋体" w:cs="宋体"/>
          <w:szCs w:val="21"/>
        </w:rPr>
        <w:t xml:space="preserve">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w:t>
      </w:r>
      <w:r>
        <w:rPr>
          <w:rFonts w:hint="eastAsia" w:ascii="宋体" w:hAnsi="宋体" w:cs="宋体"/>
          <w:szCs w:val="21"/>
        </w:rPr>
        <w:t xml:space="preserve">投标人</w:t>
      </w:r>
      <w:r>
        <w:rPr>
          <w:rFonts w:hint="eastAsia" w:ascii="宋体" w:hAnsi="宋体" w:cs="宋体"/>
          <w:szCs w:val="21"/>
        </w:rPr>
        <w:t xml:space="preserve">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w:t>
      </w:r>
      <w:r>
        <w:rPr>
          <w:rFonts w:hint="eastAsia" w:ascii="宋体" w:hAnsi="宋体" w:cs="宋体"/>
          <w:szCs w:val="21"/>
        </w:rPr>
        <w:t xml:space="preserve">投标人</w:t>
      </w:r>
      <w:r>
        <w:rPr>
          <w:rFonts w:hint="eastAsia" w:ascii="宋体" w:hAnsi="宋体" w:cs="宋体"/>
          <w:szCs w:val="21"/>
        </w:rPr>
        <w:t xml:space="preserve">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w:t>
      </w:r>
      <w:r>
        <w:rPr>
          <w:rFonts w:hint="eastAsia" w:ascii="宋体" w:hAnsi="宋体" w:cs="宋体"/>
          <w:szCs w:val="21"/>
        </w:rPr>
        <w:t xml:space="preserve">投标人</w:t>
      </w:r>
      <w:r>
        <w:rPr>
          <w:rFonts w:hint="eastAsia" w:ascii="宋体" w:hAnsi="宋体" w:cs="宋体"/>
          <w:szCs w:val="21"/>
        </w:rPr>
        <w:t xml:space="preserve">的投标文件进行评价，并汇总每个</w:t>
      </w:r>
      <w:r>
        <w:rPr>
          <w:rFonts w:hint="eastAsia" w:ascii="宋体" w:hAnsi="宋体" w:cs="宋体"/>
          <w:szCs w:val="21"/>
        </w:rPr>
        <w:t xml:space="preserve">投标人</w:t>
      </w:r>
      <w:r>
        <w:rPr>
          <w:rFonts w:hint="eastAsia" w:ascii="宋体" w:hAnsi="宋体" w:cs="宋体"/>
          <w:szCs w:val="21"/>
        </w:rPr>
        <w:t xml:space="preserve">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22.4.1评标过程中出现下列情形之一的，评标委员会应当启动异常低价投标审查程序： </w:t>
      </w:r>
      <w:r/>
    </w:p>
    <w:p>
      <w:pPr>
        <w:ind w:firstLine="420"/>
        <w:spacing w:line="360" w:lineRule="auto"/>
        <w:widowControl/>
        <w:rPr>
          <w:rFonts w:hint="eastAsia" w:ascii="宋体" w:hAnsi="宋体" w:cs="宋体"/>
          <w:szCs w:val="21"/>
        </w:rPr>
      </w:pPr>
      <w:r>
        <w:rPr>
          <w:rFonts w:hint="eastAsia" w:ascii="宋体" w:hAnsi="宋体" w:cs="宋体"/>
          <w:szCs w:val="21"/>
        </w:rPr>
        <w:t xml:space="preserve">（1）投标报价低于全部通过符合性审查</w:t>
      </w:r>
      <w:r>
        <w:rPr>
          <w:rFonts w:hint="eastAsia" w:ascii="宋体" w:hAnsi="宋体" w:cs="宋体"/>
          <w:szCs w:val="21"/>
        </w:rPr>
        <w:t xml:space="preserve">投标人</w:t>
      </w:r>
      <w:r>
        <w:rPr>
          <w:rFonts w:hint="eastAsia" w:ascii="宋体" w:hAnsi="宋体" w:cs="宋体"/>
          <w:szCs w:val="21"/>
        </w:rPr>
        <w:t xml:space="preserve">投标报价平均值50%的，即投标报价&lt;全部通过符合性审查</w:t>
      </w:r>
      <w:r>
        <w:rPr>
          <w:rFonts w:hint="eastAsia" w:ascii="宋体" w:hAnsi="宋体" w:cs="宋体"/>
          <w:szCs w:val="21"/>
        </w:rPr>
        <w:t xml:space="preserve">投标人</w:t>
      </w:r>
      <w:r>
        <w:rPr>
          <w:rFonts w:hint="eastAsia" w:ascii="宋体" w:hAnsi="宋体" w:cs="宋体"/>
          <w:szCs w:val="21"/>
        </w:rPr>
        <w:t xml:space="preserve">投标报价平均值×50%；</w:t>
      </w:r>
      <w:r/>
    </w:p>
    <w:p>
      <w:pPr>
        <w:ind w:firstLine="420"/>
        <w:spacing w:line="360" w:lineRule="auto"/>
        <w:widowControl/>
        <w:rPr>
          <w:rFonts w:hint="eastAsia" w:ascii="宋体" w:hAnsi="宋体" w:cs="宋体"/>
          <w:szCs w:val="21"/>
        </w:rPr>
      </w:pPr>
      <w:r>
        <w:rPr>
          <w:rFonts w:hint="eastAsia" w:ascii="宋体" w:hAnsi="宋体" w:cs="宋体"/>
          <w:szCs w:val="21"/>
        </w:rPr>
        <w:t xml:space="preserve">（2）投标报价低于通过符合性审查的次低报价</w:t>
      </w:r>
      <w:r>
        <w:rPr>
          <w:rFonts w:hint="eastAsia" w:ascii="宋体" w:hAnsi="宋体" w:cs="宋体"/>
          <w:szCs w:val="21"/>
        </w:rPr>
        <w:t xml:space="preserve">投标人</w:t>
      </w:r>
      <w:r>
        <w:rPr>
          <w:rFonts w:hint="eastAsia" w:ascii="宋体" w:hAnsi="宋体" w:cs="宋体"/>
          <w:szCs w:val="21"/>
        </w:rPr>
        <w:t xml:space="preserve">投标报价50%的，即投标报价&lt;通过符合性审查的次低报价</w:t>
      </w:r>
      <w:r>
        <w:rPr>
          <w:rFonts w:hint="eastAsia" w:ascii="宋体" w:hAnsi="宋体" w:cs="宋体"/>
          <w:szCs w:val="21"/>
        </w:rPr>
        <w:t xml:space="preserve">投标人</w:t>
      </w:r>
      <w:r>
        <w:rPr>
          <w:rFonts w:hint="eastAsia" w:ascii="宋体" w:hAnsi="宋体" w:cs="宋体"/>
          <w:szCs w:val="21"/>
        </w:rPr>
        <w:t xml:space="preserve">投标报价×50%；</w:t>
      </w:r>
      <w:r/>
    </w:p>
    <w:p>
      <w:pPr>
        <w:ind w:firstLine="420"/>
        <w:spacing w:line="360" w:lineRule="auto"/>
        <w:widowControl/>
        <w:rPr>
          <w:rFonts w:hint="eastAsia" w:ascii="宋体" w:hAnsi="宋体" w:cs="宋体"/>
          <w:szCs w:val="21"/>
        </w:rPr>
      </w:pPr>
      <w:r>
        <w:rPr>
          <w:rFonts w:hint="eastAsia" w:ascii="宋体" w:hAnsi="宋体" w:cs="宋体"/>
          <w:szCs w:val="21"/>
        </w:rPr>
        <w:t xml:space="preserve">（3）投标报价低于本项目最高限价45%的，即投标报价&lt;本项目最高限价×45%；</w:t>
      </w:r>
      <w:r/>
    </w:p>
    <w:p>
      <w:pPr>
        <w:ind w:firstLine="420"/>
        <w:spacing w:line="360" w:lineRule="auto"/>
        <w:widowControl/>
        <w:rPr>
          <w:rFonts w:hint="eastAsia" w:ascii="宋体" w:hAnsi="宋体" w:cs="宋体"/>
          <w:szCs w:val="21"/>
        </w:rPr>
      </w:pPr>
      <w:r>
        <w:rPr>
          <w:rFonts w:hint="eastAsia" w:ascii="宋体" w:hAnsi="宋体" w:cs="宋体"/>
          <w:szCs w:val="21"/>
        </w:rPr>
        <w:t xml:space="preserve">（4）评标委员会基于专业判断，认为</w:t>
      </w:r>
      <w:r>
        <w:rPr>
          <w:rFonts w:hint="eastAsia" w:ascii="宋体" w:hAnsi="宋体" w:cs="宋体"/>
          <w:szCs w:val="21"/>
        </w:rPr>
        <w:t xml:space="preserve">投标人</w:t>
      </w:r>
      <w:r>
        <w:rPr>
          <w:rFonts w:hint="eastAsia" w:ascii="宋体" w:hAnsi="宋体" w:cs="宋体"/>
          <w:szCs w:val="21"/>
        </w:rPr>
        <w:t xml:space="preserve">报价过低，有可能影响产品质量或者不能诚信履约的其他情形。</w:t>
      </w:r>
      <w:r/>
    </w:p>
    <w:p>
      <w:pPr>
        <w:ind w:firstLine="420"/>
        <w:spacing w:line="360" w:lineRule="auto"/>
        <w:widowControl/>
        <w:rPr>
          <w:rFonts w:hint="eastAsia" w:ascii="宋体" w:hAnsi="宋体" w:cs="宋体"/>
          <w:szCs w:val="21"/>
        </w:rPr>
      </w:pPr>
      <w:r>
        <w:rPr>
          <w:rFonts w:hint="eastAsia" w:ascii="宋体" w:hAnsi="宋体" w:cs="宋体"/>
          <w:szCs w:val="21"/>
        </w:rPr>
        <w:t xml:space="preserve">22.4.2 评标委员会启动异常低价投标审查后，属于22.4.1条第（1）项至第（4）项情形的，应当要求相关</w:t>
      </w:r>
      <w:r>
        <w:rPr>
          <w:rFonts w:hint="eastAsia" w:ascii="宋体" w:hAnsi="宋体" w:cs="宋体"/>
          <w:szCs w:val="21"/>
        </w:rPr>
        <w:t xml:space="preserve">投标人</w:t>
      </w:r>
      <w:r>
        <w:rPr>
          <w:rFonts w:hint="eastAsia" w:ascii="宋体" w:hAnsi="宋体" w:cs="宋体"/>
          <w:szCs w:val="21"/>
        </w:rPr>
        <w:t xml:space="preserve">在评标现场合理的时间内对投标价格作出解释，提供项目具体成本测算等与报价合理性相关</w:t>
      </w:r>
      <w:r>
        <w:rPr>
          <w:rFonts w:hint="eastAsia" w:ascii="宋体" w:hAnsi="宋体" w:cs="宋体"/>
          <w:szCs w:val="21"/>
        </w:rPr>
        <w:t xml:space="preserve">的书面说明及必要的证明材料，包括但不限于原材料成本、人工成本、制造费用等，给予相关</w:t>
      </w:r>
      <w:r>
        <w:rPr>
          <w:rFonts w:hint="eastAsia" w:ascii="宋体" w:hAnsi="宋体" w:cs="宋体"/>
          <w:szCs w:val="21"/>
        </w:rPr>
        <w:t xml:space="preserve">投标人</w:t>
      </w:r>
      <w:r>
        <w:rPr>
          <w:rFonts w:hint="eastAsia" w:ascii="宋体" w:hAnsi="宋体" w:cs="宋体"/>
          <w:szCs w:val="21"/>
        </w:rPr>
        <w:t xml:space="preserve">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投标人</w:t>
      </w:r>
      <w:r>
        <w:rPr>
          <w:rFonts w:hint="eastAsia" w:ascii="宋体" w:hAnsi="宋体" w:cs="宋体"/>
          <w:b/>
          <w:bCs/>
          <w:szCs w:val="21"/>
        </w:rPr>
        <w:t xml:space="preserve">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22.4.4异常低价投标审查的启动原因、审查意见和审查结果应当在评标报告中记录，并随</w:t>
      </w:r>
      <w:r>
        <w:rPr>
          <w:rFonts w:hint="eastAsia" w:ascii="宋体" w:hAnsi="宋体" w:cs="宋体"/>
          <w:szCs w:val="21"/>
        </w:rPr>
        <w:t xml:space="preserve">投标人</w:t>
      </w:r>
      <w:r>
        <w:rPr>
          <w:rFonts w:hint="eastAsia" w:ascii="宋体" w:hAnsi="宋体" w:cs="宋体"/>
          <w:szCs w:val="21"/>
        </w:rPr>
        <w:t xml:space="preserve">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cs="宋体"/>
          <w:szCs w:val="21"/>
        </w:rPr>
        <w:t xml:space="preserve">投标人</w:t>
      </w:r>
      <w:r>
        <w:rPr>
          <w:rFonts w:hint="eastAsia" w:ascii="宋体" w:hAnsi="宋体" w:cs="宋体"/>
          <w:szCs w:val="21"/>
        </w:rPr>
        <w:t xml:space="preserve">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Cs w:val="21"/>
        </w:rPr>
        <w:t xml:space="preserve">投标人</w:t>
      </w:r>
      <w:r>
        <w:rPr>
          <w:rFonts w:hint="eastAsia" w:ascii="宋体" w:hAnsi="宋体" w:cs="宋体"/>
          <w:szCs w:val="21"/>
        </w:rPr>
        <w:t xml:space="preserve">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w:t>
      </w:r>
      <w:r>
        <w:rPr>
          <w:rFonts w:hint="eastAsia" w:ascii="宋体" w:hAnsi="宋体" w:cs="宋体"/>
          <w:szCs w:val="21"/>
        </w:rPr>
        <w:t xml:space="preserve">投标人</w:t>
      </w:r>
      <w:r>
        <w:rPr>
          <w:rFonts w:hint="eastAsia" w:ascii="宋体" w:hAnsi="宋体" w:cs="宋体"/>
          <w:szCs w:val="21"/>
        </w:rPr>
        <w:t xml:space="preserve">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w:t>
      </w:r>
      <w:r>
        <w:rPr>
          <w:rFonts w:hint="eastAsia" w:ascii="宋体" w:hAnsi="宋体" w:cs="宋体"/>
          <w:b/>
          <w:bCs/>
          <w:szCs w:val="21"/>
        </w:rPr>
        <w:t xml:space="preserve">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w:t>
      </w:r>
      <w:r>
        <w:rPr>
          <w:rFonts w:hint="eastAsia" w:ascii="宋体" w:hAnsi="宋体" w:cs="宋体"/>
          <w:szCs w:val="21"/>
        </w:rPr>
        <w:t xml:space="preserve">投标人</w:t>
      </w:r>
      <w:r>
        <w:rPr>
          <w:rFonts w:hint="eastAsia" w:ascii="宋体" w:hAnsi="宋体" w:cs="宋体"/>
          <w:szCs w:val="21"/>
        </w:rPr>
        <w:t xml:space="preserve">不得虚假质疑和恶意质疑，并对质疑内容的真实性承担责任。</w:t>
      </w:r>
      <w:r>
        <w:rPr>
          <w:rFonts w:hint="eastAsia" w:ascii="宋体" w:hAnsi="宋体" w:cs="宋体"/>
          <w:szCs w:val="21"/>
        </w:rPr>
        <w:t xml:space="preserve">投标人</w:t>
      </w:r>
      <w:r>
        <w:rPr>
          <w:rFonts w:hint="eastAsia" w:ascii="宋体" w:hAnsi="宋体" w:cs="宋体"/>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w:t>
      </w:r>
      <w:r>
        <w:rPr>
          <w:rFonts w:hint="eastAsia" w:ascii="宋体" w:hAnsi="宋体" w:cs="宋体"/>
          <w:szCs w:val="21"/>
        </w:rPr>
        <w:t xml:space="preserve">投标人</w:t>
      </w:r>
      <w:r>
        <w:rPr>
          <w:rFonts w:hint="eastAsia" w:ascii="宋体" w:hAnsi="宋体" w:cs="宋体"/>
          <w:szCs w:val="21"/>
        </w:rPr>
        <w:t xml:space="preserve">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w:t>
      </w:r>
      <w:r>
        <w:rPr>
          <w:rFonts w:hint="eastAsia" w:ascii="宋体" w:hAnsi="宋体" w:cs="宋体"/>
          <w:szCs w:val="21"/>
        </w:rPr>
        <w:t xml:space="preserve">投标人</w:t>
      </w:r>
      <w:r>
        <w:rPr>
          <w:rFonts w:hint="eastAsia" w:ascii="宋体" w:hAnsi="宋体" w:cs="宋体"/>
          <w:szCs w:val="21"/>
        </w:rPr>
        <w:t xml:space="preserve">和其他有关</w:t>
      </w:r>
      <w:r>
        <w:rPr>
          <w:rFonts w:hint="eastAsia" w:ascii="宋体" w:hAnsi="宋体" w:cs="宋体"/>
          <w:szCs w:val="21"/>
        </w:rPr>
        <w:t xml:space="preserve">投标人</w:t>
      </w:r>
      <w:r>
        <w:rPr>
          <w:rFonts w:hint="eastAsia" w:ascii="宋体" w:hAnsi="宋体" w:cs="宋体"/>
          <w:szCs w:val="21"/>
        </w:rPr>
        <w:t xml:space="preserve">，答复的内容不涉及商业秘密。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0"/>
        <w:spacing w:line="360" w:lineRule="auto"/>
        <w:shd w:val="clear" w:color="auto" w:fill="ffffff"/>
        <w:widowControl/>
        <w:rPr>
          <w:rFonts w:ascii="Arial" w:hAnsi="Arial" w:cs="Arial"/>
          <w:b/>
          <w:bCs/>
          <w:szCs w:val="21"/>
        </w:rPr>
      </w:pPr>
      <w:r/>
      <w:bookmarkStart w:id="20" w:name="_Hlk210137700"/>
      <w:r>
        <w:rPr>
          <w:rFonts w:hint="eastAsia" w:ascii="Arial" w:hAnsi="Arial" w:cs="Arial"/>
          <w:b/>
          <w:bCs/>
          <w:szCs w:val="21"/>
        </w:rPr>
        <w:t xml:space="preserve">八、</w:t>
      </w:r>
      <w:r>
        <w:rPr>
          <w:rFonts w:ascii="Arial" w:hAnsi="Arial" w:cs="Arial"/>
          <w:b/>
          <w:bCs/>
          <w:szCs w:val="21"/>
        </w:rPr>
        <w:t xml:space="preserve">履约保证金</w:t>
      </w:r>
      <w:r>
        <w:rPr>
          <w:rFonts w:ascii="Arial" w:hAnsi="Arial" w:cs="Arial"/>
          <w:b/>
          <w:bCs/>
          <w:szCs w:val="21"/>
        </w:rPr>
        <w:t xml:space="preserve"> </w:t>
      </w:r>
      <w:r/>
    </w:p>
    <w:p>
      <w:pPr>
        <w:ind w:firstLine="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.1 </w:t>
      </w:r>
      <w:r>
        <w:rPr>
          <w:rFonts w:ascii="Arial" w:hAnsi="Arial" w:cs="Arial"/>
        </w:rPr>
        <w:t xml:space="preserve">中标人在收到中标通知书后，在与采购人签订合同前需向采购人支付履约保证金，履约保证金</w:t>
      </w:r>
      <w:r>
        <w:rPr>
          <w:rFonts w:ascii="Arial" w:hAnsi="Arial" w:cs="Arial"/>
        </w:rPr>
        <w:t xml:space="preserve"> </w:t>
      </w:r>
      <w:r>
        <w:rPr>
          <w:rFonts w:ascii="Arial" w:hAnsi="Arial" w:cs="Arial"/>
        </w:rPr>
        <w:t xml:space="preserve">用以约束供应商在合同履行中的行为，弥补合同执行中由于自身行为可能给采购人带来的各种损失。如果中标人不同意按照规定去做，采购人有权取消本次采购中标决定，其履约保证金不予退还。</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.2 </w:t>
      </w:r>
      <w:r>
        <w:rPr>
          <w:rFonts w:ascii="Arial" w:hAnsi="Arial" w:cs="Arial"/>
        </w:rPr>
        <w:t xml:space="preserve">履约保证金的退还：合同履行后，</w:t>
      </w:r>
      <w:bookmarkStart w:id="21" w:name="OLE_LINK25"/>
      <w:r>
        <w:rPr>
          <w:rFonts w:ascii="Arial" w:hAnsi="Arial" w:cs="Arial"/>
        </w:rPr>
        <w:t xml:space="preserve">中标人</w:t>
      </w:r>
      <w:bookmarkEnd w:id="21"/>
      <w:r>
        <w:rPr>
          <w:rFonts w:ascii="Arial" w:hAnsi="Arial" w:cs="Arial"/>
        </w:rPr>
        <w:t xml:space="preserve">凭采购人签署的同意退还履约保证金的证明、履约保证金收条原件，前往采购人单位办理退还手续。</w:t>
      </w:r>
      <w:r>
        <w:rPr>
          <w:rFonts w:ascii="Arial" w:hAnsi="Arial" w:cs="Arial"/>
        </w:rPr>
        <w:t xml:space="preserve"> </w:t>
      </w:r>
      <w:r/>
    </w:p>
    <w:p>
      <w:pPr>
        <w:ind w:left="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.3 </w:t>
      </w:r>
      <w:r>
        <w:rPr>
          <w:rFonts w:ascii="Arial" w:hAnsi="Arial" w:cs="Arial"/>
        </w:rPr>
        <w:t xml:space="preserve">中标人在中标后签订本合同前缴纳合同金额的</w:t>
      </w:r>
      <w:r>
        <w:rPr>
          <w:rFonts w:ascii="Arial" w:hAnsi="Arial" w:cs="Arial"/>
        </w:rPr>
        <w:t xml:space="preserve">5%</w:t>
      </w:r>
      <w:r>
        <w:rPr>
          <w:rFonts w:ascii="Arial" w:hAnsi="Arial" w:cs="Arial"/>
        </w:rPr>
        <w:t xml:space="preserve">作为履约保证金。履约保证金的有效期为该项目履约后。如中标人未能履行合同规定的义务，</w:t>
      </w:r>
      <w:r>
        <w:rPr>
          <w:rFonts w:hint="eastAsia" w:ascii="Arial" w:hAnsi="Arial" w:cs="Arial"/>
        </w:rPr>
        <w:t xml:space="preserve">采购人</w:t>
      </w:r>
      <w:r>
        <w:rPr>
          <w:rFonts w:ascii="Arial" w:hAnsi="Arial" w:cs="Arial"/>
        </w:rPr>
        <w:t xml:space="preserve">有权从履约保证金中取得补偿。履约保证金扣除</w:t>
      </w:r>
      <w:r>
        <w:rPr>
          <w:rFonts w:hint="eastAsia" w:ascii="Arial" w:hAnsi="Arial" w:cs="Arial"/>
        </w:rPr>
        <w:t xml:space="preserve">采购人</w:t>
      </w:r>
      <w:r>
        <w:rPr>
          <w:rFonts w:ascii="Arial" w:hAnsi="Arial" w:cs="Arial"/>
        </w:rPr>
        <w:t xml:space="preserve">应得的补偿后的余额在有效期满后无息退还给中标人</w:t>
      </w:r>
      <w:r>
        <w:rPr>
          <w:rFonts w:ascii="Arial" w:hAnsi="Arial" w:cs="Arial"/>
        </w:rPr>
        <w:t xml:space="preserve">。</w:t>
      </w:r>
      <w:r>
        <w:rPr>
          <w:rFonts w:ascii="Arial" w:hAnsi="Arial" w:cs="Arial"/>
        </w:rPr>
        <w:t xml:space="preserve"> </w:t>
      </w:r>
      <w:r/>
    </w:p>
    <w:p>
      <w:pPr>
        <w:ind w:left="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.4 </w:t>
      </w:r>
      <w:r>
        <w:rPr>
          <w:rFonts w:ascii="Arial" w:hAnsi="Arial" w:cs="Arial"/>
        </w:rPr>
        <w:t xml:space="preserve">履约保证金以电汇、网银转账</w:t>
      </w:r>
      <w:r>
        <w:rPr>
          <w:rFonts w:hint="eastAsia" w:ascii="Arial" w:hAnsi="Arial" w:cs="Arial"/>
        </w:rPr>
        <w:t xml:space="preserve">等</w:t>
      </w:r>
      <w:r>
        <w:rPr>
          <w:rFonts w:ascii="Arial" w:hAnsi="Arial" w:cs="Arial"/>
        </w:rPr>
        <w:t xml:space="preserve">方式在签订合同前从投标人基本账户汇至采购人指定银行账户</w:t>
      </w:r>
      <w:r>
        <w:rPr>
          <w:rFonts w:ascii="Arial" w:hAnsi="Arial" w:cs="Arial"/>
        </w:rPr>
        <w:t xml:space="preserve"> </w:t>
      </w:r>
      <w:r>
        <w:rPr>
          <w:rFonts w:ascii="Arial" w:hAnsi="Arial" w:cs="Arial"/>
        </w:rPr>
        <w:t xml:space="preserve">（采购人不接受现金）。务请在汇款时详细注明所投项目和投标单位信息，如因未按要求填写注明信息</w:t>
      </w:r>
      <w:r>
        <w:rPr>
          <w:rFonts w:ascii="Arial" w:hAnsi="Arial" w:cs="Arial"/>
        </w:rPr>
        <w:t xml:space="preserve"> </w:t>
      </w:r>
      <w:r>
        <w:rPr>
          <w:rFonts w:ascii="Arial" w:hAnsi="Arial" w:cs="Arial"/>
        </w:rPr>
        <w:t xml:space="preserve">导致无法退款的责任由投标人自负。中标单位的履约保证金将在履约结束后无息退回。中标人可凭银行</w:t>
      </w:r>
      <w:r>
        <w:rPr>
          <w:rFonts w:ascii="Arial" w:hAnsi="Arial" w:cs="Arial"/>
        </w:rPr>
        <w:t xml:space="preserve"> </w:t>
      </w:r>
      <w:r>
        <w:rPr>
          <w:rFonts w:ascii="Arial" w:hAnsi="Arial" w:cs="Arial"/>
        </w:rPr>
        <w:t xml:space="preserve">交款凭证至我校财务处（南京市溧水区新河西路</w:t>
      </w:r>
      <w:r>
        <w:rPr>
          <w:rFonts w:ascii="Arial" w:hAnsi="Arial" w:cs="Arial"/>
        </w:rPr>
        <w:t xml:space="preserve">6</w:t>
      </w:r>
      <w:r>
        <w:rPr>
          <w:rFonts w:ascii="Arial" w:hAnsi="Arial" w:cs="Arial"/>
        </w:rPr>
        <w:t xml:space="preserve">号江苏第二师范学院石湫校区崇德楼</w:t>
      </w:r>
      <w:r>
        <w:rPr>
          <w:rFonts w:ascii="Arial" w:hAnsi="Arial" w:cs="Arial"/>
        </w:rPr>
        <w:t xml:space="preserve">124</w:t>
      </w:r>
      <w:r>
        <w:rPr>
          <w:rFonts w:ascii="Arial" w:hAnsi="Arial" w:cs="Arial"/>
        </w:rPr>
        <w:t xml:space="preserve">室）开具收据</w:t>
      </w:r>
      <w:r>
        <w:rPr>
          <w:rFonts w:ascii="Arial" w:hAnsi="Arial" w:cs="Arial"/>
        </w:rPr>
        <w:t xml:space="preserve"> </w:t>
      </w:r>
      <w:r>
        <w:rPr>
          <w:rFonts w:ascii="Arial" w:hAnsi="Arial" w:cs="Arial"/>
        </w:rPr>
        <w:t xml:space="preserve">。</w:t>
      </w:r>
      <w:r>
        <w:rPr>
          <w:rFonts w:ascii="Arial" w:hAnsi="Arial" w:cs="Arial"/>
        </w:rPr>
        <w:t xml:space="preserve"> </w:t>
      </w:r>
      <w:r/>
    </w:p>
    <w:p>
      <w:pPr>
        <w:ind w:left="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.5 </w:t>
      </w:r>
      <w:r>
        <w:rPr>
          <w:rFonts w:ascii="Arial" w:hAnsi="Arial" w:cs="Arial"/>
        </w:rPr>
        <w:t xml:space="preserve">采购人收款信息（履约保证金）：</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单位名称：江苏第二师范学院；</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开户行（人民币）：工商银行草场门支行；</w:t>
      </w:r>
      <w:r/>
    </w:p>
    <w:p>
      <w:pPr>
        <w:ind w:firstLine="420"/>
        <w:spacing w:line="360" w:lineRule="auto"/>
        <w:rPr>
          <w:rFonts w:ascii="Arial" w:hAnsi="Arial" w:cs="Arial"/>
        </w:rPr>
      </w:pPr>
      <w:r>
        <w:rPr>
          <w:rFonts w:ascii="Arial" w:hAnsi="Arial" w:cs="Arial"/>
        </w:rPr>
        <w:t xml:space="preserve">账号（人民币）：</w:t>
      </w:r>
      <w:r>
        <w:rPr>
          <w:rFonts w:ascii="Arial" w:hAnsi="Arial" w:cs="Arial"/>
        </w:rPr>
        <w:t xml:space="preserve">4301016309001011179</w:t>
      </w:r>
      <w:r>
        <w:rPr>
          <w:rFonts w:ascii="Arial" w:hAnsi="Arial" w:cs="Arial"/>
        </w:rPr>
        <w:t xml:space="preserve">。</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.6 </w:t>
      </w:r>
      <w:r>
        <w:rPr>
          <w:rFonts w:ascii="Arial" w:hAnsi="Arial" w:cs="Arial"/>
        </w:rPr>
        <w:t xml:space="preserve">下列任何情况发生时，履约保证金将不予退还：</w:t>
      </w:r>
      <w:r/>
    </w:p>
    <w:p>
      <w:pPr>
        <w:ind w:firstLine="420"/>
        <w:spacing w:line="360" w:lineRule="auto"/>
        <w:rPr>
          <w:rFonts w:ascii="Arial" w:hAnsi="Arial" w:cs="Arial"/>
        </w:rPr>
      </w:pPr>
      <w:r>
        <w:rPr>
          <w:rFonts w:ascii="Arial" w:hAnsi="Arial" w:cs="Arial"/>
        </w:rPr>
        <w:t xml:space="preserve"> </w:t>
      </w:r>
      <w:r>
        <w:rPr>
          <w:rFonts w:ascii="Arial" w:hAnsi="Arial" w:cs="Arial"/>
        </w:rPr>
        <w:t xml:space="preserve">（</w:t>
      </w:r>
      <w:r>
        <w:rPr>
          <w:rFonts w:ascii="Arial" w:hAnsi="Arial" w:cs="Arial"/>
        </w:rPr>
        <w:t xml:space="preserve">1</w:t>
      </w:r>
      <w:r>
        <w:rPr>
          <w:rFonts w:ascii="Arial" w:hAnsi="Arial" w:cs="Arial"/>
        </w:rPr>
        <w:t xml:space="preserve">）投标人在投标有效期内撤回其投标；</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）投标人提供的有关资料、资格证明文件被确认是不真实的；</w:t>
      </w:r>
      <w:r/>
    </w:p>
    <w:p>
      <w:pPr>
        <w:ind w:firstLine="420"/>
        <w:spacing w:line="360" w:lineRule="auto"/>
        <w:rPr>
          <w:rFonts w:ascii="Arial" w:hAnsi="Arial" w:cs="Arial"/>
        </w:rPr>
      </w:pPr>
      <w:r>
        <w:rPr>
          <w:rFonts w:ascii="Arial" w:hAnsi="Arial" w:cs="Arial"/>
        </w:rPr>
        <w:t xml:space="preserve"> </w:t>
      </w:r>
      <w:r>
        <w:rPr>
          <w:rFonts w:ascii="Arial" w:hAnsi="Arial" w:cs="Arial"/>
        </w:rPr>
        <w:t xml:space="preserve">（</w:t>
      </w:r>
      <w:r>
        <w:rPr>
          <w:rFonts w:ascii="Arial" w:hAnsi="Arial" w:cs="Arial"/>
        </w:rPr>
        <w:t xml:space="preserve">3</w:t>
      </w:r>
      <w:r>
        <w:rPr>
          <w:rFonts w:ascii="Arial" w:hAnsi="Arial" w:cs="Arial"/>
        </w:rPr>
        <w:t xml:space="preserve">）投标人之间被证实有串通（统一哄抬价格）、欺诈行为；</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4</w:t>
      </w:r>
      <w:r>
        <w:rPr>
          <w:rFonts w:ascii="Arial" w:hAnsi="Arial" w:cs="Arial"/>
        </w:rPr>
        <w:t xml:space="preserve">）投标人被证明有妨碍其他人公平竞争、损害采购代理机构或者其他投标人合法权益的；</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5</w:t>
      </w:r>
      <w:r>
        <w:rPr>
          <w:rFonts w:ascii="Arial" w:hAnsi="Arial" w:cs="Arial"/>
        </w:rPr>
        <w:t xml:space="preserve">）中标人不按合同履约。</w:t>
      </w:r>
      <w:bookmarkEnd w:id="20"/>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30、其他</w:t>
      </w:r>
      <w:r/>
    </w:p>
    <w:p>
      <w:pPr>
        <w:ind w:firstLine="420"/>
        <w:spacing w:line="360" w:lineRule="auto"/>
        <w:rPr>
          <w:rFonts w:hint="eastAsia" w:ascii="宋体" w:hAnsi="宋体" w:cs="宋体"/>
          <w:szCs w:val="20"/>
        </w:rPr>
      </w:pPr>
      <w:r>
        <w:rPr>
          <w:rFonts w:hint="eastAsia" w:ascii="宋体" w:hAnsi="宋体" w:cs="宋体"/>
          <w:szCs w:val="20"/>
        </w:rPr>
        <w:t xml:space="preserve">30.1本项目根据江苏省财政厅关于加强政府绿色采购有关事项的通知（苏财购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rPr>
          <w:rFonts w:hint="eastAsia" w:ascii="宋体" w:hAnsi="宋体" w:cs="宋体"/>
          <w:szCs w:val="20"/>
        </w:rPr>
      </w:pPr>
      <w:r>
        <w:rPr>
          <w:rFonts w:hint="eastAsia" w:ascii="宋体" w:hAnsi="宋体" w:cs="宋体"/>
          <w:szCs w:val="20"/>
        </w:rPr>
      </w:r>
      <w:r/>
    </w:p>
    <w:p>
      <w:pPr>
        <w:rPr>
          <w:rFonts w:hint="eastAsia" w:ascii="宋体" w:hAnsi="宋体" w:cs="宋体"/>
        </w:rPr>
      </w:pPr>
      <w:r>
        <w:rPr>
          <w:rFonts w:hint="eastAsia" w:ascii="宋体" w:hAnsi="宋体" w:cs="宋体"/>
        </w:rPr>
        <w:br w:type="page" w:clear="all"/>
      </w:r>
      <w:r/>
    </w:p>
    <w:p>
      <w:pPr>
        <w:pStyle w:val="977"/>
        <w:numPr>
          <w:ilvl w:val="0"/>
          <w:numId w:val="0"/>
        </w:numPr>
        <w:rPr>
          <w:rFonts w:hint="eastAsia" w:ascii="宋体" w:hAnsi="宋体" w:cs="宋体"/>
        </w:rPr>
      </w:pPr>
      <w:r/>
      <w:bookmarkStart w:id="22" w:name="_Toc227256249"/>
      <w:r>
        <w:rPr>
          <w:rFonts w:hint="eastAsia" w:ascii="宋体" w:hAnsi="宋体" w:cs="宋体"/>
        </w:rPr>
        <w:t xml:space="preserve">第三章 评标标准</w:t>
      </w:r>
      <w:bookmarkEnd w:id="18"/>
      <w:r/>
      <w:bookmarkEnd w:id="22"/>
      <w:r/>
      <w:bookmarkEnd w:id="19"/>
      <w:r/>
      <w:r/>
    </w:p>
    <w:p>
      <w:pPr>
        <w:ind w:firstLine="420"/>
        <w:spacing w:line="360" w:lineRule="auto"/>
        <w:rPr>
          <w:rFonts w:hint="eastAsia" w:ascii="宋体" w:hAnsi="宋体" w:cs="宋体"/>
        </w:rPr>
      </w:pPr>
      <w:r>
        <w:rPr>
          <w:rFonts w:hint="eastAsia" w:ascii="Arial" w:hAnsi="Arial" w:cs="Arial"/>
        </w:rPr>
        <w:t xml:space="preserve">本项目采用综合评分法确定中标候选人。总分值为</w:t>
      </w:r>
      <w:r>
        <w:rPr>
          <w:rFonts w:hint="eastAsia" w:ascii="Arial" w:hAnsi="Arial" w:cs="Arial"/>
        </w:rPr>
        <w:t xml:space="preserve">100</w:t>
      </w:r>
      <w:r>
        <w:rPr>
          <w:rFonts w:hint="eastAsia" w:ascii="Arial" w:hAnsi="Arial" w:cs="Arial"/>
        </w:rPr>
        <w:t xml:space="preserve">分，小数点后保留两位。使用综合评分法的采购项目，评标结果按评审后得分由高到低顺序排列。得分相同的，按报价得分由高到低顺序排列。评审后得分且投标报价相同的，按照技术响应得分最高的</w:t>
      </w:r>
      <w:r>
        <w:rPr>
          <w:rFonts w:hint="eastAsia" w:ascii="Arial" w:hAnsi="Arial" w:cs="Arial"/>
        </w:rPr>
        <w:t xml:space="preserve">供应商</w:t>
      </w:r>
      <w:r>
        <w:rPr>
          <w:rFonts w:hint="eastAsia" w:ascii="Arial" w:hAnsi="Arial" w:cs="Arial"/>
        </w:rPr>
        <w:t xml:space="preserve">为中标候选人。</w:t>
      </w:r>
      <w:r/>
    </w:p>
    <w:tbl>
      <w:tblPr>
        <w:tblW w:w="9570" w:type="dxa"/>
        <w:jc w:val="center"/>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80" w:type="dxa"/>
            <w:vAlign w:val="center"/>
            <w:textDirection w:val="lrTb"/>
            <w:noWrap w:val="false"/>
          </w:tcPr>
          <w:p>
            <w:pPr>
              <w:jc w:val="center"/>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投标最低报价为评标基准价</w:t>
            </w:r>
            <w:r>
              <w:rPr>
                <w:rFonts w:ascii="宋体" w:hAnsi="宋体" w:cs="宋体"/>
                <w:color w:val="000000"/>
                <w14:ligatures w14:val="standardContextual"/>
              </w:rPr>
              <w:t xml:space="preserve">：满足招标文件要求且投标价格最低的投标报价为评标基准价，其价格分为满分。其他</w:t>
            </w:r>
            <w:r>
              <w:rPr>
                <w:rFonts w:hint="eastAsia" w:ascii="宋体" w:hAnsi="宋体" w:cs="宋体"/>
                <w:color w:val="000000"/>
                <w14:ligatures w14:val="standardContextual"/>
              </w:rPr>
              <w:t xml:space="preserve">投标人</w:t>
            </w:r>
            <w:r>
              <w:rPr>
                <w:rFonts w:ascii="宋体" w:hAnsi="宋体" w:cs="宋体"/>
                <w:color w:val="000000"/>
                <w14:ligatures w14:val="standardContextual"/>
              </w:rPr>
              <w:t xml:space="preserve">的价格分统一按照下列公式计算：投标报价得分=(评标基准价/投标报价)×50。</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技术响应</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15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供应商完全响应招标文件采购需求中技术参数要求的得</w:t>
            </w:r>
            <w:r>
              <w:rPr>
                <w:rFonts w:hint="eastAsia" w:ascii="宋体" w:hAnsi="宋体" w:cs="宋体"/>
                <w:color w:val="000000"/>
                <w14:ligatures w14:val="standardContextual"/>
              </w:rPr>
              <w:t xml:space="preserve">15</w:t>
            </w:r>
            <w:r>
              <w:rPr>
                <w:rFonts w:ascii="宋体" w:hAnsi="宋体" w:cs="宋体"/>
                <w:color w:val="000000"/>
                <w14:ligatures w14:val="standardContextual"/>
              </w:rPr>
              <w:t xml:space="preserve">分，正偏离不加分。标注“★”的内容为实质性要求，有一项不符合的，作无效投标处理；标注“</w:t>
            </w:r>
            <w:bookmarkStart w:id="23" w:name="OLE_LINK15"/>
            <w:r>
              <w:rPr>
                <w:rFonts w:ascii="宋体" w:hAnsi="宋体" w:cs="宋体"/>
                <w:color w:val="000000"/>
                <w14:ligatures w14:val="standardContextual"/>
              </w:rPr>
              <w:t xml:space="preserve">▲</w:t>
            </w:r>
            <w:bookmarkEnd w:id="23"/>
            <w:r>
              <w:rPr>
                <w:rFonts w:ascii="宋体" w:hAnsi="宋体" w:cs="宋体"/>
                <w:color w:val="000000"/>
                <w14:ligatures w14:val="standardContextual"/>
              </w:rPr>
              <w:t xml:space="preserve">”的内容为重要指标，每有一项负偏离扣</w:t>
            </w:r>
            <w:r>
              <w:rPr>
                <w:rFonts w:hint="eastAsia" w:ascii="宋体" w:hAnsi="宋体" w:cs="宋体"/>
                <w:color w:val="000000"/>
                <w14:ligatures w14:val="standardContextual"/>
              </w:rPr>
              <w:t xml:space="preserve">0.4</w:t>
            </w:r>
            <w:r>
              <w:rPr>
                <w:rFonts w:ascii="宋体" w:hAnsi="宋体" w:cs="宋体"/>
                <w:color w:val="000000"/>
                <w14:ligatures w14:val="standardContextual"/>
              </w:rPr>
              <w:t xml:space="preserve">分；未加标注的指标为一般指标，每有一项负偏离扣</w:t>
            </w:r>
            <w:r>
              <w:rPr>
                <w:rFonts w:hint="eastAsia" w:ascii="宋体" w:hAnsi="宋体" w:cs="宋体"/>
                <w:color w:val="000000"/>
                <w14:ligatures w14:val="standardContextual"/>
              </w:rPr>
              <w:t xml:space="preserve">0.14</w:t>
            </w:r>
            <w:r>
              <w:rPr>
                <w:rFonts w:ascii="宋体" w:hAnsi="宋体" w:cs="宋体"/>
                <w:color w:val="000000"/>
                <w14:ligatures w14:val="standardContextual"/>
              </w:rPr>
              <w:t xml:space="preserve">分，扣完为止。</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（提供《技术条款偏离表》并逐条响应，如招标文件要求提供相应证明材料的，未提供或提供不符合要求的，视为负偏离。供应商需在《技术条款偏离表》中详细标明证明材料</w:t>
            </w:r>
            <w:r>
              <w:rPr>
                <w:rFonts w:hint="eastAsia" w:ascii="宋体" w:hAnsi="宋体" w:cs="宋体"/>
                <w:color w:val="000000"/>
                <w14:ligatures w14:val="standardContextual"/>
              </w:rPr>
              <w:t xml:space="preserve">（如有）</w:t>
            </w:r>
            <w:r>
              <w:rPr>
                <w:rFonts w:ascii="宋体" w:hAnsi="宋体" w:cs="宋体"/>
                <w:color w:val="000000"/>
                <w14:ligatures w14:val="standardContextual"/>
              </w:rPr>
              <w:t xml:space="preserve">在投标文件中的页码</w:t>
            </w:r>
            <w:r>
              <w:rPr>
                <w:rFonts w:hint="eastAsia" w:ascii="宋体" w:hAnsi="宋体" w:cs="宋体"/>
                <w:color w:val="000000"/>
                <w14:ligatures w14:val="standardContextual"/>
              </w:rPr>
              <w:t xml:space="preserve">或</w:t>
            </w:r>
            <w:r>
              <w:rPr>
                <w:rFonts w:ascii="宋体" w:hAnsi="宋体" w:cs="宋体"/>
                <w:color w:val="000000"/>
                <w14:ligatures w14:val="standardContextual"/>
              </w:rPr>
              <w:t xml:space="preserve">位置</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实施方案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评委根据供应商提供详细的实施方案（包含：项目实施计划、进度安排、安装调试等方面）内容进行评审：</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实施方案内容完整、进度计划安排合理、优于采购人需求的得</w:t>
            </w: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实施方案内容、进度安排一般、不完全满足采购人需要的得</w:t>
            </w: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实施方案明显不合理或未提供，得0分。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4.</w:t>
            </w:r>
            <w:r>
              <w:rPr>
                <w:rFonts w:ascii="宋体" w:hAnsi="宋体" w:cs="宋体"/>
                <w:color w:val="000000"/>
                <w14:ligatures w14:val="standardContextual"/>
              </w:rPr>
              <w:t xml:space="preserve">系统集成与兼容性方案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评委根据供应商提供的系统集成与兼容性方案（包含：系统架构设计、设备选型与兼容性分析、接口规范与数据交换标准等方面）内容进行评审：</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方案全面、合理，能够有效实现系统集成与数据共享，得</w:t>
            </w: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方案较全面，但存在部分兼容性问题或需进一步细化，得</w:t>
            </w: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方案内容有欠缺，兼容性差，得</w:t>
            </w: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未提供，得0分。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5.演示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宋体" w:hAnsi="宋体" w:eastAsia="等线" w:cs="宋体"/>
                <w:color w:val="000000"/>
                <w14:ligatures w14:val="standardContextual"/>
              </w:rPr>
            </w:pPr>
            <w:r>
              <w:rPr>
                <w:rFonts w:hint="eastAsia" w:ascii="宋体" w:hAnsi="宋体" w:eastAsia="等线" w:cs="宋体"/>
                <w:color w:val="000000"/>
                <w14:ligatures w14:val="standardContextual"/>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宋体" w:hAnsi="宋体" w:cs="宋体"/>
                <w:color w:val="000000"/>
                <w14:ligatures w14:val="standardContextual"/>
              </w:rPr>
            </w:pPr>
            <w:r>
              <w:rPr>
                <w:rFonts w:hint="eastAsia" w:ascii="宋体" w:hAnsi="宋体" w:cs="宋体"/>
                <w:b/>
                <w:bCs/>
                <w:color w:val="000000"/>
                <w14:ligatures w14:val="standardContextual"/>
              </w:rPr>
              <w:t xml:space="preserve">演示材料要求（2分）</w:t>
            </w:r>
            <w:r>
              <w:rPr>
                <w:rFonts w:hint="eastAsia" w:ascii="宋体" w:hAnsi="宋体" w:cs="宋体"/>
                <w:color w:val="000000"/>
                <w14:ligatures w14:val="standardContextual"/>
              </w:rPr>
              <w:t xml:space="preserve">：</w:t>
            </w:r>
            <w:r>
              <w:rPr>
                <w:rFonts w:hint="eastAsia" w:ascii="宋体" w:hAnsi="宋体" w:cs="宋体"/>
                <w:color w:val="000000"/>
                <w:u w:val="single"/>
                <w14:ligatures w14:val="standardContextual"/>
              </w:rPr>
              <w:t xml:space="preserve">供应商</w:t>
            </w:r>
            <w:r>
              <w:rPr>
                <w:rFonts w:hint="eastAsia" w:ascii="宋体" w:hAnsi="宋体" w:cs="宋体"/>
                <w:color w:val="000000"/>
                <w:u w:val="single"/>
                <w14:ligatures w14:val="standardContextual"/>
              </w:rPr>
              <w:t xml:space="preserve">须将演示材料上传至苏采云系统</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1、采用真实运行环境录制视频，得 2 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2、使用PPT、图文、文字说明等形式演示的，得1分；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3、未提供演示材料的，得0分。</w:t>
            </w:r>
            <w:r/>
          </w:p>
          <w:p>
            <w:pPr>
              <w:jc w:val="left"/>
              <w:spacing w:line="315" w:lineRule="exact"/>
              <w:rPr>
                <w:rFonts w:hint="eastAsia" w:ascii="宋体" w:hAnsi="宋体" w:cs="宋体"/>
                <w:color w:val="000000"/>
                <w14:ligatures w14:val="standardContextual"/>
              </w:rPr>
            </w:pPr>
            <w:r>
              <w:rPr>
                <w:rFonts w:hint="eastAsia" w:ascii="宋体" w:hAnsi="宋体" w:cs="宋体"/>
                <w:b/>
                <w:bCs/>
                <w:color w:val="000000"/>
                <w14:ligatures w14:val="standardContextual"/>
              </w:rPr>
              <w:t xml:space="preserve">功能及内容满足度评分（3分）：</w:t>
            </w:r>
            <w:r>
              <w:rPr>
                <w:rFonts w:hint="eastAsia" w:ascii="宋体" w:hAnsi="宋体" w:cs="宋体"/>
                <w:color w:val="000000"/>
                <w14:ligatures w14:val="standardContextual"/>
              </w:rPr>
              <w:t xml:space="preserve"> </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一、报警设备功能演示</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包括但不限于：设备开机自检功能、紧急一键报警功能、声光报警提示、设备故障自动识别、断网离线预警、多台设备组网联动、报警信息本地留存与一键复位等全部实操功能。</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完整展示所有演示功能、设备运行稳定响应迅速得</w:t>
            </w:r>
            <w:r>
              <w:rPr>
                <w:rFonts w:hint="eastAsia" w:ascii="宋体" w:hAnsi="宋体" w:cs="宋体"/>
                <w:color w:val="000000"/>
                <w14:ligatures w14:val="standardContextual"/>
              </w:rPr>
              <w:t xml:space="preserve">1</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部分功能缺失、操作卡顿或响应迟缓得</w:t>
            </w:r>
            <w:r>
              <w:rPr>
                <w:rFonts w:hint="eastAsia" w:ascii="宋体" w:hAnsi="宋体" w:cs="宋体"/>
                <w:color w:val="000000"/>
                <w14:ligatures w14:val="standardContextual"/>
              </w:rPr>
              <w:t xml:space="preserve">0.5</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无法现场演示本项不得分。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二、智慧管理平台功能演示</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包括但不限于</w:t>
            </w:r>
            <w:r>
              <w:rPr>
                <w:rFonts w:hint="eastAsia" w:ascii="宋体" w:hAnsi="宋体" w:cs="宋体"/>
                <w:color w:val="000000"/>
                <w14:ligatures w14:val="standardContextual"/>
              </w:rPr>
              <w:t xml:space="preserve">：</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演示学生宿舍警情查看与处置功能。发生报警时异常设备置顶展示，两个及以上设备同时告警判为真实火警，弹窗语音提醒。浏览器误操作关闭的情况下，电脑桌面依然可以接收消防报警通知，并实现误报、消音等快捷操作。</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演示报警与监控视频联动能力。弹窗报警GIS地图和三维地图上可快速查看报警楼层全部视频信号，已联动展示的摄像头图标置灰，未联动的置为红色并闪烁。点击GIS地图和三维地图上任意摄像头标识查看视频流；</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3.演示消防设施上图功能。将消防设备设施分别拖动至建筑二维和三维模型上，实现与二维地图和三维地图的快速绑定。鼠标点击消防设备设施，可快速查看设备名称、安装位置、实时数据等信息；</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4.演示移动APP报警处置功能。演示数据总览展示、报警、故障隐患的处理及查阅功能。学生宿舍发生警情后，值班人员现场查验警情并拍照上传后手机端确认本次报警为误报或真实火情，系统自动记录并计算每次报警从事件发生到确认所用的闭环时间。</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完整展示所有演示功能、设备运行稳定响应迅速得</w:t>
            </w:r>
            <w:r>
              <w:rPr>
                <w:rFonts w:hint="eastAsia" w:ascii="宋体" w:hAnsi="宋体" w:cs="宋体"/>
                <w:color w:val="000000"/>
                <w14:ligatures w14:val="standardContextual"/>
              </w:rPr>
              <w:t xml:space="preserve">2</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部分功能缺失、操作卡顿或响应迟缓得</w:t>
            </w:r>
            <w:r>
              <w:rPr>
                <w:rFonts w:hint="eastAsia" w:ascii="宋体" w:hAnsi="宋体" w:cs="宋体"/>
                <w:color w:val="000000"/>
                <w14:ligatures w14:val="standardContextual"/>
              </w:rPr>
              <w:t xml:space="preserve">1</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highlight w:val="yellow"/>
                <w14:ligatures w14:val="standardContextual"/>
              </w:rPr>
            </w:pPr>
            <w:r>
              <w:rPr>
                <w:rFonts w:hint="eastAsia" w:ascii="宋体" w:hAnsi="宋体" w:cs="宋体"/>
                <w:color w:val="000000"/>
                <w14:ligatures w14:val="standardContextual"/>
              </w:rPr>
              <w:t xml:space="preserve">无法现场演示本项不得分。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right w:val="none" w:color="000000" w:sz="4" w:space="0"/>
            </w:tcBorders>
            <w:tcMar>
              <w:left w:w="20" w:type="dxa"/>
              <w:top w:w="20" w:type="dxa"/>
              <w:right w:w="20" w:type="dxa"/>
              <w:bottom w:w="20" w:type="dxa"/>
            </w:tcMar>
            <w:tcW w:w="1200" w:type="dxa"/>
            <w:vAlign w:val="center"/>
            <w:vMerge w:val="restart"/>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6.</w:t>
            </w:r>
            <w:r>
              <w:rPr>
                <w:rFonts w:ascii="宋体" w:hAnsi="宋体" w:cs="宋体"/>
                <w:color w:val="000000"/>
                <w14:ligatures w14:val="standardContextual"/>
              </w:rPr>
              <w:t xml:space="preserve">企业实力</w:t>
            </w:r>
            <w:r/>
          </w:p>
        </w:tc>
        <w:tc>
          <w:tcPr>
            <w:tcBorders>
              <w:top w:val="single" w:color="auto" w:sz="6" w:space="0"/>
              <w:left w:val="single" w:color="auto" w:sz="6" w:space="0"/>
              <w:right w:val="none" w:color="000000" w:sz="4" w:space="0"/>
            </w:tcBorders>
            <w:tcMar>
              <w:left w:w="20" w:type="dxa"/>
              <w:top w:w="20" w:type="dxa"/>
              <w:right w:w="20" w:type="dxa"/>
              <w:bottom w:w="20" w:type="dxa"/>
            </w:tcMar>
            <w:tcW w:w="690" w:type="dxa"/>
            <w:vAlign w:val="center"/>
            <w:vMerge w:val="restart"/>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10</w:t>
            </w:r>
            <w:r/>
          </w:p>
        </w:tc>
        <w:tc>
          <w:tcPr>
            <w:tcBorders>
              <w:top w:val="single" w:color="auto" w:sz="6" w:space="0"/>
              <w:left w:val="single" w:color="auto" w:sz="6" w:space="0"/>
              <w:right w:val="none" w:color="000000" w:sz="4" w:space="0"/>
            </w:tcBorders>
            <w:tcMar>
              <w:left w:w="20" w:type="dxa"/>
              <w:top w:w="20" w:type="dxa"/>
              <w:right w:w="20" w:type="dxa"/>
              <w:bottom w:w="20" w:type="dxa"/>
            </w:tcMar>
            <w:tcW w:w="7080" w:type="dxa"/>
            <w:vMerge w:val="restart"/>
            <w:textDirection w:val="lrTb"/>
            <w:noWrap w:val="false"/>
          </w:tcPr>
          <w:p>
            <w:pPr>
              <w:jc w:val="left"/>
              <w:spacing w:line="315" w:lineRule="exact"/>
              <w:rPr>
                <w:rFonts w:hint="eastAsia" w:ascii="宋体" w:hAnsi="宋体" w:cs="宋体"/>
                <w:b/>
                <w:bCs/>
                <w:color w:val="000000"/>
                <w14:ligatures w14:val="standardContextual"/>
              </w:rPr>
            </w:pPr>
            <w:r>
              <w:rPr>
                <w:rFonts w:hint="eastAsia" w:ascii="宋体" w:hAnsi="宋体" w:cs="宋体"/>
                <w:b/>
                <w:bCs/>
                <w:color w:val="000000"/>
                <w14:ligatures w14:val="standardContextual"/>
              </w:rPr>
              <w:t xml:space="preserve">供应商资质：</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供应商具有社会消防技术服务机构（消防设施维护保养检测/消防安全评估）资质的，得2分；（提供全国社会消防技术服务平台查询截图</w:t>
            </w:r>
            <w:bookmarkStart w:id="24" w:name="OLE_LINK11"/>
            <w:r>
              <w:rPr>
                <w:rFonts w:hint="eastAsia" w:ascii="宋体" w:hAnsi="宋体" w:cs="宋体"/>
                <w:color w:val="000000"/>
                <w14:ligatures w14:val="standardContextual"/>
              </w:rPr>
              <w:t xml:space="preserve">https://shhxf.119.gov.cn/</w:t>
            </w:r>
            <w:bookmarkEnd w:id="24"/>
            <w:r>
              <w:rPr>
                <w:rFonts w:hint="eastAsia" w:ascii="宋体" w:hAnsi="宋体" w:cs="宋体"/>
                <w:color w:val="000000"/>
                <w14:ligatures w14:val="standardContextual"/>
              </w:rPr>
              <w:t xml:space="preserve"> 并加盖公章）</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供应商具有符合IS0/IEC27001标准的信息安全管理体系认证证书，得1分；（提供证明材料复印件加盖公章，原件备查）</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供应商具有符合IS0/IEC 20000 标准的信息技术服务管理体系认证证书，得1分；（提供证明材料复印件加盖公章，原件备查）</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供应商所投软件系统应取得国产化芯片的兼容性适配认证。得1分。（提供证明材料复印件加盖公章，原件备查）</w:t>
            </w:r>
            <w:r/>
          </w:p>
          <w:p>
            <w:pPr>
              <w:jc w:val="left"/>
              <w:spacing w:line="315" w:lineRule="exact"/>
              <w:rPr>
                <w:rFonts w:hint="eastAsia" w:ascii="宋体" w:hAnsi="宋体" w:cs="宋体"/>
                <w:b/>
                <w:bCs/>
                <w:color w:val="000000"/>
                <w14:ligatures w14:val="standardContextual"/>
              </w:rPr>
            </w:pPr>
            <w:r>
              <w:rPr>
                <w:rFonts w:hint="eastAsia" w:ascii="宋体" w:hAnsi="宋体" w:cs="宋体"/>
                <w:b/>
                <w:bCs/>
                <w:color w:val="000000"/>
                <w14:ligatures w14:val="standardContextual"/>
              </w:rPr>
              <w:t xml:space="preserve">人员资质：</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项目经理：拟投入本项目的项目经理具有</w:t>
            </w:r>
            <w:bookmarkStart w:id="25" w:name="OLE_LINK17"/>
            <w:r>
              <w:rPr>
                <w:rFonts w:ascii="宋体" w:hAnsi="宋体" w:cs="宋体"/>
                <w:color w:val="000000"/>
                <w14:ligatures w14:val="standardContextual"/>
              </w:rPr>
              <w:t xml:space="preserve">一级注册消防工程师或</w:t>
            </w:r>
            <w:bookmarkStart w:id="26" w:name="OLE_LINK16"/>
            <w:r>
              <w:rPr>
                <w:rFonts w:ascii="宋体" w:hAnsi="宋体" w:cs="宋体"/>
                <w:color w:val="000000"/>
                <w14:ligatures w14:val="standardContextual"/>
              </w:rPr>
              <w:t xml:space="preserve">注册信息安全</w:t>
            </w:r>
            <w:bookmarkEnd w:id="26"/>
            <w:r>
              <w:rPr>
                <w:rFonts w:ascii="宋体" w:hAnsi="宋体" w:cs="宋体"/>
                <w:color w:val="000000"/>
                <w14:ligatures w14:val="standardContextual"/>
              </w:rPr>
              <w:t xml:space="preserve">专业人员证书或IT服务项目经理（ITSS）证书或</w:t>
            </w:r>
            <w:r>
              <w:rPr>
                <w:rFonts w:hint="eastAsia" w:ascii="宋体" w:hAnsi="宋体" w:cs="宋体"/>
                <w:color w:val="000000"/>
                <w14:ligatures w14:val="standardContextual"/>
              </w:rPr>
              <w:t xml:space="preserve">与本</w:t>
            </w:r>
            <w:r>
              <w:rPr>
                <w:rFonts w:ascii="宋体" w:hAnsi="宋体" w:cs="宋体"/>
                <w:color w:val="000000"/>
                <w14:ligatures w14:val="standardContextual"/>
              </w:rPr>
              <w:t xml:space="preserve">项目相关高级工程师资格证书</w:t>
            </w:r>
            <w:bookmarkEnd w:id="25"/>
            <w:r>
              <w:rPr>
                <w:rFonts w:ascii="宋体" w:hAnsi="宋体" w:cs="宋体"/>
                <w:color w:val="000000"/>
                <w14:ligatures w14:val="standardContextual"/>
              </w:rPr>
              <w:t xml:space="preserve">的，每提供1证得1分，最高得2分（提供证书复印件加盖供应商公章，同时需提供社保机构出具的</w:t>
            </w:r>
            <w:r>
              <w:rPr>
                <w:rFonts w:ascii="宋体" w:hAnsi="宋体" w:cs="宋体"/>
                <w:color w:val="000000"/>
                <w14:ligatures w14:val="standardContextual"/>
              </w:rPr>
              <w:t xml:space="preserve">近六个月任意一个月</w:t>
            </w:r>
            <w:r>
              <w:rPr>
                <w:rFonts w:ascii="宋体" w:hAnsi="宋体" w:cs="宋体"/>
                <w:color w:val="000000"/>
                <w14:ligatures w14:val="standardContextual"/>
              </w:rPr>
              <w:t xml:space="preserve">供应商为其缴纳的社保缴费证明【加盖社保公章或具有可验证的二维码（或验证码）】，未提供不得分。）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技术</w:t>
            </w:r>
            <w:r>
              <w:rPr>
                <w:rFonts w:hint="eastAsia" w:ascii="宋体" w:hAnsi="宋体" w:cs="宋体"/>
                <w:color w:val="000000"/>
                <w14:ligatures w14:val="standardContextual"/>
              </w:rPr>
              <w:t xml:space="preserve">人员</w:t>
            </w:r>
            <w:r>
              <w:rPr>
                <w:rFonts w:ascii="宋体" w:hAnsi="宋体" w:cs="宋体"/>
                <w:color w:val="000000"/>
                <w14:ligatures w14:val="standardContextual"/>
              </w:rPr>
              <w:t xml:space="preserve">（项目经理除外）：具有一级注册消防工程师或</w:t>
            </w:r>
            <w:bookmarkStart w:id="27" w:name="OLE_LINK18"/>
            <w:r>
              <w:rPr>
                <w:rFonts w:ascii="宋体" w:hAnsi="宋体" w:cs="宋体"/>
                <w:color w:val="000000"/>
                <w14:ligatures w14:val="standardContextual"/>
              </w:rPr>
              <w:t xml:space="preserve">信息系统项目管理师资格证书或</w:t>
            </w:r>
            <w:bookmarkStart w:id="28" w:name="OLE_LINK12"/>
            <w:r>
              <w:rPr>
                <w:rFonts w:ascii="宋体" w:hAnsi="宋体" w:cs="宋体"/>
                <w:color w:val="000000"/>
                <w14:ligatures w14:val="standardContextual"/>
              </w:rPr>
              <w:t xml:space="preserve">系统分析师</w:t>
            </w:r>
            <w:bookmarkEnd w:id="28"/>
            <w:r>
              <w:rPr>
                <w:rFonts w:ascii="宋体" w:hAnsi="宋体" w:cs="宋体"/>
                <w:color w:val="000000"/>
                <w14:ligatures w14:val="standardContextual"/>
              </w:rPr>
              <w:t xml:space="preserve">资格证书或IT服务工程师（ITSS）证书或信息安全保障人员证书或</w:t>
            </w:r>
            <w:bookmarkEnd w:id="27"/>
            <w:r>
              <w:rPr>
                <w:rFonts w:ascii="宋体" w:hAnsi="宋体" w:cs="宋体"/>
                <w:color w:val="000000"/>
                <w14:ligatures w14:val="standardContextual"/>
              </w:rPr>
              <w:t xml:space="preserve">具备所投产品制造商出具的技术服务、安装调试、运维操作类技能培训合格证书，每1人证得0.5分，最高得2分。一人多证或一证多人的不重复得分。（提供证书复印件加盖供应商公章，同时需提供社保机构出具的</w:t>
            </w:r>
            <w:r>
              <w:rPr>
                <w:rFonts w:ascii="宋体" w:hAnsi="宋体" w:cs="宋体"/>
                <w:color w:val="000000"/>
                <w14:ligatures w14:val="standardContextual"/>
              </w:rPr>
              <w:t xml:space="preserve">近六个月任意一个月</w:t>
            </w:r>
            <w:r>
              <w:rPr>
                <w:rFonts w:ascii="宋体" w:hAnsi="宋体" w:cs="宋体"/>
                <w:color w:val="000000"/>
                <w14:ligatures w14:val="standardContextual"/>
              </w:rPr>
              <w:t xml:space="preserve">供应商为其缴纳的社保缴费证明【加盖社保公章或具有可验证的二维码（或验证码）】，未提供不得分。）</w:t>
            </w:r>
            <w:r/>
          </w:p>
          <w:p>
            <w:pPr>
              <w:jc w:val="left"/>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团队</w:t>
            </w:r>
            <w:r>
              <w:rPr>
                <w:rFonts w:ascii="宋体" w:hAnsi="宋体" w:cs="宋体"/>
                <w:color w:val="000000"/>
                <w14:ligatures w14:val="standardContextual"/>
              </w:rPr>
              <w:t xml:space="preserve">人员（项目经理除外）：</w:t>
            </w:r>
            <w:bookmarkStart w:id="29" w:name="OLE_LINK19"/>
            <w:r>
              <w:rPr>
                <w:rFonts w:ascii="宋体" w:hAnsi="宋体" w:cs="宋体"/>
                <w:color w:val="000000"/>
                <w14:ligatures w14:val="standardContextual"/>
              </w:rPr>
              <w:t xml:space="preserve">具备</w:t>
            </w:r>
            <w:r>
              <w:rPr>
                <w:rFonts w:hint="eastAsia" w:ascii="宋体" w:hAnsi="宋体" w:cs="宋体"/>
                <w:color w:val="000000"/>
                <w14:ligatures w14:val="standardContextual"/>
              </w:rPr>
              <w:t xml:space="preserve">《消防设施操作员》中级（四级）及以上等级证书或原《建（构）筑物消防员》中级（四级）及以上等级证书</w:t>
            </w:r>
            <w:r>
              <w:rPr>
                <w:rFonts w:ascii="宋体" w:hAnsi="宋体" w:cs="宋体"/>
                <w:color w:val="000000"/>
                <w14:ligatures w14:val="standardContextual"/>
              </w:rPr>
              <w:t xml:space="preserve">的，每1人证得0.5分，最高得1分，持证人员不重复得分。</w:t>
            </w:r>
            <w:bookmarkEnd w:id="29"/>
            <w:r>
              <w:rPr>
                <w:rFonts w:ascii="宋体" w:hAnsi="宋体" w:cs="宋体"/>
                <w:color w:val="000000"/>
                <w14:ligatures w14:val="standardContextual"/>
              </w:rPr>
              <w:t xml:space="preserve">（提供证书复印件加盖供应商公章，同时需提供社保机构出具的</w:t>
            </w:r>
            <w:r>
              <w:rPr>
                <w:rFonts w:ascii="宋体" w:hAnsi="宋体" w:cs="宋体"/>
                <w:color w:val="000000"/>
                <w14:ligatures w14:val="standardContextual"/>
              </w:rPr>
              <w:t xml:space="preserve">近六个月任意一个月</w:t>
            </w:r>
            <w:r>
              <w:rPr>
                <w:rFonts w:ascii="宋体" w:hAnsi="宋体" w:cs="宋体"/>
                <w:color w:val="000000"/>
                <w14:ligatures w14:val="standardContextual"/>
              </w:rPr>
              <w:t xml:space="preserve">供应商为其</w:t>
            </w:r>
            <w:r>
              <w:rPr>
                <w:rFonts w:ascii="宋体" w:hAnsi="宋体" w:cs="宋体"/>
                <w:color w:val="000000"/>
                <w14:ligatures w14:val="standardContextual"/>
              </w:rPr>
              <w:t xml:space="preserve">缴纳的社保缴费证明【加盖社保公章或具有可验证的二维码（或验证码）】，未提供不得分。）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left w:val="single" w:color="auto" w:sz="12" w:space="0"/>
              <w:bottom w:val="none" w:color="000000" w:sz="4" w:space="0"/>
              <w:right w:val="none" w:color="000000" w:sz="4" w:space="0"/>
            </w:tcBorders>
            <w:tcMar>
              <w:left w:w="20" w:type="dxa"/>
              <w:top w:w="20" w:type="dxa"/>
              <w:right w:w="20" w:type="dxa"/>
              <w:bottom w:w="20" w:type="dxa"/>
            </w:tcMar>
            <w:tcW w:w="1200" w:type="dxa"/>
            <w:vAlign w:val="center"/>
            <w:vMerge w:val="continue"/>
            <w:textDirection w:val="lrTb"/>
            <w:noWrap w:val="false"/>
          </w:tcPr>
          <w:p>
            <w:pPr>
              <w:jc w:val="center"/>
              <w:spacing w:line="315" w:lineRule="exact"/>
              <w:rPr>
                <w:rFonts w:hint="eastAsia" w:ascii="等线" w:hAnsi="等线" w:eastAsia="等线"/>
                <w:sz w:val="22"/>
                <w14:ligatures w14:val="standardContextual"/>
              </w:rPr>
            </w:pPr>
            <w:r/>
            <w:bookmarkStart w:id="30" w:name="_Hlk229000861"/>
            <w:r/>
            <w:r/>
          </w:p>
        </w:tc>
        <w:tc>
          <w:tcPr>
            <w:tcBorders>
              <w:left w:val="single" w:color="auto" w:sz="6" w:space="0"/>
              <w:bottom w:val="none" w:color="000000" w:sz="4" w:space="0"/>
              <w:right w:val="none" w:color="000000" w:sz="4" w:space="0"/>
            </w:tcBorders>
            <w:tcMar>
              <w:left w:w="20" w:type="dxa"/>
              <w:top w:w="20" w:type="dxa"/>
              <w:right w:w="20" w:type="dxa"/>
              <w:bottom w:w="20" w:type="dxa"/>
            </w:tcMar>
            <w:tcW w:w="690" w:type="dxa"/>
            <w:vAlign w:val="center"/>
            <w:vMerge w:val="continue"/>
            <w:textDirection w:val="lrTb"/>
            <w:noWrap w:val="false"/>
          </w:tcPr>
          <w:p>
            <w:pPr>
              <w:jc w:val="center"/>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left w:val="single" w:color="auto" w:sz="6" w:space="0"/>
              <w:bottom w:val="none" w:color="000000" w:sz="4" w:space="0"/>
              <w:right w:val="none" w:color="000000" w:sz="4" w:space="0"/>
            </w:tcBorders>
            <w:tcMar>
              <w:left w:w="20" w:type="dxa"/>
              <w:top w:w="20" w:type="dxa"/>
              <w:right w:w="20" w:type="dxa"/>
              <w:bottom w:w="20" w:type="dxa"/>
            </w:tcMar>
            <w:tcW w:w="7080" w:type="dxa"/>
            <w:vMerge w:val="continue"/>
            <w:textDirection w:val="lrTb"/>
            <w:noWrap w:val="false"/>
          </w:tcPr>
          <w:p>
            <w:pPr>
              <w:jc w:val="left"/>
              <w:spacing w:line="315"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bookmarkEnd w:id="30"/>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7.</w:t>
            </w:r>
            <w:r>
              <w:rPr>
                <w:rFonts w:ascii="宋体" w:hAnsi="宋体" w:cs="宋体"/>
                <w:color w:val="000000"/>
                <w14:ligatures w14:val="standardContextual"/>
              </w:rPr>
              <w:t xml:space="preserve">类似业绩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提供自2023年5月1日以来承担过的类似项目业绩，需提供合同关键页复印件（复印件加盖公章）。复印件中需体现合同的签约主体、项目名称、明细清单、项目签订盖章页等内容，否则将不予认可。提供1项有效业绩得2分，最高得10分。未提供或未按要求提供的不得分</w:t>
            </w:r>
            <w:r>
              <w:rPr>
                <w:rFonts w:hint="eastAsia" w:ascii="宋体" w:hAnsi="宋体" w:cs="宋体"/>
                <w:color w:val="000000"/>
                <w14:ligatures w14:val="standardContextual"/>
              </w:rPr>
              <w:t xml:space="preserve">。</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8.</w:t>
            </w:r>
            <w:r>
              <w:rPr>
                <w:rFonts w:ascii="宋体" w:hAnsi="宋体" w:cs="宋体"/>
                <w:color w:val="000000"/>
                <w14:ligatures w14:val="standardContextual"/>
              </w:rPr>
              <w:t xml:space="preserve">售后服务方案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在满足招标文件要求的基础上，核心产品质保期每增加一年得1分，最高得2分。需提供</w:t>
            </w:r>
            <w:r>
              <w:rPr>
                <w:rFonts w:hint="eastAsia" w:ascii="宋体" w:hAnsi="宋体" w:cs="宋体"/>
                <w:color w:val="000000"/>
                <w14:ligatures w14:val="standardContextual"/>
              </w:rPr>
              <w:t xml:space="preserve">质保期</w:t>
            </w:r>
            <w:r>
              <w:rPr>
                <w:rFonts w:ascii="宋体" w:hAnsi="宋体" w:cs="宋体"/>
                <w:color w:val="000000"/>
                <w14:ligatures w14:val="standardContextual"/>
              </w:rPr>
              <w:t xml:space="preserve">承诺书加盖公章（若投标文件中出现前后不一致的情况，以最低免费质保期作为评分依据）</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供应商需提供售后服务方案，包含：售后服务人员配备及管理措施、售后服务承诺、售后服务响应时间、修复时间、应急预案、售后服务范围、备品备件的承诺、特色增值优惠服务等。</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方案完整，响应时间优于招标要求，售后服务措施可行性高且具有明显特色及优惠服务的，得3分；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方案较具体，内容基本合理并能够满足项目需求，售后服务措施可行性一般的得2分；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方案内容有欠缺、售后服务体系配置不足，相关工作经验较弱的，得1分；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方案明显不合理、内容思路不能满足采购需求或未提供，得0分。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 w:hRule="exact"/>
        </w:trPr>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120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69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60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bl>
    <w:p>
      <w:pPr>
        <w:spacing w:line="360" w:lineRule="auto"/>
        <w:rPr>
          <w:rFonts w:hint="eastAsia" w:ascii="宋体" w:hAnsi="宋体" w:cs="宋体"/>
          <w:bCs/>
          <w:sz w:val="22"/>
          <w:szCs w:val="28"/>
        </w:rPr>
      </w:pPr>
      <w:r>
        <w:rPr>
          <w:rFonts w:hint="eastAsia" w:ascii="宋体" w:hAnsi="宋体" w:cs="宋体"/>
          <w:bCs/>
          <w:sz w:val="22"/>
          <w:szCs w:val="28"/>
        </w:rPr>
        <w:t xml:space="preserve">说明：</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1.所有认证、证明和业绩均以有效清晰的证明文件的复印件为依据，原件备查。</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2.小微企业价格扣除</w:t>
      </w:r>
      <w:r/>
    </w:p>
    <w:p>
      <w:pPr>
        <w:ind w:firstLine="440"/>
        <w:spacing w:line="360" w:lineRule="auto"/>
        <w:rPr>
          <w:rFonts w:hint="eastAsia" w:ascii="宋体" w:hAnsi="宋体" w:cs="宋体"/>
          <w:bCs/>
        </w:rPr>
      </w:pPr>
      <w:r>
        <w:rPr>
          <w:rFonts w:hint="eastAsia" w:ascii="宋体" w:hAnsi="宋体" w:cs="宋体"/>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3.监狱和戒毒企业的价格扣除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3.1 本项目对监狱和戒毒企业，给予10%的价格扣除，用扣除后的价格参与评审。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3.2 监狱企业需提供由省级以上监狱管理局、戒毒管理局（含新疆生产建设兵团）出具的属于监狱企业的证明文件。</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3.3 监狱企业标准请参照《关于政府采购支持监狱企业发展有关问题的通知》（财库〔2014〕68号）。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4.残疾人福利性单位的价格扣除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4.1 本项目对残疾人福利性单位，给予10%的价格扣除，用扣除后的价格参与评审。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4.2 残疾人福利性单位需提供《残疾人福利性单位声明函》</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4.3 残疾人福利性单位标准请参照《关于促进残疾人就业政府采购政策的通知》（财库〔2017〕141号）。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5. 监狱企业、残疾人福利性单位属于小型、微型企业的，不重复享受政策。</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6.本国产品的价格扣除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6.2政府采购活动中既有本国产品又有非本国产品参与竞争的，依法对本国产品给予价格评审优惠，对本国产品的报价给予20%的价格扣除，用扣除后的价格参与评审。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 w:val="32"/>
          <w:szCs w:val="44"/>
        </w:rPr>
      </w:pPr>
      <w:r/>
      <w:bookmarkStart w:id="31" w:name="_Toc227256250"/>
      <w:r>
        <w:rPr>
          <w:rFonts w:hint="eastAsia" w:ascii="宋体" w:hAnsi="宋体" w:cs="宋体"/>
        </w:rPr>
        <w:br w:type="page" w:clear="all"/>
      </w:r>
      <w:r/>
    </w:p>
    <w:p>
      <w:pPr>
        <w:pStyle w:val="977"/>
        <w:numPr>
          <w:ilvl w:val="0"/>
          <w:numId w:val="0"/>
        </w:numPr>
        <w:rPr>
          <w:rFonts w:hint="eastAsia" w:ascii="宋体" w:hAnsi="宋体" w:cs="宋体"/>
        </w:rPr>
      </w:pPr>
      <w:r>
        <w:rPr>
          <w:rFonts w:hint="eastAsia" w:ascii="宋体" w:hAnsi="宋体" w:cs="宋体"/>
        </w:rPr>
        <w:t xml:space="preserve">第四章 采购需求</w:t>
      </w:r>
      <w:bookmarkEnd w:id="31"/>
      <w:r/>
      <w:r/>
    </w:p>
    <w:p>
      <w:pPr>
        <w:jc w:val="left"/>
        <w:spacing w:before="187" w:after="187" w:line="278" w:lineRule="auto"/>
        <w:rPr>
          <w:rFonts w:hint="eastAsia" w:ascii="等线" w:hAnsi="等线" w:eastAsia="等线"/>
          <w:sz w:val="22"/>
          <w14:ligatures w14:val="standardContextual"/>
        </w:rPr>
      </w:pPr>
      <w:r/>
      <w:bookmarkStart w:id="32" w:name="_Toc481057147"/>
      <w:r>
        <w:rPr>
          <w:rFonts w:ascii="宋体" w:hAnsi="宋体" w:cs="宋体"/>
          <w:b/>
          <w:color w:val="000000"/>
          <w:sz w:val="28"/>
          <w14:ligatures w14:val="standardContextual"/>
        </w:rPr>
        <w:t xml:space="preserve">第一部分 采购清单</w:t>
      </w:r>
      <w:r/>
    </w:p>
    <w:tbl>
      <w:tblPr>
        <w:tblW w:w="9585" w:type="dxa"/>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21"/>
        <w:gridCol w:w="423"/>
        <w:gridCol w:w="1367"/>
        <w:gridCol w:w="1591"/>
        <w:gridCol w:w="851"/>
        <w:gridCol w:w="709"/>
        <w:gridCol w:w="455"/>
        <w:gridCol w:w="537"/>
        <w:gridCol w:w="992"/>
        <w:gridCol w:w="567"/>
        <w:gridCol w:w="709"/>
        <w:gridCol w:w="1363"/>
      </w:tblGrid>
      <w:tr>
        <w:trPr>
          <w:gridAfter w:val="5"/>
          <w:gridBefore w:val="1"/>
          <w:trHeight w:val="570"/>
        </w:trPr>
        <w:tc>
          <w:tcPr>
            <w:gridSpan w:val="6"/>
            <w:shd w:val="clear" w:color="auto" w:fill="ffffff"/>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5396"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报价形式:</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总价 </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单价 </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下浮率 </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其他 </w:t>
            </w:r>
            <w:r/>
          </w:p>
        </w:tc>
      </w:tr>
      <w:tr>
        <w:trPr>
          <w:jc w:val="center"/>
          <w:trHeight w:val="540"/>
        </w:trPr>
        <w:tc>
          <w:tcPr>
            <w:gridSpan w:val="2"/>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444"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367"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591"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规格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851"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数量</w:t>
            </w:r>
            <w:r/>
          </w:p>
        </w:tc>
        <w:tc>
          <w:tcPr>
            <w:gridSpan w:val="2"/>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单价(元)</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估价(元)</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67"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产品要求</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进口</w:t>
            </w:r>
            <w:r/>
          </w:p>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产品</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1363"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核心</w:t>
            </w:r>
            <w:r/>
          </w:p>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产品</w:t>
            </w:r>
            <w:r/>
          </w:p>
        </w:tc>
      </w:tr>
      <w:tr>
        <w:trPr>
          <w:jc w:val="center"/>
          <w:trHeight w:val="360"/>
        </w:trPr>
        <w:tc>
          <w:tcPr>
            <w:gridSpan w:val="2"/>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444"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67" w:type="dxa"/>
            <w:vAlign w:val="center"/>
            <w:textDirection w:val="lrTb"/>
            <w:noWrap w:val="false"/>
          </w:tcPr>
          <w:p>
            <w:pPr>
              <w:jc w:val="left"/>
              <w:spacing w:line="273" w:lineRule="exact"/>
              <w:rPr>
                <w:rFonts w:hint="eastAsia" w:ascii="等线" w:hAnsi="等线" w:eastAsia="等线"/>
                <w:sz w:val="22"/>
                <w14:ligatures w14:val="standardContextual"/>
              </w:rPr>
            </w:pPr>
            <w:r>
              <w:rPr>
                <w:rFonts w:ascii="宋体" w:hAnsi="宋体" w:cs="宋体"/>
                <w:color w:val="000000"/>
                <w14:ligatures w14:val="standardContextual"/>
              </w:rPr>
              <w:t xml:space="preserve">两校区学生宿舍加装火灾自动报警系统</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91"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851"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w:t>
            </w:r>
            <w:r/>
          </w:p>
        </w:tc>
        <w:tc>
          <w:tcPr>
            <w:gridSpan w:val="2"/>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right"/>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1,890,000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right"/>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1,890,000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6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不接受</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363"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独立式光电感烟火灾探测报警器（LoRa）</w:t>
            </w:r>
            <w:r/>
          </w:p>
        </w:tc>
      </w:tr>
      <w:tr>
        <w:trPr>
          <w:jc w:val="center"/>
          <w:trHeight w:val="360"/>
        </w:trPr>
        <w:tc>
          <w:tcPr>
            <w:gridSpan w:val="2"/>
            <w:tcBorders>
              <w:top w:val="single" w:color="auto" w:sz="6" w:space="0"/>
              <w:left w:val="single" w:color="auto" w:sz="12" w:space="0"/>
              <w:bottom w:val="single" w:color="auto" w:sz="12" w:space="0"/>
              <w:right w:val="none" w:color="000000" w:sz="4" w:space="0"/>
            </w:tcBorders>
            <w:tcMar>
              <w:left w:w="20" w:type="dxa"/>
              <w:top w:w="20" w:type="dxa"/>
              <w:right w:w="20" w:type="dxa"/>
              <w:bottom w:w="20" w:type="dxa"/>
            </w:tcMar>
            <w:tcW w:w="444"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合计</w:t>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136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1591"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851"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709"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gridSpan w:val="2"/>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992"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992" w:type="dxa"/>
            <w:vAlign w:val="center"/>
            <w:textDirection w:val="lrTb"/>
            <w:noWrap w:val="false"/>
          </w:tcPr>
          <w:p>
            <w:pPr>
              <w:jc w:val="right"/>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1,890,000</w:t>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56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709"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single" w:color="auto" w:sz="12" w:space="0"/>
            </w:tcBorders>
            <w:tcMar>
              <w:left w:w="20" w:type="dxa"/>
              <w:top w:w="20" w:type="dxa"/>
              <w:right w:w="20" w:type="dxa"/>
              <w:bottom w:w="20" w:type="dxa"/>
            </w:tcMar>
            <w:tcW w:w="136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bl>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第二部分 技术参数（标准）</w:t>
      </w:r>
      <w:r/>
    </w:p>
    <w:p>
      <w:pPr>
        <w:jc w:val="left"/>
        <w:spacing w:line="300" w:lineRule="exact"/>
        <w:rPr>
          <w:rFonts w:hint="eastAsia" w:ascii="等线" w:hAnsi="等线" w:eastAsia="等线"/>
          <w:sz w:val="22"/>
          <w14:ligatures w14:val="standardContextual"/>
        </w:rPr>
      </w:pPr>
      <w:r>
        <w:rPr>
          <w:rFonts w:ascii="宋体" w:hAnsi="宋体" w:cs="宋体"/>
          <w:color w:val="000000"/>
          <w:sz w:val="20"/>
          <w14:ligatures w14:val="standardContextual"/>
        </w:rPr>
        <w:t xml:space="preserve">（包括但不限于：主要用途、技术方案（配置）、工艺要求、技术指标、技术规格以及相关图纸等。）</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根据《教育部办公厅关于印发〈教育系统重大事故隐患判定指南〉的通知》（教发厅函【2024】20号）第三条“消防管理重大事故隐患判定”中直接判定情形第4点要求：未按国家工程建设消防技术标准设置火灾自动报警系统、自动灭火系统、消火栓及防烟排烟系统等，或已设置但不符合标准或不能正常使用的；学生宿舍或午休室未安装火灾自动报警系统或者具有联网功能的独立式火灾探测报警器的，均直接判定为重大事故隐患。</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结合相关法律法规及标准规范和学校两校区宿</w:t>
      </w:r>
      <w:r>
        <w:rPr>
          <w:rFonts w:ascii="宋体" w:hAnsi="宋体" w:cs="宋体"/>
          <w:color w:val="000000"/>
          <w14:ligatures w14:val="standardContextual"/>
        </w:rPr>
        <w:t xml:space="preserve">舍的实际情况，拟对相关区域加装火灾自动报警相关设备，具体如下：在学生宿舍、功能用房内加装感烟火灾探测报警器；在强弱电间（含配电房）内加装可视化感烟型探测器；在学生宿舍楼走廊等公共区域加装火灾声光报警器、手动火灾报警按钮、消防广播等自动报警终端；在宿管值班室加装可视化智能终端（消防一体机）；同时搭建必要的配套设备。上述所有设备需兼容接入学校现有的消安防智慧管理平台；若无法兼容接入，可采用供应商提供的能与我校现有消安防智慧管理平台相融合的第三方智慧管理平台，该平台建成后，相关知识产权及后期使用权限均归校方所有。</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经统计，拟安装火灾自动报警系统的学生宿舍楼共计30栋、4111余间房间，分校区具体统计如下：</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1、石湫校区：共计26栋宿舍楼，其中李园宿舍楼14栋、桃园宿舍楼10栋，后勤2栋及青教公寓2栋（合计2栋），总房间数3301余间。具体分类为：宿舍2930余间、强弱电间（含配电房）304余间、其他功能用房63余间。</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2、草场门校区：共计4栋宿舍楼，分别为树人斋、三味书屋、7号楼、8号楼，总房间数810余间。具体分类为：宿舍774余间、强弱电间（含配电房）49余间、其他功能用房36余间。</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通过本项目实施，切实解决校园消防预警能力不足、宿舍及公共区域火灾隐患防控不到位等问题，缓解校园消防安全管理压力，为全体师生营造安全的住宿、学习和工作环境，保障教学、科研、办公和师生生活等各项工作有序开展，同时满足人才培养过程中对校园安全环境的基础保障需求。</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55"/>
        <w:gridCol w:w="3893"/>
        <w:gridCol w:w="2977"/>
        <w:gridCol w:w="1565"/>
      </w:tblGrid>
      <w:tr>
        <w:trPr>
          <w:jc w:val="center"/>
          <w:trHeight w:val="300"/>
        </w:trPr>
        <w:tc>
          <w:tcPr>
            <w:shd w:val="clear" w:color="auto" w:fill="ffffff"/>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序号</w:t>
            </w:r>
            <w:r/>
          </w:p>
        </w:tc>
        <w:tc>
          <w:tcPr>
            <w:shd w:val="clear" w:color="auto" w:fill="ffffff"/>
            <w:tcW w:w="3893" w:type="dxa"/>
            <w:vAlign w:val="center"/>
            <w:textDirection w:val="lrTb"/>
            <w:noWrap w:val="false"/>
          </w:tcPr>
          <w:p>
            <w:pPr>
              <w:jc w:val="center"/>
              <w:spacing w:after="160" w:line="315" w:lineRule="exact"/>
              <w:rPr>
                <w:rFonts w:hint="eastAsia" w:ascii="等线" w:hAnsi="等线" w:eastAsia="等线"/>
                <w:sz w:val="22"/>
                <w14:ligatures w14:val="standardContextual"/>
              </w:rPr>
            </w:pPr>
            <w:r/>
            <w:bookmarkStart w:id="33" w:name="OLE_LINK22"/>
            <w:r>
              <w:rPr>
                <w:rFonts w:ascii="宋体" w:hAnsi="宋体" w:cs="宋体"/>
                <w:color w:val="000000"/>
                <w14:ligatures w14:val="standardContextual"/>
              </w:rPr>
              <w:t xml:space="preserve">产品名称</w:t>
            </w:r>
            <w:bookmarkEnd w:id="33"/>
            <w:r/>
            <w:r/>
          </w:p>
        </w:tc>
        <w:tc>
          <w:tcPr>
            <w:shd w:val="clear" w:color="auto" w:fill="ffffff"/>
            <w:tcW w:w="2977" w:type="dxa"/>
            <w:vAlign w:val="center"/>
            <w:textDirection w:val="lrTb"/>
            <w:noWrap w:val="false"/>
          </w:tcPr>
          <w:p>
            <w:pPr>
              <w:jc w:val="center"/>
              <w:spacing w:after="160"/>
              <w:rPr>
                <w:rFonts w:hint="eastAsia" w:ascii="等线" w:hAnsi="等线" w:eastAsia="等线"/>
                <w:szCs w:val="21"/>
                <w14:ligatures w14:val="standardContextual"/>
              </w:rPr>
            </w:pPr>
            <w:r>
              <w:rPr>
                <w:rFonts w:ascii="宋体" w:hAnsi="宋体" w:cs="宋体"/>
                <w:color w:val="000000"/>
                <w:szCs w:val="21"/>
                <w14:ligatures w14:val="standardContextual"/>
              </w:rPr>
              <w:t xml:space="preserve">数量</w:t>
            </w:r>
            <w:r/>
          </w:p>
          <w:p>
            <w:pPr>
              <w:jc w:val="center"/>
              <w:spacing w:after="160"/>
              <w:rPr>
                <w:rFonts w:hint="eastAsia" w:ascii="等线" w:hAnsi="等线" w:eastAsia="等线"/>
                <w:sz w:val="22"/>
                <w14:ligatures w14:val="standardContextual"/>
              </w:rPr>
            </w:pPr>
            <w:r>
              <w:rPr>
                <w:rFonts w:ascii="宋体" w:hAnsi="宋体" w:cs="宋体"/>
                <w:color w:val="000000"/>
                <w:szCs w:val="21"/>
                <w14:ligatures w14:val="standardContextual"/>
              </w:rPr>
              <w:t xml:space="preserve">（根据实际需求确定最终数量）</w:t>
            </w:r>
            <w:r/>
          </w:p>
        </w:tc>
        <w:tc>
          <w:tcPr>
            <w:shd w:val="clear" w:color="auto" w:fill="ffffff"/>
            <w:tcW w:w="156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技术要求</w:t>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w:t>
            </w:r>
            <w:r/>
          </w:p>
        </w:tc>
        <w:tc>
          <w:tcPr>
            <w:tcW w:w="3893" w:type="dxa"/>
            <w:vAlign w:val="center"/>
            <w:textDirection w:val="lrTb"/>
            <w:noWrap w:val="false"/>
          </w:tcPr>
          <w:p>
            <w:pPr>
              <w:jc w:val="left"/>
              <w:spacing w:after="160" w:line="278" w:lineRule="auto"/>
              <w:rPr>
                <w:rFonts w:hint="eastAsia" w:ascii="宋体" w:hAnsi="宋体" w:cs="宋体"/>
                <w:b/>
                <w:bCs/>
                <w:color w:val="000000"/>
                <w14:ligatures w14:val="standardContextual"/>
              </w:rPr>
            </w:pPr>
            <w:r>
              <w:rPr>
                <w:rFonts w:ascii="宋体" w:hAnsi="宋体" w:cs="宋体"/>
                <w:color w:val="000000"/>
                <w14:ligatures w14:val="standardContextual"/>
              </w:rPr>
              <w:t xml:space="preserve">独立式光电感烟火灾探测报警器（LoRa）</w:t>
            </w:r>
            <w:r>
              <w:rPr>
                <w:rFonts w:hint="eastAsia" w:ascii="宋体" w:hAnsi="宋体" w:cs="宋体"/>
                <w:b/>
                <w:bCs/>
                <w:color w:val="000000"/>
                <w14:ligatures w14:val="standardContextual"/>
              </w:rPr>
              <w:t xml:space="preserve">（核心产品）</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4200台</w:t>
            </w:r>
            <w:r/>
          </w:p>
        </w:tc>
        <w:tc>
          <w:tcPr>
            <w:tcW w:w="1565" w:type="dxa"/>
            <w:vAlign w:val="center"/>
            <w:vMerge w:val="restart"/>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详见技术参数</w:t>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手动火灾报警按钮（LoRa）</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539台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3</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火灾声光报警器（LoRa）</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539台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4</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消防扬声器</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188台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5</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消防广播一体机</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12台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6</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可视化感烟型探测器</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353台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7</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LoRa消防网关（以太网）</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188台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8</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宿管站可视化智能终端及控制软件（消防一体机）</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12台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9</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PoE交换机</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95台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10</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服务器</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11</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智慧消安防管理系统（平台）</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1套</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12</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辅材</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1项</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13</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安装费</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1项</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bl>
    <w:p>
      <w:pPr>
        <w:ind w:firstLine="220"/>
        <w:jc w:val="left"/>
        <w:spacing w:after="160" w:line="315"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ind w:firstLine="220"/>
        <w:jc w:val="left"/>
        <w:spacing w:after="160" w:line="315"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tbl>
      <w:tblPr>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086"/>
        <w:gridCol w:w="1562"/>
        <w:gridCol w:w="5992"/>
      </w:tblGrid>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序号</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名称</w:t>
            </w:r>
            <w:r/>
          </w:p>
        </w:tc>
        <w:tc>
          <w:tcPr>
            <w:shd w:val="clear" w:color="auto" w:fill="ffffff"/>
            <w:tcW w:w="599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技术参数</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w:t>
            </w:r>
            <w:r/>
          </w:p>
        </w:tc>
        <w:tc>
          <w:tcPr>
            <w:shd w:val="clear" w:color="auto" w:fill="ffffff"/>
            <w:tcW w:w="1562" w:type="dxa"/>
            <w:vAlign w:val="center"/>
            <w:textDirection w:val="lrTb"/>
            <w:noWrap w:val="false"/>
          </w:tcPr>
          <w:p>
            <w:pPr>
              <w:jc w:val="center"/>
              <w:spacing w:after="160" w:line="337" w:lineRule="exact"/>
              <w:rPr>
                <w:rFonts w:hint="eastAsia" w:ascii="等线" w:hAnsi="等线"/>
                <w:sz w:val="22"/>
                <w14:ligatures w14:val="standardContextual"/>
              </w:rPr>
            </w:pPr>
            <w:r>
              <w:rPr>
                <w:rFonts w:ascii="宋体" w:hAnsi="宋体" w:cs="宋体"/>
                <w:color w:val="000000"/>
                <w:sz w:val="22"/>
                <w14:ligatures w14:val="standardContextual"/>
              </w:rPr>
              <w:t xml:space="preserve">独立式光电感烟火灾探测报警器（LoRa）</w:t>
            </w:r>
            <w:r>
              <w:rPr>
                <w:rFonts w:hint="eastAsia" w:ascii="宋体" w:hAnsi="宋体" w:cs="宋体"/>
                <w:b/>
                <w:bCs/>
                <w:color w:val="000000"/>
                <w:sz w:val="22"/>
                <w14:ligatures w14:val="standardContextual"/>
              </w:rPr>
              <w:t xml:space="preserve">（核心产品）</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w:t>
            </w:r>
            <w:r>
              <w:rPr>
                <w:rFonts w:ascii="宋体" w:hAnsi="宋体" w:cs="宋体"/>
                <w:color w:val="000000"/>
                <w:sz w:val="22"/>
                <w14:ligatures w14:val="standardContextual"/>
              </w:rPr>
              <w:t xml:space="preserve">1. </w:t>
            </w:r>
            <w:r>
              <w:rPr>
                <w:rFonts w:hint="eastAsia" w:ascii="宋体" w:hAnsi="宋体" w:cs="宋体"/>
                <w:color w:val="000000"/>
                <w:sz w:val="22"/>
                <w14:ligatures w14:val="standardContextual"/>
              </w:rPr>
              <w:t xml:space="preserve">产品需符合GB 20517-2006《独立式感烟火灾探测报警器》要求，取得应急管理部消防产品合格评定中心出具的强制性产品认证证书</w:t>
            </w:r>
            <w:r>
              <w:rPr>
                <w:rFonts w:hint="eastAsia" w:ascii="宋体" w:hAnsi="宋体" w:cs="宋体"/>
                <w:b/>
                <w:bCs/>
                <w:color w:val="000000"/>
                <w:sz w:val="22"/>
                <w14:ligatures w14:val="standardContextual"/>
              </w:rPr>
              <w:t xml:space="preserve">（提供应急管理部消防产品合格评定中心出具的强制性产品认证证书复印件）</w:t>
            </w:r>
            <w:r>
              <w:rPr>
                <w:rFonts w:ascii="宋体" w:hAnsi="宋体" w:cs="宋体"/>
                <w:color w:val="000000"/>
                <w:sz w:val="22"/>
                <w14:ligatures w14:val="standardContextual"/>
              </w:rPr>
              <w:t xml:space="preserve">；</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通讯方式：LoRa；</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工作原理：光电式；</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工作电压：DC 3.0V（锂电池）；</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工作电流：静态电流≤14μA；</w:t>
            </w:r>
            <w:r/>
          </w:p>
          <w:p>
            <w:pPr>
              <w:jc w:val="left"/>
              <w:spacing w:line="279" w:lineRule="auto"/>
              <w:rPr>
                <w:rFonts w:hint="eastAsia" w:ascii="等线" w:hAnsi="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报警电流：≤</w:t>
            </w: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0mA；</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报警方式：声光报警；</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报警音量：≥8</w:t>
            </w:r>
            <w:r>
              <w:rPr>
                <w:rFonts w:hint="eastAsia" w:ascii="宋体" w:hAnsi="宋体" w:cs="宋体"/>
                <w:color w:val="000000"/>
                <w:sz w:val="22"/>
                <w14:ligatures w14:val="standardContextual"/>
              </w:rPr>
              <w:t xml:space="preserve">0</w:t>
            </w:r>
            <w:r>
              <w:rPr>
                <w:rFonts w:ascii="宋体" w:hAnsi="宋体" w:cs="宋体"/>
                <w:color w:val="000000"/>
                <w:sz w:val="22"/>
                <w14:ligatures w14:val="standardContextual"/>
              </w:rPr>
              <w:t xml:space="preserve">dB@3m（A计权）；</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报警分类：火灾报警、低压报警、故障报警、防拆报警；</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探测范围：40m</w:t>
            </w:r>
            <w:r>
              <w:rPr>
                <w:rFonts w:ascii="宋体" w:hAnsi="宋体" w:cs="宋体"/>
                <w:color w:val="000000"/>
                <w:sz w:val="22"/>
                <w:vertAlign w:val="superscript"/>
                <w14:ligatures w14:val="standardContextual"/>
              </w:rPr>
              <w:t xml:space="preserve">2</w:t>
            </w:r>
            <w:r>
              <w:rPr>
                <w:rFonts w:ascii="宋体" w:hAnsi="宋体" w:cs="宋体"/>
                <w:color w:val="000000"/>
                <w:sz w:val="22"/>
                <w14:ligatures w14:val="standardContextual"/>
              </w:rPr>
              <w:t xml:space="preserve">～60m</w:t>
            </w:r>
            <w:r>
              <w:rPr>
                <w:rFonts w:ascii="宋体" w:hAnsi="宋体" w:cs="宋体"/>
                <w:color w:val="000000"/>
                <w:sz w:val="22"/>
                <w:vertAlign w:val="superscript"/>
                <w14:ligatures w14:val="standardContextual"/>
              </w:rPr>
              <w:t xml:space="preserve">2</w:t>
            </w:r>
            <w:r>
              <w:rPr>
                <w:rFonts w:ascii="宋体" w:hAnsi="宋体" w:cs="宋体"/>
                <w:color w:val="000000"/>
                <w:sz w:val="22"/>
                <w14:ligatures w14:val="standardContextual"/>
              </w:rPr>
              <w:t xml:space="preserve">（高度小于8m）；</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电池使用寿命：≥5年；</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工作温度：-10℃～55℃；</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13</w:t>
            </w:r>
            <w:r>
              <w:rPr>
                <w:rFonts w:ascii="宋体" w:hAnsi="宋体" w:cs="宋体"/>
                <w:color w:val="000000"/>
                <w:sz w:val="22"/>
                <w14:ligatures w14:val="standardContextual"/>
              </w:rPr>
              <w:t xml:space="preserve">. 相对湿度：≤95%</w:t>
            </w:r>
            <w:r>
              <w:rPr>
                <w:rFonts w:hint="eastAsia" w:ascii="宋体" w:hAnsi="宋体" w:cs="宋体"/>
                <w:color w:val="000000"/>
                <w:sz w:val="22"/>
                <w14:ligatures w14:val="standardContextual"/>
              </w:rPr>
              <w:t xml:space="preserve">（不结露）</w:t>
            </w:r>
            <w:r>
              <w:rPr>
                <w:rFonts w:ascii="宋体" w:hAnsi="宋体" w:cs="宋体"/>
                <w:color w:val="000000"/>
                <w:sz w:val="22"/>
                <w14:ligatures w14:val="standardContextual"/>
              </w:rPr>
              <w:t xml:space="preserve">；</w:t>
            </w:r>
            <w:r/>
          </w:p>
          <w:p>
            <w:pPr>
              <w:jc w:val="left"/>
              <w:spacing w:line="279" w:lineRule="auto"/>
              <w:rPr>
                <w:rFonts w:hint="eastAsia" w:ascii="等线" w:hAnsi="等线"/>
                <w:sz w:val="22"/>
                <w14:ligatures w14:val="standardContextual"/>
              </w:rPr>
            </w:pPr>
            <w:r>
              <w:rPr>
                <w:rFonts w:ascii="宋体" w:hAnsi="宋体" w:cs="宋体"/>
                <w:color w:val="000000"/>
                <w14:ligatures w14:val="standardContextual"/>
              </w:rPr>
              <w:t xml:space="preserve">▲</w:t>
            </w:r>
            <w:r>
              <w:rPr>
                <w:rFonts w:hint="eastAsia" w:ascii="宋体" w:hAnsi="宋体" w:cs="宋体"/>
                <w:color w:val="000000"/>
                <w:sz w:val="22"/>
                <w14:ligatures w14:val="standardContextual"/>
              </w:rPr>
              <w:t xml:space="preserve">14</w:t>
            </w:r>
            <w:r>
              <w:rPr>
                <w:rFonts w:ascii="宋体" w:hAnsi="宋体" w:cs="宋体"/>
                <w:color w:val="000000"/>
                <w:sz w:val="22"/>
                <w14:ligatures w14:val="standardContextual"/>
              </w:rPr>
              <w:t xml:space="preserve">.支持信号强度查询：支持当烟感和物联网消防报警网关互通配对后，可通过烟感探测器，查看烟感的无线信号强弱，指示灯绿色表示信号强适宜安装；指示灯红色表示信号弱，不适合安装；</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2</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手动火灾报警按钮（LoRa）</w:t>
            </w:r>
            <w:r/>
          </w:p>
        </w:tc>
        <w:tc>
          <w:tcPr>
            <w:shd w:val="clear" w:color="auto" w:fill="ffffff"/>
            <w:tcW w:w="5992" w:type="dxa"/>
            <w:vAlign w:val="center"/>
            <w:textDirection w:val="lrTb"/>
            <w:noWrap w:val="false"/>
          </w:tcPr>
          <w:p>
            <w:pPr>
              <w:jc w:val="left"/>
              <w:spacing w:line="278" w:lineRule="auto"/>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1. 产品需符合GB 19880-2005《手动火灾报警按钮》要求，取得应急管理部消防产品合格评定中心出具的强制性产品认证证书。</w:t>
            </w:r>
            <w:r>
              <w:rPr>
                <w:rFonts w:hint="eastAsia" w:ascii="宋体" w:hAnsi="宋体" w:cs="宋体"/>
                <w:b/>
                <w:bCs/>
                <w:color w:val="000000"/>
                <w:sz w:val="22"/>
                <w14:ligatures w14:val="standardContextual"/>
              </w:rPr>
              <w:t xml:space="preserve">（提供应急管理部消防产品合格评定中心出具的强制性产品认证证书复印件）</w:t>
            </w:r>
            <w:r>
              <w:rPr>
                <w:rFonts w:ascii="宋体" w:hAnsi="宋体" w:cs="宋体"/>
                <w:color w:val="000000"/>
                <w:sz w:val="22"/>
                <w14:ligatures w14:val="standardContextual"/>
              </w:rPr>
              <w:t xml:space="preserve">；</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电池使用寿命：≥5年；</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工作电流：待机状态≤5μA；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报警电流：≤75mA；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通讯方式：LoRa；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报警指示灯：4个（火警、电话、通讯、故障）；</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功能：支持钥匙复位、信号查询、防拆报警、欠压报警；</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 </w:t>
            </w:r>
            <w:r>
              <w:rPr>
                <w:rFonts w:ascii="宋体" w:hAnsi="宋体" w:cs="宋体"/>
                <w:color w:val="000000"/>
                <w:sz w:val="22"/>
                <w14:ligatures w14:val="standardContextual"/>
              </w:rPr>
              <w:t xml:space="preserve">工作温度：-10℃～55℃；</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相对湿度：≤95%（不结露）；</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3</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火灾声光报警器（LoRa）</w:t>
            </w:r>
            <w:r/>
          </w:p>
        </w:tc>
        <w:tc>
          <w:tcPr>
            <w:shd w:val="clear" w:color="auto" w:fill="ffffff"/>
            <w:tcW w:w="5992" w:type="dxa"/>
            <w:vAlign w:val="center"/>
            <w:textDirection w:val="lrTb"/>
            <w:noWrap w:val="false"/>
          </w:tcPr>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产品需符合GB 26851-2011《火灾声和/或光警报器》要求，取得应急管理部消防产品合格评定中心出具的强制性产品认证证书</w:t>
            </w:r>
            <w:r>
              <w:rPr>
                <w:rFonts w:ascii="宋体" w:hAnsi="宋体" w:cs="宋体"/>
                <w:b/>
                <w:color w:val="000000"/>
                <w:sz w:val="22"/>
                <w14:ligatures w14:val="standardContextual"/>
              </w:rPr>
              <w:t xml:space="preserve">（提供应急管理部消防产品合格评定中心出具的强制性产品认证证书复印件</w:t>
            </w:r>
            <w:r>
              <w:rPr>
                <w:rFonts w:hint="eastAsia" w:ascii="宋体" w:hAnsi="宋体" w:cs="宋体"/>
                <w:b/>
                <w:color w:val="000000"/>
                <w:sz w:val="22"/>
                <w14:ligatures w14:val="standardContextual"/>
              </w:rPr>
              <w:t xml:space="preserve">）</w:t>
            </w:r>
            <w:r>
              <w:rPr>
                <w:rFonts w:hint="eastAsia" w:ascii="宋体" w:hAnsi="宋体" w:cs="宋体"/>
                <w:color w:val="000000"/>
                <w:sz w:val="22"/>
                <w14:ligatures w14:val="standardContextual"/>
              </w:rPr>
              <w:t xml:space="preserve">；</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供电：主电DC 12V～28V；</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备电：锂电池，容量≥2400mAh；</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4. 电池使用寿命：待机状态≥5年；</w:t>
            </w:r>
            <w:r/>
          </w:p>
          <w:p>
            <w:pPr>
              <w:jc w:val="left"/>
              <w:spacing w:line="278" w:lineRule="auto"/>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5. 工作电流：待机状态≤5μA，报警状态≤100mA；</w:t>
            </w:r>
            <w:r/>
          </w:p>
          <w:p>
            <w:pPr>
              <w:jc w:val="left"/>
              <w:spacing w:line="278" w:lineRule="auto"/>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6. 工作温度：-10℃</w:t>
            </w: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55℃；</w:t>
            </w:r>
            <w:r/>
          </w:p>
          <w:p>
            <w:pPr>
              <w:jc w:val="left"/>
              <w:spacing w:line="278" w:lineRule="auto"/>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7. 工作湿度：≤95%</w:t>
            </w:r>
            <w:r>
              <w:rPr>
                <w:rFonts w:ascii="宋体" w:hAnsi="宋体" w:cs="宋体"/>
                <w:color w:val="000000"/>
                <w:sz w:val="22"/>
                <w14:ligatures w14:val="standardContextual"/>
              </w:rPr>
              <w:t xml:space="preserve">（不结露）</w:t>
            </w:r>
            <w:r>
              <w:rPr>
                <w:rFonts w:hint="eastAsia" w:ascii="宋体" w:hAnsi="宋体" w:cs="宋体"/>
                <w:color w:val="000000"/>
                <w:sz w:val="22"/>
                <w14:ligatures w14:val="standardContextual"/>
              </w:rPr>
              <w:t xml:space="preserve">；</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通讯方式：LoRa；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报警音量：≥85dB@3m（A计权）；</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报警指示灯：3个（启动、通讯、故障）；其中报警为红色、通讯/信号/对码状态为绿色、故障为黄色；</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闪光频率：1Hz～2Hz；</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变调周期：3s～5s；</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13</w:t>
            </w:r>
            <w:r>
              <w:rPr>
                <w:rFonts w:ascii="宋体" w:hAnsi="宋体" w:cs="宋体"/>
                <w:color w:val="000000"/>
                <w:sz w:val="22"/>
                <w14:ligatures w14:val="standardContextual"/>
              </w:rPr>
              <w:t xml:space="preserve">. 功能：支持信号查询、远程消警、防拆报警、欠压报警；</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4</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消防扬声器</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额定功率：5W；</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工作温度：温度0℃～40℃；</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工作相对湿度：≤95%</w:t>
            </w:r>
            <w:r>
              <w:rPr>
                <w:rFonts w:hint="eastAsia" w:ascii="宋体" w:hAnsi="宋体" w:cs="宋体"/>
                <w:color w:val="000000"/>
                <w:sz w:val="22"/>
                <w14:ligatures w14:val="standardContextual"/>
              </w:rPr>
              <w:t xml:space="preserve">（不结露）</w:t>
            </w:r>
            <w:r>
              <w:rPr>
                <w:rFonts w:ascii="宋体" w:hAnsi="宋体" w:cs="宋体"/>
                <w:color w:val="000000"/>
                <w:sz w:val="22"/>
                <w14:ligatures w14:val="standardContextual"/>
              </w:rPr>
              <w:t xml:space="preserve">；</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5</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消防广播一体机</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安装方式：壁挂式安装；</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通讯方式：可选择RS485与控制器进行通信，采用两总线控制；</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线路连接：总机与电话分机及电话插孔之间采用两总线连接；</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广播控制器工作电压：AC 220V；</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工作电流：额定负载≤1.4A，空载≤130mA；</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失真度：&lt;5%；</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信噪比：≥70dB；</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信号输出：120V定压输出；</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w:t>
            </w:r>
            <w:r>
              <w:rPr>
                <w:rFonts w:hint="eastAsia" w:ascii="宋体" w:hAnsi="宋体" w:cs="宋体"/>
                <w:color w:val="000000"/>
                <w:sz w:val="22"/>
                <w14:ligatures w14:val="standardContextual"/>
              </w:rPr>
              <w:t xml:space="preserve">工作</w:t>
            </w:r>
            <w:r>
              <w:rPr>
                <w:rFonts w:ascii="宋体" w:hAnsi="宋体" w:cs="宋体"/>
                <w:color w:val="000000"/>
                <w:sz w:val="22"/>
                <w14:ligatures w14:val="standardContextual"/>
              </w:rPr>
              <w:t xml:space="preserve">温度：0℃～40℃；</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w:t>
            </w:r>
            <w:r>
              <w:rPr>
                <w:rFonts w:hint="eastAsia" w:ascii="宋体" w:hAnsi="宋体" w:cs="宋体"/>
                <w:color w:val="000000"/>
                <w:sz w:val="22"/>
                <w14:ligatures w14:val="standardContextual"/>
              </w:rPr>
              <w:t xml:space="preserve">工作</w:t>
            </w:r>
            <w:r>
              <w:rPr>
                <w:rFonts w:ascii="宋体" w:hAnsi="宋体" w:cs="宋体"/>
                <w:color w:val="000000"/>
                <w:sz w:val="22"/>
                <w14:ligatures w14:val="standardContextual"/>
              </w:rPr>
              <w:t xml:space="preserve">湿度：≤95%</w:t>
            </w:r>
            <w:r>
              <w:rPr>
                <w:rFonts w:hint="eastAsia" w:ascii="宋体" w:hAnsi="宋体" w:cs="宋体"/>
                <w:color w:val="000000"/>
                <w:sz w:val="22"/>
                <w14:ligatures w14:val="standardContextual"/>
              </w:rPr>
              <w:t xml:space="preserve">（不结露）</w:t>
            </w:r>
            <w:r>
              <w:rPr>
                <w:rFonts w:ascii="宋体" w:hAnsi="宋体" w:cs="宋体"/>
                <w:color w:val="000000"/>
                <w:sz w:val="22"/>
                <w14:ligatures w14:val="standardContextual"/>
              </w:rPr>
              <w:t xml:space="preserve">；</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6</w:t>
            </w:r>
            <w:r/>
          </w:p>
        </w:tc>
        <w:tc>
          <w:tcPr>
            <w:shd w:val="clear" w:color="auto" w:fill="ffffff"/>
            <w:tcW w:w="1562"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可视化感烟型探测器</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烟雾和视频二合一，可探测烟雾和温度进行报警；</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分辨率：400万像素（2560×1440@25 fps），可输出实时图像；</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可配置视频智能分析，辅助火情判断和消防安全隐患识别；</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4. 具备实时视频弹窗、报警信息叠加功能，支持报警实时推送至手机APP；</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5. 支持报警事件和设备状态信息上报；</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6. 支持外部DC 12V供电，停电时自动切换至电池供电，烟雾探测报警器可正常工作；</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7. 支持烟雾报警时联动生成报警图片和报警录像；</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配备高效红外灯，照射距离可达15米；</w:t>
            </w:r>
            <w:r/>
          </w:p>
          <w:p>
            <w:pPr>
              <w:jc w:val="left"/>
              <w:spacing w:line="279" w:lineRule="auto"/>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支持Smart265、H.265或其他同等级高效视频编码方式</w:t>
            </w:r>
            <w:r>
              <w:rPr>
                <w:rFonts w:hint="eastAsia" w:ascii="宋体" w:hAnsi="宋体" w:cs="宋体"/>
                <w:color w:val="000000"/>
                <w:sz w:val="22"/>
                <w14:ligatures w14:val="standardContextual"/>
              </w:rPr>
              <w:t xml:space="preserve">，</w:t>
            </w:r>
            <w:r>
              <w:rPr>
                <w:rFonts w:ascii="宋体" w:hAnsi="宋体" w:cs="宋体"/>
                <w:color w:val="000000"/>
                <w:sz w:val="22"/>
                <w14:ligatures w14:val="standardContextual"/>
              </w:rPr>
              <w:t xml:space="preserve">在保证图像清晰度满足应用需求的前提下，应具备较低码流及存储占用能力；</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支持1路报警输入和1路报警输出；</w:t>
            </w:r>
            <w:r/>
          </w:p>
          <w:p>
            <w:pPr>
              <w:jc w:val="left"/>
              <w:spacing w:line="279" w:lineRule="auto"/>
              <w:rPr>
                <w:rFonts w:hint="eastAsia" w:ascii="等线" w:hAnsi="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设备摄像头的水平视场角不小于</w:t>
            </w:r>
            <w:r>
              <w:rPr>
                <w:rFonts w:hint="eastAsia" w:ascii="宋体" w:hAnsi="宋体" w:cs="宋体"/>
                <w:color w:val="000000"/>
                <w:sz w:val="22"/>
                <w14:ligatures w14:val="standardContextual"/>
              </w:rPr>
              <w:t xml:space="preserve">120</w:t>
            </w:r>
            <w:r>
              <w:rPr>
                <w:rFonts w:ascii="宋体" w:hAnsi="宋体" w:cs="宋体"/>
                <w:color w:val="000000"/>
                <w:sz w:val="22"/>
                <w14:ligatures w14:val="standardContextual"/>
              </w:rPr>
              <w:t xml:space="preserve">°，设备摄像头的垂直视场角不小于</w:t>
            </w:r>
            <w:r>
              <w:rPr>
                <w:rFonts w:hint="eastAsia" w:ascii="宋体" w:hAnsi="宋体" w:cs="宋体"/>
                <w:color w:val="000000"/>
                <w:sz w:val="22"/>
                <w14:ligatures w14:val="standardContextual"/>
              </w:rPr>
              <w:t xml:space="preserve">75</w:t>
            </w: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，对焦视场角不小于140</w:t>
            </w: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声光报警：在距离设备3m远处，蜂鸣器报警时的信号声压级应≥85dB（A），支持检测到报警后，在视频上叠加报警类型。</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7</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LoRa消防网关（以太网）</w:t>
            </w:r>
            <w:r/>
          </w:p>
        </w:tc>
        <w:tc>
          <w:tcPr>
            <w:shd w:val="clear" w:color="auto" w:fill="ffffff"/>
            <w:tcW w:w="5992" w:type="dxa"/>
            <w:vAlign w:val="center"/>
            <w:textDirection w:val="lrTb"/>
            <w:noWrap w:val="false"/>
          </w:tcPr>
          <w:p>
            <w:pPr>
              <w:jc w:val="left"/>
              <w:spacing w:line="315" w:lineRule="exact"/>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1</w:t>
            </w:r>
            <w:r>
              <w:rPr>
                <w:rFonts w:ascii="宋体" w:hAnsi="宋体" w:cs="宋体"/>
                <w:color w:val="000000"/>
                <w:sz w:val="22"/>
                <w14:ligatures w14:val="standardContextual"/>
              </w:rPr>
              <w:t xml:space="preserve">. 网关的无线信号必须能够覆盖全部接入的无线报警设备，确保每一台设备在其安装位置均能与网关建立稳定、可靠的双向通信</w:t>
            </w:r>
            <w:r>
              <w:rPr>
                <w:rFonts w:hint="eastAsia" w:ascii="宋体" w:hAnsi="宋体" w:cs="宋体"/>
                <w:color w:val="000000"/>
                <w:sz w:val="22"/>
                <w14:ligatures w14:val="standardContextual"/>
              </w:rPr>
              <w:t xml:space="preserve">。</w:t>
            </w:r>
            <w:r/>
          </w:p>
          <w:p>
            <w:pPr>
              <w:jc w:val="left"/>
              <w:spacing w:line="315" w:lineRule="exact"/>
              <w:rPr>
                <w:rFonts w:hint="eastAsia" w:ascii="宋体" w:hAnsi="宋体" w:cs="宋体"/>
                <w:color w:val="000000"/>
                <w:sz w:val="22"/>
                <w14:ligatures w14:val="standardContextual"/>
              </w:rPr>
            </w:pPr>
            <w:r>
              <w:rPr>
                <w:rFonts w:ascii="宋体" w:hAnsi="宋体" w:cs="宋体"/>
                <w:color w:val="000000"/>
                <w14:ligatures w14:val="standardContextual"/>
              </w:rPr>
              <w:t xml:space="preserve">▲</w:t>
            </w: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网关支持</w:t>
            </w:r>
            <w:r>
              <w:rPr>
                <w:rFonts w:hint="eastAsia" w:ascii="宋体" w:hAnsi="宋体" w:cs="宋体"/>
                <w:color w:val="000000"/>
                <w:sz w:val="22"/>
                <w14:ligatures w14:val="standardContextual"/>
              </w:rPr>
              <w:t xml:space="preserve">本地</w:t>
            </w:r>
            <w:r>
              <w:rPr>
                <w:rFonts w:ascii="宋体" w:hAnsi="宋体" w:cs="宋体"/>
                <w:color w:val="000000"/>
                <w:sz w:val="22"/>
                <w14:ligatures w14:val="standardContextual"/>
              </w:rPr>
              <w:t xml:space="preserve">中文信息</w:t>
            </w:r>
            <w:r>
              <w:rPr>
                <w:rFonts w:hint="eastAsia" w:ascii="宋体" w:hAnsi="宋体" w:cs="宋体"/>
                <w:color w:val="000000"/>
                <w:sz w:val="22"/>
                <w14:ligatures w14:val="standardContextual"/>
              </w:rPr>
              <w:t xml:space="preserve">显示</w:t>
            </w:r>
            <w:r>
              <w:rPr>
                <w:rFonts w:ascii="宋体" w:hAnsi="宋体" w:cs="宋体"/>
                <w:color w:val="000000"/>
                <w:sz w:val="22"/>
                <w14:ligatures w14:val="standardContextual"/>
              </w:rPr>
              <w:t xml:space="preserve">，可展示设备安装位置、设备序列号、警情时间、传感器实时状态及事件触发与恢复记录；网关可监测自身主备电、有线/无线网络、通讯串口、设备防拆等异常，并于本地屏幕中文弹窗显示故障内容；同时可实时监测前端烟感、手动报警按钮、声光警报等终端设备，针对防拆触发、电池欠压、主备电故障、设备离线等异常情况，生成故障告警。</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工作电压：DC 12V；</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上行通讯：以太网；</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下行通讯：LoRa；</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w:t>
            </w:r>
            <w:r>
              <w:rPr>
                <w:rFonts w:hint="eastAsia" w:ascii="宋体" w:hAnsi="宋体" w:cs="宋体"/>
                <w:color w:val="000000"/>
                <w:sz w:val="22"/>
                <w14:ligatures w14:val="standardContextual"/>
              </w:rPr>
              <w:t xml:space="preserve">带载</w:t>
            </w:r>
            <w:r>
              <w:rPr>
                <w:rFonts w:ascii="宋体" w:hAnsi="宋体" w:cs="宋体"/>
                <w:color w:val="000000"/>
                <w:sz w:val="22"/>
                <w14:ligatures w14:val="standardContextual"/>
              </w:rPr>
              <w:t xml:space="preserve">数量：</w:t>
            </w:r>
            <w:r>
              <w:rPr>
                <w:rFonts w:hint="eastAsia" w:ascii="宋体" w:hAnsi="宋体" w:cs="宋体"/>
                <w:color w:val="000000"/>
                <w:sz w:val="22"/>
                <w14:ligatures w14:val="standardContextual"/>
              </w:rPr>
              <w:t xml:space="preserve">≥100</w:t>
            </w:r>
            <w:r>
              <w:rPr>
                <w:rFonts w:ascii="宋体" w:hAnsi="宋体" w:cs="宋体"/>
                <w:color w:val="000000"/>
                <w:sz w:val="22"/>
                <w14:ligatures w14:val="standardContextual"/>
              </w:rPr>
              <w:t xml:space="preserve"> 个；</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报警声压：</w:t>
            </w:r>
            <w:r>
              <w:rPr>
                <w:rFonts w:hint="eastAsia" w:ascii="宋体" w:hAnsi="宋体" w:cs="宋体"/>
                <w:color w:val="000000"/>
                <w:sz w:val="22"/>
                <w14:ligatures w14:val="standardContextual"/>
              </w:rPr>
              <w:t xml:space="preserve">≥</w:t>
            </w:r>
            <w:r>
              <w:rPr>
                <w:rFonts w:ascii="宋体" w:hAnsi="宋体" w:cs="宋体"/>
                <w:color w:val="000000"/>
                <w:sz w:val="22"/>
                <w14:ligatures w14:val="standardContextual"/>
              </w:rPr>
              <w:t xml:space="preserve">75dB（A）@1m；</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备电：主电断电后，备电可使用</w:t>
            </w: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小时以上；</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工作温度：-10℃～</w:t>
            </w:r>
            <w:r>
              <w:rPr>
                <w:rFonts w:hint="eastAsia" w:ascii="宋体" w:hAnsi="宋体" w:cs="宋体"/>
                <w:color w:val="000000"/>
                <w:sz w:val="22"/>
                <w14:ligatures w14:val="standardContextual"/>
              </w:rPr>
              <w:t xml:space="preserve">60</w:t>
            </w:r>
            <w:r>
              <w:rPr>
                <w:rFonts w:ascii="宋体" w:hAnsi="宋体" w:cs="宋体"/>
                <w:color w:val="000000"/>
                <w:sz w:val="22"/>
                <w14:ligatures w14:val="standardContextual"/>
              </w:rPr>
              <w:t xml:space="preserve">℃；</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工作湿度：≤95% （无凝露）；</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屏幕显示：LCD 屏中文显示，支持报警中文显示及信号强</w:t>
            </w:r>
            <w:r>
              <w:rPr>
                <w:rFonts w:ascii="宋体" w:hAnsi="宋体" w:cs="宋体"/>
                <w:color w:val="000000"/>
                <w:sz w:val="22"/>
                <w14:ligatures w14:val="standardContextual"/>
              </w:rPr>
              <w:t xml:space="preserve">弱指示；</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用户管理：支持安装员、管理员、操作员三级用户权限管理；</w:t>
            </w:r>
            <w:r/>
          </w:p>
          <w:p>
            <w:pPr>
              <w:jc w:val="left"/>
              <w:spacing w:line="315" w:lineRule="exact"/>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13</w:t>
            </w:r>
            <w:r>
              <w:rPr>
                <w:rFonts w:ascii="宋体" w:hAnsi="宋体" w:cs="宋体"/>
                <w:color w:val="000000"/>
                <w:sz w:val="22"/>
                <w14:ligatures w14:val="standardContextual"/>
              </w:rPr>
              <w:t xml:space="preserve">. 支持历史事件日志本地存储查询；</w:t>
            </w:r>
            <w:r/>
          </w:p>
          <w:p>
            <w:pPr>
              <w:jc w:val="left"/>
              <w:spacing w:line="315" w:lineRule="exact"/>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14. 网关应具备无线设备的注册注销、故障点替换功能以及设备防拆、倾倒等状态检测功能；网关应兼容LoRaWAN协议（版本≥1.0.2），具备无线信道质量评估、干扰分析及动态信道优化能力；</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15</w:t>
            </w:r>
            <w:r>
              <w:rPr>
                <w:rFonts w:ascii="宋体" w:hAnsi="宋体" w:cs="宋体"/>
                <w:color w:val="000000"/>
                <w:sz w:val="22"/>
                <w14:ligatures w14:val="standardContextual"/>
              </w:rPr>
              <w:t xml:space="preserve">. 安全功能：支持 AES128 加密、防拆报警；</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8</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宿管站可视化智能终端及控制软件（消防一体机）</w:t>
            </w:r>
            <w:r/>
          </w:p>
        </w:tc>
        <w:tc>
          <w:tcPr>
            <w:shd w:val="clear" w:color="auto" w:fill="ffffff"/>
            <w:tcW w:w="5992" w:type="dxa"/>
            <w:vAlign w:val="center"/>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 </w:t>
            </w:r>
            <w:r>
              <w:rPr>
                <w:rFonts w:hint="eastAsia" w:ascii="宋体" w:hAnsi="宋体" w:cs="宋体"/>
                <w:color w:val="000000"/>
                <w14:ligatures w14:val="standardContextual"/>
              </w:rPr>
              <w:t xml:space="preserve">设备应配置</w:t>
            </w:r>
            <w:r>
              <w:rPr>
                <w:rFonts w:ascii="宋体" w:hAnsi="宋体" w:cs="宋体"/>
                <w:color w:val="000000"/>
                <w14:ligatures w14:val="standardContextual"/>
              </w:rPr>
              <w:t xml:space="preserve">DDR4内存</w:t>
            </w:r>
            <w:r>
              <w:rPr>
                <w:rFonts w:hint="eastAsia" w:ascii="宋体" w:hAnsi="宋体" w:cs="宋体"/>
                <w:color w:val="000000"/>
                <w14:ligatures w14:val="standardContextual"/>
              </w:rPr>
              <w:t xml:space="preserve">，且内存容量</w:t>
            </w:r>
            <w:r>
              <w:rPr>
                <w:rFonts w:ascii="宋体" w:hAnsi="宋体" w:cs="宋体"/>
                <w:color w:val="000000"/>
                <w14:ligatures w14:val="standardContextual"/>
              </w:rPr>
              <w:t xml:space="preserve"> </w:t>
            </w:r>
            <w:r>
              <w:rPr>
                <w:rFonts w:hint="eastAsia" w:ascii="宋体" w:hAnsi="宋体" w:cs="宋体"/>
                <w:color w:val="000000"/>
                <w:sz w:val="22"/>
                <w14:ligatures w14:val="standardContextual"/>
              </w:rPr>
              <w:t xml:space="preserve">≥</w:t>
            </w:r>
            <w:r>
              <w:rPr>
                <w:rFonts w:ascii="宋体" w:hAnsi="宋体" w:cs="宋体"/>
                <w:color w:val="000000"/>
                <w14:ligatures w14:val="standardContextual"/>
              </w:rPr>
              <w:t xml:space="preserve">32G，</w:t>
            </w:r>
            <w:r>
              <w:rPr>
                <w:rFonts w:hint="eastAsia" w:ascii="宋体" w:hAnsi="宋体" w:cs="宋体"/>
                <w:color w:val="000000"/>
                <w14:ligatures w14:val="standardContextual"/>
              </w:rPr>
              <w:t xml:space="preserve">并配置</w:t>
            </w:r>
            <w:r>
              <w:rPr>
                <w:rFonts w:ascii="宋体" w:hAnsi="宋体" w:cs="宋体"/>
                <w:color w:val="000000"/>
                <w14:ligatures w14:val="standardContextual"/>
              </w:rPr>
              <w:t xml:space="preserve">触摸屏。</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 终端具备报警接收、报警处置与设备报修功能。通过工单流转实现报警与报修工作的处置流程闭环。</w:t>
            </w:r>
            <w:r>
              <w:rPr>
                <w:rFonts w:ascii="宋体" w:hAnsi="宋体" w:cs="宋体"/>
                <w:b/>
                <w:color w:val="000000"/>
                <w14:ligatures w14:val="standardContextual"/>
              </w:rPr>
              <w:t xml:space="preserve">（提供具有CMA标识的检测报告复印件</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14:ligatures w14:val="standardContextual"/>
              </w:rPr>
              <w:t xml:space="preserve">）</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9</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PoE交换机</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接口要求：10/100/1000M以太网电口≥10个，1000M/2.5G SFP千兆光接口≥2个；交换容量≥330Gbps，包转发率≥30Mpps；</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供电及噪声要求：所投产品支持P</w:t>
            </w:r>
            <w:r>
              <w:rPr>
                <w:rFonts w:hint="eastAsia" w:ascii="宋体" w:hAnsi="宋体" w:cs="宋体"/>
                <w:color w:val="000000"/>
                <w:sz w:val="22"/>
                <w14:ligatures w14:val="standardContextual"/>
              </w:rPr>
              <w:t xml:space="preserve">o</w:t>
            </w:r>
            <w:r>
              <w:rPr>
                <w:rFonts w:ascii="宋体" w:hAnsi="宋体" w:cs="宋体"/>
                <w:color w:val="000000"/>
                <w:sz w:val="22"/>
                <w14:ligatures w14:val="standardContextual"/>
              </w:rPr>
              <w:t xml:space="preserve">E和P</w:t>
            </w:r>
            <w:r>
              <w:rPr>
                <w:rFonts w:hint="eastAsia" w:ascii="宋体" w:hAnsi="宋体" w:cs="宋体"/>
                <w:color w:val="000000"/>
                <w:sz w:val="22"/>
                <w14:ligatures w14:val="standardContextual"/>
              </w:rPr>
              <w:t xml:space="preserve">o</w:t>
            </w:r>
            <w:r>
              <w:rPr>
                <w:rFonts w:ascii="宋体" w:hAnsi="宋体" w:cs="宋体"/>
                <w:color w:val="000000"/>
                <w:sz w:val="22"/>
                <w14:ligatures w14:val="standardContextual"/>
              </w:rPr>
              <w:t xml:space="preserve">E+远程供电，PoE供电功率为125W；设备采用降噪设计，整机噪声≤</w:t>
            </w:r>
            <w:r>
              <w:rPr>
                <w:rFonts w:hint="eastAsia" w:ascii="宋体" w:hAnsi="宋体" w:cs="宋体"/>
                <w:color w:val="000000"/>
                <w:sz w:val="22"/>
                <w14:ligatures w14:val="standardContextual"/>
              </w:rPr>
              <w:t xml:space="preserve">40</w:t>
            </w:r>
            <w:r>
              <w:rPr>
                <w:rFonts w:ascii="宋体" w:hAnsi="宋体" w:cs="宋体"/>
                <w:color w:val="000000"/>
                <w:sz w:val="22"/>
                <w14:ligatures w14:val="standardContextual"/>
              </w:rPr>
              <w:t xml:space="preserve">dB；</w:t>
            </w:r>
            <w:r/>
          </w:p>
        </w:tc>
      </w:tr>
      <w:tr>
        <w:trPr>
          <w:jc w:val="center"/>
          <w:trHeight w:val="2653"/>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10</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服务器</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2U单路标准机架式服务器</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CPU：配置1颗 x86架构处理器，核数≥16核，主频≥2.5GHz</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内存：配置64G DDR4，16根内存插槽，最大支持扩展至1TB内存</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4. 硬盘：配置2块600G 10K SAS硬盘；最高可选支持12块3.5寸(兼容2.5寸)热插拔SATA/SAS硬盘，可选支持2块后置2.5寸热插拔SATA/SAS硬盘</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11</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智慧消安防管理系统（平台）</w:t>
            </w:r>
            <w:r/>
          </w:p>
        </w:tc>
        <w:tc>
          <w:tcPr>
            <w:shd w:val="clear" w:color="auto" w:fill="ffffff"/>
            <w:tcW w:w="5992" w:type="dxa"/>
            <w:vAlign w:val="center"/>
            <w:textDirection w:val="lrTb"/>
            <w:noWrap w:val="false"/>
          </w:tcPr>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 </w:t>
            </w:r>
            <w:r>
              <w:rPr>
                <w:rFonts w:ascii="宋体" w:hAnsi="宋体" w:cs="宋体"/>
                <w:color w:val="000000"/>
                <w14:ligatures w14:val="standardContextual"/>
              </w:rPr>
              <w:t xml:space="preserve">上述所有设备需兼容接入学校现有的消安防智慧管理平台，</w:t>
            </w:r>
            <w:r>
              <w:rPr>
                <w:rFonts w:ascii="宋体" w:hAnsi="宋体" w:cs="宋体"/>
                <w:color w:val="000000"/>
                <w:sz w:val="22"/>
                <w14:ligatures w14:val="standardContextual"/>
              </w:rPr>
              <w:t xml:space="preserve">若无法兼容接入，可采用中标人提供的能与我校现有消安防智慧管理平台相融合的第三方智慧管理平台，</w:t>
            </w:r>
            <w:r>
              <w:rPr>
                <w:rFonts w:ascii="宋体" w:hAnsi="宋体" w:cs="宋体"/>
                <w:sz w:val="22"/>
                <w14:ligatures w14:val="standardContextual"/>
              </w:rPr>
              <w:t xml:space="preserve">平台应具备良好的开放性与扩展性，支持用户及报警节点按</w:t>
            </w:r>
            <w:r>
              <w:rPr>
                <w:rFonts w:hint="eastAsia" w:ascii="宋体" w:hAnsi="宋体" w:cs="宋体"/>
                <w:sz w:val="22"/>
                <w14:ligatures w14:val="standardContextual"/>
              </w:rPr>
              <w:t xml:space="preserve">学校</w:t>
            </w:r>
            <w:r>
              <w:rPr>
                <w:rFonts w:ascii="宋体" w:hAnsi="宋体" w:cs="宋体"/>
                <w:sz w:val="22"/>
                <w14:ligatures w14:val="standardContextual"/>
              </w:rPr>
              <w:t xml:space="preserve">需求进行扩展，不得通过技术限制</w:t>
            </w:r>
            <w:r>
              <w:rPr>
                <w:rFonts w:hint="eastAsia" w:ascii="宋体" w:hAnsi="宋体" w:cs="宋体"/>
                <w:sz w:val="22"/>
                <w14:ligatures w14:val="standardContextual"/>
              </w:rPr>
              <w:t xml:space="preserve">影响</w:t>
            </w:r>
            <w:r>
              <w:rPr>
                <w:rFonts w:ascii="宋体" w:hAnsi="宋体" w:cs="宋体"/>
                <w:sz w:val="22"/>
                <w14:ligatures w14:val="standardContextual"/>
              </w:rPr>
              <w:t xml:space="preserve">学校后续系统扩容及</w:t>
            </w:r>
            <w:r>
              <w:rPr>
                <w:rFonts w:hint="eastAsia" w:ascii="宋体" w:hAnsi="宋体" w:cs="宋体"/>
                <w:sz w:val="22"/>
                <w14:ligatures w14:val="standardContextual"/>
              </w:rPr>
              <w:t xml:space="preserve">全量</w:t>
            </w:r>
            <w:r>
              <w:rPr>
                <w:rFonts w:ascii="宋体" w:hAnsi="宋体" w:cs="宋体"/>
                <w:sz w:val="22"/>
                <w14:ligatures w14:val="standardContextual"/>
              </w:rPr>
              <w:t xml:space="preserve">业务数据调</w:t>
            </w:r>
            <w:r>
              <w:rPr>
                <w:rFonts w:hint="eastAsia" w:ascii="宋体" w:hAnsi="宋体" w:cs="宋体"/>
                <w:sz w:val="22"/>
                <w14:ligatures w14:val="standardContextual"/>
              </w:rPr>
              <w:t xml:space="preserve">用；</w:t>
            </w:r>
            <w:r>
              <w:rPr>
                <w:rFonts w:ascii="宋体" w:hAnsi="宋体" w:cs="宋体"/>
                <w:color w:val="000000"/>
                <w:sz w:val="22"/>
                <w14:ligatures w14:val="standardContextual"/>
              </w:rPr>
              <w:t xml:space="preserve">须遵守校方数据标准规范和设计要求，涉及从学校数据平台获取第三方系统数据的共享，须与学校签订数据使用保密协议</w:t>
            </w:r>
            <w:r>
              <w:rPr>
                <w:rFonts w:hint="eastAsia" w:ascii="宋体" w:hAnsi="宋体" w:cs="宋体"/>
                <w:color w:val="000000"/>
                <w:sz w:val="22"/>
                <w14:ligatures w14:val="standardContextual"/>
              </w:rPr>
              <w:t xml:space="preserve">；</w:t>
            </w:r>
            <w:r>
              <w:rPr>
                <w:rFonts w:hint="eastAsia" w:ascii="宋体" w:hAnsi="宋体" w:cs="宋体"/>
                <w:sz w:val="22"/>
                <w14:ligatures w14:val="standardContextual"/>
              </w:rPr>
              <w:t xml:space="preserve">与</w:t>
            </w:r>
            <w:r>
              <w:rPr>
                <w:rFonts w:ascii="宋体" w:hAnsi="宋体" w:cs="宋体"/>
                <w:sz w:val="22"/>
                <w14:ligatures w14:val="standardContextual"/>
              </w:rPr>
              <w:t xml:space="preserve">本项目</w:t>
            </w:r>
            <w:r>
              <w:rPr>
                <w:rFonts w:hint="eastAsia" w:ascii="宋体" w:hAnsi="宋体" w:cs="宋体"/>
                <w:sz w:val="22"/>
                <w14:ligatures w14:val="standardContextual"/>
              </w:rPr>
              <w:t xml:space="preserve">相关的</w:t>
            </w:r>
            <w:r>
              <w:rPr>
                <w:rFonts w:ascii="宋体" w:hAnsi="宋体" w:cs="宋体"/>
                <w:sz w:val="22"/>
                <w14:ligatures w14:val="standardContextual"/>
              </w:rPr>
              <w:t xml:space="preserve">业务模块全部源代码、</w:t>
            </w:r>
            <w:r>
              <w:rPr>
                <w:rFonts w:hint="eastAsia" w:ascii="宋体" w:hAnsi="宋体" w:cs="宋体"/>
                <w:sz w:val="22"/>
                <w14:ligatures w14:val="standardContextual"/>
              </w:rPr>
              <w:t xml:space="preserve">二次开发API接口文档及数据对接协议文档、相关</w:t>
            </w:r>
            <w:r>
              <w:rPr>
                <w:rFonts w:ascii="宋体" w:hAnsi="宋体" w:cs="宋体"/>
                <w:sz w:val="22"/>
                <w14:ligatures w14:val="standardContextual"/>
              </w:rPr>
              <w:t xml:space="preserve">配置文件、数据库脚本</w:t>
            </w:r>
            <w:r>
              <w:rPr>
                <w:rFonts w:hint="eastAsia" w:ascii="宋体" w:hAnsi="宋体" w:cs="宋体"/>
                <w:sz w:val="22"/>
                <w14:ligatures w14:val="standardContextual"/>
              </w:rPr>
              <w:t xml:space="preserve">等</w:t>
            </w:r>
            <w:r>
              <w:rPr>
                <w:rFonts w:ascii="宋体" w:hAnsi="宋体" w:cs="宋体"/>
                <w:sz w:val="22"/>
                <w14:ligatures w14:val="standardContextual"/>
              </w:rPr>
              <w:t xml:space="preserve">完整交付校方</w:t>
            </w:r>
            <w:r>
              <w:rPr>
                <w:rFonts w:hint="eastAsia" w:ascii="宋体" w:hAnsi="宋体" w:cs="宋体"/>
                <w:sz w:val="22"/>
                <w14:ligatures w14:val="standardContextual"/>
              </w:rPr>
              <w:t xml:space="preserve">，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r>
              <w:rPr>
                <w:rFonts w:ascii="宋体" w:hAnsi="宋体" w:cs="宋体"/>
                <w:b/>
                <w:color w:val="000000"/>
                <w:sz w:val="22"/>
                <w14:ligatures w14:val="standardContextual"/>
              </w:rPr>
              <w:t xml:space="preserve">（提供承诺函并加盖公章）</w:t>
            </w:r>
            <w:r/>
          </w:p>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▲2、设备管理：集中管理学校内的物联网消防设备，实现对单位内各场景进行火灾预警监测；支持对设备进行批量管理负</w:t>
            </w:r>
            <w:r>
              <w:rPr>
                <w:rFonts w:ascii="宋体" w:hAnsi="宋体" w:cs="宋体"/>
                <w:color w:val="000000"/>
                <w:sz w:val="22"/>
                <w14:ligatures w14:val="standardContextual"/>
              </w:rPr>
              <w:t xml:space="preserve">责人；并对设备的状态进行监测管理；支持设备数据报表的导出；提供设备数据汇总，对设备总数、在线、故障等数量进展示，支持通过数据网关设备监测烟感、</w:t>
            </w:r>
            <w:r>
              <w:rPr>
                <w:rFonts w:hint="eastAsia" w:ascii="宋体" w:hAnsi="宋体" w:cs="宋体"/>
                <w:color w:val="000000"/>
                <w:sz w:val="22"/>
                <w14:ligatures w14:val="standardContextual"/>
              </w:rPr>
              <w:t xml:space="preserve">手报、声光</w:t>
            </w:r>
            <w:r>
              <w:rPr>
                <w:rFonts w:ascii="宋体" w:hAnsi="宋体" w:cs="宋体"/>
                <w:color w:val="000000"/>
                <w:sz w:val="22"/>
                <w14:ligatures w14:val="standardContextual"/>
              </w:rPr>
              <w:t xml:space="preserve">等设备的关键参数；支持对系统内的设备关联/批量管理设备的负责人，对应预警设备支持设置逐级报警，可以对第一、第二、第三负责人的电话通知或短信通知进行设置。</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p>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3、设备运行：在数据管理页面可以查看消防物联网设备基础信息，包含设备名称、类型、在线离线状态、报警故障状态等信息；能够根据设备报警数量进行排行，统计展示设备报警次数最多的前五名设备清单；</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p>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4、警情处置：具备展示详细的警情处置功能，涵盖报警信息、设备名称、设备编号、设备类型，所属建筑或楼层，设备的三级联动责任人信息，支持短信语音拨号记录查询，其中应包括通知时间、报警名称、报警类型、发生时间、通知内容、联系人、联系电话、通知方式、通知结果、确认方式、警情类型、报警详情、备注信息、处理记录等。包含设备报警日历，通过日历的方式展示该设备的以往报警记录。</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rPr>
                <w:rFonts w:ascii="宋体" w:hAnsi="宋体" w:cs="宋体"/>
                <w:color w:val="000000"/>
                <w:sz w:val="22"/>
                <w14:ligatures w14:val="standardContextual"/>
              </w:rPr>
              <w:t xml:space="preserve">；</w:t>
            </w:r>
            <w:r/>
          </w:p>
          <w:p>
            <w:pPr>
              <w:jc w:val="left"/>
              <w:spacing w:after="160" w:line="337" w:lineRule="exact"/>
              <w:rPr>
                <w:rFonts w:hint="eastAsia" w:ascii="等线" w:hAnsi="等线" w:eastAsia="等线"/>
                <w:sz w:val="22"/>
                <w14:ligatures w14:val="standardContextual"/>
              </w:rPr>
            </w:pPr>
            <w:r>
              <w:rPr>
                <w:rFonts w:ascii="宋体" w:hAnsi="宋体" w:cs="宋体"/>
                <w:b/>
                <w:color w:val="000000"/>
                <w:sz w:val="22"/>
                <w:u w:val="single"/>
                <w14:ligatures w14:val="standardContextual"/>
              </w:rPr>
              <w:t xml:space="preserve">下述项目参照学校现有消安防智慧平台功能作为参考要求，</w:t>
            </w:r>
            <w:r>
              <w:rPr>
                <w:rFonts w:hint="eastAsia" w:ascii="宋体" w:hAnsi="宋体" w:cs="宋体"/>
                <w:b/>
                <w:color w:val="000000"/>
                <w:sz w:val="22"/>
                <w:u w:val="single"/>
                <w14:ligatures w14:val="standardContextual"/>
              </w:rPr>
              <w:t xml:space="preserve">供应商</w:t>
            </w:r>
            <w:r>
              <w:rPr>
                <w:rFonts w:ascii="宋体" w:hAnsi="宋体" w:cs="宋体"/>
                <w:b/>
                <w:color w:val="000000"/>
                <w:sz w:val="22"/>
                <w:u w:val="single"/>
                <w14:ligatures w14:val="standardContextual"/>
              </w:rPr>
              <w:t xml:space="preserve">所投系统应达到以下标准。</w:t>
            </w:r>
            <w:r/>
          </w:p>
          <w:p>
            <w:pPr>
              <w:numPr>
                <w:ilvl w:val="0"/>
                <w:numId w:val="6"/>
              </w:numPr>
              <w:jc w:val="left"/>
              <w:spacing w:before="120" w:after="120" w:line="315"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采用角色权限控制对系统资源访问授权，按业务角色分配权限，实现对功能模块、文件、报表等对象的分层分级精细化管控；严格限制默认账户权限，遵循最小授权原则；实现特权用户权限分离（管理与审计权限分属不同用户）；支持对重要信息资源设置敏感标记，并按统一安全策略严格管控访问操作</w:t>
            </w:r>
            <w:r>
              <w:rPr>
                <w:rFonts w:hint="eastAsia" w:ascii="宋体" w:hAnsi="宋体" w:cs="宋体"/>
                <w:color w:val="000000"/>
                <w:sz w:val="22"/>
                <w14:ligatures w14:val="standardContextual"/>
              </w:rPr>
              <w:t xml:space="preserve">；</w:t>
            </w:r>
            <w:r/>
          </w:p>
          <w:p>
            <w:pPr>
              <w:jc w:val="left"/>
              <w:spacing w:before="120" w:after="120" w:line="315" w:lineRule="exact"/>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2. 系统可对设备进行三级分类管理（大类、中类、小类），可自行增设专属管理内容和巡检要求；下级设备自动沿用上级统一管理规则，无需重复设置，同时支持上传设备实拍照片存档。 平台用不同颜色直观区分设备运行好坏，可查看各项参数历史变化曲线、做多项数据对比；设备出现问题时自动提前预警，完整保存故障记录，支持上传现场照片、视频留存佐证。系统可自动分析故障规律，提前预判隐患，方便日常预防</w:t>
            </w:r>
            <w:r>
              <w:rPr>
                <w:rFonts w:ascii="宋体" w:hAnsi="宋体" w:cs="宋体"/>
                <w:color w:val="000000"/>
                <w:sz w:val="22"/>
                <w14:ligatures w14:val="standardContextual"/>
              </w:rPr>
              <w:t xml:space="preserve">性检修维护</w:t>
            </w:r>
            <w:r>
              <w:rPr>
                <w:rFonts w:hint="eastAsia" w:ascii="宋体" w:hAnsi="宋体" w:cs="宋体"/>
                <w:color w:val="000000"/>
                <w:sz w:val="22"/>
                <w14:ligatures w14:val="standardContextual"/>
              </w:rPr>
              <w:t xml:space="preserve">；</w:t>
            </w:r>
            <w:r/>
          </w:p>
          <w:p>
            <w:pPr>
              <w:jc w:val="left"/>
              <w:spacing w:before="120" w:after="120" w:line="315" w:lineRule="exact"/>
              <w:rPr>
                <w:rFonts w:hint="eastAsia" w:ascii="等线" w:hAnsi="等线"/>
                <w:szCs w:val="21"/>
                <w14:ligatures w14:val="standardContextual"/>
              </w:rPr>
            </w:pPr>
            <w:r>
              <w:rPr>
                <w:rFonts w:ascii="宋体" w:hAnsi="宋体" w:cs="宋体"/>
                <w:color w:val="000000"/>
                <w:sz w:val="22"/>
                <w14:ligatures w14:val="standardContextual"/>
              </w:rPr>
              <w:t xml:space="preserve">3.</w:t>
            </w:r>
            <w:r>
              <w:rPr>
                <w:rFonts w:hint="eastAsia" w:ascii="宋体" w:hAnsi="宋体" w:cs="宋体"/>
                <w:color w:val="000000"/>
                <w:sz w:val="22"/>
                <w14:ligatures w14:val="standardContextual"/>
              </w:rPr>
              <w:t xml:space="preserve"> </w:t>
            </w:r>
            <w:r>
              <w:rPr>
                <w:rFonts w:ascii="宋体" w:hAnsi="宋体" w:cs="宋体"/>
                <w:color w:val="000000"/>
                <w:sz w:val="22"/>
                <w14:ligatures w14:val="standardContextual"/>
              </w:rPr>
              <w:t xml:space="preserve">支持视频监控平台接入，将石湫校区、草场门校区现有多品牌的视频监控平台统一接入和标准化管理，接入数据包括但不限于实时视频播放、回放视频录像、设备信息、设备状态、设备分组等</w:t>
            </w:r>
            <w:r>
              <w:rPr>
                <w:rFonts w:hint="eastAsia" w:ascii="宋体" w:hAnsi="宋体" w:cs="宋体"/>
                <w:color w:val="000000"/>
                <w:sz w:val="22"/>
                <w14:ligatures w14:val="standardContextual"/>
              </w:rPr>
              <w:t xml:space="preserve">；</w:t>
            </w:r>
            <w:r/>
          </w:p>
          <w:p>
            <w:pPr>
              <w:jc w:val="left"/>
              <w:spacing w:before="120" w:after="120" w:line="315"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系统可通过卡片的形式直观展现智能设备的运行情况。如智能烟感的信号强度、电池电量、在线情况。当设备出现故障、掉线或者低电量的情况下，系统将在综合管理功能中告警提示，并将异常设备置顶突出展示。</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rPr>
                <w:rFonts w:ascii="宋体" w:hAnsi="宋体" w:cs="宋体"/>
                <w:color w:val="000000"/>
                <w:sz w:val="22"/>
                <w14:ligatures w14:val="standardContextual"/>
              </w:rPr>
              <w:t xml:space="preserve">；</w:t>
            </w:r>
            <w:r/>
          </w:p>
          <w:p>
            <w:pPr>
              <w:jc w:val="left"/>
              <w:spacing w:before="120" w:after="120" w:line="315" w:lineRule="exact"/>
              <w:rPr>
                <w:rFonts w:hint="eastAsia" w:ascii="等线" w:hAnsi="等线" w:eastAsia="等线"/>
                <w:sz w:val="22"/>
                <w14:ligatures w14:val="standardContextual"/>
              </w:rPr>
            </w:pPr>
            <w:r/>
            <w:bookmarkStart w:id="34" w:name="OLE_LINK10"/>
            <w:r>
              <w:rPr>
                <w:rFonts w:ascii="宋体" w:hAnsi="宋体" w:cs="宋体"/>
                <w:color w:val="000000"/>
                <w:sz w:val="22"/>
                <w14:ligatures w14:val="standardContextual"/>
              </w:rPr>
              <w:t xml:space="preserve">▲</w:t>
            </w:r>
            <w:bookmarkEnd w:id="34"/>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通过可视化数据看板的形式，对接入的单位数据、建筑物数据、消防设施数据、消防设施完好率数据、设备报警数据、设备隐患数据进行相关统计，方便管理人员了解相关消防设备运行状态。</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实现报警与学校现有的监控视频的联动。当报警产生时自动弹出报警弹窗同时报警声音提示，通过智能算法展示报警点位附近4路</w:t>
            </w:r>
            <w:r>
              <w:rPr>
                <w:rFonts w:hint="eastAsia" w:ascii="宋体" w:hAnsi="宋体" w:cs="宋体"/>
                <w:color w:val="000000"/>
                <w:sz w:val="22"/>
                <w14:ligatures w14:val="standardContextual"/>
              </w:rPr>
              <w:t xml:space="preserve">及</w:t>
            </w:r>
            <w:r>
              <w:rPr>
                <w:rFonts w:ascii="宋体" w:hAnsi="宋体" w:cs="宋体"/>
                <w:color w:val="000000"/>
                <w:sz w:val="22"/>
                <w14:ligatures w14:val="standardContextual"/>
              </w:rPr>
              <w:t xml:space="preserve">以上监控探头实时画面，报警弹窗界面支持一键跳转到应急预案界面并联通学校广播播报事件</w:t>
            </w:r>
            <w:r>
              <w:rPr>
                <w:rFonts w:hint="eastAsia" w:ascii="宋体" w:hAnsi="宋体" w:cs="宋体"/>
                <w:color w:val="000000"/>
                <w:sz w:val="22"/>
                <w14:ligatures w14:val="standardContextual"/>
              </w:rPr>
              <w:t xml:space="preserve">通知</w:t>
            </w:r>
            <w:r>
              <w:rPr>
                <w:rFonts w:ascii="宋体" w:hAnsi="宋体" w:cs="宋体"/>
                <w:color w:val="000000"/>
                <w:sz w:val="22"/>
                <w14:ligatures w14:val="standardContextual"/>
              </w:rPr>
              <w:t xml:space="preserve">，应急预案支持方案切换，动态展示多楼层立体逃生路线图和单楼层平面逃生路线图，视频监控逃生路线；</w:t>
            </w:r>
            <w:r/>
          </w:p>
          <w:p>
            <w:pPr>
              <w:jc w:val="left"/>
              <w:spacing w:before="120" w:after="120" w:line="337"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支持重点人员、陌生人、高频人员信息管理能力，具备重点人员识别、陌生人识别、高频人员识别等灵活可配置的管理能力，实现人员实时布控。支持重点人员、陌生人、高频人员识别记录管理及轨迹追踪能力；</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支持对校内现有安防（监控设备、报警设备、闸机设备）、消防（烟感、手报、报警主机）设备的地图可视化部署工作，包括在室外校区地图、室内楼层平面图做点位部署。完成的内容可配置不同类型的图标做显示及生成经纬度数据（可直接在GIS地图上应用）；</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通过</w:t>
            </w:r>
            <w:r>
              <w:rPr>
                <w:rFonts w:ascii="宋体" w:hAnsi="宋体" w:cs="宋体"/>
                <w:color w:val="000000"/>
                <w:sz w:val="22"/>
                <w14:ligatures w14:val="standardContextual"/>
              </w:rPr>
              <w:t xml:space="preserve">在校内建立消防巡查点，制定巡查计划任务，并将任务下达至责任单位去落实巡查任务。巡查人员可根据消制定的巡查计划任务通过扫描现场巡查点二维码标签或NFC标签的方式进行打点式巡查。支持校园消防管理人员、二级单位消防管理人员对巡检路线进行管理。包括：展示路线列表、按路线名进行检索、新增、导出等，支持在电子地图上查看各巡检路线。支持校园消防管理人员、二级单位消防管理人员对巡检任务进行管理。通过任务名称、任务状态进行检索持展示任务列表、任务详情，对任务进行新建、修改、删除等操作。实现新增临时巡检任务和新增常规巡检任务。</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通过实时监测、巡查检查、维修报修、值班查岗等数据信息，排查学校存在的消防安全隐患。支持异常设施/巡查点的维修保工单下发，自动推送维保通知，维保工单状态可全程跟踪管理。支持对台账的新增、修改操作，支持导出存档；</w:t>
            </w:r>
            <w:r/>
          </w:p>
          <w:p>
            <w:pPr>
              <w:jc w:val="left"/>
              <w:spacing w:before="120" w:after="12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平台正常运行所需的短信、语音通知、数据流量以及第三方插件服务，需在质保期内免费提供。</w:t>
            </w:r>
            <w:r>
              <w:rPr>
                <w:rFonts w:ascii="宋体" w:hAnsi="宋体" w:cs="宋体"/>
                <w:b/>
                <w:color w:val="000000"/>
                <w:sz w:val="22"/>
                <w14:ligatures w14:val="standardContextual"/>
              </w:rPr>
              <w:t xml:space="preserve">（提供承诺函并加盖公章）</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12</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辅材</w:t>
            </w:r>
            <w:r/>
          </w:p>
        </w:tc>
        <w:tc>
          <w:tcPr>
            <w:shd w:val="clear" w:color="auto" w:fill="ffffff"/>
            <w:tcW w:w="5992"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网线、电源线、线管等完成本项目所需要的全部辅材</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13</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安装</w:t>
            </w:r>
            <w:r/>
          </w:p>
        </w:tc>
        <w:tc>
          <w:tcPr>
            <w:shd w:val="clear" w:color="auto" w:fill="ffffff"/>
            <w:tcW w:w="5992" w:type="dxa"/>
            <w:vAlign w:val="center"/>
            <w:textDirection w:val="lrTb"/>
            <w:noWrap w:val="false"/>
          </w:tcPr>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完成本项目所需的安装、调试、运输等所有费用</w:t>
            </w:r>
            <w:r/>
          </w:p>
        </w:tc>
      </w:tr>
    </w:tbl>
    <w:p>
      <w:pPr>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本项为技术响应评审项，演示功能项除外）</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第三部分 服务要求</w:t>
      </w:r>
      <w:r/>
    </w:p>
    <w:p>
      <w:pPr>
        <w:jc w:val="left"/>
        <w:spacing w:after="160" w:line="278" w:lineRule="auto"/>
        <w:rPr>
          <w:rFonts w:hint="eastAsia" w:ascii="等线" w:hAnsi="等线" w:eastAsia="等线"/>
          <w:sz w:val="22"/>
          <w14:ligatures w14:val="standardContextual"/>
        </w:rPr>
      </w:pPr>
      <w:r>
        <w:rPr>
          <w:rFonts w:ascii="宋体" w:hAnsi="宋体" w:cs="宋体"/>
          <w:color w:val="000000"/>
          <w:sz w:val="20"/>
          <w14:ligatures w14:val="standardContextual"/>
        </w:rPr>
        <w:t xml:space="preserve">（配套服务、增值服务、维保服务等）</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ind w:firstLine="210"/>
        <w:jc w:val="left"/>
        <w:spacing w:after="160" w:line="315" w:lineRule="exact"/>
        <w:rPr>
          <w:rFonts w:hint="eastAsia" w:ascii="等线" w:hAnsi="等线"/>
          <w:sz w:val="22"/>
          <w14:ligatures w14:val="standardContextual"/>
        </w:rPr>
      </w:pPr>
      <w:r>
        <w:rPr>
          <w:rFonts w:ascii="宋体" w:hAnsi="宋体" w:cs="宋体"/>
          <w:color w:val="000000"/>
          <w14:ligatures w14:val="standardContextual"/>
        </w:rPr>
        <w:t xml:space="preserve">一、免费质保期：自项目验收合格之日起，60个月</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（一）质保要求</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 </w:t>
      </w:r>
      <w:r>
        <w:rPr>
          <w:rFonts w:hint="eastAsia" w:ascii="宋体" w:hAnsi="宋体" w:cs="宋体"/>
          <w:color w:val="000000"/>
          <w14:ligatures w14:val="standardContextual"/>
        </w:rPr>
        <w:t xml:space="preserve">1.供应商</w:t>
      </w:r>
      <w:r>
        <w:rPr>
          <w:rFonts w:ascii="宋体" w:hAnsi="宋体" w:cs="宋体"/>
          <w:color w:val="000000"/>
          <w14:ligatures w14:val="standardContextual"/>
        </w:rPr>
        <w:t xml:space="preserve">所提供的货物的技术规格应与招标文件规定的技术规格及所附的“技术规格响应表”相一致；若技术性能无特殊说明，则按国家有关部门最新颁布的标准及规范为准。</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本项目各项消防设备设施的安装调试均按照国家消防相关强制性标准实施，未达到质量要求的，</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负责无条件返工，直至达到要求，所发生的费用由中标</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承担，</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还应赔偿因此给</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造成的损失。</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3.供应商</w:t>
      </w:r>
      <w:r>
        <w:rPr>
          <w:rFonts w:ascii="宋体" w:hAnsi="宋体" w:cs="宋体"/>
          <w:color w:val="000000"/>
          <w14:ligatures w14:val="standardContextual"/>
        </w:rPr>
        <w:t xml:space="preserve">需提供质量保证承诺及维修响应承诺，设备及软件系统不少于5年免费原厂质保及升级服务，</w:t>
      </w:r>
      <w:r>
        <w:rPr>
          <w:rFonts w:ascii="宋体" w:hAnsi="宋体" w:cs="宋体"/>
          <w:b/>
          <w:bCs/>
          <w:color w:val="000000"/>
          <w14:ligatures w14:val="standardContextual"/>
        </w:rPr>
        <w:t xml:space="preserve">需提供书面承诺书并加盖</w:t>
      </w:r>
      <w:r>
        <w:rPr>
          <w:rFonts w:hint="eastAsia" w:ascii="宋体" w:hAnsi="宋体" w:cs="宋体"/>
          <w:b/>
          <w:bCs/>
          <w:color w:val="000000"/>
          <w14:ligatures w14:val="standardContextual"/>
        </w:rPr>
        <w:t xml:space="preserve">供应商</w:t>
      </w:r>
      <w:r>
        <w:rPr>
          <w:rFonts w:ascii="宋体" w:hAnsi="宋体" w:cs="宋体"/>
          <w:b/>
          <w:bCs/>
          <w:color w:val="000000"/>
          <w14:ligatures w14:val="standardContextual"/>
        </w:rPr>
        <w:t xml:space="preserve">公章</w:t>
      </w:r>
      <w:r>
        <w:rPr>
          <w:rFonts w:ascii="宋体" w:hAnsi="宋体" w:cs="宋体"/>
          <w:color w:val="000000"/>
          <w14:ligatures w14:val="standardContextual"/>
        </w:rPr>
        <w:t xml:space="preserve">（自</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验收合格，签署验收报告之日起计）。</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4.供应商</w:t>
      </w:r>
      <w:r>
        <w:rPr>
          <w:rFonts w:ascii="宋体" w:hAnsi="宋体" w:cs="宋体"/>
          <w:color w:val="000000"/>
          <w14:ligatures w14:val="standardContextual"/>
        </w:rPr>
        <w:t xml:space="preserve">应保证货物是全新、未使用过的原装合格正品，并完全符合合同规定的质量、规格和性能的要求。</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应保证其提供的货物在正确安装、正常使用和保养条件下，在其使用寿命内具有良好的性能。货物验收后，在质量保证期内，</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应对由于设计、工艺或材料的缺陷所发生的任何不足或故障负责，所需费用由</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承担。</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5.供应商</w:t>
      </w:r>
      <w:r>
        <w:rPr>
          <w:rFonts w:ascii="宋体" w:hAnsi="宋体" w:cs="宋体"/>
          <w:color w:val="000000"/>
          <w14:ligatures w14:val="standardContextual"/>
        </w:rPr>
        <w:t xml:space="preserve">提供的货物在质保期内因货物本身的质量问题发生故障，</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应负责免费更换，更换后的货物质保期从更换之日从新起算。对经两次更换仍达不到技术要求者，应予退货处理。</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应退还</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支付的合同款，同时应承担该货物的直接费用（运输、保险、检验、货款利息及银行手续费等）。</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6.独立式光电感烟火灾探测报警器、手动火灾报警按钮和火灾声光报警器产品需取得应急管理部消防产品合格评定中心出具的强制性产品认证证书。（提供应急管理部消防产品合格评定中心出具的强制性产品认证证书复印件）</w:t>
      </w:r>
      <w:r>
        <w:rPr>
          <w:rFonts w:ascii="宋体" w:hAnsi="宋体" w:cs="宋体"/>
          <w:color w:val="000000"/>
          <w14:ligatures w14:val="standardContextual"/>
        </w:rPr>
        <w:t xml:space="preserve">。</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7.供应商所提供</w:t>
      </w:r>
      <w:r>
        <w:rPr>
          <w:rFonts w:ascii="宋体" w:hAnsi="宋体" w:cs="宋体"/>
          <w:color w:val="000000"/>
          <w14:ligatures w14:val="standardContextual"/>
        </w:rPr>
        <w:t xml:space="preserve">网关的无线信号必须能够覆盖全部接入的无线报警设备，确保每一台设备在其安装位置均能与网关建立稳定、可靠的双向通信。</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8.质保期满前独立式光电感烟火灾探测报警器供应商须全部进行一次烟感锂锰电池更换，费用包含在本次投标报价中</w:t>
      </w:r>
      <w:r>
        <w:rPr>
          <w:rFonts w:hint="eastAsia" w:ascii="宋体" w:hAnsi="宋体" w:cs="宋体"/>
          <w:b/>
          <w:bCs/>
          <w:color w:val="000000"/>
          <w14:ligatures w14:val="standardContextual"/>
        </w:rPr>
        <w:t xml:space="preserve">（提供承诺函并加盖公章）</w:t>
      </w:r>
      <w:r>
        <w:rPr>
          <w:rFonts w:hint="eastAsia" w:ascii="宋体" w:hAnsi="宋体" w:cs="宋体"/>
          <w:color w:val="000000"/>
          <w14:ligatures w14:val="standardContextual"/>
        </w:rPr>
        <w:t xml:space="preserve">。</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（二）维保服务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应提供具体详实的售后服务方案（如服务体系、服务内容、故障解决方案、响应时间、应急处理方案、专业技术人员保障及服务电话）。服务方案应科学合理、具备针对性。在项目实施及质保期间应具有固定的维修人员并有能力及时处理所有可能发生的故障；供应商在质量保证期内应当为采购人提供以下技术支持和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1.电话咨询：成交供应商应当为采购人提供技术援助电话，解答采购人在使用中遇到的问题，及时为采购人提出解决问题的建议，提供7×24小时全天候售后电话服务。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2.现场响应：质量保证期内系统及设备发生故障并收到采购人报修后应做如下处置：</w:t>
      </w:r>
      <w:r/>
    </w:p>
    <w:p>
      <w:pPr>
        <w:ind w:firstLine="210"/>
        <w:jc w:val="left"/>
        <w:spacing w:after="160"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一般故障，修复时间不得超过24小时；</w:t>
      </w:r>
      <w:r/>
    </w:p>
    <w:p>
      <w:pPr>
        <w:ind w:firstLine="210"/>
        <w:jc w:val="left"/>
        <w:spacing w:after="160"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重大故障（如系统瘫痪、核心设备故障、批量设备故障等），供应商必须2小时内派出技术保障人员赶到现场，修复时间不得超过24小时；必要时需增派专业售后服务人员到现场进行故障抢修。</w:t>
      </w:r>
      <w:r/>
    </w:p>
    <w:p>
      <w:pPr>
        <w:ind w:firstLine="210"/>
        <w:jc w:val="left"/>
        <w:spacing w:after="160"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特殊情况，供应商必须30分钟内派出技术保障人员赶到现场，根据现场实际情况作出应急处置。不能修复时供应商必须免费提供同种规格配件（提供针对本项目的零配件供应一览表）进行更换，如不能提供同种规格型号的配件，用其它型号配件代替时，需经采购人同意，且不补差价。</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质量保证期过后，供应商应同样提供免费电话咨询服务，并应承诺提供产品上门维护服务。质量保证期过后，采购人需要继续由成交供应商提供售后服务的，供应商应以优惠价格提供售后服务。保修期外的维护保养，供应商应承诺只收取成本费并提供终身免费技术支持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二、其他服务要求：</w:t>
      </w:r>
      <w:r/>
    </w:p>
    <w:p>
      <w:pPr>
        <w:ind w:firstLine="420"/>
        <w:jc w:val="left"/>
        <w:spacing w:after="160" w:line="337" w:lineRule="exact"/>
        <w:rPr>
          <w:rFonts w:hint="eastAsia" w:ascii="宋体" w:hAnsi="宋体" w:cs="宋体"/>
          <w:color w:val="000000"/>
          <w14:ligatures w14:val="standardContextual"/>
        </w:rPr>
      </w:pPr>
      <w:r/>
      <w:bookmarkStart w:id="35" w:name="OLE_LINK20"/>
      <w:r>
        <w:rPr>
          <w:rFonts w:ascii="宋体" w:hAnsi="宋体" w:cs="宋体"/>
          <w:color w:val="000000"/>
          <w14:ligatures w14:val="standardContextual"/>
        </w:rPr>
        <w:t xml:space="preserve">所有设备需兼容接入学校现有的消安防智慧管理平台；若无法兼容接入，可采用中标人提供的能与我校现有消安防智慧管理平台相融合的第三方智慧管理平台，该平台建成后，</w:t>
      </w:r>
      <w:r>
        <w:rPr>
          <w:rFonts w:hint="eastAsia" w:ascii="宋体" w:hAnsi="宋体" w:cs="宋体"/>
          <w:color w:val="000000"/>
          <w14:ligatures w14:val="standardContextual"/>
        </w:rPr>
        <w:t xml:space="preserve">与</w:t>
      </w:r>
      <w:r>
        <w:rPr>
          <w:rFonts w:ascii="宋体" w:hAnsi="宋体" w:cs="宋体"/>
          <w:color w:val="000000"/>
          <w14:ligatures w14:val="standardContextual"/>
        </w:rPr>
        <w:t xml:space="preserve">本项目</w:t>
      </w:r>
      <w:r>
        <w:rPr>
          <w:rFonts w:hint="eastAsia" w:ascii="宋体" w:hAnsi="宋体" w:cs="宋体"/>
          <w:color w:val="000000"/>
          <w14:ligatures w14:val="standardContextual"/>
        </w:rPr>
        <w:t xml:space="preserve">相关的</w:t>
      </w:r>
      <w:r>
        <w:rPr>
          <w:rFonts w:ascii="宋体" w:hAnsi="宋体" w:cs="宋体"/>
          <w:color w:val="000000"/>
          <w14:ligatures w14:val="standardContextual"/>
        </w:rPr>
        <w:t xml:space="preserve">业务模块全部源代码、</w:t>
      </w:r>
      <w:r>
        <w:rPr>
          <w:rFonts w:hint="eastAsia" w:ascii="宋体" w:hAnsi="宋体" w:cs="宋体"/>
          <w:color w:val="000000"/>
          <w14:ligatures w14:val="standardContextual"/>
        </w:rPr>
        <w:t xml:space="preserve">二次开发API接口文档及数据对接协议文档、相关</w:t>
      </w:r>
      <w:r>
        <w:rPr>
          <w:rFonts w:ascii="宋体" w:hAnsi="宋体" w:cs="宋体"/>
          <w:color w:val="000000"/>
          <w14:ligatures w14:val="standardContextual"/>
        </w:rPr>
        <w:t xml:space="preserve">配置文件、数据库脚本</w:t>
      </w:r>
      <w:r>
        <w:rPr>
          <w:rFonts w:hint="eastAsia" w:ascii="宋体" w:hAnsi="宋体" w:cs="宋体"/>
          <w:color w:val="000000"/>
          <w14:ligatures w14:val="standardContextual"/>
        </w:rPr>
        <w:t xml:space="preserve">等</w:t>
      </w:r>
      <w:r>
        <w:rPr>
          <w:rFonts w:ascii="宋体" w:hAnsi="宋体" w:cs="宋体"/>
          <w:color w:val="000000"/>
          <w14:ligatures w14:val="standardContextual"/>
        </w:rPr>
        <w:t xml:space="preserve">完整交付校方</w:t>
      </w:r>
      <w:r>
        <w:rPr>
          <w:rFonts w:hint="eastAsia" w:ascii="宋体" w:hAnsi="宋体" w:cs="宋体"/>
          <w:color w:val="000000"/>
          <w14:ligatures w14:val="standardContextual"/>
        </w:rPr>
        <w:t xml:space="preserve">，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bookmarkEnd w:id="35"/>
      <w:r>
        <w:rPr>
          <w:rFonts w:ascii="宋体" w:hAnsi="宋体" w:cs="宋体"/>
          <w:b/>
          <w:color w:val="000000"/>
          <w:sz w:val="22"/>
          <w14:ligatures w14:val="standardContextual"/>
        </w:rPr>
        <w:t xml:space="preserve">（提供承诺函并加盖公章）</w:t>
      </w:r>
      <w:r/>
    </w:p>
    <w:p>
      <w:pPr>
        <w:ind w:firstLine="220"/>
        <w:jc w:val="left"/>
        <w:spacing w:after="160" w:line="315" w:lineRule="exact"/>
        <w:rPr>
          <w:rFonts w:hint="eastAsia" w:ascii="宋体" w:hAnsi="宋体" w:cs="宋体"/>
          <w:color w:val="000000"/>
          <w14:ligatures w14:val="standardContextual"/>
        </w:rPr>
      </w:pPr>
      <w:r>
        <w:rPr>
          <w:rFonts w:ascii="宋体" w:hAnsi="宋体" w:cs="宋体"/>
          <w:color w:val="000000"/>
          <w:sz w:val="22"/>
          <w14:ligatures w14:val="standardContextual"/>
        </w:rPr>
        <w:t xml:space="preserve">★</w:t>
      </w:r>
      <w:r>
        <w:rPr>
          <w:rFonts w:ascii="宋体" w:hAnsi="宋体" w:cs="宋体"/>
          <w:color w:val="000000"/>
          <w14:ligatures w14:val="standardContextual"/>
        </w:rPr>
        <w:t xml:space="preserve">本项目实施过程中，因平台对接所产生的配套软件部署、开发工具采购与使用、接口开发与调试、跨系统联调测试、系统兼容性适配等所有相关衍生费用，均已包含在本次项目</w:t>
      </w:r>
      <w:r>
        <w:rPr>
          <w:rFonts w:hint="eastAsia" w:ascii="宋体" w:hAnsi="宋体" w:cs="宋体"/>
          <w:color w:val="000000"/>
          <w14:ligatures w14:val="standardContextual"/>
        </w:rPr>
        <w:t xml:space="preserve">投标报价</w:t>
      </w:r>
      <w:r>
        <w:rPr>
          <w:rFonts w:ascii="宋体" w:hAnsi="宋体" w:cs="宋体"/>
          <w:color w:val="000000"/>
          <w14:ligatures w14:val="standardContextual"/>
        </w:rPr>
        <w:t xml:space="preserve">范围内，采购人无需另行支付任何额外费用，</w:t>
      </w:r>
      <w:r>
        <w:rPr>
          <w:rFonts w:hint="eastAsia" w:ascii="宋体" w:hAnsi="宋体" w:cs="宋体"/>
          <w:color w:val="000000"/>
          <w14:ligatures w14:val="standardContextual"/>
        </w:rPr>
        <w:t xml:space="preserve">中标人</w:t>
      </w:r>
      <w:r>
        <w:rPr>
          <w:rFonts w:ascii="宋体" w:hAnsi="宋体" w:cs="宋体"/>
          <w:color w:val="000000"/>
          <w14:ligatures w14:val="standardContextual"/>
        </w:rPr>
        <w:t xml:space="preserve">不得提出任何追加费用的申请</w:t>
      </w:r>
      <w:r>
        <w:rPr>
          <w:rFonts w:hint="eastAsia" w:ascii="宋体" w:hAnsi="宋体" w:cs="宋体"/>
          <w:color w:val="000000"/>
          <w14:ligatures w14:val="standardContextual"/>
        </w:rPr>
        <w:t xml:space="preserve">。</w:t>
      </w:r>
      <w:r>
        <w:rPr>
          <w:rFonts w:ascii="宋体" w:hAnsi="宋体" w:cs="宋体"/>
          <w:b/>
          <w:bCs/>
          <w:color w:val="000000"/>
          <w14:ligatures w14:val="standardContextual"/>
        </w:rPr>
        <w:t xml:space="preserve">（提供承诺函并加盖公章）</w:t>
      </w:r>
      <w:r/>
    </w:p>
    <w:p>
      <w:pPr>
        <w:ind w:firstLine="220"/>
        <w:jc w:val="left"/>
        <w:spacing w:after="160" w:line="315" w:lineRule="exact"/>
        <w:rPr>
          <w:rFonts w:hint="eastAsia" w:ascii="宋体" w:hAnsi="宋体" w:cs="宋体"/>
          <w:color w:val="000000"/>
          <w14:ligatures w14:val="standardContextual"/>
        </w:rPr>
      </w:pPr>
      <w:r>
        <w:rPr>
          <w:rFonts w:ascii="宋体" w:hAnsi="宋体" w:cs="宋体"/>
          <w:color w:val="000000"/>
          <w:sz w:val="22"/>
          <w14:ligatures w14:val="standardContextual"/>
        </w:rPr>
        <w:t xml:space="preserve">★</w:t>
      </w:r>
      <w:r>
        <w:rPr>
          <w:rFonts w:ascii="宋体" w:hAnsi="宋体" w:cs="宋体"/>
          <w:color w:val="000000"/>
          <w14:ligatures w14:val="standardContextual"/>
        </w:rPr>
        <w:t xml:space="preserve">质保</w:t>
      </w:r>
      <w:r>
        <w:rPr>
          <w:rFonts w:hint="eastAsia" w:ascii="宋体" w:hAnsi="宋体" w:cs="宋体"/>
          <w:color w:val="000000"/>
          <w14:ligatures w14:val="standardContextual"/>
        </w:rPr>
        <w:t xml:space="preserve">期</w:t>
      </w:r>
      <w:r>
        <w:rPr>
          <w:rFonts w:ascii="宋体" w:hAnsi="宋体" w:cs="宋体"/>
          <w:color w:val="000000"/>
          <w14:ligatures w14:val="standardContextual"/>
        </w:rPr>
        <w:t xml:space="preserve">满前独立式光电感烟火灾探测报警器</w:t>
      </w:r>
      <w:r>
        <w:rPr>
          <w:rFonts w:hint="eastAsia" w:ascii="宋体" w:hAnsi="宋体" w:cs="宋体"/>
          <w:color w:val="000000"/>
          <w14:ligatures w14:val="standardContextual"/>
        </w:rPr>
        <w:t xml:space="preserve">中标人</w:t>
      </w:r>
      <w:r>
        <w:rPr>
          <w:rFonts w:ascii="宋体" w:hAnsi="宋体" w:cs="宋体"/>
          <w:color w:val="000000"/>
          <w14:ligatures w14:val="standardContextual"/>
        </w:rPr>
        <w:t xml:space="preserve">须全部进行一次烟感锂锰电池更换，费用包含在本次投标报价中</w:t>
      </w:r>
      <w:r>
        <w:rPr>
          <w:rFonts w:hint="eastAsia" w:ascii="宋体" w:hAnsi="宋体" w:cs="宋体"/>
          <w:color w:val="000000"/>
          <w14:ligatures w14:val="standardContextual"/>
        </w:rPr>
        <w:t xml:space="preserve">。</w:t>
      </w:r>
      <w:r>
        <w:rPr>
          <w:rFonts w:ascii="宋体" w:hAnsi="宋体" w:cs="宋体"/>
          <w:b/>
          <w:bCs/>
          <w:color w:val="000000"/>
          <w14:ligatures w14:val="standardContextual"/>
        </w:rPr>
        <w:t xml:space="preserve">（提供承诺函并加盖公章）</w:t>
      </w:r>
      <w:r>
        <w:rPr>
          <w:rFonts w:ascii="宋体" w:hAnsi="宋体" w:cs="宋体"/>
          <w:color w:val="000000"/>
          <w14:ligatures w14:val="standardContextual"/>
        </w:rPr>
        <w:t xml:space="preserve">。</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w:t>
      </w:r>
      <w:r>
        <w:rPr>
          <w:rFonts w:hint="eastAsia" w:ascii="宋体" w:hAnsi="宋体" w:cs="宋体"/>
          <w:color w:val="000000"/>
          <w14:ligatures w14:val="standardContextual"/>
        </w:rPr>
        <w:t xml:space="preserve">供应商</w:t>
      </w:r>
      <w:r>
        <w:rPr>
          <w:rFonts w:hint="eastAsia" w:ascii="宋体" w:hAnsi="宋体" w:cs="宋体"/>
          <w:color w:val="000000"/>
          <w14:ligatures w14:val="standardContextual"/>
        </w:rPr>
        <w:t xml:space="preserve">须承诺：本项目消防设备的安装、调试、验收等环节，由具备消防设施工程专业承包贰级及以上资质及有效的安全生产许可证的单位实施且现场技术人员至少一人持有安全员B证，并在合同签订前提供有效资质证书复印件向采购人备案</w:t>
      </w:r>
      <w:r>
        <w:rPr>
          <w:rFonts w:hint="eastAsia" w:ascii="宋体" w:hAnsi="宋体" w:cs="宋体"/>
          <w:b/>
          <w:bCs/>
          <w:color w:val="000000"/>
          <w14:ligatures w14:val="standardContextual"/>
        </w:rPr>
        <w:t xml:space="preserve">（提供承诺函并加盖公章）</w:t>
      </w:r>
      <w:r>
        <w:rPr>
          <w:rFonts w:hint="eastAsia" w:ascii="宋体" w:hAnsi="宋体" w:cs="宋体"/>
          <w:color w:val="000000"/>
          <w14:ligatures w14:val="standardContextual"/>
        </w:rPr>
        <w:t xml:space="preserve">。</w:t>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第四部分 评标方法</w:t>
      </w:r>
      <w:r/>
    </w:p>
    <w:p>
      <w:pPr>
        <w:ind w:firstLine="442"/>
        <w:jc w:val="left"/>
        <w:spacing w:before="52" w:after="52"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1、评标方法</w:t>
      </w:r>
      <w:r/>
    </w:p>
    <w:p>
      <w:pPr>
        <w:ind w:firstLine="420"/>
        <w:jc w:val="left"/>
        <w:spacing w:line="315" w:lineRule="exact"/>
        <w:rPr>
          <w:rFonts w:hint="eastAsia" w:ascii="等线" w:hAnsi="等线" w:eastAsia="等线"/>
          <w:sz w:val="22"/>
          <w14:ligatures w14:val="standardContextual"/>
        </w:rPr>
      </w:pPr>
      <w:r>
        <w:rPr>
          <w:rFonts w:ascii="MS Mincho" w:hAnsi="MS Mincho" w:eastAsia="MS Mincho" w:cs="MS Mincho"/>
          <w:color w:val="000000"/>
          <w14:ligatures w14:val="standardContextual"/>
        </w:rPr>
        <w:t xml:space="preserve">☑</w:t>
      </w:r>
      <w:r>
        <w:rPr>
          <w:rFonts w:ascii="宋体" w:hAnsi="宋体" w:cs="宋体"/>
          <w:color w:val="000000"/>
          <w14:ligatures w14:val="standardContextual"/>
        </w:rPr>
        <w:t xml:space="preserve">综合评分法 </w:t>
      </w:r>
      <w:r/>
    </w:p>
    <w:p>
      <w:pPr>
        <w:ind w:firstLine="442"/>
        <w:jc w:val="left"/>
        <w:spacing w:before="52" w:after="52"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2、评分标准</w:t>
      </w:r>
      <w:r/>
    </w:p>
    <w:p>
      <w:pPr>
        <w:rPr>
          <w:rFonts w:hint="eastAsia" w:ascii="宋体" w:hAnsi="宋体"/>
          <w:szCs w:val="21"/>
        </w:rPr>
      </w:pPr>
      <w:r>
        <w:rPr>
          <w:rFonts w:hint="eastAsia" w:ascii="宋体" w:hAnsi="宋体"/>
          <w:szCs w:val="21"/>
        </w:rPr>
        <w:t xml:space="preserve">详见采购文件第三章。</w:t>
      </w:r>
      <w:r/>
    </w:p>
    <w:p>
      <w:pPr>
        <w:ind w:firstLine="442"/>
        <w:jc w:val="left"/>
        <w:spacing w:before="52" w:after="52"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3、定标原则</w:t>
      </w:r>
      <w:r/>
    </w:p>
    <w:p>
      <w:pPr>
        <w:ind w:firstLine="420"/>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（1）本项目采用综合评分法确定中标候选人。总分值为100分，小数点后保留两位。</w:t>
      </w:r>
      <w:r/>
    </w:p>
    <w:p>
      <w:pPr>
        <w:ind w:firstLine="420"/>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（2）使用综合评分法的采购项目，评标结果按评审后得分由高到低顺序排列。得分相同的，按报价得分由高到低顺序排列。评审后得分且投标报价相同的，按照</w:t>
      </w:r>
      <w:r>
        <w:rPr>
          <w:rFonts w:ascii="宋体" w:hAnsi="宋体" w:cs="宋体"/>
          <w:color w:val="000000"/>
          <w:u w:val="single"/>
          <w14:ligatures w14:val="standardContextual"/>
        </w:rPr>
        <w:t xml:space="preserve">技术响应</w:t>
      </w:r>
      <w:r>
        <w:rPr>
          <w:rFonts w:ascii="宋体" w:hAnsi="宋体" w:cs="宋体"/>
          <w:color w:val="000000"/>
          <w14:ligatures w14:val="standardContextual"/>
        </w:rPr>
        <w:t xml:space="preserve">得分最高的</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为中标候选人。</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第五部分 验收标准</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一、</w:t>
      </w:r>
      <w:r>
        <w:rPr>
          <w:rFonts w:ascii="宋体" w:hAnsi="宋体" w:cs="宋体"/>
          <w:color w:val="000000"/>
          <w14:ligatures w14:val="standardContextual"/>
        </w:rPr>
        <w:t xml:space="preserve"> 验收流程与阶段</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本项目验收分为到货初验与最终验收两个阶段，由</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组织，并可联合第三方共同进行。验收标准均严格遵循本项目招标文件明确的技术要求及国家、行业相关质量标准。</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二、</w:t>
      </w:r>
      <w:r>
        <w:rPr>
          <w:rFonts w:ascii="宋体" w:hAnsi="宋体" w:cs="宋体"/>
          <w:color w:val="000000"/>
          <w14:ligatures w14:val="standardContextual"/>
        </w:rPr>
        <w:t xml:space="preserve">到货初验</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全部货物运送至采购人指定现场，完成进场交接后，即可启动初验。</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在初验开始前，供应商须完成以下工作：</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对进场货物的数量、型号、外观、随机资料进行全面检查。</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编制并提交详细的</w:t>
      </w:r>
      <w:r>
        <w:rPr>
          <w:rFonts w:ascii="宋体" w:hAnsi="宋体" w:cs="宋体"/>
          <w:color w:val="000000"/>
          <w14:ligatures w14:val="standardContextual"/>
        </w:rPr>
        <w:t xml:space="preserve"> 《到货验收清单》</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，该清单将作为</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开展初验及后续货物使用</w:t>
      </w:r>
      <w:r>
        <w:rPr>
          <w:rFonts w:hint="eastAsia" w:ascii="宋体" w:hAnsi="宋体" w:cs="宋体"/>
          <w:color w:val="000000"/>
          <w14:ligatures w14:val="standardContextual"/>
        </w:rPr>
        <w:t xml:space="preserve">、维护</w:t>
      </w:r>
      <w:r>
        <w:rPr>
          <w:rFonts w:ascii="宋体" w:hAnsi="宋体" w:cs="宋体"/>
          <w:color w:val="000000"/>
          <w14:ligatures w14:val="standardContextual"/>
        </w:rPr>
        <w:t xml:space="preserve">的技术依据。</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完成所有验收文件的整理与归档，并将完整的货物检验结果提交至采购人</w:t>
      </w:r>
      <w:r>
        <w:rPr>
          <w:rFonts w:ascii="宋体" w:hAnsi="宋体" w:cs="宋体"/>
          <w:color w:val="000000"/>
          <w14:ligatures w14:val="standardContextual"/>
        </w:rPr>
        <w:t xml:space="preserve">供</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审核留存</w:t>
      </w:r>
      <w:r>
        <w:rPr>
          <w:rFonts w:hint="eastAsia" w:ascii="宋体" w:hAnsi="宋体" w:cs="宋体"/>
          <w:color w:val="000000"/>
          <w14:ligatures w14:val="standardContextual"/>
        </w:rPr>
        <w:t xml:space="preserve">。</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采购人将依据供应商提交的《到货验收清单》及相关文件，对货物进行现场核查与测试。</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三、最终验收</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所有货物完成安装、调试，系统连续稳定运行正常，达到招标文件规定的全部功能和性能要求后，由</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书面提出申请</w:t>
      </w:r>
      <w:r>
        <w:rPr>
          <w:rFonts w:hint="eastAsia" w:ascii="宋体" w:hAnsi="宋体" w:cs="宋体"/>
          <w:color w:val="000000"/>
          <w14:ligatures w14:val="standardContextual"/>
        </w:rPr>
        <w:t xml:space="preserve">，进行最终验收。</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采购人（可联合第三方）将对整个系统进行全面的功能性、符合性及稳定性测试，以验证其完全满足合同要求。</w:t>
      </w:r>
      <w:r/>
    </w:p>
    <w:p>
      <w:pPr>
        <w:ind w:firstLine="42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四、验收结果与责任</w:t>
      </w:r>
      <w:r/>
    </w:p>
    <w:p>
      <w:pPr>
        <w:ind w:firstLine="42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任何一阶段验收若发现货物或系统存在与合同要求不符之处，供应商须在采购人规定期限内无条件完成整改、更换或修复，并承担相应费用。整改完成后，验收期将重新计算。</w:t>
      </w:r>
      <w:r/>
    </w:p>
    <w:p>
      <w:pPr>
        <w:ind w:firstLine="42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2.</w:t>
      </w:r>
      <w:r>
        <w:rPr>
          <w:rFonts w:hint="eastAsia" w:ascii="宋体" w:hAnsi="宋体" w:cs="宋体"/>
          <w:color w:val="000000"/>
          <w14:ligatures w14:val="standardContextual"/>
        </w:rPr>
        <w:t xml:space="preserve">最终验收合格，是采购人签署《最终验收合格报告》、支付合同尾款及计算质量保证期的前提条件</w:t>
      </w:r>
      <w:r>
        <w:rPr>
          <w:rFonts w:ascii="宋体" w:hAnsi="宋体" w:cs="宋体"/>
          <w:color w:val="000000"/>
          <w14:ligatures w14:val="standardContextual"/>
        </w:rPr>
        <w:t xml:space="preserve">。</w:t>
      </w:r>
      <w:r/>
    </w:p>
    <w:p>
      <w:pPr>
        <w:ind w:firstLine="562"/>
        <w:spacing w:line="360"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第六部分 付款方式</w:t>
      </w:r>
      <w:r/>
    </w:p>
    <w:p>
      <w:pPr>
        <w:ind w:firstLine="420"/>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初验合格后15个工作日内，支付至合同总价款的30％；终验合格、经学校审计后，支付至审计最终金额的100％</w:t>
      </w:r>
      <w:r>
        <w:rPr>
          <w:rFonts w:ascii="宋体" w:hAnsi="宋体" w:cs="宋体"/>
          <w:color w:val="000000"/>
          <w14:ligatures w14:val="standardContextual"/>
        </w:rPr>
        <w:t xml:space="preserve">（审计最终金额不超过中标金额）</w:t>
      </w:r>
      <w:r>
        <w:rPr>
          <w:rFonts w:ascii="宋体" w:hAnsi="宋体" w:cs="宋体"/>
          <w:color w:val="000000"/>
          <w14:ligatures w14:val="standardContextual"/>
        </w:rPr>
        <w:t xml:space="preserve">。</w:t>
      </w:r>
      <w:r/>
    </w:p>
    <w:p>
      <w:pPr>
        <w:rPr>
          <w:rFonts w:hint="eastAsia" w:ascii="宋体" w:hAnsi="宋体"/>
          <w:szCs w:val="21"/>
        </w:rPr>
      </w:pPr>
      <w:r>
        <w:rPr>
          <w:rFonts w:hint="eastAsia" w:ascii="宋体" w:hAnsi="宋体"/>
          <w:szCs w:val="21"/>
        </w:rPr>
        <w:br w:type="page" w:clear="all"/>
      </w:r>
      <w:r/>
    </w:p>
    <w:p>
      <w:pPr>
        <w:pStyle w:val="977"/>
        <w:numPr>
          <w:ilvl w:val="0"/>
          <w:numId w:val="0"/>
        </w:numPr>
        <w:rPr>
          <w:rFonts w:hint="eastAsia" w:ascii="宋体" w:hAnsi="宋体" w:cs="宋体"/>
        </w:rPr>
      </w:pPr>
      <w:r/>
      <w:bookmarkStart w:id="36" w:name="_Toc227256251"/>
      <w:r>
        <w:rPr>
          <w:rFonts w:hint="eastAsia" w:ascii="宋体" w:hAnsi="宋体" w:cs="宋体"/>
        </w:rPr>
        <w:t xml:space="preserve">第五章 合同主要条款及格式</w:t>
      </w:r>
      <w:bookmarkEnd w:id="32"/>
      <w:r/>
      <w:bookmarkEnd w:id="36"/>
      <w:r/>
      <w:r/>
    </w:p>
    <w:p>
      <w:pPr>
        <w:spacing w:line="315" w:lineRule="exact"/>
        <w:rPr>
          <w:rFonts w:ascii="Calibri" w:hAnsi="Calibri"/>
          <w:szCs w:val="22"/>
        </w:rPr>
      </w:pPr>
      <w:r>
        <w:rPr>
          <w:rFonts w:ascii="Calibri" w:hAnsi="Calibri"/>
          <w:szCs w:val="22"/>
        </w:rPr>
      </w:r>
      <w:r/>
    </w:p>
    <w:p>
      <w:pPr>
        <w:spacing w:line="255" w:lineRule="exact"/>
        <w:rPr>
          <w:rFonts w:ascii="Calibri" w:hAnsi="Calibri"/>
          <w:szCs w:val="22"/>
        </w:rPr>
      </w:pPr>
      <w:r>
        <w:rPr>
          <w:rFonts w:ascii="Calibri" w:hAnsi="Calibri"/>
          <w:szCs w:val="22"/>
        </w:rPr>
      </w:r>
      <w:r/>
    </w:p>
    <w:p>
      <w:pPr>
        <w:spacing w:line="1155" w:lineRule="exact"/>
        <w:rPr>
          <w:rFonts w:ascii="Calibri" w:hAnsi="Calibri"/>
          <w:szCs w:val="22"/>
        </w:rPr>
      </w:pPr>
      <w:r>
        <w:rPr>
          <w:rFonts w:ascii="Calibri" w:hAnsi="Calibri"/>
          <w:szCs w:val="22"/>
        </w:rPr>
      </w:r>
      <w:r/>
    </w:p>
    <w:p>
      <w:pPr>
        <w:spacing w:line="1200" w:lineRule="exact"/>
        <w:rPr>
          <w:rFonts w:ascii="Calibri" w:hAnsi="Calibri"/>
          <w:szCs w:val="22"/>
        </w:rPr>
      </w:pPr>
      <w:r>
        <w:rPr>
          <w:rFonts w:ascii="Calibri" w:hAnsi="Calibri"/>
          <w:szCs w:val="22"/>
        </w:rPr>
      </w:r>
      <w:r/>
    </w:p>
    <w:p>
      <w:pPr>
        <w:jc w:val="center"/>
        <w:rPr>
          <w:rFonts w:ascii="Calibri" w:hAnsi="Calibri"/>
          <w:szCs w:val="22"/>
        </w:rPr>
      </w:pPr>
      <w:r>
        <w:rPr>
          <w:rFonts w:ascii="宋体" w:hAnsi="宋体" w:cs="宋体"/>
          <w:b/>
          <w:color w:val="000000"/>
          <w:sz w:val="94"/>
          <w:szCs w:val="22"/>
        </w:rPr>
        <w:t xml:space="preserve">采购合同</w:t>
      </w:r>
      <w:r/>
    </w:p>
    <w:p>
      <w:pPr>
        <w:spacing w:line="225" w:lineRule="exact"/>
        <w:rPr>
          <w:rFonts w:ascii="Calibri" w:hAnsi="Calibri"/>
          <w:szCs w:val="22"/>
        </w:rPr>
      </w:pPr>
      <w:r>
        <w:rPr>
          <w:rFonts w:ascii="Calibri" w:hAnsi="Calibri"/>
          <w:szCs w:val="22"/>
        </w:rPr>
      </w:r>
      <w:r/>
    </w:p>
    <w:p>
      <w:pPr>
        <w:spacing w:line="225" w:lineRule="exact"/>
        <w:rPr>
          <w:rFonts w:ascii="Calibri" w:hAnsi="Calibri"/>
          <w:szCs w:val="22"/>
        </w:rPr>
      </w:pPr>
      <w:r>
        <w:rPr>
          <w:rFonts w:ascii="Calibri" w:hAnsi="Calibri"/>
          <w:szCs w:val="22"/>
        </w:rPr>
      </w:r>
      <w:r/>
    </w:p>
    <w:p>
      <w:pPr>
        <w:spacing w:line="3195" w:lineRule="exact"/>
        <w:rPr>
          <w:rFonts w:ascii="Calibri" w:hAnsi="Calibri"/>
          <w:szCs w:val="22"/>
        </w:rPr>
      </w:pPr>
      <w:r>
        <w:rPr>
          <w:rFonts w:ascii="Calibri" w:hAnsi="Calibri"/>
          <w:szCs w:val="22"/>
        </w:rPr>
      </w:r>
      <w:r/>
    </w:p>
    <w:tbl>
      <w:tblPr>
        <w:tblW w:w="9585" w:type="dxa"/>
        <w:jc w:val="center"/>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165"/>
        <w:gridCol w:w="1785"/>
        <w:gridCol w:w="7470"/>
        <w:gridCol w:w="165"/>
      </w:tblGrid>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项目编号：</w:t>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jc w:val="center"/>
              <w:spacing w:line="503" w:lineRule="exact"/>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项目名称：</w:t>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jc w:val="center"/>
              <w:spacing w:line="503" w:lineRule="exact"/>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采 购 人：</w:t>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jc w:val="center"/>
              <w:spacing w:line="503" w:lineRule="exact"/>
              <w:rPr>
                <w:rFonts w:ascii="Calibri" w:hAnsi="Calibri"/>
                <w:szCs w:val="22"/>
              </w:rPr>
            </w:pPr>
            <w:r>
              <w:rPr>
                <w:rFonts w:ascii="黑体" w:hAnsi="黑体" w:eastAsia="黑体" w:cs="黑体"/>
                <w:color w:val="000000"/>
                <w:sz w:val="28"/>
                <w:szCs w:val="22"/>
              </w:rPr>
              <w:t xml:space="preserve">江苏第二师范学院</w:t>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供货单位：</w:t>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195" w:hRule="exact"/>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bottom"/>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rPr>
                <w:rFonts w:ascii="Calibri" w:hAnsi="Calibri"/>
                <w:szCs w:val="22"/>
              </w:rPr>
            </w:pPr>
            <w:r>
              <w:rPr>
                <w:rFonts w:ascii="Calibri" w:hAnsi="Calibri"/>
                <w:szCs w:val="22"/>
              </w:rPr>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bottom"/>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bottom"/>
            <w:textDirection w:val="lrTb"/>
            <w:noWrap w:val="false"/>
          </w:tcPr>
          <w:p>
            <w:pPr>
              <w:rPr>
                <w:rFonts w:ascii="Calibri" w:hAnsi="Calibri"/>
                <w:szCs w:val="22"/>
              </w:rPr>
            </w:pPr>
            <w:r>
              <w:rPr>
                <w:rFonts w:ascii="Calibri" w:hAnsi="Calibri"/>
                <w:szCs w:val="22"/>
              </w:rPr>
            </w:r>
            <w:r/>
          </w:p>
        </w:tc>
      </w:tr>
    </w:tbl>
    <w:p>
      <w:pPr>
        <w:spacing w:line="195" w:lineRule="exact"/>
        <w:rPr>
          <w:rFonts w:ascii="Calibri" w:hAnsi="Calibri"/>
          <w:szCs w:val="22"/>
        </w:rPr>
      </w:pPr>
      <w:r>
        <w:rPr>
          <w:rFonts w:ascii="Calibri" w:hAnsi="Calibri"/>
          <w:szCs w:val="22"/>
        </w:rPr>
      </w:r>
      <w:r/>
    </w:p>
    <w:p>
      <w:pPr>
        <w:spacing w:line="1350" w:lineRule="exact"/>
        <w:rPr>
          <w:rFonts w:ascii="Calibri" w:hAnsi="Calibri"/>
          <w:szCs w:val="22"/>
        </w:rPr>
      </w:pPr>
      <w:r>
        <w:rPr>
          <w:rFonts w:ascii="Calibri" w:hAnsi="Calibri"/>
          <w:szCs w:val="22"/>
        </w:rPr>
      </w:r>
      <w:r/>
    </w:p>
    <w:p>
      <w:pPr>
        <w:spacing w:line="795" w:lineRule="exact"/>
        <w:rPr>
          <w:rFonts w:ascii="Calibri" w:hAnsi="Calibri"/>
          <w:szCs w:val="22"/>
        </w:rPr>
      </w:pPr>
      <w:r>
        <w:rPr>
          <w:rFonts w:ascii="Calibri" w:hAnsi="Calibri"/>
          <w:szCs w:val="22"/>
        </w:rPr>
      </w:r>
      <w:r/>
    </w:p>
    <w:p>
      <w:pPr>
        <w:rPr>
          <w:rFonts w:ascii="Calibri" w:hAnsi="Calibri"/>
          <w:szCs w:val="22"/>
        </w:rPr>
        <w:sectPr>
          <w:footnotePr/>
          <w:endnotePr/>
          <w:type w:val="nextPage"/>
          <w:pgSz w:w="11907" w:h="16839" w:orient="portrait"/>
          <w:pgMar w:top="1077" w:right="1154" w:bottom="1077" w:left="1154" w:header="720" w:footer="720" w:gutter="0"/>
          <w:cols w:num="1" w:sep="0" w:space="720" w:equalWidth="1"/>
          <w:docGrid w:linePitch="360"/>
        </w:sectPr>
      </w:pPr>
      <w:r>
        <w:rPr>
          <w:rFonts w:ascii="Calibri" w:hAnsi="Calibri"/>
          <w:szCs w:val="22"/>
        </w:rPr>
      </w:r>
      <w:r/>
    </w:p>
    <w:p>
      <w:pPr>
        <w:ind w:firstLine="420"/>
        <w:jc w:val="left"/>
        <w:spacing w:line="378" w:lineRule="exact"/>
        <w:rPr>
          <w:rFonts w:ascii="Calibri" w:hAnsi="Calibri"/>
          <w:szCs w:val="22"/>
        </w:rPr>
      </w:pPr>
      <w:r>
        <w:rPr>
          <w:rFonts w:ascii="宋体" w:hAnsi="宋体" w:cs="宋体"/>
          <w:color w:val="000000"/>
          <w:szCs w:val="22"/>
        </w:rPr>
        <w:t xml:space="preserve">合同编号：</w:t>
      </w:r>
      <w:r>
        <w:rPr>
          <w:rFonts w:ascii="宋体" w:hAnsi="宋体" w:cs="宋体"/>
          <w:color w:val="000000"/>
          <w:szCs w:val="22"/>
          <w:u w:val="single"/>
        </w:rPr>
        <w:t xml:space="preserve">　　　　　　　　　　　　　　</w:t>
      </w:r>
      <w:r/>
    </w:p>
    <w:p>
      <w:pPr>
        <w:ind w:firstLine="420"/>
        <w:jc w:val="left"/>
        <w:spacing w:line="378" w:lineRule="exact"/>
        <w:rPr>
          <w:rFonts w:ascii="Calibri" w:hAnsi="Calibri"/>
          <w:szCs w:val="22"/>
        </w:rPr>
      </w:pPr>
      <w:r>
        <w:rPr>
          <w:rFonts w:ascii="宋体" w:hAnsi="宋体" w:cs="宋体"/>
          <w:color w:val="000000"/>
          <w:szCs w:val="22"/>
        </w:rPr>
        <w:t xml:space="preserve">项目名称：</w:t>
      </w:r>
      <w:r/>
    </w:p>
    <w:p>
      <w:pPr>
        <w:ind w:firstLine="420"/>
        <w:jc w:val="left"/>
        <w:spacing w:line="378" w:lineRule="exact"/>
        <w:rPr>
          <w:rFonts w:ascii="Calibri" w:hAnsi="Calibri"/>
          <w:szCs w:val="22"/>
        </w:rPr>
      </w:pPr>
      <w:r>
        <w:rPr>
          <w:rFonts w:ascii="宋体" w:hAnsi="宋体" w:cs="宋体"/>
          <w:color w:val="000000"/>
          <w:szCs w:val="22"/>
        </w:rPr>
        <w:t xml:space="preserve">采购人（以下简称甲方）：江苏第二师范学院</w:t>
      </w:r>
      <w:r/>
    </w:p>
    <w:p>
      <w:pPr>
        <w:ind w:firstLine="420"/>
        <w:jc w:val="left"/>
        <w:spacing w:line="378" w:lineRule="exact"/>
        <w:rPr>
          <w:rFonts w:ascii="Calibri" w:hAnsi="Calibri"/>
          <w:szCs w:val="22"/>
        </w:rPr>
      </w:pPr>
      <w:r>
        <w:rPr>
          <w:rFonts w:ascii="宋体" w:hAnsi="宋体" w:cs="宋体"/>
          <w:color w:val="000000"/>
          <w:szCs w:val="22"/>
        </w:rPr>
        <w:t xml:space="preserve">供货单位（以下简称乙方）：</w:t>
      </w:r>
      <w:r>
        <w:rPr>
          <w:rFonts w:ascii="宋体" w:hAnsi="宋体" w:cs="宋体"/>
          <w:color w:val="000000"/>
          <w:szCs w:val="22"/>
          <w:u w:val="single"/>
        </w:rPr>
        <w:t xml:space="preserve">　　　　　　　　　　　　　　　　</w:t>
      </w:r>
      <w:r/>
    </w:p>
    <w:p>
      <w:pPr>
        <w:ind w:firstLine="420"/>
        <w:jc w:val="left"/>
        <w:spacing w:line="378" w:lineRule="exact"/>
        <w:rPr>
          <w:rFonts w:ascii="Calibri" w:hAnsi="Calibri"/>
          <w:szCs w:val="22"/>
        </w:rPr>
      </w:pPr>
      <w:r>
        <w:rPr>
          <w:rFonts w:ascii="宋体" w:hAnsi="宋体" w:cs="宋体"/>
          <w:color w:val="000000"/>
          <w:szCs w:val="22"/>
        </w:rPr>
        <w:t xml:space="preserve">根据《中华人民共和国政府采购法》《中华人民共和国民法典》等法律法规的规定，甲乙双方按照公开招标结果签订本合同。</w:t>
      </w:r>
      <w:r/>
    </w:p>
    <w:p>
      <w:pPr>
        <w:jc w:val="left"/>
        <w:spacing w:line="431" w:lineRule="exact"/>
        <w:rPr>
          <w:rFonts w:ascii="Calibri" w:hAnsi="Calibri"/>
          <w:szCs w:val="22"/>
        </w:rPr>
      </w:pPr>
      <w:r>
        <w:rPr>
          <w:rFonts w:ascii="宋体" w:hAnsi="宋体" w:cs="宋体"/>
          <w:b/>
          <w:color w:val="000000"/>
          <w:sz w:val="24"/>
          <w:szCs w:val="22"/>
        </w:rPr>
        <w:t xml:space="preserve">1.合同标的</w:t>
      </w:r>
      <w:r/>
    </w:p>
    <w:p>
      <w:pPr>
        <w:ind w:firstLine="420"/>
        <w:jc w:val="left"/>
        <w:spacing w:line="378" w:lineRule="exact"/>
        <w:rPr>
          <w:rFonts w:ascii="Calibri" w:hAnsi="Calibri"/>
          <w:szCs w:val="22"/>
        </w:rPr>
      </w:pPr>
      <w:r>
        <w:rPr>
          <w:rFonts w:ascii="宋体" w:hAnsi="宋体" w:cs="宋体"/>
          <w:color w:val="000000"/>
          <w:szCs w:val="22"/>
        </w:rPr>
        <w:t xml:space="preserve">1.1 乙方根据甲方需求提供下列货物：</w:t>
      </w:r>
      <w:r/>
    </w:p>
    <w:tbl>
      <w:tblPr>
        <w:tblW w:w="9600" w:type="dxa"/>
        <w:jc w:val="center"/>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525"/>
        <w:gridCol w:w="1500"/>
        <w:gridCol w:w="1305"/>
        <w:gridCol w:w="1245"/>
        <w:gridCol w:w="1170"/>
        <w:gridCol w:w="570"/>
        <w:gridCol w:w="615"/>
        <w:gridCol w:w="1155"/>
        <w:gridCol w:w="1515"/>
      </w:tblGrid>
      <w:tr>
        <w:trPr>
          <w:jc w:val="center"/>
          <w:trHeight w:val="45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产品名称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品牌</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规格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型号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数量</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单价</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总价</w:t>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ascii="Calibri" w:hAnsi="Calibri"/>
                <w:szCs w:val="22"/>
              </w:rPr>
            </w:pPr>
            <w:r>
              <w:rPr>
                <w:rFonts w:hint="eastAsia" w:ascii="宋体" w:hAnsi="宋体" w:cs="宋体"/>
                <w:color w:val="000000"/>
                <w:szCs w:val="22"/>
              </w:rPr>
              <w:t xml:space="preserve"> </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ascii="宋体" w:hAnsi="宋体" w:cs="宋体"/>
                <w:color w:val="000000"/>
                <w:szCs w:val="22"/>
              </w:rPr>
              <w:t xml:space="preserve">…</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gridSpan w:val="2"/>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20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合计</w:t>
            </w:r>
            <w:r/>
          </w:p>
        </w:tc>
        <w:tc>
          <w:tcPr>
            <w:gridSpan w:val="7"/>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7575" w:type="dxa"/>
            <w:vAlign w:val="center"/>
            <w:textDirection w:val="lrTb"/>
            <w:noWrap w:val="false"/>
          </w:tcPr>
          <w:p>
            <w:pPr>
              <w:jc w:val="left"/>
              <w:spacing w:line="378" w:lineRule="exact"/>
              <w:rPr>
                <w:rFonts w:ascii="Calibri" w:hAnsi="Calibri"/>
                <w:szCs w:val="22"/>
              </w:rPr>
            </w:pPr>
            <w:r>
              <w:rPr>
                <w:rFonts w:ascii="宋体" w:hAnsi="宋体" w:cs="宋体"/>
                <w:color w:val="000000"/>
                <w:szCs w:val="22"/>
              </w:rPr>
              <w:t xml:space="preserve">人民币：大写 （￥ </w:t>
            </w:r>
            <w:r>
              <w:rPr>
                <w:rFonts w:ascii="宋体" w:hAnsi="宋体" w:cs="宋体"/>
                <w:color w:val="000000"/>
                <w:szCs w:val="22"/>
                <w:u w:val="single"/>
              </w:rPr>
              <w:t xml:space="preserve">　　　　　</w:t>
            </w:r>
            <w:r>
              <w:rPr>
                <w:rFonts w:ascii="宋体" w:hAnsi="宋体" w:cs="宋体"/>
                <w:color w:val="000000"/>
                <w:szCs w:val="22"/>
              </w:rPr>
              <w:t xml:space="preserve">元）</w:t>
            </w:r>
            <w:r/>
          </w:p>
        </w:tc>
      </w:tr>
      <w:tr>
        <w:trPr>
          <w:jc w:val="center"/>
          <w:trHeight w:val="450"/>
        </w:trPr>
        <w:tc>
          <w:tcPr>
            <w:tcBorders>
              <w:top w:val="single" w:color="auto" w:sz="6" w:space="0"/>
              <w:left w:val="single" w:color="auto" w:sz="12" w:space="0"/>
              <w:bottom w:val="single" w:color="auto" w:sz="12"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备注</w:t>
            </w:r>
            <w:r/>
          </w:p>
        </w:tc>
        <w:tc>
          <w:tcPr>
            <w:gridSpan w:val="8"/>
            <w:tcBorders>
              <w:top w:val="single" w:color="auto" w:sz="6" w:space="0"/>
              <w:left w:val="single" w:color="auto" w:sz="6" w:space="0"/>
              <w:bottom w:val="single" w:color="auto" w:sz="12" w:space="0"/>
              <w:right w:val="single" w:color="auto" w:sz="12" w:space="0"/>
            </w:tcBorders>
            <w:tcMar>
              <w:left w:w="20" w:type="dxa"/>
              <w:top w:w="20" w:type="dxa"/>
              <w:right w:w="20" w:type="dxa"/>
              <w:bottom w:w="20" w:type="dxa"/>
            </w:tcMar>
            <w:tcW w:w="9075" w:type="dxa"/>
            <w:textDirection w:val="lrTb"/>
            <w:noWrap w:val="false"/>
          </w:tcPr>
          <w:p>
            <w:pPr>
              <w:rPr>
                <w:rFonts w:ascii="Calibri" w:hAnsi="Calibri"/>
                <w:szCs w:val="22"/>
              </w:rPr>
            </w:pPr>
            <w:r>
              <w:rPr>
                <w:rFonts w:ascii="Calibri" w:hAnsi="Calibri"/>
                <w:szCs w:val="22"/>
              </w:rPr>
            </w:r>
            <w:r/>
          </w:p>
        </w:tc>
      </w:tr>
    </w:tbl>
    <w:p>
      <w:pPr>
        <w:spacing w:line="195" w:lineRule="exact"/>
        <w:rPr>
          <w:rFonts w:ascii="Calibri" w:hAnsi="Calibri"/>
          <w:szCs w:val="22"/>
        </w:rPr>
      </w:pPr>
      <w:r>
        <w:rPr>
          <w:rFonts w:ascii="Calibri" w:hAnsi="Calibri"/>
          <w:szCs w:val="22"/>
        </w:rPr>
      </w:r>
      <w:r/>
    </w:p>
    <w:p>
      <w:pPr>
        <w:ind w:firstLine="420"/>
        <w:jc w:val="left"/>
        <w:spacing w:line="378" w:lineRule="exact"/>
        <w:rPr>
          <w:rFonts w:ascii="Calibri" w:hAnsi="Calibri"/>
          <w:szCs w:val="22"/>
        </w:rPr>
      </w:pPr>
      <w:r>
        <w:rPr>
          <w:rFonts w:ascii="宋体" w:hAnsi="宋体" w:cs="宋体"/>
          <w:color w:val="000000"/>
          <w:szCs w:val="22"/>
        </w:rPr>
        <w:t xml:space="preserve">1.2 货物名称、规格及数量详见乙方投标文件。</w:t>
      </w:r>
      <w:r/>
    </w:p>
    <w:p>
      <w:pPr>
        <w:jc w:val="left"/>
        <w:spacing w:line="431" w:lineRule="exact"/>
        <w:rPr>
          <w:rFonts w:ascii="Calibri" w:hAnsi="Calibri"/>
          <w:szCs w:val="22"/>
        </w:rPr>
      </w:pPr>
      <w:r>
        <w:rPr>
          <w:rFonts w:ascii="宋体" w:hAnsi="宋体" w:cs="宋体"/>
          <w:b/>
          <w:color w:val="000000"/>
          <w:sz w:val="24"/>
          <w:szCs w:val="22"/>
        </w:rPr>
        <w:t xml:space="preserve">2.合同总价款</w:t>
      </w:r>
      <w:r/>
    </w:p>
    <w:p>
      <w:pPr>
        <w:ind w:firstLine="420"/>
        <w:jc w:val="left"/>
        <w:spacing w:line="378" w:lineRule="exact"/>
        <w:rPr>
          <w:rFonts w:ascii="Calibri" w:hAnsi="Calibri"/>
          <w:szCs w:val="22"/>
        </w:rPr>
      </w:pPr>
      <w:r>
        <w:rPr>
          <w:rFonts w:ascii="宋体" w:hAnsi="宋体" w:cs="宋体"/>
          <w:color w:val="000000"/>
          <w:szCs w:val="22"/>
        </w:rPr>
        <w:t xml:space="preserve">2.1 本合同项下货物总价款为</w:t>
      </w:r>
      <w:r>
        <w:rPr>
          <w:rFonts w:ascii="宋体" w:hAnsi="宋体" w:cs="宋体"/>
          <w:color w:val="000000"/>
          <w:szCs w:val="22"/>
          <w:u w:val="single"/>
        </w:rPr>
        <w:t xml:space="preserve">　　　　　</w:t>
      </w:r>
      <w:r>
        <w:rPr>
          <w:rFonts w:ascii="宋体" w:hAnsi="宋体" w:cs="宋体"/>
          <w:color w:val="000000"/>
          <w:szCs w:val="22"/>
        </w:rPr>
        <w:t xml:space="preserve">（大写）人民币（</w:t>
      </w:r>
      <w:r>
        <w:rPr>
          <w:rFonts w:ascii="宋体" w:hAnsi="宋体" w:cs="宋体"/>
          <w:color w:val="000000"/>
          <w:szCs w:val="22"/>
          <w:u w:val="single"/>
        </w:rPr>
        <w:t xml:space="preserve">　　</w:t>
      </w:r>
      <w:r>
        <w:rPr>
          <w:rFonts w:ascii="宋体" w:hAnsi="宋体" w:cs="宋体"/>
          <w:color w:val="000000"/>
          <w:szCs w:val="22"/>
        </w:rPr>
        <w:t xml:space="preserve">%遇国家税率调整执行新税率，</w:t>
      </w:r>
      <w:r>
        <w:rPr>
          <w:rFonts w:ascii="宋体" w:hAnsi="宋体" w:cs="宋体"/>
          <w:color w:val="000000"/>
          <w:szCs w:val="22"/>
          <w:u w:val="single"/>
        </w:rPr>
        <w:t xml:space="preserve">　　　　　　　　</w:t>
      </w:r>
      <w:r>
        <w:rPr>
          <w:rFonts w:ascii="宋体" w:hAnsi="宋体" w:cs="宋体"/>
          <w:color w:val="000000"/>
          <w:szCs w:val="22"/>
        </w:rPr>
        <w:t xml:space="preserve">，差额部分从合同付款总额中作相应调整），分项价款在“投标报价表”中有明确规定。</w:t>
      </w:r>
      <w:r/>
    </w:p>
    <w:p>
      <w:pPr>
        <w:ind w:firstLine="420"/>
        <w:jc w:val="left"/>
        <w:spacing w:line="378" w:lineRule="exact"/>
        <w:rPr>
          <w:rFonts w:ascii="Calibri" w:hAnsi="Calibri"/>
          <w:szCs w:val="22"/>
        </w:rPr>
      </w:pPr>
      <w:r>
        <w:rPr>
          <w:rFonts w:ascii="宋体" w:hAnsi="宋体" w:cs="宋体"/>
          <w:color w:val="000000"/>
          <w:szCs w:val="22"/>
        </w:rPr>
        <w:t xml:space="preserve">2.2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w:t>
      </w:r>
      <w:r>
        <w:rPr>
          <w:rFonts w:hint="eastAsia" w:ascii="宋体" w:hAnsi="宋体" w:cs="宋体"/>
          <w:color w:val="000000"/>
          <w:szCs w:val="22"/>
        </w:rPr>
        <w:t xml:space="preserve">乙方</w:t>
      </w:r>
      <w:r>
        <w:rPr>
          <w:rFonts w:ascii="宋体" w:hAnsi="宋体" w:cs="宋体"/>
          <w:color w:val="000000"/>
          <w:szCs w:val="22"/>
        </w:rPr>
        <w:t xml:space="preserve">认为需要的其他费用等。</w:t>
      </w:r>
      <w:r/>
    </w:p>
    <w:p>
      <w:pPr>
        <w:ind w:firstLine="420"/>
        <w:jc w:val="left"/>
        <w:spacing w:line="378" w:lineRule="exact"/>
        <w:rPr>
          <w:rFonts w:ascii="Calibri" w:hAnsi="Calibri"/>
          <w:szCs w:val="22"/>
        </w:rPr>
      </w:pPr>
      <w:r>
        <w:rPr>
          <w:rFonts w:ascii="宋体" w:hAnsi="宋体" w:cs="宋体"/>
          <w:color w:val="000000"/>
          <w:szCs w:val="22"/>
        </w:rPr>
        <w:t xml:space="preserve">2.3 本合同总价款还包含乙方应当提供的伴随服务/售后服务费用。</w:t>
      </w:r>
      <w:r>
        <w:rPr>
          <w:rFonts w:ascii="宋体" w:hAnsi="宋体" w:cs="宋体"/>
          <w:color w:val="000000"/>
          <w:szCs w:val="22"/>
        </w:rPr>
        <w:t xml:space="preserve">项目执行期间除合同2.1中税率调整原因外，总价款不变。</w:t>
      </w:r>
      <w:r/>
    </w:p>
    <w:p>
      <w:pPr>
        <w:jc w:val="left"/>
        <w:spacing w:line="431" w:lineRule="exact"/>
        <w:rPr>
          <w:rFonts w:ascii="Calibri" w:hAnsi="Calibri"/>
          <w:szCs w:val="22"/>
        </w:rPr>
      </w:pPr>
      <w:r>
        <w:rPr>
          <w:rFonts w:ascii="宋体" w:hAnsi="宋体" w:cs="宋体"/>
          <w:b/>
          <w:color w:val="000000"/>
          <w:sz w:val="24"/>
          <w:szCs w:val="22"/>
        </w:rPr>
        <w:t xml:space="preserve">3.组成本合同的有关文件</w:t>
      </w:r>
      <w:r/>
    </w:p>
    <w:p>
      <w:pPr>
        <w:ind w:firstLine="420"/>
        <w:jc w:val="left"/>
        <w:spacing w:line="378" w:lineRule="exact"/>
        <w:rPr>
          <w:rFonts w:ascii="Calibri" w:hAnsi="Calibri"/>
          <w:szCs w:val="22"/>
        </w:rPr>
      </w:pPr>
      <w:r>
        <w:rPr>
          <w:rFonts w:ascii="宋体" w:hAnsi="宋体" w:cs="宋体"/>
          <w:color w:val="000000"/>
          <w:szCs w:val="22"/>
        </w:rPr>
        <w:t xml:space="preserve">3.1 下列关于　　　　　　　　　　　号标的招投标文件或与本次采购活动方式相适应的文件及有关附件是本合同不可分割的组成部分，与本合同具有同等法律效力， 这些文件包括但不限于：</w:t>
      </w:r>
      <w:r/>
    </w:p>
    <w:p>
      <w:pPr>
        <w:ind w:firstLine="420"/>
        <w:jc w:val="left"/>
        <w:spacing w:line="378" w:lineRule="exact"/>
        <w:rPr>
          <w:rFonts w:ascii="Calibri" w:hAnsi="Calibri"/>
          <w:szCs w:val="22"/>
        </w:rPr>
      </w:pPr>
      <w:r>
        <w:rPr>
          <w:rFonts w:ascii="宋体" w:hAnsi="宋体" w:cs="宋体"/>
          <w:color w:val="000000"/>
          <w:szCs w:val="22"/>
        </w:rPr>
        <w:t xml:space="preserve">（1）乙方提供的响应文件和报价表；（2）供货一览表；</w:t>
      </w:r>
      <w:r/>
    </w:p>
    <w:p>
      <w:pPr>
        <w:ind w:firstLine="420"/>
        <w:jc w:val="left"/>
        <w:spacing w:line="378" w:lineRule="exact"/>
        <w:rPr>
          <w:rFonts w:ascii="Calibri" w:hAnsi="Calibri"/>
          <w:szCs w:val="22"/>
        </w:rPr>
      </w:pPr>
      <w:r>
        <w:rPr>
          <w:rFonts w:ascii="宋体" w:hAnsi="宋体" w:cs="宋体"/>
          <w:color w:val="000000"/>
          <w:szCs w:val="22"/>
        </w:rPr>
        <w:t xml:space="preserve">（3）交货一览表；                （4）技术规格响应表；</w:t>
      </w:r>
      <w:r/>
    </w:p>
    <w:p>
      <w:pPr>
        <w:ind w:firstLine="420"/>
        <w:jc w:val="left"/>
        <w:spacing w:line="378" w:lineRule="exact"/>
        <w:rPr>
          <w:rFonts w:ascii="Calibri" w:hAnsi="Calibri"/>
          <w:szCs w:val="22"/>
        </w:rPr>
      </w:pPr>
      <w:r>
        <w:rPr>
          <w:rFonts w:ascii="宋体" w:hAnsi="宋体" w:cs="宋体"/>
          <w:color w:val="000000"/>
          <w:szCs w:val="22"/>
        </w:rPr>
        <w:t xml:space="preserve">（5）乙方承诺；                  （6）服务承诺；</w:t>
      </w:r>
      <w:r/>
    </w:p>
    <w:p>
      <w:pPr>
        <w:ind w:firstLine="420"/>
        <w:jc w:val="left"/>
        <w:spacing w:line="378" w:lineRule="exact"/>
        <w:rPr>
          <w:rFonts w:ascii="Calibri" w:hAnsi="Calibri"/>
          <w:szCs w:val="22"/>
        </w:rPr>
      </w:pPr>
      <w:r>
        <w:rPr>
          <w:rFonts w:ascii="宋体" w:hAnsi="宋体" w:cs="宋体"/>
          <w:color w:val="000000"/>
          <w:szCs w:val="22"/>
        </w:rPr>
        <w:t xml:space="preserve">（7）成交通知书；                （8）甲乙双方商定的其他文件等。</w:t>
      </w:r>
      <w:r/>
    </w:p>
    <w:p>
      <w:pPr>
        <w:jc w:val="left"/>
        <w:spacing w:line="431" w:lineRule="exact"/>
        <w:rPr>
          <w:rFonts w:ascii="Calibri" w:hAnsi="Calibri"/>
          <w:szCs w:val="22"/>
        </w:rPr>
      </w:pPr>
      <w:r>
        <w:rPr>
          <w:rFonts w:ascii="宋体" w:hAnsi="宋体" w:cs="宋体"/>
          <w:b/>
          <w:color w:val="000000"/>
          <w:sz w:val="24"/>
          <w:szCs w:val="22"/>
        </w:rPr>
        <w:t xml:space="preserve">4.权利保证</w:t>
      </w:r>
      <w:r/>
    </w:p>
    <w:p>
      <w:pPr>
        <w:ind w:firstLine="420"/>
        <w:jc w:val="left"/>
        <w:spacing w:line="378" w:lineRule="exact"/>
        <w:rPr>
          <w:rFonts w:ascii="Calibri" w:hAnsi="Calibri"/>
          <w:szCs w:val="22"/>
        </w:rPr>
      </w:pPr>
      <w:r>
        <w:rPr>
          <w:rFonts w:ascii="宋体" w:hAnsi="宋体" w:cs="宋体"/>
          <w:color w:val="000000"/>
          <w:szCs w:val="22"/>
        </w:rPr>
        <w:t xml:space="preserve">4.1 乙方应保证甲方在使用该货物或其任何一部分时不受第三方提出侵犯其专利权、版权、商标权或其他权利的起诉。一旦出现侵权，乙方应承担全部责任。</w:t>
      </w:r>
      <w:r/>
    </w:p>
    <w:p>
      <w:pPr>
        <w:jc w:val="left"/>
        <w:spacing w:line="431" w:lineRule="exact"/>
        <w:rPr>
          <w:rFonts w:hint="eastAsia" w:ascii="宋体" w:hAnsi="宋体" w:cs="宋体"/>
          <w:b/>
          <w:color w:val="000000"/>
          <w:sz w:val="24"/>
          <w:szCs w:val="22"/>
        </w:rPr>
      </w:pPr>
      <w:r>
        <w:rPr>
          <w:rFonts w:ascii="宋体" w:hAnsi="宋体" w:cs="宋体"/>
          <w:b/>
          <w:color w:val="000000"/>
          <w:sz w:val="24"/>
          <w:szCs w:val="22"/>
        </w:rPr>
        <w:t xml:space="preserve">5.质量保证</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5.1</w:t>
      </w:r>
      <w:r>
        <w:rPr>
          <w:rFonts w:ascii="宋体" w:hAnsi="宋体" w:cs="宋体"/>
          <w:color w:val="000000"/>
          <w:szCs w:val="22"/>
        </w:rPr>
        <w:t xml:space="preserve">乙方所提供的货物的技术规格应与招标文件规定的技术规格及所附的“技术规格响应表”相一致；若技术性能无特殊说明，则按国家有关部门最新颁布的标准及规范为准。</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5.2</w:t>
      </w:r>
      <w:r>
        <w:rPr>
          <w:rFonts w:ascii="宋体" w:hAnsi="宋体" w:cs="宋体"/>
          <w:color w:val="000000"/>
          <w:szCs w:val="22"/>
        </w:rPr>
        <w:t xml:space="preserve">本项目各项消防设备设施的安装调试均按照国家消防相关强制性标准实施，未达到质量要求的，</w:t>
      </w:r>
      <w:r>
        <w:rPr>
          <w:rFonts w:hint="eastAsia" w:ascii="宋体" w:hAnsi="宋体" w:cs="宋体"/>
          <w:color w:val="000000"/>
          <w:szCs w:val="22"/>
        </w:rPr>
        <w:t xml:space="preserve">乙方</w:t>
      </w:r>
      <w:r>
        <w:rPr>
          <w:rFonts w:ascii="宋体" w:hAnsi="宋体" w:cs="宋体"/>
          <w:color w:val="000000"/>
          <w:szCs w:val="22"/>
        </w:rPr>
        <w:t xml:space="preserve">负责无条件返工，直至达到要求，所发生的费用由中标</w:t>
      </w:r>
      <w:r>
        <w:rPr>
          <w:rFonts w:hint="eastAsia" w:ascii="宋体" w:hAnsi="宋体" w:cs="宋体"/>
          <w:color w:val="000000"/>
          <w:szCs w:val="22"/>
        </w:rPr>
        <w:t xml:space="preserve">乙方</w:t>
      </w:r>
      <w:r>
        <w:rPr>
          <w:rFonts w:ascii="宋体" w:hAnsi="宋体" w:cs="宋体"/>
          <w:color w:val="000000"/>
          <w:szCs w:val="22"/>
        </w:rPr>
        <w:t xml:space="preserve">承担，</w:t>
      </w:r>
      <w:r>
        <w:rPr>
          <w:rFonts w:hint="eastAsia" w:ascii="宋体" w:hAnsi="宋体" w:cs="宋体"/>
          <w:color w:val="000000"/>
          <w:szCs w:val="22"/>
        </w:rPr>
        <w:t xml:space="preserve">乙方</w:t>
      </w:r>
      <w:r>
        <w:rPr>
          <w:rFonts w:ascii="宋体" w:hAnsi="宋体" w:cs="宋体"/>
          <w:color w:val="000000"/>
          <w:szCs w:val="22"/>
        </w:rPr>
        <w:t xml:space="preserve">还应赔偿因此给</w:t>
      </w:r>
      <w:r>
        <w:rPr>
          <w:rFonts w:hint="eastAsia" w:ascii="宋体" w:hAnsi="宋体" w:cs="宋体"/>
          <w:color w:val="000000"/>
          <w:szCs w:val="22"/>
        </w:rPr>
        <w:t xml:space="preserve">甲方</w:t>
      </w:r>
      <w:r>
        <w:rPr>
          <w:rFonts w:ascii="宋体" w:hAnsi="宋体" w:cs="宋体"/>
          <w:color w:val="000000"/>
          <w:szCs w:val="22"/>
        </w:rPr>
        <w:t xml:space="preserve">造成的损失。</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5.3乙方</w:t>
      </w:r>
      <w:r>
        <w:rPr>
          <w:rFonts w:ascii="宋体" w:hAnsi="宋体" w:cs="宋体"/>
          <w:color w:val="000000"/>
          <w:szCs w:val="22"/>
        </w:rPr>
        <w:t xml:space="preserve">需提供质量保证承诺及维修响应承诺，设备及软件系统不少于5年免费原厂质保及升级服务，需提供书面承诺书并加盖</w:t>
      </w:r>
      <w:r>
        <w:rPr>
          <w:rFonts w:hint="eastAsia" w:ascii="宋体" w:hAnsi="宋体" w:cs="宋体"/>
          <w:color w:val="000000"/>
          <w:szCs w:val="22"/>
        </w:rPr>
        <w:t xml:space="preserve">乙方</w:t>
      </w:r>
      <w:r>
        <w:rPr>
          <w:rFonts w:ascii="宋体" w:hAnsi="宋体" w:cs="宋体"/>
          <w:color w:val="000000"/>
          <w:szCs w:val="22"/>
        </w:rPr>
        <w:t xml:space="preserve">公章（自</w:t>
      </w:r>
      <w:r>
        <w:rPr>
          <w:rFonts w:hint="eastAsia" w:ascii="宋体" w:hAnsi="宋体" w:cs="宋体"/>
          <w:color w:val="000000"/>
          <w:szCs w:val="22"/>
        </w:rPr>
        <w:t xml:space="preserve">甲方</w:t>
      </w:r>
      <w:r>
        <w:rPr>
          <w:rFonts w:ascii="宋体" w:hAnsi="宋体" w:cs="宋体"/>
          <w:color w:val="000000"/>
          <w:szCs w:val="22"/>
        </w:rPr>
        <w:t xml:space="preserve">验收合格，签署验收报告之日起计）。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5.4</w:t>
      </w:r>
      <w:r>
        <w:rPr>
          <w:rFonts w:ascii="宋体" w:hAnsi="宋体" w:cs="宋体"/>
          <w:color w:val="000000"/>
          <w:szCs w:val="22"/>
        </w:rPr>
        <w:t xml:space="preserve">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5.5乙方</w:t>
      </w:r>
      <w:r>
        <w:rPr>
          <w:rFonts w:ascii="宋体" w:hAnsi="宋体" w:cs="宋体"/>
          <w:color w:val="000000"/>
          <w:szCs w:val="22"/>
        </w:rPr>
        <w:t xml:space="preserve">提供的货物在质保期内因货物本身的质量问题发生故障，</w:t>
      </w:r>
      <w:r>
        <w:rPr>
          <w:rFonts w:hint="eastAsia" w:ascii="宋体" w:hAnsi="宋体" w:cs="宋体"/>
          <w:color w:val="000000"/>
          <w:szCs w:val="22"/>
        </w:rPr>
        <w:t xml:space="preserve">乙方</w:t>
      </w:r>
      <w:r>
        <w:rPr>
          <w:rFonts w:ascii="宋体" w:hAnsi="宋体" w:cs="宋体"/>
          <w:color w:val="000000"/>
          <w:szCs w:val="22"/>
        </w:rPr>
        <w:t xml:space="preserve">应负责免费更换，更换后的货物质保期从更换之日从新起算。对经两次更换仍达不到技术要求者，应予退货处理。</w:t>
      </w:r>
      <w:r>
        <w:rPr>
          <w:rFonts w:hint="eastAsia" w:ascii="宋体" w:hAnsi="宋体" w:cs="宋体"/>
          <w:color w:val="000000"/>
          <w:szCs w:val="22"/>
        </w:rPr>
        <w:t xml:space="preserve">乙方</w:t>
      </w:r>
      <w:r>
        <w:rPr>
          <w:rFonts w:ascii="宋体" w:hAnsi="宋体" w:cs="宋体"/>
          <w:color w:val="000000"/>
          <w:szCs w:val="22"/>
        </w:rPr>
        <w:t xml:space="preserve">应退还</w:t>
      </w:r>
      <w:r>
        <w:rPr>
          <w:rFonts w:hint="eastAsia" w:ascii="宋体" w:hAnsi="宋体" w:cs="宋体"/>
          <w:color w:val="000000"/>
          <w:szCs w:val="22"/>
        </w:rPr>
        <w:t xml:space="preserve">甲方</w:t>
      </w:r>
      <w:r>
        <w:rPr>
          <w:rFonts w:ascii="宋体" w:hAnsi="宋体" w:cs="宋体"/>
          <w:color w:val="000000"/>
          <w:szCs w:val="22"/>
        </w:rPr>
        <w:t xml:space="preserve">支付的合同款，同时应承担该货物的直接费用（运输、保险、检验、货款利息及银行手续费等）。</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5.6</w:t>
      </w:r>
      <w:r>
        <w:rPr>
          <w:rFonts w:ascii="宋体" w:hAnsi="宋体" w:cs="宋体"/>
          <w:color w:val="000000"/>
          <w:szCs w:val="22"/>
        </w:rPr>
        <w:t xml:space="preserve"> 质量保证期为自验收合格后</w:t>
      </w:r>
      <w:r>
        <w:rPr>
          <w:rFonts w:ascii="宋体" w:hAnsi="宋体" w:cs="宋体"/>
          <w:color w:val="000000"/>
          <w:szCs w:val="22"/>
          <w:u w:val="single"/>
        </w:rPr>
        <w:t xml:space="preserve">　　</w:t>
      </w:r>
      <w:r>
        <w:rPr>
          <w:rFonts w:ascii="宋体" w:hAnsi="宋体" w:cs="宋体"/>
          <w:color w:val="000000"/>
          <w:szCs w:val="22"/>
        </w:rPr>
        <w:t xml:space="preserve">月。</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5.7 独立式光电感烟火灾探测报警器、手动火灾报警按钮和火灾声光报警器产品需取得应急管理部消防产品合格评定中心出具的强制性产品认证证书。（提供应急管理部消防产品合格评定中心出具的强制性产品认证证书复印件）</w:t>
      </w:r>
      <w:r>
        <w:rPr>
          <w:rFonts w:ascii="宋体" w:hAnsi="宋体" w:cs="宋体"/>
          <w:color w:val="000000"/>
          <w:szCs w:val="22"/>
        </w:rPr>
        <w:t xml:space="preserve">。</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5.8 乙方所提供</w:t>
      </w:r>
      <w:r>
        <w:rPr>
          <w:rFonts w:ascii="宋体" w:hAnsi="宋体" w:cs="宋体"/>
          <w:color w:val="000000"/>
          <w:szCs w:val="22"/>
        </w:rPr>
        <w:t xml:space="preserve">网关的无线信号必须能够覆盖全部接入的无线报警设备，确保每一台设备在其安装位置均能与网关建立稳定、可靠的双向通信。</w:t>
      </w:r>
      <w:r/>
    </w:p>
    <w:p>
      <w:pPr>
        <w:ind w:firstLine="420"/>
        <w:jc w:val="left"/>
        <w:spacing w:line="378" w:lineRule="exact"/>
        <w:rPr>
          <w:rFonts w:ascii="Calibri" w:hAnsi="Calibri"/>
          <w:szCs w:val="22"/>
        </w:rPr>
      </w:pPr>
      <w:r>
        <w:rPr>
          <w:rFonts w:hint="eastAsia" w:ascii="宋体" w:hAnsi="宋体" w:cs="宋体"/>
          <w:color w:val="000000"/>
          <w:szCs w:val="22"/>
        </w:rPr>
        <w:t xml:space="preserve">5.9 质保期满前独立式光电感烟火灾探测报警器乙方须全部进行一次烟感锂锰电池更换，费用包含在本次投标报价中（提供承诺函并加盖公章）。</w:t>
      </w:r>
      <w:r/>
    </w:p>
    <w:p>
      <w:pPr>
        <w:jc w:val="left"/>
        <w:spacing w:line="431" w:lineRule="exact"/>
        <w:rPr>
          <w:rFonts w:ascii="Calibri" w:hAnsi="Calibri"/>
          <w:szCs w:val="22"/>
        </w:rPr>
      </w:pPr>
      <w:r>
        <w:rPr>
          <w:rFonts w:ascii="宋体" w:hAnsi="宋体" w:cs="宋体"/>
          <w:b/>
          <w:color w:val="000000"/>
          <w:sz w:val="24"/>
          <w:szCs w:val="22"/>
        </w:rPr>
        <w:t xml:space="preserve">6.包装要求</w:t>
      </w:r>
      <w:r/>
    </w:p>
    <w:p>
      <w:pPr>
        <w:ind w:firstLine="420"/>
        <w:jc w:val="left"/>
        <w:spacing w:line="378" w:lineRule="exact"/>
        <w:rPr>
          <w:rFonts w:ascii="Calibri" w:hAnsi="Calibri"/>
          <w:szCs w:val="22"/>
        </w:rPr>
      </w:pPr>
      <w:r>
        <w:rPr>
          <w:rFonts w:ascii="宋体" w:hAnsi="宋体" w:cs="宋体"/>
          <w:color w:val="000000"/>
          <w:szCs w:val="22"/>
        </w:rPr>
        <w:t xml:space="preserve">6.1 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78" w:lineRule="exact"/>
        <w:rPr>
          <w:rFonts w:ascii="Calibri" w:hAnsi="Calibri"/>
          <w:szCs w:val="22"/>
        </w:rPr>
      </w:pPr>
      <w:r>
        <w:rPr>
          <w:rFonts w:ascii="宋体" w:hAnsi="宋体" w:cs="宋体"/>
          <w:color w:val="000000"/>
          <w:szCs w:val="22"/>
        </w:rPr>
        <w:t xml:space="preserve">6.2 每一包装单元内应附详细的装箱单和质量合格凭证。</w:t>
      </w:r>
      <w:r/>
    </w:p>
    <w:p>
      <w:pPr>
        <w:jc w:val="left"/>
        <w:spacing w:line="431" w:lineRule="exact"/>
        <w:rPr>
          <w:rFonts w:ascii="Calibri" w:hAnsi="Calibri"/>
          <w:szCs w:val="22"/>
        </w:rPr>
      </w:pPr>
      <w:r>
        <w:rPr>
          <w:rFonts w:ascii="宋体" w:hAnsi="宋体" w:cs="宋体"/>
          <w:b/>
          <w:color w:val="000000"/>
          <w:sz w:val="24"/>
          <w:szCs w:val="22"/>
        </w:rPr>
        <w:t xml:space="preserve">7.交货和验收</w:t>
      </w:r>
      <w:r/>
    </w:p>
    <w:p>
      <w:pPr>
        <w:ind w:firstLine="420"/>
        <w:jc w:val="left"/>
        <w:spacing w:line="378" w:lineRule="exact"/>
        <w:rPr>
          <w:rFonts w:ascii="Calibri" w:hAnsi="Calibri"/>
          <w:szCs w:val="22"/>
        </w:rPr>
      </w:pPr>
      <w:r>
        <w:rPr>
          <w:rFonts w:ascii="宋体" w:hAnsi="宋体" w:cs="宋体"/>
          <w:color w:val="000000"/>
          <w:szCs w:val="22"/>
        </w:rPr>
        <w:t xml:space="preserve">7.1 本项目验收分为到货初验与最终验收两个阶段，由</w:t>
      </w:r>
      <w:r>
        <w:rPr>
          <w:rFonts w:hint="eastAsia" w:ascii="宋体" w:hAnsi="宋体" w:cs="宋体"/>
          <w:color w:val="000000"/>
          <w:szCs w:val="22"/>
        </w:rPr>
        <w:t xml:space="preserve">甲方</w:t>
      </w:r>
      <w:r>
        <w:rPr>
          <w:rFonts w:ascii="宋体" w:hAnsi="宋体" w:cs="宋体"/>
          <w:color w:val="000000"/>
          <w:szCs w:val="22"/>
        </w:rPr>
        <w:t xml:space="preserve">组织，并可联合第三方共同进行。验收标准均严格遵循本项目招标文件明确的技术要求及国家、行业相关质量标准。</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7.2到货初验</w:t>
      </w:r>
      <w:r>
        <w:rPr>
          <w:rFonts w:ascii="宋体" w:hAnsi="宋体" w:cs="宋体"/>
          <w:color w:val="000000"/>
          <w:szCs w:val="22"/>
        </w:rPr>
        <w:t xml:space="preserve">：</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全部货物运送至甲方指定现场，完成进场交接后，即可启动初验。</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在初验开始前，乙方须完成以下工作：</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7.2.1 对进场货物的数量、型号、外观、随机资料进行全面检查。</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7.2.2 编制并提交详细的 《到货验收清单》​，该清单将作为甲方开展初验及后续货物使用、维护的技术依据。</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7.2.3 完成所有验收文件的整理与归档，并将完整的货物检验结果提交至甲方供甲方审核留存。甲方将依据乙方提交的《到货验收清单》及相关文件，对货物进行现场核查与测试。</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7.3最终验收</w:t>
      </w:r>
      <w:r>
        <w:rPr>
          <w:rFonts w:ascii="宋体" w:hAnsi="宋体" w:cs="宋体"/>
          <w:color w:val="000000"/>
          <w:szCs w:val="22"/>
        </w:rPr>
        <w:t xml:space="preserve">：</w:t>
      </w:r>
      <w:r/>
    </w:p>
    <w:p>
      <w:pPr>
        <w:ind w:firstLine="420"/>
        <w:jc w:val="left"/>
        <w:spacing w:line="378" w:lineRule="exact"/>
        <w:rPr>
          <w:rFonts w:hint="eastAsia" w:ascii="宋体" w:hAnsi="宋体" w:cs="宋体"/>
          <w:color w:val="000000"/>
          <w:szCs w:val="22"/>
        </w:rPr>
      </w:pPr>
      <w:r>
        <w:rPr>
          <w:rFonts w:ascii="宋体" w:hAnsi="宋体" w:cs="宋体"/>
          <w:color w:val="000000"/>
          <w:szCs w:val="22"/>
        </w:rPr>
        <w:t xml:space="preserve">所有货物完成安装、调试，系统连续稳定运行正常，达到招标文件规定的全部功能和性能要求后，由</w:t>
      </w:r>
      <w:r>
        <w:rPr>
          <w:rFonts w:hint="eastAsia" w:ascii="宋体" w:hAnsi="宋体" w:cs="宋体"/>
          <w:color w:val="000000"/>
          <w:szCs w:val="22"/>
        </w:rPr>
        <w:t xml:space="preserve">乙方</w:t>
      </w:r>
      <w:r>
        <w:rPr>
          <w:rFonts w:ascii="宋体" w:hAnsi="宋体" w:cs="宋体"/>
          <w:color w:val="000000"/>
          <w:szCs w:val="22"/>
        </w:rPr>
        <w:t xml:space="preserve">书面提出申请</w:t>
      </w:r>
      <w:r>
        <w:rPr>
          <w:rFonts w:hint="eastAsia" w:ascii="宋体" w:hAnsi="宋体" w:cs="宋体"/>
          <w:color w:val="000000"/>
          <w:szCs w:val="22"/>
        </w:rPr>
        <w:t xml:space="preserve">，进行最终验收。</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甲方（可联合第三方）将对整个系统进行全面的功能性、符合性及稳定性测试，以验证其完全满足合同要求。</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7.4 验收结果与责任：</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7.4.1 任何一阶段验收若发现货物或系统存在与合同要求不符之处，乙方须在甲方规定期限内无条件完成整改、更换或修复，并承担相应费用。整改完成后，验收期将重新计算。</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7.4.2 最终验收合格，是甲方签署《最终验收合格报告》、支付合同尾款及计算质量保证期的前提条件。</w:t>
      </w:r>
      <w:r/>
    </w:p>
    <w:p>
      <w:pPr>
        <w:jc w:val="left"/>
        <w:spacing w:line="431" w:lineRule="exact"/>
        <w:rPr>
          <w:rFonts w:hint="eastAsia" w:ascii="宋体" w:hAnsi="宋体" w:cs="宋体"/>
          <w:b/>
          <w:color w:val="000000"/>
          <w:sz w:val="24"/>
          <w:szCs w:val="22"/>
        </w:rPr>
      </w:pPr>
      <w:r>
        <w:rPr>
          <w:rFonts w:ascii="宋体" w:hAnsi="宋体" w:cs="宋体"/>
          <w:b/>
          <w:color w:val="000000"/>
          <w:sz w:val="24"/>
          <w:szCs w:val="22"/>
        </w:rPr>
        <w:t xml:space="preserve">8.伴随服务/售后服务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8.1乙方</w:t>
      </w:r>
      <w:r>
        <w:rPr>
          <w:rFonts w:ascii="宋体" w:hAnsi="宋体" w:cs="宋体"/>
          <w:color w:val="000000"/>
          <w:szCs w:val="22"/>
        </w:rPr>
        <w:t xml:space="preserve">应提供具体详实的售后服务方案（如服务体系、服务内容、故障解决方案、响应时间、应急处理方案、专业技术人员保障及服务电话）。服务方案应科学合理、具备针对性。在项目实施及质保期间应具有固定的维修人员并有能力及时处理所有可能发生的故障；</w:t>
      </w:r>
      <w:r>
        <w:rPr>
          <w:rFonts w:hint="eastAsia" w:ascii="宋体" w:hAnsi="宋体" w:cs="宋体"/>
          <w:color w:val="000000"/>
          <w:szCs w:val="22"/>
        </w:rPr>
        <w:t xml:space="preserve">乙方</w:t>
      </w:r>
      <w:r>
        <w:rPr>
          <w:rFonts w:ascii="宋体" w:hAnsi="宋体" w:cs="宋体"/>
          <w:color w:val="000000"/>
          <w:szCs w:val="22"/>
        </w:rPr>
        <w:t xml:space="preserve">在质量保证期内应当为</w:t>
      </w:r>
      <w:r>
        <w:rPr>
          <w:rFonts w:hint="eastAsia" w:ascii="宋体" w:hAnsi="宋体" w:cs="宋体"/>
          <w:color w:val="000000"/>
          <w:szCs w:val="22"/>
        </w:rPr>
        <w:t xml:space="preserve">甲方</w:t>
      </w:r>
      <w:r>
        <w:rPr>
          <w:rFonts w:ascii="宋体" w:hAnsi="宋体" w:cs="宋体"/>
          <w:color w:val="000000"/>
          <w:szCs w:val="22"/>
        </w:rPr>
        <w:t xml:space="preserve">提供以下技术支持和服务：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8.1.1</w:t>
      </w:r>
      <w:r>
        <w:rPr>
          <w:rFonts w:ascii="宋体" w:hAnsi="宋体" w:cs="宋体"/>
          <w:color w:val="000000"/>
          <w:szCs w:val="22"/>
        </w:rPr>
        <w:t xml:space="preserve">电话咨询：成交</w:t>
      </w:r>
      <w:r>
        <w:rPr>
          <w:rFonts w:hint="eastAsia" w:ascii="宋体" w:hAnsi="宋体" w:cs="宋体"/>
          <w:color w:val="000000"/>
          <w:szCs w:val="22"/>
        </w:rPr>
        <w:t xml:space="preserve">乙方</w:t>
      </w:r>
      <w:r>
        <w:rPr>
          <w:rFonts w:ascii="宋体" w:hAnsi="宋体" w:cs="宋体"/>
          <w:color w:val="000000"/>
          <w:szCs w:val="22"/>
        </w:rPr>
        <w:t xml:space="preserve">应当为</w:t>
      </w:r>
      <w:r>
        <w:rPr>
          <w:rFonts w:hint="eastAsia" w:ascii="宋体" w:hAnsi="宋体" w:cs="宋体"/>
          <w:color w:val="000000"/>
          <w:szCs w:val="22"/>
        </w:rPr>
        <w:t xml:space="preserve">甲方</w:t>
      </w:r>
      <w:r>
        <w:rPr>
          <w:rFonts w:ascii="宋体" w:hAnsi="宋体" w:cs="宋体"/>
          <w:color w:val="000000"/>
          <w:szCs w:val="22"/>
        </w:rPr>
        <w:t xml:space="preserve">提供技术援助电话，解答</w:t>
      </w:r>
      <w:r>
        <w:rPr>
          <w:rFonts w:hint="eastAsia" w:ascii="宋体" w:hAnsi="宋体" w:cs="宋体"/>
          <w:color w:val="000000"/>
          <w:szCs w:val="22"/>
        </w:rPr>
        <w:t xml:space="preserve">甲方</w:t>
      </w:r>
      <w:r>
        <w:rPr>
          <w:rFonts w:ascii="宋体" w:hAnsi="宋体" w:cs="宋体"/>
          <w:color w:val="000000"/>
          <w:szCs w:val="22"/>
        </w:rPr>
        <w:t xml:space="preserve">在使用中遇到的问题，及时为</w:t>
      </w:r>
      <w:r>
        <w:rPr>
          <w:rFonts w:hint="eastAsia" w:ascii="宋体" w:hAnsi="宋体" w:cs="宋体"/>
          <w:color w:val="000000"/>
          <w:szCs w:val="22"/>
        </w:rPr>
        <w:t xml:space="preserve">甲方</w:t>
      </w:r>
      <w:r>
        <w:rPr>
          <w:rFonts w:ascii="宋体" w:hAnsi="宋体" w:cs="宋体"/>
          <w:color w:val="000000"/>
          <w:szCs w:val="22"/>
        </w:rPr>
        <w:t xml:space="preserve">提出解决问题的建议，提供7×24小时全天候售后电话服务。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8.1.2</w:t>
      </w:r>
      <w:r>
        <w:rPr>
          <w:rFonts w:ascii="宋体" w:hAnsi="宋体" w:cs="宋体"/>
          <w:color w:val="000000"/>
          <w:szCs w:val="22"/>
        </w:rPr>
        <w:t xml:space="preserve">现场响应：质量保证期内系统及设备发生故障并收到</w:t>
      </w:r>
      <w:r>
        <w:rPr>
          <w:rFonts w:hint="eastAsia" w:ascii="宋体" w:hAnsi="宋体" w:cs="宋体"/>
          <w:color w:val="000000"/>
          <w:szCs w:val="22"/>
        </w:rPr>
        <w:t xml:space="preserve">甲方</w:t>
      </w:r>
      <w:r>
        <w:rPr>
          <w:rFonts w:ascii="宋体" w:hAnsi="宋体" w:cs="宋体"/>
          <w:color w:val="000000"/>
          <w:szCs w:val="22"/>
        </w:rPr>
        <w:t xml:space="preserve">报修后应做如下处置：</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（1）</w:t>
      </w:r>
      <w:r>
        <w:rPr>
          <w:rFonts w:ascii="宋体" w:hAnsi="宋体" w:cs="宋体"/>
          <w:color w:val="000000"/>
          <w:szCs w:val="22"/>
        </w:rPr>
        <w:t xml:space="preserve">一般故障，修复时间不得超过24小时；</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（2）</w:t>
      </w:r>
      <w:r>
        <w:rPr>
          <w:rFonts w:ascii="宋体" w:hAnsi="宋体" w:cs="宋体"/>
          <w:color w:val="000000"/>
          <w:szCs w:val="22"/>
        </w:rPr>
        <w:t xml:space="preserve">重大故障（如系统瘫痪、核心设备故障、批量设备故障等），</w:t>
      </w:r>
      <w:r>
        <w:rPr>
          <w:rFonts w:hint="eastAsia" w:ascii="宋体" w:hAnsi="宋体" w:cs="宋体"/>
          <w:color w:val="000000"/>
          <w:szCs w:val="22"/>
        </w:rPr>
        <w:t xml:space="preserve">乙方</w:t>
      </w:r>
      <w:r>
        <w:rPr>
          <w:rFonts w:ascii="宋体" w:hAnsi="宋体" w:cs="宋体"/>
          <w:color w:val="000000"/>
          <w:szCs w:val="22"/>
        </w:rPr>
        <w:t xml:space="preserve">必须2小时内派出技术保障人员赶到现场，修复时间不得超过24小时；必要时需增派专业售后服务人员到现场进行故障抢修。</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（3）</w:t>
      </w:r>
      <w:r>
        <w:rPr>
          <w:rFonts w:ascii="宋体" w:hAnsi="宋体" w:cs="宋体"/>
          <w:color w:val="000000"/>
          <w:szCs w:val="22"/>
        </w:rPr>
        <w:t xml:space="preserve">特殊情况，</w:t>
      </w:r>
      <w:r>
        <w:rPr>
          <w:rFonts w:hint="eastAsia" w:ascii="宋体" w:hAnsi="宋体" w:cs="宋体"/>
          <w:color w:val="000000"/>
          <w:szCs w:val="22"/>
        </w:rPr>
        <w:t xml:space="preserve">乙方</w:t>
      </w:r>
      <w:r>
        <w:rPr>
          <w:rFonts w:ascii="宋体" w:hAnsi="宋体" w:cs="宋体"/>
          <w:color w:val="000000"/>
          <w:szCs w:val="22"/>
        </w:rPr>
        <w:t xml:space="preserve">必须30分钟内派出技术保障人员赶到现场，根据现场实际情况作出应急处置。不能修复时</w:t>
      </w:r>
      <w:r>
        <w:rPr>
          <w:rFonts w:hint="eastAsia" w:ascii="宋体" w:hAnsi="宋体" w:cs="宋体"/>
          <w:color w:val="000000"/>
          <w:szCs w:val="22"/>
        </w:rPr>
        <w:t xml:space="preserve">乙方</w:t>
      </w:r>
      <w:r>
        <w:rPr>
          <w:rFonts w:ascii="宋体" w:hAnsi="宋体" w:cs="宋体"/>
          <w:color w:val="000000"/>
          <w:szCs w:val="22"/>
        </w:rPr>
        <w:t xml:space="preserve">必须免费提供同种规格配件（提供针对本项目的零配件供应一览表）进行更换，如不能提供同种规格型号的配件，用其它型号配件代替时，需经</w:t>
      </w:r>
      <w:r>
        <w:rPr>
          <w:rFonts w:hint="eastAsia" w:ascii="宋体" w:hAnsi="宋体" w:cs="宋体"/>
          <w:color w:val="000000"/>
          <w:szCs w:val="22"/>
        </w:rPr>
        <w:t xml:space="preserve">甲方</w:t>
      </w:r>
      <w:r>
        <w:rPr>
          <w:rFonts w:ascii="宋体" w:hAnsi="宋体" w:cs="宋体"/>
          <w:color w:val="000000"/>
          <w:szCs w:val="22"/>
        </w:rPr>
        <w:t xml:space="preserve">同意，且不补差价。</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8.2 </w:t>
      </w:r>
      <w:r>
        <w:rPr>
          <w:rFonts w:ascii="宋体" w:hAnsi="宋体" w:cs="宋体"/>
          <w:color w:val="000000"/>
          <w:szCs w:val="22"/>
        </w:rPr>
        <w:t xml:space="preserve">质量保证期过后，</w:t>
      </w:r>
      <w:r>
        <w:rPr>
          <w:rFonts w:hint="eastAsia" w:ascii="宋体" w:hAnsi="宋体" w:cs="宋体"/>
          <w:color w:val="000000"/>
          <w:szCs w:val="22"/>
        </w:rPr>
        <w:t xml:space="preserve">乙方</w:t>
      </w:r>
      <w:r>
        <w:rPr>
          <w:rFonts w:ascii="宋体" w:hAnsi="宋体" w:cs="宋体"/>
          <w:color w:val="000000"/>
          <w:szCs w:val="22"/>
        </w:rPr>
        <w:t xml:space="preserve">应同样提供免费电话咨询服务，并应承诺提供产品上门维护服务。质量保证期过后，</w:t>
      </w:r>
      <w:r>
        <w:rPr>
          <w:rFonts w:hint="eastAsia" w:ascii="宋体" w:hAnsi="宋体" w:cs="宋体"/>
          <w:color w:val="000000"/>
          <w:szCs w:val="22"/>
        </w:rPr>
        <w:t xml:space="preserve">甲方</w:t>
      </w:r>
      <w:r>
        <w:rPr>
          <w:rFonts w:ascii="宋体" w:hAnsi="宋体" w:cs="宋体"/>
          <w:color w:val="000000"/>
          <w:szCs w:val="22"/>
        </w:rPr>
        <w:t xml:space="preserve">需要继续由成交</w:t>
      </w:r>
      <w:r>
        <w:rPr>
          <w:rFonts w:hint="eastAsia" w:ascii="宋体" w:hAnsi="宋体" w:cs="宋体"/>
          <w:color w:val="000000"/>
          <w:szCs w:val="22"/>
        </w:rPr>
        <w:t xml:space="preserve">乙方</w:t>
      </w:r>
      <w:r>
        <w:rPr>
          <w:rFonts w:ascii="宋体" w:hAnsi="宋体" w:cs="宋体"/>
          <w:color w:val="000000"/>
          <w:szCs w:val="22"/>
        </w:rPr>
        <w:t xml:space="preserve">提供售后服务的，</w:t>
      </w:r>
      <w:r>
        <w:rPr>
          <w:rFonts w:hint="eastAsia" w:ascii="宋体" w:hAnsi="宋体" w:cs="宋体"/>
          <w:color w:val="000000"/>
          <w:szCs w:val="22"/>
        </w:rPr>
        <w:t xml:space="preserve">乙方</w:t>
      </w:r>
      <w:r>
        <w:rPr>
          <w:rFonts w:ascii="宋体" w:hAnsi="宋体" w:cs="宋体"/>
          <w:color w:val="000000"/>
          <w:szCs w:val="22"/>
        </w:rPr>
        <w:t xml:space="preserve">应以优惠价格提供售后服务。保修期外的维护保养，</w:t>
      </w:r>
      <w:r>
        <w:rPr>
          <w:rFonts w:hint="eastAsia" w:ascii="宋体" w:hAnsi="宋体" w:cs="宋体"/>
          <w:color w:val="000000"/>
          <w:szCs w:val="22"/>
        </w:rPr>
        <w:t xml:space="preserve">乙方</w:t>
      </w:r>
      <w:r>
        <w:rPr>
          <w:rFonts w:ascii="宋体" w:hAnsi="宋体" w:cs="宋体"/>
          <w:color w:val="000000"/>
          <w:szCs w:val="22"/>
        </w:rPr>
        <w:t xml:space="preserve">应承诺只收取成本费并提供终身免费技术支持服务。</w:t>
      </w:r>
      <w:r/>
    </w:p>
    <w:p>
      <w:pPr>
        <w:ind w:firstLine="420"/>
        <w:jc w:val="left"/>
        <w:spacing w:line="378" w:lineRule="exact"/>
        <w:rPr>
          <w:rFonts w:hint="eastAsia" w:ascii="宋体" w:hAnsi="宋体" w:cs="宋体"/>
          <w:color w:val="000000"/>
          <w:szCs w:val="22"/>
        </w:rPr>
      </w:pPr>
      <w:r>
        <w:rPr>
          <w:rFonts w:ascii="宋体" w:hAnsi="宋体" w:cs="宋体"/>
          <w:color w:val="000000"/>
          <w:szCs w:val="22"/>
        </w:rPr>
        <w:t xml:space="preserve">8.</w:t>
      </w:r>
      <w:r>
        <w:rPr>
          <w:rFonts w:hint="eastAsia" w:ascii="宋体" w:hAnsi="宋体" w:cs="宋体"/>
          <w:color w:val="000000"/>
          <w:szCs w:val="22"/>
        </w:rPr>
        <w:t xml:space="preserve">3 其他服务要求</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8.3.1 </w:t>
      </w:r>
      <w:r>
        <w:rPr>
          <w:rFonts w:hint="eastAsia" w:ascii="宋体" w:hAnsi="宋体" w:cs="宋体"/>
          <w:color w:val="000000"/>
          <w:szCs w:val="22"/>
        </w:rPr>
        <w:t xml:space="preserve">所有设备需兼容接入学校现有的消安防智慧管理平台；若无法兼容接入，可采用</w:t>
      </w:r>
      <w:r>
        <w:rPr>
          <w:rFonts w:hint="eastAsia" w:ascii="宋体" w:hAnsi="宋体" w:cs="宋体"/>
          <w:color w:val="000000"/>
          <w:szCs w:val="22"/>
        </w:rPr>
        <w:t xml:space="preserve">乙方</w:t>
      </w:r>
      <w:r>
        <w:rPr>
          <w:rFonts w:hint="eastAsia" w:ascii="宋体" w:hAnsi="宋体" w:cs="宋体"/>
          <w:color w:val="000000"/>
          <w:szCs w:val="22"/>
        </w:rPr>
        <w:t xml:space="preserve">提供的能与我校现有消安防智慧管理平台相融合的第三方智慧管理平台，该平台建成后，与本项目相关的业务模块全部源代码、二次开发API接口文档及数据对接协议文档、相关配置文件、数据库脚本等完整交付校方，不得采用技术及其他手段限制校方自有平台对接、二次开发及数据读取；商用基础平台部分须提供永久免费使用授权、永久部署安装包，不得限制后期设备点位扩容、不得限制登录用户数量、不得收取额外授权费、扩容费、接口费。（提供承诺函并加盖公章）</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本项目实施过程中，因平台对接所产生的配套软件部署、开发工具采购与使用、接口开发与调试、跨系统联调测试、系统兼容性适配等所有相关衍生费用，均已包含在本次项目投标报价范围内，</w:t>
      </w:r>
      <w:r>
        <w:rPr>
          <w:rFonts w:hint="eastAsia" w:ascii="宋体" w:hAnsi="宋体" w:cs="宋体"/>
          <w:color w:val="000000"/>
          <w:szCs w:val="22"/>
        </w:rPr>
        <w:t xml:space="preserve">甲方</w:t>
      </w:r>
      <w:r>
        <w:rPr>
          <w:rFonts w:hint="eastAsia" w:ascii="宋体" w:hAnsi="宋体" w:cs="宋体"/>
          <w:color w:val="000000"/>
          <w:szCs w:val="22"/>
        </w:rPr>
        <w:t xml:space="preserve">无需另行支付任何额外费用，</w:t>
      </w:r>
      <w:r>
        <w:rPr>
          <w:rFonts w:hint="eastAsia" w:ascii="宋体" w:hAnsi="宋体" w:cs="宋体"/>
          <w:color w:val="000000"/>
          <w:szCs w:val="22"/>
        </w:rPr>
        <w:t xml:space="preserve">乙方</w:t>
      </w:r>
      <w:r>
        <w:rPr>
          <w:rFonts w:hint="eastAsia" w:ascii="宋体" w:hAnsi="宋体" w:cs="宋体"/>
          <w:color w:val="000000"/>
          <w:szCs w:val="22"/>
        </w:rPr>
        <w:t xml:space="preserve">不得提出任何追加费用的申请。（提供承诺函并加盖公章）</w:t>
      </w:r>
      <w:r/>
    </w:p>
    <w:p>
      <w:pPr>
        <w:ind w:firstLine="420"/>
        <w:jc w:val="left"/>
        <w:spacing w:line="378" w:lineRule="exact"/>
        <w:rPr>
          <w:rFonts w:hint="eastAsia" w:ascii="宋体" w:hAnsi="宋体" w:cs="宋体"/>
          <w:color w:val="000000"/>
          <w:szCs w:val="22"/>
          <w:highlight w:val="yellow"/>
        </w:rPr>
      </w:pPr>
      <w:r>
        <w:rPr>
          <w:rFonts w:hint="eastAsia" w:ascii="宋体" w:hAnsi="宋体" w:cs="宋体"/>
          <w:color w:val="000000"/>
          <w:szCs w:val="22"/>
        </w:rPr>
        <w:t xml:space="preserve">乙方</w:t>
      </w:r>
      <w:r>
        <w:rPr>
          <w:rFonts w:hint="eastAsia" w:ascii="宋体" w:hAnsi="宋体" w:cs="宋体"/>
          <w:color w:val="000000"/>
          <w:szCs w:val="22"/>
        </w:rPr>
        <w:t xml:space="preserve">须承诺：本项目消防设备的安装、调试、验收等环节，由具备消防设施工程专业承包贰级及以上资质及有效的安全生产许可证的单位实施且现场技术人员至少一人持有安全员B证，并在合同签订前提供有效资质证书复印件向</w:t>
      </w:r>
      <w:r>
        <w:rPr>
          <w:rFonts w:hint="eastAsia" w:ascii="宋体" w:hAnsi="宋体" w:cs="宋体"/>
          <w:color w:val="000000"/>
          <w:szCs w:val="22"/>
        </w:rPr>
        <w:t xml:space="preserve">甲方</w:t>
      </w:r>
      <w:r>
        <w:rPr>
          <w:rFonts w:hint="eastAsia" w:ascii="宋体" w:hAnsi="宋体" w:cs="宋体"/>
          <w:color w:val="000000"/>
          <w:szCs w:val="22"/>
        </w:rPr>
        <w:t xml:space="preserve">备案（提供承诺函并加盖公章）。</w:t>
      </w:r>
      <w:r/>
    </w:p>
    <w:p>
      <w:pPr>
        <w:jc w:val="left"/>
        <w:spacing w:line="431" w:lineRule="exact"/>
        <w:rPr>
          <w:rFonts w:ascii="Calibri" w:hAnsi="Calibri"/>
          <w:szCs w:val="22"/>
        </w:rPr>
      </w:pPr>
      <w:r>
        <w:rPr>
          <w:rFonts w:ascii="宋体" w:hAnsi="宋体" w:cs="宋体"/>
          <w:b/>
          <w:color w:val="000000"/>
          <w:sz w:val="24"/>
          <w:szCs w:val="22"/>
        </w:rPr>
        <w:t xml:space="preserve">9.履约保证金</w:t>
      </w:r>
      <w:r/>
    </w:p>
    <w:p>
      <w:pPr>
        <w:ind w:firstLine="420"/>
        <w:jc w:val="left"/>
        <w:spacing w:line="378" w:lineRule="exact"/>
        <w:rPr>
          <w:rFonts w:ascii="Calibri" w:hAnsi="Calibri"/>
          <w:szCs w:val="22"/>
        </w:rPr>
      </w:pPr>
      <w:r>
        <w:rPr>
          <w:rFonts w:ascii="宋体" w:hAnsi="宋体" w:cs="宋体"/>
          <w:color w:val="000000"/>
          <w:szCs w:val="22"/>
        </w:rPr>
        <w:t xml:space="preserve">9.1 履约保证金采用以下方式缴纳。</w:t>
      </w:r>
      <w:r/>
    </w:p>
    <w:p>
      <w:pPr>
        <w:ind w:firstLine="420"/>
        <w:jc w:val="left"/>
        <w:spacing w:line="378" w:lineRule="exact"/>
        <w:rPr>
          <w:rFonts w:ascii="Calibri" w:hAnsi="Calibri"/>
          <w:szCs w:val="22"/>
        </w:rPr>
      </w:pPr>
      <w:r>
        <w:rPr>
          <w:rFonts w:ascii="宋体" w:hAnsi="宋体" w:cs="宋体"/>
          <w:color w:val="000000"/>
          <w:szCs w:val="22"/>
        </w:rPr>
        <w:t xml:space="preserve">乙方在中标后签订本合同前，向采购人缴纳合同金额的</w:t>
      </w:r>
      <w:r>
        <w:rPr>
          <w:rFonts w:hint="eastAsia" w:ascii="宋体" w:hAnsi="宋体" w:cs="宋体"/>
          <w:color w:val="000000"/>
          <w:szCs w:val="22"/>
          <w:u w:val="single"/>
        </w:rPr>
        <w:t xml:space="preserve">   </w:t>
      </w:r>
      <w:r>
        <w:rPr>
          <w:rFonts w:ascii="宋体" w:hAnsi="宋体" w:cs="宋体"/>
          <w:color w:val="000000"/>
          <w:szCs w:val="22"/>
        </w:rPr>
        <w:t xml:space="preserve">作为履约保证金。履约保证金的有效期为该项目免费维护期满时为止。如乙方未能履行合同规定的义务，甲方有权从履约保证金中取得补偿。履约保证金扣除甲方应得的补偿后的余额在有效期满后七个工作日内无息退还给乙方。</w:t>
      </w:r>
      <w:r/>
    </w:p>
    <w:p>
      <w:pPr>
        <w:jc w:val="left"/>
        <w:spacing w:line="431" w:lineRule="exact"/>
        <w:rPr>
          <w:rFonts w:ascii="Calibri" w:hAnsi="Calibri"/>
          <w:szCs w:val="22"/>
        </w:rPr>
      </w:pPr>
      <w:r>
        <w:rPr>
          <w:rFonts w:ascii="宋体" w:hAnsi="宋体" w:cs="宋体"/>
          <w:b/>
          <w:color w:val="000000"/>
          <w:sz w:val="24"/>
          <w:szCs w:val="22"/>
        </w:rPr>
        <w:t xml:space="preserve">10.合同款支付</w:t>
      </w:r>
      <w:r/>
    </w:p>
    <w:p>
      <w:pPr>
        <w:ind w:firstLine="420"/>
        <w:jc w:val="left"/>
        <w:spacing w:line="378" w:lineRule="exact"/>
        <w:rPr>
          <w:rFonts w:ascii="Calibri" w:hAnsi="Calibri"/>
          <w:szCs w:val="22"/>
        </w:rPr>
      </w:pPr>
      <w:r>
        <w:rPr>
          <w:rFonts w:ascii="宋体" w:hAnsi="宋体" w:cs="宋体"/>
          <w:color w:val="000000"/>
          <w:szCs w:val="22"/>
        </w:rPr>
        <w:t xml:space="preserve">10.1 本合同项下所有款项均以人民币支付。</w:t>
      </w:r>
      <w:r/>
    </w:p>
    <w:p>
      <w:pPr>
        <w:ind w:firstLine="420"/>
        <w:jc w:val="left"/>
        <w:spacing w:line="378" w:lineRule="exact"/>
        <w:rPr>
          <w:rFonts w:ascii="Calibri" w:hAnsi="Calibri"/>
          <w:szCs w:val="22"/>
        </w:rPr>
      </w:pPr>
      <w:r>
        <w:rPr>
          <w:rFonts w:ascii="宋体" w:hAnsi="宋体" w:cs="宋体"/>
          <w:color w:val="000000"/>
          <w:szCs w:val="22"/>
        </w:rPr>
        <w:t xml:space="preserve">10.2 本合同项下的采购资金由甲方自行支付，乙方向甲方开具发票。</w:t>
      </w:r>
      <w:r/>
    </w:p>
    <w:p>
      <w:pPr>
        <w:ind w:firstLine="420"/>
        <w:jc w:val="left"/>
        <w:spacing w:line="315" w:lineRule="exact"/>
        <w:rPr>
          <w:rFonts w:ascii="Calibri" w:hAnsi="Calibri"/>
          <w:szCs w:val="22"/>
        </w:rPr>
      </w:pPr>
      <w:r>
        <w:rPr>
          <w:rFonts w:ascii="宋体" w:hAnsi="宋体" w:cs="宋体"/>
          <w:color w:val="000000"/>
          <w:szCs w:val="22"/>
        </w:rPr>
        <w:t xml:space="preserve">10.3 付款条件：</w:t>
      </w:r>
      <w:r>
        <w:rPr>
          <w:rFonts w:ascii="宋体" w:hAnsi="宋体" w:cs="宋体"/>
          <w:color w:val="000000"/>
          <w14:ligatures w14:val="standardContextual"/>
        </w:rPr>
        <w:t xml:space="preserve">初验合格后15个工作日内，支付至合同总价款的30％；终验合格、经学校审计后，支付至审计最终金额的100％</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审计最终金额不超过中标金额</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w:t>
      </w:r>
      <w:r/>
    </w:p>
    <w:p>
      <w:pPr>
        <w:jc w:val="left"/>
        <w:spacing w:line="431" w:lineRule="exact"/>
        <w:rPr>
          <w:rFonts w:ascii="Calibri" w:hAnsi="Calibri"/>
          <w:szCs w:val="22"/>
        </w:rPr>
      </w:pPr>
      <w:r>
        <w:rPr>
          <w:rFonts w:ascii="宋体" w:hAnsi="宋体" w:cs="宋体"/>
          <w:b/>
          <w:color w:val="000000"/>
          <w:sz w:val="24"/>
          <w:szCs w:val="22"/>
        </w:rPr>
        <w:t xml:space="preserve">11.违约责任</w:t>
      </w:r>
      <w:r/>
    </w:p>
    <w:p>
      <w:pPr>
        <w:ind w:firstLine="420"/>
        <w:jc w:val="left"/>
        <w:spacing w:line="378" w:lineRule="exact"/>
        <w:rPr>
          <w:rFonts w:ascii="Calibri" w:hAnsi="Calibri"/>
          <w:szCs w:val="22"/>
        </w:rPr>
      </w:pPr>
      <w:r>
        <w:rPr>
          <w:rFonts w:ascii="宋体" w:hAnsi="宋体" w:cs="宋体"/>
          <w:color w:val="000000"/>
          <w:szCs w:val="22"/>
        </w:rPr>
        <w:t xml:space="preserve">11.1 甲方无正当理由拒收货物、拒付货物款的，由甲方向乙方偿付合同总价的5%违约金。</w:t>
      </w:r>
      <w:r/>
    </w:p>
    <w:p>
      <w:pPr>
        <w:ind w:firstLine="420"/>
        <w:jc w:val="left"/>
        <w:spacing w:line="378" w:lineRule="exact"/>
        <w:rPr>
          <w:rFonts w:ascii="Calibri" w:hAnsi="Calibri"/>
          <w:szCs w:val="22"/>
        </w:rPr>
      </w:pPr>
      <w:r>
        <w:rPr>
          <w:rFonts w:ascii="宋体" w:hAnsi="宋体" w:cs="宋体"/>
          <w:color w:val="000000"/>
          <w:szCs w:val="22"/>
        </w:rPr>
        <w:t xml:space="preserve">11.2 甲方未按合同规定的期限向乙方支付货款的，每逾期1天甲方向乙方偿付欠款总额的5‰滞纳金，但累计滞纳金总额不超过欠款总额的5% 。</w:t>
      </w:r>
      <w:r/>
    </w:p>
    <w:p>
      <w:pPr>
        <w:ind w:firstLine="420"/>
        <w:jc w:val="left"/>
        <w:spacing w:line="378" w:lineRule="exact"/>
        <w:rPr>
          <w:rFonts w:ascii="Calibri" w:hAnsi="Calibri"/>
          <w:szCs w:val="22"/>
        </w:rPr>
      </w:pPr>
      <w:r>
        <w:rPr>
          <w:rFonts w:ascii="宋体" w:hAnsi="宋体" w:cs="宋体"/>
          <w:color w:val="000000"/>
          <w:szCs w:val="22"/>
        </w:rPr>
        <w:t xml:space="preserve">11.3 如乙方不能交付货物、完成安装调试的，甲方有权扣留全部履约保证金；同时乙方应向甲方支付合同总价5%的违约金。</w:t>
      </w:r>
      <w:r/>
    </w:p>
    <w:p>
      <w:pPr>
        <w:ind w:firstLine="420"/>
        <w:jc w:val="left"/>
        <w:spacing w:line="378" w:lineRule="exact"/>
        <w:rPr>
          <w:rFonts w:ascii="Calibri" w:hAnsi="Calibri"/>
          <w:szCs w:val="22"/>
        </w:rPr>
      </w:pPr>
      <w:r>
        <w:rPr>
          <w:rFonts w:ascii="宋体" w:hAnsi="宋体" w:cs="宋体"/>
          <w:color w:val="000000"/>
          <w:szCs w:val="22"/>
        </w:rPr>
        <w:t xml:space="preserve">11.4 乙方逾期交付的，每逾期1天，乙方向甲方偿付合同总额的5‰的滞纳金。如乙方逾期交付达10天，甲方有权解除合同，解除合同的通知自到达乙方时生效。 </w:t>
      </w:r>
      <w:r/>
    </w:p>
    <w:p>
      <w:pPr>
        <w:ind w:firstLine="420"/>
        <w:jc w:val="left"/>
        <w:spacing w:line="378" w:lineRule="exact"/>
        <w:rPr>
          <w:rFonts w:ascii="Calibri" w:hAnsi="Calibri"/>
          <w:szCs w:val="22"/>
        </w:rPr>
      </w:pPr>
      <w:r>
        <w:rPr>
          <w:rFonts w:ascii="宋体" w:hAnsi="宋体" w:cs="宋体"/>
          <w:color w:val="000000"/>
          <w:szCs w:val="22"/>
        </w:rPr>
        <w:t xml:space="preserve">11.5 乙方所交付的货物品种、型号、规格不符合合同规定的，甲方有权拒收。甲方拒收的，乙方应向甲方支付货款总额5%的违约金。甲方未拒收的，代理机构发现后将向有关部门反映，并责成乙方按照采购结果提供货物和服务，同时视情给予不退还部分或全部履约保证金、暂停一至三年参加采购人组织的政府采购活动的处理。</w:t>
      </w:r>
      <w:r/>
    </w:p>
    <w:p>
      <w:pPr>
        <w:ind w:firstLine="420"/>
        <w:jc w:val="left"/>
        <w:spacing w:line="378" w:lineRule="exact"/>
        <w:rPr>
          <w:rFonts w:ascii="Calibri" w:hAnsi="Calibri"/>
          <w:szCs w:val="22"/>
        </w:rPr>
      </w:pPr>
      <w:r>
        <w:rPr>
          <w:rFonts w:ascii="宋体" w:hAnsi="宋体" w:cs="宋体"/>
          <w:color w:val="000000"/>
          <w:szCs w:val="22"/>
        </w:rPr>
        <w:t xml:space="preserve">11.6 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78" w:lineRule="exact"/>
        <w:rPr>
          <w:rFonts w:ascii="Calibri" w:hAnsi="Calibri"/>
          <w:szCs w:val="22"/>
        </w:rPr>
      </w:pPr>
      <w:r>
        <w:rPr>
          <w:rFonts w:ascii="宋体" w:hAnsi="宋体" w:cs="宋体"/>
          <w:color w:val="000000"/>
          <w:szCs w:val="22"/>
        </w:rPr>
        <w:t xml:space="preserve">11.7 乙方未按本合同第九条的规定向甲方交付履约保证金的，应按应交付履约保证金的100%向甲</w:t>
      </w:r>
      <w:r>
        <w:rPr>
          <w:rFonts w:ascii="宋体" w:hAnsi="宋体" w:cs="宋体"/>
          <w:color w:val="000000"/>
          <w:szCs w:val="22"/>
        </w:rPr>
        <w:t xml:space="preserve">方支付违约金，该违约金的支付不影响乙方应承担的其他违约责任。</w:t>
      </w:r>
      <w:r/>
    </w:p>
    <w:p>
      <w:pPr>
        <w:ind w:firstLine="420"/>
        <w:jc w:val="left"/>
        <w:spacing w:line="378" w:lineRule="exact"/>
        <w:rPr>
          <w:rFonts w:ascii="Calibri" w:hAnsi="Calibri"/>
          <w:szCs w:val="22"/>
        </w:rPr>
      </w:pPr>
      <w:r>
        <w:rPr>
          <w:rFonts w:ascii="宋体" w:hAnsi="宋体" w:cs="宋体"/>
          <w:color w:val="000000"/>
          <w:szCs w:val="22"/>
        </w:rPr>
        <w:t xml:space="preserve">11.8 乙方未按本合同的规定和“服务承诺”提供伴随服务/售后服务的，应按合同总价款的5 %向甲方承担违约责任。</w:t>
      </w:r>
      <w:r/>
    </w:p>
    <w:p>
      <w:pPr>
        <w:ind w:firstLine="420"/>
        <w:jc w:val="left"/>
        <w:spacing w:line="378" w:lineRule="exact"/>
        <w:rPr>
          <w:rFonts w:ascii="Calibri" w:hAnsi="Calibri"/>
          <w:szCs w:val="22"/>
        </w:rPr>
      </w:pPr>
      <w:r>
        <w:rPr>
          <w:rFonts w:ascii="宋体" w:hAnsi="宋体" w:cs="宋体"/>
          <w:color w:val="000000"/>
          <w:szCs w:val="22"/>
        </w:rPr>
        <w:t xml:space="preserve">11.9 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78" w:lineRule="exact"/>
        <w:rPr>
          <w:rFonts w:ascii="Calibri" w:hAnsi="Calibri"/>
          <w:szCs w:val="22"/>
        </w:rPr>
      </w:pPr>
      <w:r>
        <w:rPr>
          <w:rFonts w:ascii="宋体" w:hAnsi="宋体" w:cs="宋体"/>
          <w:color w:val="000000"/>
          <w:szCs w:val="22"/>
        </w:rPr>
        <w:t xml:space="preserve">11.10 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spacing w:line="378" w:lineRule="exact"/>
        <w:rPr>
          <w:rFonts w:ascii="Calibri" w:hAnsi="Calibri"/>
          <w:szCs w:val="22"/>
        </w:rPr>
      </w:pPr>
      <w:r>
        <w:rPr>
          <w:rFonts w:ascii="宋体" w:hAnsi="宋体" w:cs="宋体"/>
          <w:color w:val="000000"/>
          <w:szCs w:val="22"/>
        </w:rPr>
        <w:t xml:space="preserve">11.11 其他违约责任约定</w:t>
      </w:r>
      <w:r>
        <w:rPr>
          <w:rFonts w:hint="eastAsia" w:ascii="宋体" w:hAnsi="宋体" w:cs="宋体"/>
          <w:color w:val="000000"/>
          <w:szCs w:val="22"/>
        </w:rPr>
        <w:t xml:space="preserve">：  </w:t>
      </w:r>
      <w:r/>
    </w:p>
    <w:p>
      <w:pPr>
        <w:jc w:val="left"/>
        <w:spacing w:line="431" w:lineRule="exact"/>
        <w:rPr>
          <w:rFonts w:ascii="Calibri" w:hAnsi="Calibri"/>
          <w:szCs w:val="22"/>
        </w:rPr>
      </w:pPr>
      <w:r>
        <w:rPr>
          <w:rFonts w:ascii="宋体" w:hAnsi="宋体" w:cs="宋体"/>
          <w:b/>
          <w:color w:val="000000"/>
          <w:sz w:val="24"/>
          <w:szCs w:val="22"/>
        </w:rPr>
        <w:t xml:space="preserve">12.合同的变更和终止</w:t>
      </w:r>
      <w:r/>
    </w:p>
    <w:p>
      <w:pPr>
        <w:ind w:firstLine="420"/>
        <w:jc w:val="left"/>
        <w:spacing w:line="378" w:lineRule="exact"/>
        <w:rPr>
          <w:rFonts w:ascii="Calibri" w:hAnsi="Calibri"/>
          <w:szCs w:val="22"/>
        </w:rPr>
      </w:pPr>
      <w:r>
        <w:rPr>
          <w:rFonts w:ascii="宋体" w:hAnsi="宋体" w:cs="宋体"/>
          <w:color w:val="000000"/>
          <w:szCs w:val="22"/>
        </w:rPr>
        <w:t xml:space="preserve">12.1 除《政府采购法》第50条第二款规定的情形外，本合同一经签订，甲乙双方不得擅自变更、中止或终止合同。</w:t>
      </w:r>
      <w:r/>
    </w:p>
    <w:p>
      <w:pPr>
        <w:ind w:firstLine="420"/>
        <w:jc w:val="left"/>
        <w:spacing w:line="378" w:lineRule="exact"/>
        <w:rPr>
          <w:rFonts w:ascii="Calibri" w:hAnsi="Calibri"/>
          <w:szCs w:val="22"/>
        </w:rPr>
      </w:pPr>
      <w:r>
        <w:rPr>
          <w:rFonts w:ascii="宋体" w:hAnsi="宋体" w:cs="宋体"/>
          <w:color w:val="000000"/>
          <w:szCs w:val="22"/>
        </w:rPr>
        <w:t xml:space="preserve">12.2 除发生法律规定的不能预见、不能避免并不能克服的客观情况外，甲乙双方不得放弃或拒绝履行合同。乙方放弃或拒绝履行合同，保证金不予退还，在三年内不得参加采购人组织的政府采购活动。</w:t>
      </w:r>
      <w:r/>
    </w:p>
    <w:p>
      <w:pPr>
        <w:jc w:val="left"/>
        <w:spacing w:line="431" w:lineRule="exact"/>
        <w:rPr>
          <w:rFonts w:ascii="Calibri" w:hAnsi="Calibri"/>
          <w:szCs w:val="22"/>
        </w:rPr>
      </w:pPr>
      <w:r>
        <w:rPr>
          <w:rFonts w:ascii="宋体" w:hAnsi="宋体" w:cs="宋体"/>
          <w:b/>
          <w:color w:val="000000"/>
          <w:sz w:val="24"/>
          <w:szCs w:val="22"/>
        </w:rPr>
        <w:t xml:space="preserve">13.合同的转让</w:t>
      </w:r>
      <w:r/>
    </w:p>
    <w:p>
      <w:pPr>
        <w:ind w:firstLine="420"/>
        <w:jc w:val="left"/>
        <w:spacing w:line="378" w:lineRule="exact"/>
        <w:rPr>
          <w:rFonts w:ascii="Calibri" w:hAnsi="Calibri"/>
          <w:szCs w:val="22"/>
        </w:rPr>
      </w:pPr>
      <w:r>
        <w:rPr>
          <w:rFonts w:ascii="宋体" w:hAnsi="宋体" w:cs="宋体"/>
          <w:color w:val="000000"/>
          <w:szCs w:val="22"/>
        </w:rPr>
        <w:t xml:space="preserve">13.1 乙方不得擅自部分或全部转让其应履行的合同义务。</w:t>
      </w:r>
      <w:r/>
    </w:p>
    <w:p>
      <w:pPr>
        <w:jc w:val="left"/>
        <w:spacing w:line="431" w:lineRule="exact"/>
        <w:rPr>
          <w:rFonts w:ascii="Calibri" w:hAnsi="Calibri"/>
          <w:szCs w:val="22"/>
        </w:rPr>
      </w:pPr>
      <w:r>
        <w:rPr>
          <w:rFonts w:ascii="宋体" w:hAnsi="宋体" w:cs="宋体"/>
          <w:b/>
          <w:color w:val="000000"/>
          <w:sz w:val="24"/>
          <w:szCs w:val="22"/>
        </w:rPr>
        <w:t xml:space="preserve">14.争议的解决</w:t>
      </w:r>
      <w:r/>
    </w:p>
    <w:p>
      <w:pPr>
        <w:ind w:firstLine="420"/>
        <w:jc w:val="left"/>
        <w:spacing w:line="378" w:lineRule="exact"/>
        <w:rPr>
          <w:rFonts w:ascii="Calibri" w:hAnsi="Calibri"/>
          <w:szCs w:val="22"/>
        </w:rPr>
      </w:pPr>
      <w:r>
        <w:rPr>
          <w:rFonts w:ascii="宋体" w:hAnsi="宋体" w:cs="宋体"/>
          <w:color w:val="000000"/>
          <w:szCs w:val="22"/>
        </w:rPr>
        <w:t xml:space="preserve">14.1 因货物的质量问题发生争议的，应当邀请国家认可的质量检测机构对货物质量进行鉴定。货物符合标准的，鉴定费由甲方承担；货物不符合质量标准的，鉴定费由乙方承担。</w:t>
      </w:r>
      <w:r/>
    </w:p>
    <w:p>
      <w:pPr>
        <w:ind w:firstLine="420"/>
        <w:jc w:val="left"/>
        <w:spacing w:line="378" w:lineRule="exact"/>
        <w:rPr>
          <w:rFonts w:ascii="Calibri" w:hAnsi="Calibri"/>
          <w:szCs w:val="22"/>
        </w:rPr>
      </w:pPr>
      <w:r>
        <w:rPr>
          <w:rFonts w:ascii="宋体" w:hAnsi="宋体" w:cs="宋体"/>
          <w:color w:val="000000"/>
          <w:szCs w:val="22"/>
        </w:rPr>
        <w:t xml:space="preserve">14.2 因履行本合同引起的或与本合同有关的争议，甲、乙双方应首先通过友好协商解决，如果协商不能解决争议，则采取以下第（</w:t>
      </w:r>
      <w:r>
        <w:rPr>
          <w:rFonts w:ascii="宋体" w:hAnsi="宋体" w:cs="宋体"/>
          <w:color w:val="000000"/>
          <w:szCs w:val="22"/>
          <w:u w:val="single"/>
        </w:rPr>
        <w:t xml:space="preserve">2</w:t>
      </w:r>
      <w:r>
        <w:rPr>
          <w:rFonts w:ascii="宋体" w:hAnsi="宋体" w:cs="宋体"/>
          <w:color w:val="000000"/>
          <w:szCs w:val="22"/>
        </w:rPr>
        <w:t xml:space="preserve">）种方式解决争议：</w:t>
      </w:r>
      <w:r/>
    </w:p>
    <w:p>
      <w:pPr>
        <w:ind w:firstLine="420"/>
        <w:jc w:val="left"/>
        <w:spacing w:line="378" w:lineRule="exact"/>
        <w:rPr>
          <w:rFonts w:ascii="Calibri" w:hAnsi="Calibri"/>
          <w:szCs w:val="22"/>
        </w:rPr>
      </w:pPr>
      <w:r>
        <w:rPr>
          <w:rFonts w:ascii="宋体" w:hAnsi="宋体" w:cs="宋体"/>
          <w:color w:val="000000"/>
          <w:szCs w:val="22"/>
        </w:rPr>
        <w:t xml:space="preserve">（1）向甲方所在地有管辖权的人民法院提起诉讼；</w:t>
      </w:r>
      <w:r/>
    </w:p>
    <w:p>
      <w:pPr>
        <w:ind w:firstLine="420"/>
        <w:jc w:val="left"/>
        <w:spacing w:line="378" w:lineRule="exact"/>
        <w:rPr>
          <w:rFonts w:ascii="Calibri" w:hAnsi="Calibri"/>
          <w:szCs w:val="22"/>
        </w:rPr>
      </w:pPr>
      <w:r>
        <w:rPr>
          <w:rFonts w:ascii="宋体" w:hAnsi="宋体" w:cs="宋体"/>
          <w:color w:val="000000"/>
          <w:szCs w:val="22"/>
        </w:rPr>
        <w:t xml:space="preserve">（2）向南京仲裁委员会按其仲裁规则申请仲裁。</w:t>
      </w:r>
      <w:r/>
    </w:p>
    <w:p>
      <w:pPr>
        <w:ind w:firstLine="420"/>
        <w:jc w:val="left"/>
        <w:spacing w:line="378" w:lineRule="exact"/>
        <w:rPr>
          <w:rFonts w:ascii="Calibri" w:hAnsi="Calibri"/>
          <w:szCs w:val="22"/>
        </w:rPr>
      </w:pPr>
      <w:r>
        <w:rPr>
          <w:rFonts w:ascii="宋体" w:hAnsi="宋体" w:cs="宋体"/>
          <w:color w:val="000000"/>
          <w:szCs w:val="22"/>
        </w:rPr>
        <w:t xml:space="preserve">14.3 在仲裁期间，本合同应继续履行。</w:t>
      </w:r>
      <w:r/>
    </w:p>
    <w:p>
      <w:pPr>
        <w:jc w:val="left"/>
        <w:spacing w:line="431" w:lineRule="exact"/>
        <w:rPr>
          <w:rFonts w:ascii="Calibri" w:hAnsi="Calibri"/>
          <w:szCs w:val="22"/>
        </w:rPr>
      </w:pPr>
      <w:r>
        <w:rPr>
          <w:rFonts w:ascii="宋体" w:hAnsi="宋体" w:cs="宋体"/>
          <w:b/>
          <w:color w:val="000000"/>
          <w:sz w:val="24"/>
          <w:szCs w:val="22"/>
        </w:rPr>
        <w:t xml:space="preserve">15.诚实信用</w:t>
      </w:r>
      <w:r/>
    </w:p>
    <w:p>
      <w:pPr>
        <w:ind w:firstLine="420"/>
        <w:jc w:val="left"/>
        <w:spacing w:line="378" w:lineRule="exact"/>
        <w:rPr>
          <w:rFonts w:ascii="Calibri" w:hAnsi="Calibri"/>
          <w:szCs w:val="22"/>
        </w:rPr>
      </w:pPr>
      <w:r>
        <w:rPr>
          <w:rFonts w:ascii="宋体" w:hAnsi="宋体" w:cs="宋体"/>
          <w:color w:val="000000"/>
          <w:szCs w:val="22"/>
        </w:rPr>
        <w:t xml:space="preserve">15.1 乙方应诚实信用，严格按照招标文件要求和投标承诺履行合同，不向甲方进行商业贿赂或者提供不正当利益。</w:t>
      </w:r>
      <w:r/>
    </w:p>
    <w:p>
      <w:pPr>
        <w:jc w:val="left"/>
        <w:spacing w:line="431" w:lineRule="exact"/>
        <w:rPr>
          <w:rFonts w:ascii="Calibri" w:hAnsi="Calibri"/>
          <w:szCs w:val="22"/>
        </w:rPr>
      </w:pPr>
      <w:r>
        <w:rPr>
          <w:rFonts w:ascii="宋体" w:hAnsi="宋体" w:cs="宋体"/>
          <w:b/>
          <w:color w:val="000000"/>
          <w:sz w:val="24"/>
          <w:szCs w:val="22"/>
        </w:rPr>
        <w:t xml:space="preserve">16.合同生效及其他</w:t>
      </w:r>
      <w:r/>
    </w:p>
    <w:p>
      <w:pPr>
        <w:ind w:firstLine="420"/>
        <w:jc w:val="left"/>
        <w:spacing w:line="378" w:lineRule="exact"/>
        <w:rPr>
          <w:rFonts w:ascii="Calibri" w:hAnsi="Calibri"/>
          <w:szCs w:val="22"/>
        </w:rPr>
      </w:pPr>
      <w:r>
        <w:rPr>
          <w:rFonts w:ascii="宋体" w:hAnsi="宋体" w:cs="宋体"/>
          <w:color w:val="000000"/>
          <w:szCs w:val="22"/>
        </w:rPr>
        <w:t xml:space="preserve">16.1 本合同自签订之日起生效。</w:t>
      </w:r>
      <w:r/>
    </w:p>
    <w:p>
      <w:pPr>
        <w:ind w:firstLine="420"/>
        <w:jc w:val="left"/>
        <w:spacing w:line="378" w:lineRule="exact"/>
        <w:rPr>
          <w:rFonts w:ascii="Calibri" w:hAnsi="Calibri"/>
          <w:szCs w:val="22"/>
        </w:rPr>
      </w:pPr>
      <w:r>
        <w:rPr>
          <w:rFonts w:ascii="宋体" w:hAnsi="宋体" w:cs="宋体"/>
          <w:color w:val="000000"/>
          <w:szCs w:val="22"/>
        </w:rPr>
        <w:t xml:space="preserve">16.2 本合同一式</w:t>
      </w:r>
      <w:r>
        <w:rPr>
          <w:rFonts w:hint="eastAsia" w:ascii="宋体" w:hAnsi="宋体" w:cs="宋体"/>
          <w:color w:val="000000"/>
          <w:szCs w:val="22"/>
          <w:u w:val="single"/>
        </w:rPr>
        <w:t xml:space="preserve">  </w:t>
      </w:r>
      <w:r>
        <w:rPr>
          <w:rFonts w:ascii="宋体" w:hAnsi="宋体" w:cs="宋体"/>
          <w:color w:val="000000"/>
          <w:szCs w:val="22"/>
        </w:rPr>
        <w:t xml:space="preserve">份，甲方</w:t>
      </w:r>
      <w:r>
        <w:rPr>
          <w:rFonts w:hint="eastAsia" w:ascii="宋体" w:hAnsi="宋体" w:cs="宋体"/>
          <w:color w:val="000000"/>
          <w:szCs w:val="22"/>
          <w:u w:val="single"/>
        </w:rPr>
        <w:t xml:space="preserve">  </w:t>
      </w:r>
      <w:r>
        <w:rPr>
          <w:rFonts w:ascii="宋体" w:hAnsi="宋体" w:cs="宋体"/>
          <w:color w:val="000000"/>
          <w:szCs w:val="22"/>
        </w:rPr>
        <w:t xml:space="preserve">份乙方</w:t>
      </w:r>
      <w:r>
        <w:rPr>
          <w:rFonts w:hint="eastAsia" w:ascii="宋体" w:hAnsi="宋体" w:cs="宋体"/>
          <w:color w:val="000000"/>
          <w:szCs w:val="22"/>
          <w:u w:val="single"/>
        </w:rPr>
        <w:t xml:space="preserve">  </w:t>
      </w:r>
      <w:r>
        <w:rPr>
          <w:rFonts w:ascii="宋体" w:hAnsi="宋体" w:cs="宋体"/>
          <w:color w:val="000000"/>
          <w:szCs w:val="22"/>
        </w:rPr>
        <w:t xml:space="preserve">份，经双方签字盖章后生效。</w:t>
      </w:r>
      <w:r/>
    </w:p>
    <w:p>
      <w:pPr>
        <w:ind w:firstLine="420"/>
        <w:jc w:val="left"/>
        <w:spacing w:line="378" w:lineRule="exact"/>
        <w:rPr>
          <w:rFonts w:ascii="Calibri" w:hAnsi="Calibri"/>
          <w:szCs w:val="22"/>
        </w:rPr>
      </w:pPr>
      <w:r>
        <w:rPr>
          <w:rFonts w:ascii="宋体" w:hAnsi="宋体" w:cs="宋体"/>
          <w:color w:val="000000"/>
          <w:szCs w:val="22"/>
        </w:rPr>
        <w:t xml:space="preserve">16.3 本合同应按照中华人民共和国的现行法律进行解释。</w:t>
      </w:r>
      <w:r/>
    </w:p>
    <w:p>
      <w:pPr>
        <w:ind w:firstLine="420"/>
        <w:jc w:val="left"/>
        <w:spacing w:line="378" w:lineRule="exact"/>
        <w:rPr>
          <w:rFonts w:ascii="Calibri" w:hAnsi="Calibri"/>
          <w:szCs w:val="22"/>
        </w:rPr>
      </w:pPr>
      <w:r>
        <w:rPr>
          <w:rFonts w:ascii="宋体" w:hAnsi="宋体" w:cs="宋体"/>
          <w:color w:val="000000"/>
          <w:szCs w:val="22"/>
        </w:rPr>
        <w:t xml:space="preserve">（以下无正文）</w:t>
      </w:r>
      <w:r/>
    </w:p>
    <w:p>
      <w:pPr>
        <w:spacing w:line="195" w:lineRule="exact"/>
        <w:rPr>
          <w:rFonts w:ascii="Calibri" w:hAnsi="Calibri"/>
          <w:szCs w:val="22"/>
        </w:rPr>
      </w:pPr>
      <w:r>
        <w:rPr>
          <w:rFonts w:ascii="Calibri" w:hAnsi="Calibri"/>
          <w:szCs w:val="22"/>
        </w:rPr>
      </w:r>
      <w:r/>
    </w:p>
    <w:p>
      <w:pPr>
        <w:rPr>
          <w:rFonts w:ascii="Calibri" w:hAnsi="Calibri"/>
          <w:szCs w:val="22"/>
        </w:rPr>
        <w:sectPr>
          <w:footnotePr/>
          <w:endnotePr/>
          <w:type w:val="nextPage"/>
          <w:pgSz w:w="11907" w:h="16839" w:orient="portrait"/>
          <w:pgMar w:top="1077" w:right="1154" w:bottom="1077" w:left="1154" w:header="720" w:footer="720" w:gutter="0"/>
          <w:cols w:num="1" w:sep="0" w:space="720" w:equalWidth="1"/>
          <w:docGrid w:linePitch="360"/>
        </w:sectPr>
      </w:pPr>
      <w:r>
        <w:rPr>
          <w:rFonts w:ascii="Calibri" w:hAnsi="Calibri"/>
          <w:szCs w:val="22"/>
        </w:rPr>
      </w:r>
      <w:r/>
    </w:p>
    <w:p>
      <w:pPr>
        <w:jc w:val="left"/>
        <w:spacing w:line="396" w:lineRule="exact"/>
        <w:rPr>
          <w:rFonts w:ascii="Calibri" w:hAnsi="Calibri"/>
          <w:szCs w:val="22"/>
        </w:rPr>
      </w:pPr>
      <w:r>
        <w:rPr>
          <w:rFonts w:ascii="宋体" w:hAnsi="宋体" w:cs="宋体"/>
          <w:b/>
          <w:color w:val="000000"/>
          <w:sz w:val="22"/>
          <w:szCs w:val="22"/>
        </w:rPr>
        <w:t xml:space="preserve">附件1：分项报价表</w:t>
      </w:r>
      <w:r/>
    </w:p>
    <w:p>
      <w:pPr>
        <w:jc w:val="left"/>
        <w:spacing w:line="396" w:lineRule="exact"/>
        <w:rPr>
          <w:rFonts w:ascii="Calibri" w:hAnsi="Calibri"/>
          <w:szCs w:val="22"/>
        </w:rPr>
      </w:pPr>
      <w:r>
        <w:rPr>
          <w:rFonts w:ascii="宋体" w:hAnsi="宋体" w:cs="宋体"/>
          <w:b/>
          <w:color w:val="000000"/>
          <w:sz w:val="22"/>
          <w:szCs w:val="22"/>
        </w:rPr>
        <w:t xml:space="preserve">附件2：技术参数</w:t>
      </w:r>
      <w:r/>
    </w:p>
    <w:p>
      <w:pPr>
        <w:jc w:val="left"/>
        <w:spacing w:line="396" w:lineRule="exact"/>
        <w:rPr>
          <w:rFonts w:ascii="Calibri" w:hAnsi="Calibri"/>
          <w:szCs w:val="22"/>
        </w:rPr>
      </w:pPr>
      <w:r>
        <w:rPr>
          <w:rFonts w:ascii="宋体" w:hAnsi="宋体" w:cs="宋体"/>
          <w:b/>
          <w:color w:val="000000"/>
          <w:sz w:val="22"/>
          <w:szCs w:val="22"/>
        </w:rPr>
        <w:t xml:space="preserve">附件3：售后服务具体事项</w:t>
      </w:r>
      <w:r/>
    </w:p>
    <w:p>
      <w:pPr>
        <w:spacing w:line="255" w:lineRule="exact"/>
        <w:rPr>
          <w:rFonts w:ascii="Calibri" w:hAnsi="Calibri"/>
          <w:szCs w:val="22"/>
        </w:rPr>
      </w:pPr>
      <w:r>
        <w:rPr>
          <w:rFonts w:ascii="Calibri" w:hAnsi="Calibri"/>
          <w:szCs w:val="22"/>
        </w:rPr>
      </w:r>
      <w:r/>
    </w:p>
    <w:p>
      <w:pPr>
        <w:jc w:val="left"/>
        <w:widowControl/>
        <w:rPr>
          <w:rFonts w:hint="eastAsia" w:ascii="宋体" w:hAnsi="宋体" w:cs="宋体"/>
          <w:b/>
          <w:bCs/>
          <w:sz w:val="32"/>
          <w:szCs w:val="44"/>
        </w:rPr>
      </w:pPr>
      <w:r>
        <w:rPr>
          <w:rFonts w:hint="eastAsia" w:ascii="宋体" w:hAnsi="宋体" w:cs="宋体"/>
        </w:rPr>
        <w:br w:type="page" w:clear="all"/>
      </w:r>
      <w:r/>
    </w:p>
    <w:p>
      <w:pPr>
        <w:pStyle w:val="977"/>
        <w:numPr>
          <w:ilvl w:val="0"/>
          <w:numId w:val="0"/>
        </w:numPr>
        <w:rPr>
          <w:rFonts w:hint="eastAsia" w:ascii="宋体" w:hAnsi="宋体" w:cs="宋体"/>
        </w:rPr>
      </w:pPr>
      <w:r/>
      <w:bookmarkStart w:id="37" w:name="_Toc227256252"/>
      <w:r>
        <w:rPr>
          <w:rFonts w:hint="eastAsia" w:ascii="宋体" w:hAnsi="宋体" w:cs="宋体"/>
        </w:rPr>
        <w:t xml:space="preserve">第六章 附件</w:t>
      </w:r>
      <w:bookmarkEnd w:id="37"/>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jc w:val="left"/>
        <w:spacing w:line="240" w:lineRule="atLeast"/>
        <w:widowControl/>
        <w:rPr>
          <w:rFonts w:ascii="Arial" w:hAnsi="Arial" w:cs="Arial"/>
          <w:b/>
          <w:bCs/>
          <w:szCs w:val="21"/>
        </w:rPr>
      </w:pPr>
      <w:r/>
      <w:bookmarkStart w:id="38" w:name="_Toc26810"/>
      <w:r/>
      <w:bookmarkEnd w:id="0"/>
      <w:r/>
      <w:bookmarkEnd w:id="1"/>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spacing w:line="440" w:lineRule="exact"/>
        <w:rPr>
          <w:rFonts w:hint="eastAsia" w:ascii="宋体" w:hAnsi="宋体" w:cs="宋体"/>
          <w:szCs w:val="21"/>
        </w:rPr>
      </w:pP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w:t>
      </w:r>
      <w:r>
        <w:rPr>
          <w:rFonts w:hint="eastAsia" w:ascii="宋体" w:hAnsi="宋体" w:cs="宋体"/>
          <w:szCs w:val="21"/>
        </w:rPr>
        <w:t xml:space="preserve">投标人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投标人</w:t>
      </w:r>
      <w:r>
        <w:rPr>
          <w:rFonts w:hint="eastAsia" w:ascii="宋体" w:hAnsi="宋体" w:cs="宋体"/>
          <w:szCs w:val="21"/>
        </w:rPr>
        <w:t xml:space="preserve">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w:t>
      </w:r>
      <w:r>
        <w:rPr>
          <w:rFonts w:hint="eastAsia" w:ascii="宋体" w:hAnsi="宋体" w:cs="宋体"/>
          <w:szCs w:val="21"/>
        </w:rPr>
        <w:t xml:space="preserve">投标人</w:t>
      </w:r>
      <w:r>
        <w:rPr>
          <w:rFonts w:hint="eastAsia" w:ascii="宋体" w:hAnsi="宋体" w:cs="宋体"/>
          <w:szCs w:val="21"/>
        </w:rPr>
        <w:t xml:space="preserve">不足三家的，或在评标期间出现符合专业条件的供应商或者对招标文件作出实质响应的</w:t>
      </w:r>
      <w:r>
        <w:rPr>
          <w:rFonts w:hint="eastAsia" w:ascii="宋体" w:hAnsi="宋体" w:cs="宋体"/>
          <w:szCs w:val="21"/>
        </w:rPr>
        <w:t xml:space="preserve">投标人</w:t>
      </w:r>
      <w:r>
        <w:rPr>
          <w:rFonts w:hint="eastAsia" w:ascii="宋体" w:hAnsi="宋体" w:cs="宋体"/>
          <w:szCs w:val="21"/>
        </w:rPr>
        <w:t xml:space="preserve">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w:t>
      </w:r>
      <w:r>
        <w:rPr>
          <w:rFonts w:hint="eastAsia" w:ascii="宋体" w:hAnsi="宋体" w:cs="宋体"/>
          <w:szCs w:val="21"/>
        </w:rPr>
        <w:t xml:space="preserve">投标人</w:t>
      </w:r>
      <w:r>
        <w:rPr>
          <w:rFonts w:hint="eastAsia" w:ascii="宋体" w:hAnsi="宋体" w:cs="宋体"/>
          <w:szCs w:val="21"/>
        </w:rPr>
        <w:t xml:space="preserve">、决不与采购人、其他</w:t>
      </w:r>
      <w:r>
        <w:rPr>
          <w:rFonts w:hint="eastAsia" w:ascii="宋体" w:hAnsi="宋体" w:cs="宋体"/>
          <w:szCs w:val="21"/>
        </w:rPr>
        <w:t xml:space="preserve">投标人</w:t>
      </w:r>
      <w:r>
        <w:rPr>
          <w:rFonts w:hint="eastAsia" w:ascii="宋体" w:hAnsi="宋体" w:cs="宋体"/>
          <w:szCs w:val="21"/>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bookmarkStart w:id="39" w:name="OLE_LINK21"/>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投标人</w:t>
      </w:r>
      <w:r>
        <w:rPr>
          <w:rFonts w:hint="eastAsia" w:ascii="宋体" w:hAnsi="宋体"/>
          <w:szCs w:val="21"/>
        </w:rPr>
        <w:t xml:space="preserve">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ascii="宋体" w:hAnsi="宋体"/>
          <w:szCs w:val="21"/>
        </w:rPr>
        <w:br w:type="page" w:clear="all"/>
      </w:r>
      <w:bookmarkEnd w:id="39"/>
      <w:r/>
      <w:r/>
    </w:p>
    <w:p>
      <w:pPr>
        <w:rPr>
          <w:rFonts w:hint="eastAsia" w:ascii="宋体" w:hAnsi="宋体"/>
          <w:szCs w:val="21"/>
        </w:rPr>
      </w:pPr>
      <w:r>
        <w:rPr>
          <w:rFonts w:hint="eastAsia" w:ascii="宋体" w:hAnsi="宋体"/>
          <w:szCs w:val="21"/>
        </w:rPr>
      </w:r>
      <w:r/>
    </w:p>
    <w:p>
      <w:pPr>
        <w:spacing w:line="360" w:lineRule="auto"/>
        <w:rPr>
          <w:rFonts w:hint="eastAsia" w:ascii="宋体" w:hAnsi="宋体" w:cs="宋体"/>
        </w:rPr>
      </w:pPr>
      <w:r>
        <w:rPr>
          <w:rFonts w:hint="eastAsia" w:ascii="宋体" w:hAnsi="宋体" w:cs="宋体"/>
          <w:b/>
          <w:bCs/>
          <w:szCs w:val="21"/>
          <w:lang w:val="zh-CN"/>
        </w:rPr>
        <w:t xml:space="preserve">附件三、</w:t>
      </w:r>
      <w:bookmarkEnd w:id="38"/>
      <w:r>
        <w:rPr>
          <w:rFonts w:hint="eastAsia" w:ascii="宋体" w:hAnsi="宋体" w:cs="宋体"/>
          <w:b/>
          <w:bCs/>
          <w:szCs w:val="21"/>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tbl>
      <w:tblPr>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28"/>
        <w:gridCol w:w="4387"/>
        <w:gridCol w:w="1425"/>
      </w:tblGrid>
      <w:tr>
        <w:trPr>
          <w:cantSplit/>
          <w:trHeight w:val="1010"/>
        </w:trPr>
        <w:tc>
          <w:tcPr>
            <w:tcW w:w="2828" w:type="dxa"/>
            <w:vAlign w:val="center"/>
            <w:textDirection w:val="lrTb"/>
            <w:noWrap w:val="false"/>
          </w:tcPr>
          <w:p>
            <w:pPr>
              <w:jc w:val="center"/>
              <w:spacing w:line="360" w:lineRule="auto"/>
            </w:pPr>
            <w:r>
              <w:rPr>
                <w:rFonts w:hint="eastAsia"/>
              </w:rPr>
              <w:t xml:space="preserve">投标报价</w:t>
            </w:r>
            <w:r/>
          </w:p>
        </w:tc>
        <w:tc>
          <w:tcPr>
            <w:tcW w:w="4387" w:type="dxa"/>
            <w:vAlign w:val="center"/>
            <w:textDirection w:val="lrTb"/>
            <w:noWrap w:val="false"/>
          </w:tcPr>
          <w:p>
            <w:pPr>
              <w:pStyle w:val="993"/>
              <w:ind w:firstLine="0"/>
              <w:spacing w:line="360" w:lineRule="auto"/>
              <w:rPr>
                <w:rFonts w:hint="eastAsia" w:ascii="宋体" w:hAnsi="宋体" w:cs="宋体"/>
                <w:b w:val="0"/>
                <w:bCs/>
                <w:sz w:val="21"/>
                <w:szCs w:val="21"/>
              </w:rPr>
            </w:pPr>
            <w:r>
              <w:rPr>
                <w:rFonts w:hint="eastAsia" w:ascii="宋体" w:hAnsi="宋体" w:cs="Arial"/>
                <w:sz w:val="21"/>
                <w:szCs w:val="21"/>
              </w:rPr>
              <w:t xml:space="preserve">详见苏采云系统</w:t>
            </w:r>
            <w:r/>
          </w:p>
        </w:tc>
        <w:tc>
          <w:tcPr>
            <w:tcW w:w="1425" w:type="dxa"/>
            <w:vAlign w:val="center"/>
            <w:vMerge w:val="restar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p>
            <w:pPr>
              <w:jc w:val="center"/>
              <w:spacing w:line="360" w:lineRule="auto"/>
              <w:rPr>
                <w:rFonts w:hint="eastAsia" w:ascii="宋体" w:hAnsi="宋体" w:cs="宋体"/>
                <w:szCs w:val="21"/>
              </w:rPr>
            </w:pPr>
            <w:r>
              <w:rPr>
                <w:rFonts w:hint="eastAsia" w:ascii="宋体" w:hAnsi="宋体" w:cs="宋体"/>
                <w:szCs w:val="21"/>
              </w:rPr>
            </w:r>
            <w:r/>
          </w:p>
        </w:tc>
      </w:tr>
      <w:tr>
        <w:trPr>
          <w:trHeight w:val="1686"/>
        </w:trPr>
        <w:tc>
          <w:tcPr>
            <w:tcW w:w="28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服务时间/交付使用时间</w:t>
            </w:r>
            <w:r/>
          </w:p>
        </w:tc>
        <w:tc>
          <w:tcPr>
            <w:tcW w:w="4387" w:type="dxa"/>
            <w:vAlign w:val="center"/>
            <w:textDirection w:val="lrTb"/>
            <w:noWrap w:val="false"/>
          </w:tcPr>
          <w:p>
            <w:pPr>
              <w:pStyle w:val="993"/>
              <w:ind w:firstLine="473"/>
              <w:jc w:val="center"/>
              <w:spacing w:line="360" w:lineRule="auto"/>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r>
        <w:trPr>
          <w:trHeight w:val="829"/>
        </w:trPr>
        <w:tc>
          <w:tcPr>
            <w:tcW w:w="2828" w:type="dxa"/>
            <w:vAlign w:val="center"/>
            <w:textDirection w:val="lrTb"/>
            <w:noWrap w:val="false"/>
          </w:tcPr>
          <w:p>
            <w:pPr>
              <w:pStyle w:val="993"/>
              <w:ind w:firstLine="0"/>
              <w:jc w:val="center"/>
              <w:spacing w:line="360" w:lineRule="auto"/>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4387" w:type="dxa"/>
            <w:vAlign w:val="center"/>
            <w:textDirection w:val="lrTb"/>
            <w:noWrap w:val="false"/>
          </w:tcPr>
          <w:p>
            <w:pPr>
              <w:pStyle w:val="993"/>
              <w:ind w:firstLine="474"/>
              <w:jc w:val="center"/>
              <w:spacing w:line="360" w:lineRule="auto"/>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r>
        <w:trPr>
          <w:trHeight w:val="829"/>
        </w:trPr>
        <w:tc>
          <w:tcPr>
            <w:tcW w:w="2828" w:type="dxa"/>
            <w:vAlign w:val="center"/>
            <w:textDirection w:val="lrTb"/>
            <w:noWrap w:val="false"/>
          </w:tcPr>
          <w:p>
            <w:pPr>
              <w:pStyle w:val="993"/>
              <w:ind w:firstLine="0"/>
              <w:jc w:val="center"/>
              <w:spacing w:line="360" w:lineRule="auto"/>
              <w:rPr>
                <w:rFonts w:hint="eastAsia" w:ascii="宋体" w:hAnsi="宋体" w:cs="宋体"/>
                <w:sz w:val="21"/>
                <w:szCs w:val="21"/>
              </w:rPr>
            </w:pPr>
            <w:r>
              <w:rPr>
                <w:rFonts w:ascii="宋体" w:hAnsi="宋体" w:cs="宋体"/>
                <w:sz w:val="21"/>
                <w:szCs w:val="21"/>
              </w:rPr>
              <w:t xml:space="preserve">为本采购项目提供的符合本国产品标准的产品成本之和占提供的全部产品成本之和的比例为</w:t>
            </w:r>
            <w:r/>
          </w:p>
        </w:tc>
        <w:tc>
          <w:tcPr>
            <w:tcW w:w="4387" w:type="dxa"/>
            <w:vAlign w:val="center"/>
            <w:textDirection w:val="lrTb"/>
            <w:noWrap w:val="false"/>
          </w:tcPr>
          <w:p>
            <w:pPr>
              <w:pStyle w:val="993"/>
              <w:ind w:firstLine="474"/>
              <w:jc w:val="center"/>
              <w:spacing w:line="360" w:lineRule="auto"/>
              <w:rPr>
                <w:rFonts w:hint="eastAsia" w:ascii="宋体" w:hAnsi="宋体" w:cs="宋体"/>
                <w:sz w:val="21"/>
                <w:szCs w:val="21"/>
              </w:rPr>
            </w:pPr>
            <w:r>
              <w:rPr>
                <w:rFonts w:hint="eastAsia" w:ascii="宋体" w:hAnsi="宋体" w:cs="宋体"/>
                <w:sz w:val="21"/>
                <w:szCs w:val="21"/>
              </w:rPr>
              <w:t xml:space="preserve">%</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r>
        <w:trPr>
          <w:trHeight w:val="829"/>
        </w:trPr>
        <w:tc>
          <w:tcPr>
            <w:tcW w:w="2828" w:type="dxa"/>
            <w:vAlign w:val="center"/>
            <w:textDirection w:val="lrTb"/>
            <w:noWrap w:val="false"/>
          </w:tcPr>
          <w:p>
            <w:pPr>
              <w:jc w:val="center"/>
              <w:spacing w:line="273" w:lineRule="exact"/>
              <w:rPr>
                <w:rFonts w:hint="eastAsia" w:ascii="宋体" w:hAnsi="宋体" w:cs="宋体"/>
                <w:szCs w:val="21"/>
              </w:rPr>
            </w:pPr>
            <w:r>
              <w:rPr>
                <w:rFonts w:ascii="宋体" w:hAnsi="宋体" w:cs="宋体"/>
                <w:b/>
                <w:color w:val="000000"/>
                <w14:ligatures w14:val="standardContextual"/>
              </w:rPr>
              <w:t xml:space="preserve">核心产品</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独立式光电感烟火灾探测报警器（LoRa）</w:t>
            </w:r>
            <w:r>
              <w:rPr>
                <w:rFonts w:hint="eastAsia" w:ascii="宋体" w:hAnsi="宋体" w:cs="宋体"/>
                <w:color w:val="000000"/>
                <w14:ligatures w14:val="standardContextual"/>
              </w:rPr>
              <w:t xml:space="preserve">）</w:t>
            </w:r>
            <w:r/>
          </w:p>
        </w:tc>
        <w:tc>
          <w:tcPr>
            <w:tcW w:w="4387" w:type="dxa"/>
            <w:vAlign w:val="center"/>
            <w:textDirection w:val="lrTb"/>
            <w:noWrap w:val="false"/>
          </w:tcPr>
          <w:p>
            <w:pPr>
              <w:pStyle w:val="993"/>
              <w:ind w:firstLine="474"/>
              <w:jc w:val="center"/>
              <w:spacing w:line="360" w:lineRule="auto"/>
              <w:rPr>
                <w:rFonts w:hint="eastAsia" w:ascii="宋体" w:hAnsi="宋体" w:cs="宋体"/>
                <w:sz w:val="21"/>
                <w:szCs w:val="21"/>
              </w:rPr>
            </w:pPr>
            <w:r>
              <w:rPr>
                <w:rFonts w:hint="eastAsia" w:ascii="宋体" w:hAnsi="宋体" w:cs="宋体"/>
                <w:sz w:val="21"/>
                <w:szCs w:val="21"/>
              </w:rPr>
              <w:t xml:space="preserve">品牌：   规格：  型号：</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说明：</w:t>
      </w:r>
      <w:r/>
    </w:p>
    <w:p>
      <w:pPr>
        <w:numPr>
          <w:ilvl w:val="0"/>
          <w:numId w:val="7"/>
        </w:num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w:t>
      </w:r>
      <w:r>
        <w:rPr>
          <w:rFonts w:hint="eastAsia" w:ascii="宋体" w:hAnsi="宋体" w:cs="宋体"/>
          <w:b/>
          <w:bCs/>
          <w:szCs w:val="21"/>
        </w:rPr>
        <w:t xml:space="preserve">应按招标文件要求提供《中小企业声明函》《残疾人福利性单位声明函》《属于监狱企业的证明文件》。如未按要求提供、填写，不享受价格扣除。</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本国产品的价格扣除</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.1本国产品标准、本国产品标准的适用范围、对本国产品的支持政策等详见《国务院办公厅关于在政府采购中实施本国产品标准及相关政策的通知》（国办发〔2025〕34号）。</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.2政府采购活动中既有本国产品又有非本国产品参与竞争的，依法对本国产品给予价格评审优惠，对本国产品的报价给予20%的价格扣除，用扣除后的价格参与评审。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r>
      <w:r/>
    </w:p>
    <w:p>
      <w:pPr>
        <w:jc w:val="left"/>
        <w:spacing w:line="360" w:lineRule="auto"/>
        <w:widowControl/>
        <w:rPr>
          <w:rFonts w:hint="eastAsia" w:ascii="宋体" w:hAnsi="宋体" w:cs="宋体"/>
          <w:b/>
          <w:bCs/>
          <w:szCs w:val="21"/>
          <w:lang w:val="zh-CN"/>
        </w:rPr>
      </w:pPr>
      <w:r/>
      <w:bookmarkStart w:id="40" w:name="_Toc12264"/>
      <w:r>
        <w:rPr>
          <w:rFonts w:hint="eastAsia" w:ascii="宋体" w:hAnsi="宋体" w:cs="宋体"/>
          <w:b/>
          <w:bCs/>
          <w:szCs w:val="21"/>
          <w:lang w:val="zh-CN"/>
        </w:rPr>
        <w:br w:type="page" w:clear="all"/>
      </w:r>
      <w:r/>
    </w:p>
    <w:p>
      <w:pPr>
        <w:jc w:val="left"/>
        <w:spacing w:line="360" w:lineRule="auto"/>
        <w:widowControl/>
        <w:rPr>
          <w:rFonts w:hint="eastAsia" w:ascii="宋体" w:hAnsi="宋体" w:cs="宋体"/>
          <w:b/>
          <w:bCs/>
          <w:szCs w:val="21"/>
          <w:lang w:val="zh-CN"/>
        </w:rPr>
      </w:pPr>
      <w:r>
        <w:rPr>
          <w:rFonts w:hint="eastAsia" w:ascii="宋体" w:hAnsi="宋体" w:cs="宋体"/>
          <w:b/>
          <w:bCs/>
          <w:szCs w:val="21"/>
        </w:rPr>
        <w:t xml:space="preserve">附表</w:t>
      </w:r>
      <w:r>
        <w:rPr>
          <w:rFonts w:hint="eastAsia" w:ascii="宋体" w:hAnsi="宋体" w:cs="宋体"/>
          <w:b/>
          <w:bCs/>
          <w:szCs w:val="21"/>
          <w:lang w:val="zh-CN"/>
        </w:rPr>
        <w:t xml:space="preserve">：分项报价表格式</w:t>
      </w:r>
      <w:bookmarkEnd w:id="40"/>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分项报价表</w:t>
      </w:r>
      <w:r/>
    </w:p>
    <w:tbl>
      <w:tblPr>
        <w:tblW w:w="0" w:type="auto"/>
        <w:jc w:val="center"/>
        <w:tblCellSpacing w:w="0" w:type="dxa"/>
        <w:tblLook w:val="04A0" w:firstRow="1" w:lastRow="0" w:firstColumn="1" w:lastColumn="0" w:noHBand="0" w:noVBand="1"/>
      </w:tblPr>
      <w:tblGrid>
        <w:gridCol w:w="835"/>
        <w:gridCol w:w="1082"/>
        <w:gridCol w:w="1035"/>
        <w:gridCol w:w="758"/>
        <w:gridCol w:w="970"/>
        <w:gridCol w:w="1285"/>
        <w:gridCol w:w="1422"/>
      </w:tblGrid>
      <w:tr>
        <w:trPr>
          <w:jc w:val="center"/>
          <w:tblCellSpacing w:w="0" w:type="dxa"/>
          <w:trHeight w:val="544"/>
        </w:trPr>
        <w:tc>
          <w:tcPr>
            <w:tcBorders>
              <w:top w:val="single" w:color="000000" w:sz="8" w:space="0"/>
              <w:left w:val="single" w:color="000000" w:sz="8" w:space="0"/>
              <w:bottom w:val="single" w:color="000000" w:sz="8" w:space="0"/>
              <w:right w:val="single" w:color="000000" w:sz="8" w:space="0"/>
            </w:tcBorders>
            <w:tcW w:w="835" w:type="dxa"/>
            <w:vAlign w:val="center"/>
            <w:vMerge w:val="restart"/>
            <w:textDirection w:val="lrTb"/>
            <w:noWrap w:val="false"/>
          </w:tcPr>
          <w:p>
            <w:pPr>
              <w:jc w:val="center"/>
              <w:widowControl/>
              <w:rPr>
                <w:rFonts w:hint="eastAsia" w:ascii="宋体" w:hAnsi="宋体" w:cs="宋体"/>
                <w:sz w:val="24"/>
              </w:rP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6</w:t>
            </w:r>
            <w:r/>
          </w:p>
        </w:tc>
      </w:tr>
      <w:tr>
        <w:trPr>
          <w:jc w:val="center"/>
          <w:tblCellSpacing w:w="0" w:type="dxa"/>
          <w:trHeight w:val="294"/>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w:t>
            </w:r>
            <w:r/>
          </w:p>
          <w:p>
            <w:pPr>
              <w:jc w:val="center"/>
              <w:widowControl/>
              <w:rPr>
                <w:rFonts w:hint="eastAsia" w:ascii="宋体" w:hAnsi="宋体" w:cs="宋体"/>
                <w:sz w:val="24"/>
              </w:rP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w:t>
            </w:r>
            <w:r/>
          </w:p>
          <w:p>
            <w:pPr>
              <w:jc w:val="center"/>
              <w:widowControl/>
              <w:rPr>
                <w:rFonts w:hint="eastAsia" w:ascii="宋体" w:hAnsi="宋体" w:cs="宋体"/>
                <w:sz w:val="24"/>
              </w:rPr>
            </w:pPr>
            <w:r>
              <w:rPr>
                <w:rFonts w:ascii="宋体" w:hAnsi="宋体" w:cs="宋体"/>
                <w:color w:val="000000"/>
                <w:sz w:val="24"/>
              </w:rPr>
              <w:t xml:space="preserve">总价</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487"/>
        </w:trPr>
        <w:tc>
          <w:tcPr>
            <w:gridSpan w:val="6"/>
            <w:tcBorders>
              <w:top w:val="none" w:color="000000" w:sz="4" w:space="0"/>
              <w:left w:val="single" w:color="000000" w:sz="8" w:space="0"/>
              <w:bottom w:val="single" w:color="000000" w:sz="8" w:space="0"/>
              <w:right w:val="single" w:color="000000" w:sz="8" w:space="0"/>
            </w:tcBorders>
            <w:tcW w:w="596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widowControl/>
              <w:rPr>
                <w:rFonts w:hint="eastAsia" w:ascii="宋体" w:hAnsi="宋体" w:cs="宋体"/>
                <w:sz w:val="24"/>
              </w:rPr>
            </w:pPr>
            <w:r>
              <w:rPr>
                <w:rFonts w:ascii="宋体" w:hAnsi="宋体" w:cs="宋体"/>
                <w:color w:val="000000"/>
                <w:sz w:val="24"/>
              </w:rPr>
              <w:t xml:space="preserve"> </w:t>
            </w:r>
            <w:r/>
          </w:p>
        </w:tc>
      </w:tr>
    </w:tbl>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附件五、技术条款偏离表格式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  </w:t>
      </w:r>
      <w:r/>
    </w:p>
    <w:tbl>
      <w:tblPr>
        <w:tblW w:w="0" w:type="auto"/>
        <w:tblCellSpacing w:w="0" w:type="dxa"/>
        <w:tblLook w:val="04A0" w:firstRow="1" w:lastRow="0" w:firstColumn="1" w:lastColumn="0" w:noHBand="0" w:noVBand="1"/>
      </w:tblPr>
      <w:tblGrid>
        <w:gridCol w:w="496"/>
        <w:gridCol w:w="2842"/>
        <w:gridCol w:w="2435"/>
        <w:gridCol w:w="1176"/>
        <w:gridCol w:w="1024"/>
      </w:tblGrid>
      <w:tr>
        <w:trPr>
          <w:tblCellSpacing w:w="0" w:type="dxa"/>
        </w:trPr>
        <w:tc>
          <w:tcPr>
            <w:tcBorders>
              <w:top w:val="single" w:color="000000" w:sz="8"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证明</w:t>
            </w:r>
            <w:r/>
          </w:p>
          <w:p>
            <w:pPr>
              <w:jc w:val="center"/>
              <w:widowControl/>
              <w:rPr>
                <w:rFonts w:hint="eastAsia" w:ascii="宋体" w:hAnsi="宋体" w:cs="宋体"/>
                <w:sz w:val="24"/>
              </w:rPr>
            </w:pPr>
            <w:r>
              <w:rPr>
                <w:rFonts w:ascii="宋体" w:hAnsi="宋体" w:cs="宋体"/>
                <w:color w:val="000000"/>
                <w:sz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bl>
    <w:p>
      <w:pPr>
        <w:widowControl/>
        <w:rPr>
          <w:rFonts w:hint="eastAsia" w:ascii="宋体" w:hAnsi="宋体" w:cs="宋体"/>
          <w:sz w:val="24"/>
        </w:rPr>
      </w:pPr>
      <w:r>
        <w:rPr>
          <w:rFonts w:ascii="宋体" w:hAnsi="宋体" w:cs="宋体"/>
          <w:color w:val="000000"/>
          <w:sz w:val="24"/>
        </w:rPr>
        <w:t xml:space="preserve">注： 行数不够，可自行添加。</w:t>
      </w:r>
      <w:r/>
    </w:p>
    <w:p>
      <w:pPr>
        <w:jc w:val="left"/>
        <w:widowControl/>
        <w:rPr>
          <w:rFonts w:hint="eastAsia" w:ascii="宋体" w:hAnsi="宋体" w:cs="宋体"/>
          <w:sz w:val="24"/>
        </w:rPr>
      </w:pPr>
      <w:r>
        <w:rPr>
          <w:rFonts w:ascii="宋体" w:hAnsi="宋体" w:cs="宋体"/>
          <w:sz w:val="24"/>
        </w:rPr>
        <w:t xml:space="preserve"> </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7"/>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    </w:t>
      </w:r>
      <w:r/>
    </w:p>
    <w:tbl>
      <w:tblPr>
        <w:tblW w:w="0" w:type="auto"/>
        <w:tblCellSpacing w:w="0" w:type="dxa"/>
        <w:tblLook w:val="04A0" w:firstRow="1" w:lastRow="0" w:firstColumn="1" w:lastColumn="0" w:noHBand="0" w:noVBand="1"/>
      </w:tblPr>
      <w:tblGrid>
        <w:gridCol w:w="613"/>
        <w:gridCol w:w="2309"/>
        <w:gridCol w:w="2474"/>
        <w:gridCol w:w="1175"/>
        <w:gridCol w:w="1402"/>
      </w:tblGrid>
      <w:tr>
        <w:trPr>
          <w:tblCellSpacing w:w="0" w:type="dxa"/>
        </w:trPr>
        <w:tc>
          <w:tcPr>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证明</w:t>
            </w:r>
            <w:r/>
          </w:p>
          <w:p>
            <w:pPr>
              <w:jc w:val="center"/>
              <w:widowControl/>
              <w:rPr>
                <w:rFonts w:hint="eastAsia" w:ascii="宋体" w:hAnsi="宋体" w:cs="宋体"/>
                <w:sz w:val="24"/>
              </w:rPr>
            </w:pPr>
            <w:r>
              <w:rPr>
                <w:rFonts w:ascii="宋体" w:hAnsi="宋体" w:cs="宋体"/>
                <w:color w:val="000000"/>
                <w:sz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bl>
    <w:p>
      <w:pPr>
        <w:widowControl/>
        <w:rPr>
          <w:rFonts w:hint="eastAsia" w:ascii="宋体" w:hAnsi="宋体" w:cs="宋体"/>
          <w:sz w:val="24"/>
        </w:rPr>
      </w:pPr>
      <w:r>
        <w:rPr>
          <w:rFonts w:ascii="宋体" w:hAnsi="宋体" w:cs="宋体"/>
          <w:color w:val="000000"/>
          <w:sz w:val="24"/>
        </w:rPr>
        <w:t xml:space="preserve">注： 行数不够，可自行添加。</w:t>
      </w:r>
      <w:r/>
    </w:p>
    <w:p>
      <w:pPr>
        <w:jc w:val="left"/>
        <w:widowControl/>
        <w:rPr>
          <w:rFonts w:hint="eastAsia" w:ascii="宋体" w:hAnsi="宋体" w:cs="宋体"/>
          <w:sz w:val="24"/>
        </w:rPr>
      </w:pPr>
      <w:r>
        <w:rPr>
          <w:rFonts w:ascii="宋体" w:hAnsi="宋体" w:cs="宋体"/>
          <w:sz w:val="24"/>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rPr>
          <w:rFonts w:hint="eastAsia" w:ascii="宋体" w:hAnsi="宋体" w:cs="宋体"/>
          <w:szCs w:val="21"/>
        </w:rPr>
      </w:pPr>
      <w:r>
        <w:rPr>
          <w:rFonts w:hint="eastAsia" w:ascii="宋体" w:hAnsi="宋体" w:cs="宋体"/>
          <w:szCs w:val="21"/>
        </w:rPr>
        <w:t xml:space="preserve">技术方案及服务承诺应根据招标人对项目的要求、评标标准的要求及项目本身的特点编写。</w:t>
      </w:r>
      <w:r/>
    </w:p>
    <w:p>
      <w:pPr>
        <w:ind w:firstLine="420"/>
        <w:jc w:val="left"/>
        <w:spacing w:line="360" w:lineRule="auto"/>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w:t>
      </w:r>
      <w:r>
        <w:rPr>
          <w:rFonts w:hint="eastAsia" w:ascii="宋体" w:hAnsi="宋体" w:cs="宋体"/>
          <w:b/>
          <w:bCs/>
          <w:sz w:val="24"/>
        </w:rPr>
        <w:t xml:space="preserve">供应商</w:t>
      </w:r>
      <w:r>
        <w:rPr>
          <w:rFonts w:hint="eastAsia" w:ascii="宋体" w:hAnsi="宋体" w:cs="宋体"/>
          <w:b/>
          <w:bCs/>
          <w:sz w:val="24"/>
        </w:rPr>
        <w:t xml:space="preserve">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rPr>
        <w:br w:type="page" w:clear="all"/>
      </w: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line="480" w:lineRule="auto"/>
        <w:rPr>
          <w:rFonts w:hint="eastAsia" w:ascii="宋体" w:hAnsi="宋体" w:cs="宋体"/>
          <w:b/>
          <w:bCs/>
          <w:sz w:val="28"/>
          <w:szCs w:val="28"/>
        </w:rPr>
      </w:pPr>
      <w:r/>
      <w:bookmarkStart w:id="41" w:name="OLE_LINK13"/>
      <w:r/>
      <w:bookmarkStart w:id="42" w:name="OLE_LINK14"/>
      <w:r>
        <w:rPr>
          <w:rFonts w:hint="eastAsia" w:ascii="宋体" w:hAnsi="宋体" w:cs="宋体"/>
          <w:b/>
          <w:bCs/>
          <w:sz w:val="28"/>
          <w:szCs w:val="28"/>
        </w:rPr>
        <w:t xml:space="preserve">中小企业声明函（货物）</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t xml:space="preserve">万</w:t>
      </w:r>
      <w:r>
        <w:rPr>
          <w:rFonts w:hint="eastAsia" w:ascii="宋体" w:hAnsi="宋体" w:cs="宋体"/>
        </w:rPr>
        <w:t xml:space="preserve">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left"/>
        <w:spacing w:line="360" w:lineRule="auto"/>
        <w:rPr>
          <w:rFonts w:hint="eastAsia" w:ascii="宋体" w:hAnsi="宋体" w:cs="宋体"/>
          <w:szCs w:val="21"/>
        </w:rPr>
      </w:pPr>
      <w:r>
        <w:rPr>
          <w:rFonts w:hint="eastAsia" w:ascii="宋体" w:hAnsi="宋体" w:cs="宋体"/>
          <w:szCs w:val="21"/>
        </w:rPr>
        <w:t xml:space="preserve">日 期：</w:t>
      </w:r>
      <w:r/>
    </w:p>
    <w:p>
      <w:pPr>
        <w:jc w:val="left"/>
        <w:spacing w:line="360" w:lineRule="auto"/>
        <w:rPr>
          <w:rFonts w:hint="eastAsia" w:ascii="宋体" w:hAnsi="宋体" w:cs="宋体"/>
          <w:b/>
          <w:bCs/>
          <w:sz w:val="28"/>
        </w:rPr>
      </w:pPr>
      <w:r>
        <w:rPr>
          <w:rFonts w:hint="eastAsia" w:ascii="宋体" w:hAnsi="宋体" w:cs="宋体"/>
          <w:b/>
          <w:bCs/>
          <w:sz w:val="28"/>
        </w:rPr>
      </w:r>
      <w:r/>
    </w:p>
    <w:p>
      <w:pPr>
        <w:keepLines/>
        <w:keepNext/>
        <w:rPr>
          <w:rFonts w:hint="eastAsia" w:ascii="宋体" w:hAnsi="宋体" w:cs="宋体"/>
        </w:rPr>
      </w:pPr>
      <w:r/>
      <w:bookmarkStart w:id="43" w:name="_Toc9170"/>
      <w:r/>
      <w:bookmarkStart w:id="44" w:name="_Toc1861"/>
      <w:r/>
      <w:bookmarkStart w:id="45" w:name="_Toc12370"/>
      <w:r/>
      <w:bookmarkStart w:id="46" w:name="_Toc31857"/>
      <w:r/>
      <w:bookmarkStart w:id="47" w:name="_Toc15368"/>
      <w:r>
        <w:rPr>
          <w:rFonts w:hint="eastAsia" w:ascii="宋体" w:hAnsi="宋体" w:cs="宋体"/>
        </w:rPr>
        <w:t xml:space="preserve">备注：</w:t>
      </w:r>
      <w:bookmarkEnd w:id="43"/>
      <w:r/>
      <w:bookmarkEnd w:id="44"/>
      <w:r/>
      <w:bookmarkEnd w:id="45"/>
      <w:r/>
      <w:bookmarkEnd w:id="46"/>
      <w:r/>
      <w:bookmarkEnd w:id="47"/>
      <w:r/>
      <w:r/>
    </w:p>
    <w:p>
      <w:pPr>
        <w:ind w:firstLine="630"/>
        <w:keepLines/>
        <w:keepNext/>
        <w:rPr>
          <w:rFonts w:hint="eastAsia" w:ascii="宋体" w:hAnsi="宋体" w:cs="宋体"/>
        </w:rPr>
      </w:pPr>
      <w:r/>
      <w:bookmarkStart w:id="48" w:name="_Toc22289"/>
      <w:r/>
      <w:bookmarkStart w:id="49" w:name="_Toc26583"/>
      <w:r/>
      <w:bookmarkStart w:id="50" w:name="_Toc4087"/>
      <w:r/>
      <w:bookmarkStart w:id="51" w:name="_Toc3322"/>
      <w:r/>
      <w:bookmarkStart w:id="52" w:name="_Toc18101"/>
      <w:r>
        <w:rPr>
          <w:rFonts w:hint="eastAsia" w:ascii="宋体" w:hAnsi="宋体" w:cs="宋体"/>
        </w:rPr>
        <w:t xml:space="preserve">1.从业人员、营业收入、资产总额填报上一年度数据，无上一年度数据的新成立企业可不填报。</w:t>
      </w:r>
      <w:bookmarkEnd w:id="48"/>
      <w:r/>
      <w:bookmarkEnd w:id="49"/>
      <w:r/>
      <w:bookmarkEnd w:id="50"/>
      <w:r/>
      <w:bookmarkEnd w:id="51"/>
      <w:r/>
      <w:bookmarkEnd w:id="52"/>
      <w:r/>
      <w:r/>
    </w:p>
    <w:p>
      <w:pPr>
        <w:ind w:firstLine="630"/>
        <w:keepLines/>
        <w:keepNext/>
        <w:rPr>
          <w:rFonts w:hint="eastAsia" w:ascii="宋体" w:hAnsi="宋体" w:cs="宋体"/>
          <w:b/>
          <w:bCs/>
        </w:rPr>
      </w:pPr>
      <w:r/>
      <w:bookmarkStart w:id="53" w:name="_Toc10475"/>
      <w:r/>
      <w:bookmarkStart w:id="54" w:name="_Toc7010"/>
      <w:r/>
      <w:bookmarkStart w:id="55" w:name="_Toc2574"/>
      <w:r/>
      <w:bookmarkStart w:id="56" w:name="_Toc18057"/>
      <w:r/>
      <w:bookmarkStart w:id="57" w:name="_Toc927"/>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bookmarkEnd w:id="53"/>
      <w:r/>
      <w:bookmarkEnd w:id="54"/>
      <w:r/>
      <w:bookmarkEnd w:id="55"/>
      <w:r/>
      <w:bookmarkEnd w:id="56"/>
      <w:r/>
      <w:bookmarkEnd w:id="57"/>
      <w:r/>
      <w:r/>
    </w:p>
    <w:p>
      <w:pPr>
        <w:ind w:firstLine="630"/>
        <w:keepLines/>
        <w:keepNext/>
        <w:rPr>
          <w:rFonts w:hint="eastAsia" w:ascii="宋体" w:hAnsi="宋体" w:cs="宋体"/>
          <w:b/>
          <w:bCs/>
        </w:rPr>
      </w:pPr>
      <w:r/>
      <w:bookmarkStart w:id="58" w:name="_Toc30404"/>
      <w:r/>
      <w:bookmarkStart w:id="59" w:name="_Toc10358"/>
      <w:r/>
      <w:bookmarkStart w:id="60" w:name="_Toc17905"/>
      <w:r/>
      <w:bookmarkStart w:id="61" w:name="_Toc12857"/>
      <w:r/>
      <w:bookmarkStart w:id="62" w:name="_Toc19903"/>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bookmarkEnd w:id="58"/>
      <w:r/>
      <w:bookmarkEnd w:id="59"/>
      <w:r/>
      <w:bookmarkEnd w:id="60"/>
      <w:r/>
      <w:bookmarkEnd w:id="61"/>
      <w:r/>
      <w:bookmarkEnd w:id="62"/>
      <w:r/>
      <w:r/>
    </w:p>
    <w:p>
      <w:pPr>
        <w:ind w:firstLine="632"/>
        <w:keepLines/>
        <w:keepNext/>
        <w:rPr>
          <w:rFonts w:hint="eastAsia" w:ascii="宋体" w:hAnsi="宋体" w:cs="宋体"/>
          <w:b/>
          <w:szCs w:val="21"/>
        </w:rPr>
      </w:pPr>
      <w:r/>
      <w:bookmarkStart w:id="63" w:name="_Toc29908"/>
      <w:r/>
      <w:bookmarkStart w:id="64" w:name="_Toc10257"/>
      <w:r/>
      <w:bookmarkStart w:id="65" w:name="_Toc25066"/>
      <w:r/>
      <w:bookmarkStart w:id="66" w:name="_Toc8833"/>
      <w:r/>
      <w:bookmarkStart w:id="67" w:name="_Toc21794"/>
      <w:r>
        <w:rPr>
          <w:rFonts w:hint="eastAsia" w:ascii="宋体" w:hAnsi="宋体" w:cs="宋体"/>
          <w:b/>
          <w:bCs/>
        </w:rPr>
        <w:t xml:space="preserve">4.如未对（中型企业、小型企业、微型企业）进行勾选，视同非中小微企业，不可享受相应扶持政策。</w:t>
      </w:r>
      <w:bookmarkEnd w:id="63"/>
      <w:r/>
      <w:bookmarkEnd w:id="64"/>
      <w:r/>
      <w:bookmarkEnd w:id="65"/>
      <w:r/>
      <w:bookmarkEnd w:id="66"/>
      <w:r/>
      <w:bookmarkEnd w:id="67"/>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w:t>
      </w:r>
      <w:r>
        <w:rPr>
          <w:rFonts w:hint="eastAsia" w:ascii="宋体" w:hAnsi="宋体"/>
        </w:rPr>
        <w:t xml:space="preserve">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sectPr>
          <w:footerReference w:type="default" r:id="rId11"/>
          <w:footerReference w:type="first" r:id="rId12"/>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41"/>
      <w:r/>
      <w:bookmarkEnd w:id="42"/>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jc w:val="center"/>
        <w:spacing w:before="24" w:after="24" w:line="360" w:lineRule="auto"/>
        <w:shd w:val="clear" w:color="auto" w:fill="ffffff"/>
        <w:widowControl/>
        <w:rPr>
          <w:rFonts w:hint="eastAsia" w:ascii="宋体" w:hAnsi="宋体" w:cs="宋体"/>
          <w:b/>
          <w:bCs/>
          <w:sz w:val="28"/>
        </w:rPr>
      </w:pPr>
      <w:r>
        <w:rPr>
          <w:rFonts w:hint="eastAsia" w:ascii="宋体" w:hAnsi="宋体" w:cs="宋体"/>
          <w:b/>
          <w:bCs/>
          <w:sz w:val="28"/>
        </w:rPr>
      </w:r>
      <w:r/>
    </w:p>
    <w:p>
      <w:pPr>
        <w:jc w:val="center"/>
        <w:spacing w:before="24" w:after="24" w:line="360" w:lineRule="auto"/>
        <w:shd w:val="clear" w:color="auto" w:fill="ffffff"/>
        <w:widowControl/>
        <w:rPr>
          <w:rFonts w:hint="eastAsia" w:ascii="宋体" w:hAnsi="宋体" w:cs="宋体"/>
          <w:b/>
          <w:bCs/>
          <w:sz w:val="28"/>
        </w:rPr>
      </w:pPr>
      <w:r>
        <w:rPr>
          <w:rFonts w:hint="eastAsia" w:ascii="宋体" w:hAnsi="宋体" w:cs="宋体"/>
          <w:b/>
          <w:bCs/>
          <w:sz w:val="28"/>
        </w:rPr>
        <w:t xml:space="preserve">关于符合本国产品标准的声明函</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w:t>
      </w:r>
      <w:r>
        <w:rPr>
          <w:rStyle w:val="1028"/>
          <w:rFonts w:hint="eastAsia" w:ascii="宋体" w:hAnsi="宋体" w:cs="宋体"/>
          <w:color w:val="333333"/>
          <w:szCs w:val="21"/>
          <w:shd w:val="clear" w:color="auto" w:fill="ffffff"/>
        </w:rPr>
        <w:t xml:space="preserve">（产品名称1）</w:t>
      </w:r>
      <w:r>
        <w:rPr>
          <w:rStyle w:val="1028"/>
          <w:rFonts w:hint="eastAsia" w:ascii="宋体" w:hAnsi="宋体" w:cs="宋体"/>
          <w:color w:val="333333"/>
          <w:szCs w:val="21"/>
          <w:shd w:val="clear" w:color="auto" w:fill="ffffff"/>
          <w:vertAlign w:val="superscript"/>
        </w:rPr>
        <w:t xml:space="preserve">1</w:t>
      </w:r>
      <w:r>
        <w:rPr>
          <w:rFonts w:hint="eastAsia" w:ascii="宋体" w:hAnsi="宋体" w:cs="宋体"/>
          <w:color w:val="333333"/>
          <w:szCs w:val="21"/>
          <w:shd w:val="clear" w:color="auto" w:fill="ffffff"/>
        </w:rPr>
        <w:t xml:space="preserve">，生产厂为</w:t>
      </w:r>
      <w:r>
        <w:rPr>
          <w:rStyle w:val="1028"/>
          <w:rFonts w:hint="eastAsia" w:ascii="宋体" w:hAnsi="宋体" w:cs="宋体"/>
          <w:color w:val="333333"/>
          <w:szCs w:val="21"/>
          <w:shd w:val="clear" w:color="auto" w:fill="ffffff"/>
        </w:rPr>
        <w:t xml:space="preserve">（厂名）</w:t>
      </w:r>
      <w:r>
        <w:rPr>
          <w:rStyle w:val="1028"/>
          <w:rFonts w:hint="eastAsia" w:ascii="宋体" w:hAnsi="宋体" w:cs="宋体"/>
          <w:color w:val="333333"/>
          <w:szCs w:val="21"/>
          <w:shd w:val="clear" w:color="auto" w:fill="ffffff"/>
          <w:vertAlign w:val="superscript"/>
        </w:rPr>
        <w:t xml:space="preserve">2</w:t>
      </w:r>
      <w:r>
        <w:rPr>
          <w:rFonts w:hint="eastAsia" w:ascii="宋体" w:hAnsi="宋体" w:cs="宋体"/>
          <w:color w:val="333333"/>
          <w:szCs w:val="21"/>
          <w:shd w:val="clear" w:color="auto" w:fill="ffffff"/>
        </w:rPr>
        <w:t xml:space="preserve">，厂址为</w:t>
      </w:r>
      <w:r>
        <w:rPr>
          <w:rStyle w:val="1028"/>
          <w:rFonts w:hint="eastAsia" w:ascii="宋体" w:hAnsi="宋体" w:cs="宋体"/>
          <w:color w:val="333333"/>
          <w:szCs w:val="21"/>
          <w:shd w:val="clear" w:color="auto" w:fill="ffffff"/>
        </w:rPr>
        <w:t xml:space="preserve">（生产厂址）</w:t>
      </w:r>
      <w:r>
        <w:rPr>
          <w:rFonts w:hint="eastAsia" w:ascii="宋体" w:hAnsi="宋体" w:cs="宋体"/>
          <w:color w:val="333333"/>
          <w:szCs w:val="21"/>
          <w:shd w:val="clear" w:color="auto" w:fill="ffffff"/>
        </w:rPr>
        <w:t xml:space="preserve">。</w:t>
      </w:r>
      <w:r>
        <w:rPr>
          <w:rStyle w:val="1028"/>
          <w:rFonts w:hint="eastAsia" w:ascii="宋体" w:hAnsi="宋体" w:cs="宋体"/>
          <w:color w:val="333333"/>
          <w:szCs w:val="21"/>
          <w:shd w:val="clear" w:color="auto" w:fill="ffffff"/>
        </w:rPr>
        <w:t xml:space="preserve">（产品名称1）</w:t>
      </w:r>
      <w:r>
        <w:rPr>
          <w:rFonts w:hint="eastAsia" w:ascii="宋体" w:hAnsi="宋体" w:cs="宋体"/>
          <w:color w:val="333333"/>
          <w:szCs w:val="21"/>
          <w:shd w:val="clear" w:color="auto" w:fill="ffffff"/>
        </w:rPr>
        <w:t xml:space="preserve">的中国境内生产的组件成本占比≥</w:t>
      </w:r>
      <w:r>
        <w:rPr>
          <w:rStyle w:val="1028"/>
          <w:rFonts w:hint="eastAsia" w:ascii="宋体" w:hAnsi="宋体" w:cs="宋体"/>
          <w:color w:val="333333"/>
          <w:szCs w:val="21"/>
          <w:shd w:val="clear" w:color="auto" w:fill="ffffff"/>
        </w:rPr>
        <w:t xml:space="preserve">（规定比例）</w:t>
      </w:r>
      <w:r>
        <w:rPr>
          <w:rStyle w:val="1028"/>
          <w:rFonts w:hint="eastAsia" w:ascii="宋体" w:hAnsi="宋体" w:cs="宋体"/>
          <w:color w:val="333333"/>
          <w:szCs w:val="21"/>
          <w:shd w:val="clear" w:color="auto" w:fill="ffffff"/>
          <w:vertAlign w:val="superscript"/>
        </w:rPr>
        <w:t xml:space="preserve">3</w:t>
      </w:r>
      <w:r>
        <w:rPr>
          <w:rFonts w:hint="eastAsia" w:ascii="宋体" w:hAnsi="宋体" w:cs="宋体"/>
          <w:color w:val="333333"/>
          <w:szCs w:val="21"/>
          <w:shd w:val="clear" w:color="auto" w:fill="ffffff"/>
        </w:rPr>
        <w:t xml:space="preserve">。</w:t>
      </w:r>
      <w:r>
        <w:rPr>
          <w:rStyle w:val="1028"/>
          <w:rFonts w:hint="eastAsia" w:ascii="宋体" w:hAnsi="宋体" w:cs="宋体"/>
          <w:color w:val="333333"/>
          <w:szCs w:val="21"/>
          <w:shd w:val="clear" w:color="auto" w:fill="ffffff"/>
        </w:rPr>
        <w:t xml:space="preserve">（产品名称1）</w:t>
      </w:r>
      <w:r>
        <w:rPr>
          <w:rFonts w:hint="eastAsia" w:ascii="宋体" w:hAnsi="宋体" w:cs="宋体"/>
          <w:color w:val="333333"/>
          <w:szCs w:val="21"/>
          <w:shd w:val="clear" w:color="auto" w:fill="ffffff"/>
        </w:rPr>
        <w:t xml:space="preserve">的</w:t>
      </w:r>
      <w:r>
        <w:rPr>
          <w:rStyle w:val="1028"/>
          <w:rFonts w:hint="eastAsia" w:ascii="宋体" w:hAnsi="宋体" w:cs="宋体"/>
          <w:color w:val="333333"/>
          <w:szCs w:val="21"/>
          <w:shd w:val="clear" w:color="auto" w:fill="ffffff"/>
        </w:rPr>
        <w:t xml:space="preserve">（关键组件）</w:t>
      </w:r>
      <w:r>
        <w:rPr>
          <w:rStyle w:val="1028"/>
          <w:rFonts w:hint="eastAsia" w:ascii="宋体" w:hAnsi="宋体" w:cs="宋体"/>
          <w:color w:val="333333"/>
          <w:szCs w:val="21"/>
          <w:shd w:val="clear" w:color="auto" w:fill="ffffff"/>
          <w:vertAlign w:val="superscript"/>
        </w:rPr>
        <w:t xml:space="preserve">4</w:t>
      </w:r>
      <w:r>
        <w:rPr>
          <w:rFonts w:hint="eastAsia" w:ascii="宋体" w:hAnsi="宋体" w:cs="宋体"/>
          <w:color w:val="333333"/>
          <w:szCs w:val="21"/>
          <w:shd w:val="clear" w:color="auto" w:fill="ffffff"/>
        </w:rPr>
        <w:t xml:space="preserve">在中国境内生产。</w:t>
      </w:r>
      <w:r>
        <w:rPr>
          <w:rStyle w:val="1028"/>
          <w:rFonts w:hint="eastAsia" w:ascii="宋体" w:hAnsi="宋体" w:cs="宋体"/>
          <w:color w:val="333333"/>
          <w:szCs w:val="21"/>
          <w:shd w:val="clear" w:color="auto" w:fill="ffffff"/>
        </w:rPr>
        <w:t xml:space="preserve">（产品名称1）</w:t>
      </w:r>
      <w:r>
        <w:rPr>
          <w:rFonts w:hint="eastAsia" w:ascii="宋体" w:hAnsi="宋体" w:cs="宋体"/>
          <w:color w:val="333333"/>
          <w:szCs w:val="21"/>
          <w:shd w:val="clear" w:color="auto" w:fill="ffffff"/>
        </w:rPr>
        <w:t xml:space="preserve">的</w:t>
      </w:r>
      <w:r>
        <w:rPr>
          <w:rStyle w:val="1028"/>
          <w:rFonts w:hint="eastAsia" w:ascii="宋体" w:hAnsi="宋体" w:cs="宋体"/>
          <w:color w:val="333333"/>
          <w:szCs w:val="21"/>
          <w:shd w:val="clear" w:color="auto" w:fill="ffffff"/>
        </w:rPr>
        <w:t xml:space="preserve">（关键工序）</w:t>
      </w:r>
      <w:r>
        <w:rPr>
          <w:rStyle w:val="1028"/>
          <w:rFonts w:hint="eastAsia" w:ascii="宋体" w:hAnsi="宋体" w:cs="宋体"/>
          <w:color w:val="333333"/>
          <w:szCs w:val="21"/>
          <w:shd w:val="clear" w:color="auto" w:fill="ffffff"/>
          <w:vertAlign w:val="superscript"/>
        </w:rPr>
        <w:t xml:space="preserve">5</w:t>
      </w:r>
      <w:r>
        <w:rPr>
          <w:rFonts w:hint="eastAsia" w:ascii="宋体" w:hAnsi="宋体" w:cs="宋体"/>
          <w:color w:val="333333"/>
          <w:szCs w:val="21"/>
          <w:shd w:val="clear" w:color="auto" w:fill="ffffff"/>
        </w:rPr>
        <w:t xml:space="preserve">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w:t>
      </w:r>
      <w:r>
        <w:rPr>
          <w:rStyle w:val="1028"/>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，生产厂为</w:t>
      </w:r>
      <w:r>
        <w:rPr>
          <w:rStyle w:val="1028"/>
          <w:rFonts w:hint="eastAsia" w:ascii="宋体" w:hAnsi="宋体" w:cs="宋体"/>
          <w:color w:val="333333"/>
          <w:szCs w:val="21"/>
          <w:shd w:val="clear" w:color="auto" w:fill="ffffff"/>
        </w:rPr>
        <w:t xml:space="preserve">（厂名）</w:t>
      </w:r>
      <w:r>
        <w:rPr>
          <w:rFonts w:hint="eastAsia" w:ascii="宋体" w:hAnsi="宋体" w:cs="宋体"/>
          <w:color w:val="333333"/>
          <w:szCs w:val="21"/>
          <w:shd w:val="clear" w:color="auto" w:fill="ffffff"/>
        </w:rPr>
        <w:t xml:space="preserve">，厂址为</w:t>
      </w:r>
      <w:r>
        <w:rPr>
          <w:rStyle w:val="1028"/>
          <w:rFonts w:hint="eastAsia" w:ascii="宋体" w:hAnsi="宋体" w:cs="宋体"/>
          <w:color w:val="333333"/>
          <w:szCs w:val="21"/>
          <w:shd w:val="clear" w:color="auto" w:fill="ffffff"/>
        </w:rPr>
        <w:t xml:space="preserve">（生产厂址）</w:t>
      </w:r>
      <w:r>
        <w:rPr>
          <w:rFonts w:hint="eastAsia" w:ascii="宋体" w:hAnsi="宋体" w:cs="宋体"/>
          <w:color w:val="333333"/>
          <w:szCs w:val="21"/>
          <w:shd w:val="clear" w:color="auto" w:fill="ffffff"/>
        </w:rPr>
        <w:t xml:space="preserve">。</w:t>
      </w:r>
      <w:r>
        <w:rPr>
          <w:rStyle w:val="1028"/>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的中国境内生产的组件成本占比≥</w:t>
      </w:r>
      <w:r>
        <w:rPr>
          <w:rStyle w:val="1028"/>
          <w:rFonts w:hint="eastAsia" w:ascii="宋体" w:hAnsi="宋体" w:cs="宋体"/>
          <w:color w:val="333333"/>
          <w:szCs w:val="21"/>
          <w:shd w:val="clear" w:color="auto" w:fill="ffffff"/>
        </w:rPr>
        <w:t xml:space="preserve">（规定比例）</w:t>
      </w:r>
      <w:r>
        <w:rPr>
          <w:rFonts w:hint="eastAsia" w:ascii="宋体" w:hAnsi="宋体" w:cs="宋体"/>
          <w:color w:val="333333"/>
          <w:szCs w:val="21"/>
          <w:shd w:val="clear" w:color="auto" w:fill="ffffff"/>
        </w:rPr>
        <w:t xml:space="preserve">。</w:t>
      </w:r>
      <w:r>
        <w:rPr>
          <w:rStyle w:val="1028"/>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的</w:t>
      </w:r>
      <w:r>
        <w:rPr>
          <w:rStyle w:val="1028"/>
          <w:rFonts w:hint="eastAsia" w:ascii="宋体" w:hAnsi="宋体" w:cs="宋体"/>
          <w:color w:val="333333"/>
          <w:szCs w:val="21"/>
          <w:shd w:val="clear" w:color="auto" w:fill="ffffff"/>
        </w:rPr>
        <w:t xml:space="preserve">（关键组件）</w:t>
      </w:r>
      <w:r>
        <w:rPr>
          <w:rFonts w:hint="eastAsia" w:ascii="宋体" w:hAnsi="宋体" w:cs="宋体"/>
          <w:color w:val="333333"/>
          <w:szCs w:val="21"/>
          <w:shd w:val="clear" w:color="auto" w:fill="ffffff"/>
        </w:rPr>
        <w:t xml:space="preserve">在中国境内生产。</w:t>
      </w:r>
      <w:r>
        <w:rPr>
          <w:rStyle w:val="1028"/>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的</w:t>
      </w:r>
      <w:r>
        <w:rPr>
          <w:rStyle w:val="1028"/>
          <w:rFonts w:hint="eastAsia" w:ascii="宋体" w:hAnsi="宋体" w:cs="宋体"/>
          <w:color w:val="333333"/>
          <w:szCs w:val="21"/>
          <w:shd w:val="clear" w:color="auto" w:fill="ffffff"/>
        </w:rPr>
        <w:t xml:space="preserve">（关键工序）</w:t>
      </w:r>
      <w:r>
        <w:rPr>
          <w:rFonts w:hint="eastAsia" w:ascii="宋体" w:hAnsi="宋体" w:cs="宋体"/>
          <w:color w:val="333333"/>
          <w:szCs w:val="21"/>
          <w:shd w:val="clear" w:color="auto" w:fill="ffffff"/>
        </w:rPr>
        <w:t xml:space="preserve">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本公司（单位）对上述声明内容的真实性负责。如有虚假，愿承担相应法律责任。</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公司（单位）名称</w:t>
      </w:r>
      <w:r>
        <w:rPr>
          <w:rFonts w:hint="eastAsia" w:ascii="宋体" w:hAnsi="宋体" w:cs="宋体"/>
          <w:szCs w:val="21"/>
        </w:rPr>
        <w:t xml:space="preserve">（加盖电子公章）</w:t>
      </w:r>
      <w:r>
        <w:rPr>
          <w:rFonts w:hint="eastAsia" w:ascii="宋体" w:hAnsi="宋体" w:cs="宋体"/>
          <w:color w:val="333333"/>
          <w:szCs w:val="21"/>
          <w:shd w:val="clear" w:color="auto" w:fill="ffffff"/>
        </w:rPr>
        <w:t xml:space="preserve">：      </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日期：　　　　　年　　月　日    </w:t>
      </w:r>
      <w:r/>
    </w:p>
    <w:p>
      <w:pPr>
        <w:jc w:val="left"/>
        <w:shd w:val="clear" w:color="auto" w:fill="ffffff"/>
        <w:widowControl/>
        <w:rPr>
          <w:rFonts w:hint="eastAsia" w:ascii="宋体" w:hAnsi="宋体" w:cs="宋体"/>
          <w:color w:val="333333"/>
          <w:sz w:val="28"/>
          <w:szCs w:val="28"/>
        </w:rPr>
      </w:pPr>
      <w:r>
        <w:rPr>
          <w:rFonts w:hint="eastAsia" w:ascii="宋体" w:hAnsi="宋体" w:cs="宋体"/>
          <w:color w:val="333333"/>
          <w:sz w:val="28"/>
          <w:szCs w:val="28"/>
          <w:shd w:val="clear" w:color="auto" w:fill="ffffff"/>
        </w:rPr>
        <w:t xml:space="preserve">_____________________________</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1.产品如有型号，请在“产品名称”栏一并填写。</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2.生产厂名与厂址应与生产厂营业执照载明的相关信息保持一致。</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3.该产品的中国境内生产的组件成本占比相关要求实施前，“规定比例”栏可不填，下同。</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4.该产品的关键组件要求实施前，“关键组件”栏可不填，下同。</w:t>
      </w:r>
      <w:r/>
    </w:p>
    <w:p>
      <w:pPr>
        <w:ind w:firstLine="420"/>
        <w:jc w:val="lef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5.该产品的关键工序要求实施前，“关键工序”栏可不填，下同。</w:t>
      </w:r>
      <w:r/>
    </w:p>
    <w:p>
      <w:pPr>
        <w:jc w:val="left"/>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br w:type="page" w:clear="all"/>
      </w:r>
      <w:r/>
    </w:p>
    <w:p>
      <w:pPr>
        <w:jc w:val="center"/>
        <w:spacing w:before="30" w:after="30" w:line="278" w:lineRule="auto"/>
        <w:shd w:val="clear" w:color="auto" w:fill="ffffff"/>
        <w:widowControl/>
        <w:rPr>
          <w:rFonts w:hint="eastAsia" w:ascii="宋体" w:hAnsi="宋体" w:cs="宋体"/>
          <w:b/>
          <w:bCs/>
          <w:sz w:val="36"/>
          <w:szCs w:val="36"/>
        </w:rPr>
      </w:pPr>
      <w:r>
        <w:rPr>
          <w:rFonts w:ascii="宋体" w:hAnsi="宋体" w:cs="宋体"/>
          <w:b/>
          <w:bCs/>
          <w:sz w:val="36"/>
          <w:szCs w:val="36"/>
        </w:rPr>
        <w:t xml:space="preserve">产品成本占比承诺函</w:t>
      </w:r>
      <w:r/>
    </w:p>
    <w:p>
      <w:pPr>
        <w:jc w:val="left"/>
        <w:spacing w:before="30" w:after="30" w:line="278"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ind w:firstLine="480"/>
        <w:jc w:val="left"/>
        <w:spacing w:after="160" w:line="360" w:lineRule="auto"/>
        <w:widowControl/>
        <w:rPr>
          <w:color w:val="333333"/>
          <w:sz w:val="24"/>
          <w:shd w:val="clear" w:color="auto" w:fill="ffffff"/>
        </w:rPr>
      </w:pPr>
      <w:r>
        <w:rPr>
          <w:color w:val="333333"/>
          <w:sz w:val="24"/>
          <w:shd w:val="clear" w:color="auto" w:fill="ffffff"/>
        </w:rPr>
        <w:t xml:space="preserve">我公司（单位）郑重承诺，我公司已阅读并理解《国务院办公厅关于在政府采购中实施本国产品标准及相关政策的通知》（国办发〔</w:t>
      </w:r>
      <w:r>
        <w:rPr>
          <w:color w:val="333333"/>
          <w:sz w:val="24"/>
          <w:shd w:val="clear" w:color="auto" w:fill="ffffff"/>
        </w:rPr>
        <w:t xml:space="preserve">2025</w:t>
      </w:r>
      <w:r>
        <w:rPr>
          <w:color w:val="333333"/>
          <w:sz w:val="24"/>
          <w:shd w:val="clear" w:color="auto" w:fill="ffffff"/>
        </w:rPr>
        <w:t xml:space="preserve">〕</w:t>
      </w:r>
      <w:r>
        <w:rPr>
          <w:color w:val="333333"/>
          <w:sz w:val="24"/>
          <w:shd w:val="clear" w:color="auto" w:fill="ffffff"/>
        </w:rPr>
        <w:t xml:space="preserve">34</w:t>
      </w:r>
      <w:r>
        <w:rPr>
          <w:color w:val="333333"/>
          <w:sz w:val="24"/>
          <w:shd w:val="clear" w:color="auto" w:fill="ffffff"/>
        </w:rPr>
        <w:t xml:space="preserve">号）的规定。据此承诺如下：</w:t>
      </w:r>
      <w:r/>
    </w:p>
    <w:p>
      <w:pPr>
        <w:ind w:firstLine="480"/>
        <w:jc w:val="left"/>
        <w:spacing w:after="160" w:line="360" w:lineRule="auto"/>
        <w:widowControl/>
        <w:rPr>
          <w:spacing w:val="6"/>
          <w:sz w:val="24"/>
        </w:rPr>
      </w:pPr>
      <w:r>
        <w:rPr>
          <w:color w:val="333333"/>
          <w:sz w:val="24"/>
          <w:shd w:val="clear" w:color="auto" w:fill="ffffff"/>
        </w:rPr>
        <w:t xml:space="preserve">为本采购项目提供的符合本国产品标准的产品成本之和占提供的全部产品成本之和的比例为</w:t>
      </w:r>
      <w:r>
        <w:rPr>
          <w:spacing w:val="6"/>
          <w:sz w:val="24"/>
        </w:rPr>
        <w:t xml:space="preserve">______%</w:t>
      </w:r>
      <w:r>
        <w:rPr>
          <w:spacing w:val="6"/>
          <w:sz w:val="24"/>
        </w:rPr>
        <w:t xml:space="preserve">。</w:t>
      </w:r>
      <w:r/>
    </w:p>
    <w:p>
      <w:pPr>
        <w:ind w:firstLine="480"/>
        <w:jc w:val="left"/>
        <w:spacing w:after="160" w:line="360" w:lineRule="auto"/>
        <w:widowControl/>
        <w:rPr>
          <w:color w:val="000000"/>
          <w:sz w:val="24"/>
        </w:rPr>
      </w:pPr>
      <w:r>
        <w:rPr>
          <w:color w:val="000000"/>
          <w:sz w:val="24"/>
        </w:rPr>
      </w:r>
      <w:r/>
    </w:p>
    <w:p>
      <w:pPr>
        <w:jc w:val="right"/>
        <w:spacing w:line="360" w:lineRule="auto"/>
        <w:shd w:val="clear" w:color="auto" w:fill="ffffff"/>
        <w:widowControl/>
        <w:rPr>
          <w:rFonts w:hint="eastAsia" w:ascii="宋体" w:hAnsi="宋体" w:cs="宋体"/>
          <w:color w:val="333333"/>
          <w:sz w:val="24"/>
        </w:rPr>
      </w:pPr>
      <w:r>
        <w:rPr>
          <w:rFonts w:ascii="宋体" w:hAnsi="宋体" w:cs="宋体"/>
          <w:color w:val="333333"/>
          <w:sz w:val="24"/>
          <w:shd w:val="clear" w:color="auto" w:fill="ffffff"/>
        </w:rPr>
        <w:t xml:space="preserve">公司（单位）名称（盖章）：　        </w:t>
      </w:r>
      <w:r/>
    </w:p>
    <w:p>
      <w:pPr>
        <w:ind w:firstLine="480"/>
        <w:jc w:val="right"/>
        <w:spacing w:after="160" w:line="360" w:lineRule="auto"/>
        <w:widowControl/>
        <w:rPr>
          <w:color w:val="000000"/>
          <w:sz w:val="24"/>
        </w:rPr>
      </w:pPr>
      <w:r>
        <w:rPr>
          <w:color w:val="333333"/>
          <w:sz w:val="24"/>
          <w:shd w:val="clear" w:color="auto" w:fill="ffffff"/>
        </w:rPr>
        <w:t xml:space="preserve">日期：　</w:t>
      </w:r>
      <w:r>
        <w:rPr>
          <w:color w:val="333333"/>
          <w:sz w:val="24"/>
          <w:shd w:val="clear" w:color="auto" w:fill="ffffff"/>
        </w:rPr>
        <w:t xml:space="preserve">     </w:t>
      </w:r>
      <w:r>
        <w:rPr>
          <w:rFonts w:ascii="宋体" w:hAnsi="宋体" w:cs="宋体"/>
          <w:color w:val="333333"/>
          <w:sz w:val="24"/>
          <w:shd w:val="clear" w:color="auto" w:fill="ffffff"/>
        </w:rPr>
        <w:t xml:space="preserve">年　</w:t>
      </w:r>
      <w:r>
        <w:rPr>
          <w:color w:val="333333"/>
          <w:sz w:val="24"/>
          <w:shd w:val="clear" w:color="auto" w:fill="ffffff"/>
        </w:rPr>
        <w:t xml:space="preserve">  </w:t>
      </w:r>
      <w:r>
        <w:rPr>
          <w:rFonts w:ascii="宋体" w:hAnsi="宋体" w:cs="宋体"/>
          <w:color w:val="333333"/>
          <w:sz w:val="24"/>
          <w:shd w:val="clear" w:color="auto" w:fill="ffffff"/>
        </w:rPr>
        <w:t xml:space="preserve">月　</w:t>
      </w:r>
      <w:r>
        <w:rPr>
          <w:color w:val="333333"/>
          <w:sz w:val="24"/>
          <w:shd w:val="clear" w:color="auto" w:fill="ffffff"/>
        </w:rPr>
        <w:t xml:space="preserve">  </w:t>
      </w:r>
      <w:r>
        <w:rPr>
          <w:rFonts w:ascii="宋体" w:hAnsi="宋体" w:cs="宋体"/>
          <w:color w:val="333333"/>
          <w:sz w:val="24"/>
          <w:shd w:val="clear" w:color="auto" w:fill="ffffff"/>
        </w:rPr>
        <w:t xml:space="preserve">日</w:t>
      </w:r>
      <w:r>
        <w:rPr>
          <w:color w:val="333333"/>
          <w:sz w:val="24"/>
          <w:shd w:val="clear" w:color="auto" w:fill="ffffff"/>
        </w:rPr>
        <w:t xml:space="preserve">     </w:t>
      </w:r>
      <w:r/>
    </w:p>
    <w:p>
      <w:pPr>
        <w:jc w:val="left"/>
        <w:spacing w:after="160" w:line="360" w:lineRule="auto"/>
        <w:widowControl/>
        <w:rPr>
          <w:color w:val="000000"/>
          <w:sz w:val="24"/>
        </w:rPr>
      </w:pPr>
      <w:r>
        <w:rPr>
          <w:color w:val="000000"/>
          <w:sz w:val="24"/>
        </w:rPr>
      </w:r>
      <w:r/>
    </w:p>
    <w:p>
      <w:pPr>
        <w:jc w:val="left"/>
        <w:spacing w:after="160" w:line="360" w:lineRule="auto"/>
        <w:widowControl/>
        <w:rPr>
          <w:color w:val="000000"/>
          <w:sz w:val="24"/>
        </w:rPr>
      </w:pPr>
      <w:r>
        <w:rPr>
          <w:color w:val="000000"/>
          <w:sz w:val="24"/>
        </w:rPr>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江苏第二师范学院</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9"/>
        <w:spacing w:line="360" w:lineRule="auto"/>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rPr>
          <w:rFonts w:hint="eastAsia" w:ascii="宋体" w:hAnsi="宋体" w:cs="宋体"/>
          <w:b/>
        </w:rPr>
        <w:t xml:space="preserve">详见苏采云系统</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rPr>
        <w:t xml:space="preserve">三</w:t>
      </w:r>
      <w:r>
        <w:rPr>
          <w:rFonts w:hint="eastAsia" w:ascii="宋体" w:hAnsi="宋体" w:cs="宋体"/>
          <w:b/>
        </w:rPr>
        <w:t xml:space="preserve">、符合性证明文件详见苏采云系统，格式如下</w:t>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ascii="宋体" w:hAnsi="宋体"/>
          <w:szCs w:val="21"/>
        </w:rPr>
        <w:t xml:space="preserve">采购文件对带星号（“★”）的条款为实质性条款，技术支持资料（如有）以招标文件需求要求为准，未响应的，视为未对招标文件实质性要求作出响应，评审时将其作为无效投标处理。（格式见下表）</w:t>
      </w:r>
      <w:r/>
    </w:p>
    <w:tbl>
      <w:tblPr>
        <w:tblW w:w="64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1"/>
        <w:gridCol w:w="3684"/>
        <w:gridCol w:w="2553"/>
        <w:gridCol w:w="1140"/>
        <w:gridCol w:w="1201"/>
        <w:gridCol w:w="1201"/>
      </w:tblGrid>
      <w:tr>
        <w:trPr>
          <w:cantSplit/>
          <w:jc w:val="center"/>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val="false"/>
          </w:tcPr>
          <w:p>
            <w:pPr>
              <w:jc w:val="center"/>
              <w:spacing w:line="400" w:lineRule="exact"/>
              <w:rPr>
                <w:rFonts w:hint="eastAsia" w:ascii="宋体" w:hAnsi="宋体"/>
                <w:szCs w:val="21"/>
              </w:rPr>
            </w:pPr>
            <w:r>
              <w:rPr>
                <w:rFonts w:ascii="宋体" w:hAnsi="宋体"/>
                <w:color w:val="000000"/>
                <w:szCs w:val="21"/>
              </w:rPr>
              <w:t xml:space="preserve">采购文件中</w:t>
            </w:r>
            <w:r>
              <w:rPr>
                <w:rFonts w:ascii="宋体" w:hAnsi="宋体"/>
                <w:szCs w:val="21"/>
              </w:rPr>
              <w:t xml:space="preserve">的实质性要求</w:t>
            </w:r>
            <w:r>
              <w:rPr>
                <w:rFonts w:ascii="宋体" w:hAnsi="宋体"/>
                <w:b/>
                <w:bCs/>
                <w:szCs w:val="21"/>
              </w:rPr>
              <w:t xml:space="preserve">（</w:t>
            </w:r>
            <w:r>
              <w:rPr>
                <w:rFonts w:ascii="宋体" w:hAnsi="宋体"/>
                <w:b/>
                <w:bCs/>
                <w:i/>
                <w:szCs w:val="21"/>
                <w:u w:val="single"/>
              </w:rPr>
              <w:t xml:space="preserve">带星号（“★”）的条款</w:t>
            </w:r>
            <w:r>
              <w:rPr>
                <w:rFonts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响应情况</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正偏离或负偏离或无偏离</w:t>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采购文件是否要求证明材料</w:t>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投标文件是否有证明材料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570"/>
        <w:rPr>
          <w:rFonts w:hint="eastAsia" w:ascii="宋体" w:hAnsi="宋体"/>
          <w:szCs w:val="21"/>
        </w:rPr>
      </w:pPr>
      <w:r>
        <w:rPr>
          <w:rFonts w:hint="eastAsia" w:ascii="宋体" w:hAnsi="宋体"/>
          <w:szCs w:val="21"/>
        </w:rPr>
        <w:t xml:space="preserve">序号X</w:t>
      </w:r>
      <w:r>
        <w:rPr>
          <w:rFonts w:ascii="宋体" w:hAnsi="宋体"/>
          <w:szCs w:val="21"/>
        </w:rPr>
        <w:t xml:space="preserve">证明材料（如有）：</w:t>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ascii="宋体" w:hAnsi="宋体"/>
          <w:szCs w:val="21"/>
        </w:rPr>
        <w:t xml:space="preserve">…</w:t>
      </w:r>
      <w:r/>
    </w:p>
    <w:p>
      <w:pPr>
        <w:ind w:firstLine="570"/>
        <w:rPr>
          <w:rFonts w:hint="eastAsia" w:ascii="宋体" w:hAnsi="宋体"/>
          <w:szCs w:val="21"/>
        </w:rPr>
      </w:pPr>
      <w:r>
        <w:rPr>
          <w:rFonts w:hint="eastAsia" w:ascii="宋体" w:hAnsi="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ascii="宋体" w:hAnsi="宋体"/>
          <w:szCs w:val="21"/>
        </w:rPr>
        <w:t xml:space="preserve">备注：</w:t>
      </w:r>
      <w:r/>
    </w:p>
    <w:p>
      <w:pPr>
        <w:spacing w:line="400" w:lineRule="exact"/>
        <w:rPr>
          <w:rFonts w:hint="eastAsia" w:ascii="宋体" w:hAnsi="宋体"/>
          <w:szCs w:val="21"/>
        </w:rPr>
      </w:pPr>
      <w:r>
        <w:rPr>
          <w:rFonts w:ascii="宋体" w:hAnsi="宋体"/>
          <w:szCs w:val="21"/>
        </w:rPr>
        <w:t xml:space="preserve">1.供应商必</w:t>
      </w:r>
      <w:r>
        <w:rPr>
          <w:rFonts w:ascii="宋体" w:hAnsi="宋体"/>
          <w:color w:val="000000"/>
          <w:szCs w:val="21"/>
        </w:rPr>
        <w:t xml:space="preserve">须对采购文件中的实质性</w:t>
      </w:r>
      <w:r>
        <w:rPr>
          <w:rFonts w:ascii="宋体" w:hAnsi="宋体"/>
          <w:szCs w:val="21"/>
        </w:rPr>
        <w:t xml:space="preserve">要求</w:t>
      </w:r>
      <w:r>
        <w:rPr>
          <w:rFonts w:ascii="宋体" w:hAnsi="宋体"/>
          <w:b/>
          <w:bCs/>
          <w:szCs w:val="21"/>
        </w:rPr>
        <w:t xml:space="preserve">（</w:t>
      </w:r>
      <w:r>
        <w:rPr>
          <w:rFonts w:ascii="宋体" w:hAnsi="宋体"/>
          <w:b/>
          <w:bCs/>
          <w:i/>
          <w:szCs w:val="21"/>
          <w:u w:val="single"/>
        </w:rPr>
        <w:t xml:space="preserve">带星号（“★”）的条款</w:t>
      </w:r>
      <w:r>
        <w:rPr>
          <w:rFonts w:ascii="宋体" w:hAnsi="宋体"/>
          <w:b/>
          <w:bCs/>
          <w:szCs w:val="21"/>
        </w:rPr>
        <w:t xml:space="preserve">）</w:t>
      </w:r>
      <w:r>
        <w:rPr>
          <w:rFonts w:ascii="宋体" w:hAnsi="宋体"/>
          <w:szCs w:val="21"/>
        </w:rPr>
        <w:t xml:space="preserve">逐条做出明确响应，否则做无效响应处理。</w:t>
      </w:r>
      <w:r/>
    </w:p>
    <w:p>
      <w:pPr>
        <w:spacing w:line="400" w:lineRule="exact"/>
        <w:rPr>
          <w:rFonts w:hint="eastAsia" w:ascii="宋体" w:hAnsi="宋体"/>
          <w:szCs w:val="21"/>
        </w:rPr>
      </w:pPr>
      <w:r>
        <w:rPr>
          <w:rFonts w:ascii="宋体" w:hAnsi="宋体"/>
          <w:szCs w:val="21"/>
        </w:rPr>
        <w:t xml:space="preserve">2.如果采购文件要求提供证明材料，供应商必须将证明材料列于该表之下。</w:t>
      </w:r>
      <w:r/>
    </w:p>
    <w:p>
      <w:pPr>
        <w:spacing w:line="360" w:lineRule="auto"/>
        <w:shd w:val="clear" w:color="auto" w:fill="ffffff"/>
        <w:widowControl/>
        <w:rPr>
          <w:rFonts w:hint="eastAsia" w:ascii="宋体" w:hAnsi="宋体"/>
          <w:szCs w:val="21"/>
        </w:rPr>
      </w:pPr>
      <w:r>
        <w:rPr>
          <w:rFonts w:ascii="宋体" w:hAnsi="宋体"/>
          <w:szCs w:val="21"/>
        </w:rPr>
        <w:t xml:space="preserve">3.供应商未对实质性要求作出明确响应的，或未按采购文件要求提供证明材料的，该</w:t>
      </w:r>
      <w:r>
        <w:rPr>
          <w:rFonts w:hint="eastAsia" w:ascii="宋体" w:hAnsi="宋体"/>
          <w:szCs w:val="21"/>
        </w:rPr>
        <w:t xml:space="preserve">项目</w:t>
      </w:r>
      <w:r>
        <w:rPr>
          <w:rFonts w:ascii="宋体" w:hAnsi="宋体"/>
          <w:szCs w:val="21"/>
        </w:rPr>
        <w:t xml:space="preserve">作无效响应处理。</w:t>
      </w:r>
      <w:r/>
    </w:p>
    <w:p>
      <w:pPr>
        <w:spacing w:line="360" w:lineRule="auto"/>
        <w:shd w:val="clear" w:color="auto" w:fill="ffffff"/>
        <w:widowControl/>
        <w:rPr>
          <w:rFonts w:hint="eastAsia" w:ascii="宋体" w:hAnsi="宋体"/>
          <w:szCs w:val="21"/>
        </w:rPr>
      </w:pPr>
      <w:r>
        <w:rPr>
          <w:rFonts w:hint="eastAsia" w:ascii="宋体" w:hAnsi="宋体"/>
          <w:szCs w:val="21"/>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rPr>
        <w:t xml:space="preserve">四</w:t>
      </w:r>
      <w:r>
        <w:rPr>
          <w:rFonts w:hint="eastAsia" w:ascii="宋体" w:hAnsi="宋体" w:cs="宋体"/>
          <w:b/>
        </w:rPr>
        <w:t xml:space="preserve">、</w:t>
      </w:r>
      <w:r>
        <w:rPr>
          <w:rFonts w:hint="eastAsia" w:ascii="宋体" w:hAnsi="宋体" w:cs="宋体"/>
          <w:b/>
        </w:rPr>
        <w:t xml:space="preserve">承诺</w:t>
      </w:r>
      <w:r>
        <w:rPr>
          <w:rFonts w:hint="eastAsia" w:ascii="宋体" w:hAnsi="宋体" w:cs="宋体"/>
          <w:b/>
        </w:rPr>
        <w:t xml:space="preserve">书格式</w:t>
      </w:r>
      <w:r/>
    </w:p>
    <w:p>
      <w:pPr>
        <w:jc w:val="center"/>
        <w:spacing w:line="240" w:lineRule="atLeast"/>
        <w:rPr>
          <w:rFonts w:hint="eastAsia" w:ascii="宋体" w:hAnsi="宋体" w:cs="宋体"/>
          <w:sz w:val="28"/>
          <w:szCs w:val="36"/>
        </w:rPr>
      </w:pPr>
      <w:r>
        <w:rPr>
          <w:rFonts w:hint="eastAsia" w:ascii="宋体" w:hAnsi="宋体" w:cs="宋体"/>
          <w:sz w:val="28"/>
          <w:szCs w:val="36"/>
        </w:rPr>
        <w:t xml:space="preserve">（一）</w:t>
      </w:r>
      <w:r>
        <w:rPr>
          <w:rFonts w:hint="eastAsia" w:ascii="宋体" w:hAnsi="宋体" w:cs="宋体"/>
          <w:sz w:val="28"/>
          <w:szCs w:val="36"/>
        </w:rPr>
        <w:t xml:space="preserve">部分</w:t>
      </w:r>
      <w:r>
        <w:rPr>
          <w:rFonts w:hint="eastAsia" w:ascii="宋体" w:hAnsi="宋体" w:cs="宋体"/>
          <w:sz w:val="28"/>
          <w:szCs w:val="36"/>
        </w:rPr>
        <w:t xml:space="preserve">实质性条款承诺书</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江苏第二师范学院</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我单位（供应商名称）参加</w:t>
      </w:r>
      <w:r>
        <w:rPr>
          <w:rFonts w:ascii="宋体" w:hAnsi="宋体" w:cs="宋体"/>
        </w:rPr>
        <w:t xml:space="preserve">江苏第二师范学院两校区学生宿舍加装火灾自动报警系统</w:t>
      </w:r>
      <w:r>
        <w:rPr>
          <w:rFonts w:hint="eastAsia" w:ascii="宋体" w:hAnsi="宋体" w:cs="宋体"/>
        </w:rPr>
        <w:t xml:space="preserve">投标郑重承诺：</w:t>
      </w:r>
      <w:r/>
    </w:p>
    <w:p>
      <w:pPr>
        <w:ind w:firstLine="336"/>
        <w:spacing w:line="360" w:lineRule="auto"/>
        <w:rPr>
          <w:rFonts w:hint="eastAsia" w:ascii="宋体" w:hAnsi="宋体" w:cs="宋体"/>
        </w:rPr>
      </w:pPr>
      <w:r>
        <w:rPr>
          <w:rFonts w:ascii="宋体" w:hAnsi="宋体" w:cs="宋体"/>
        </w:rPr>
        <w:t xml:space="preserve">1.网关的无线信号必须能够覆盖全部接入的无线报警设备，确保每一台设备在其安装位置均能与网关建立稳定、可靠的双向通信。</w:t>
      </w:r>
      <w:r/>
    </w:p>
    <w:p>
      <w:pPr>
        <w:ind w:firstLine="336"/>
        <w:spacing w:line="360" w:lineRule="auto"/>
        <w:rPr>
          <w:rFonts w:hint="eastAsia" w:ascii="宋体" w:hAnsi="宋体" w:cs="宋体"/>
        </w:rPr>
      </w:pPr>
      <w:r>
        <w:rPr>
          <w:rFonts w:hint="eastAsia" w:ascii="宋体" w:hAnsi="宋体" w:cs="宋体"/>
        </w:rPr>
        <w:t xml:space="preserve">2</w:t>
      </w:r>
      <w:r>
        <w:rPr>
          <w:rFonts w:ascii="宋体" w:hAnsi="宋体" w:cs="宋体"/>
        </w:rPr>
        <w:t xml:space="preserve">.上述所有设备需兼容接入学校现有的消安防智慧管理平台，若无法兼容接入，可采用</w:t>
      </w:r>
      <w:r>
        <w:rPr>
          <w:rFonts w:ascii="宋体" w:hAnsi="宋体" w:cs="宋体"/>
        </w:rPr>
        <w:t xml:space="preserve">我司</w:t>
      </w:r>
      <w:r>
        <w:rPr>
          <w:rFonts w:ascii="宋体" w:hAnsi="宋体" w:cs="宋体"/>
        </w:rPr>
        <w:t xml:space="preserve">提供的能与我校现有消安防智慧管理平台相融合的第三方智慧管理平台，平台应具备良好的开放性与扩展性，支持用户及</w:t>
      </w:r>
      <w:r>
        <w:rPr>
          <w:rFonts w:ascii="宋体" w:hAnsi="宋体" w:cs="宋体"/>
        </w:rPr>
        <w:t xml:space="preserve">报警节点按学校需求进行扩展，不得通过技术限制影响学校后续系统扩容及全量业务数据调用；须遵守校方数据标准规范和设计要求，涉及从学校数据平台获取第三方系统数据的共享，须与学校签订数据使用保密协议；与本项目相关的业务模块全部源代码、二次开发API接口文档及数据对接协议文档、相关配置文件、数据库脚本等完整交付校方，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r/>
    </w:p>
    <w:p>
      <w:pPr>
        <w:ind w:firstLine="336"/>
        <w:spacing w:line="360" w:lineRule="auto"/>
        <w:rPr>
          <w:rFonts w:hint="eastAsia" w:ascii="宋体" w:hAnsi="宋体" w:cs="宋体"/>
        </w:rPr>
      </w:pPr>
      <w:r>
        <w:rPr>
          <w:rFonts w:hint="eastAsia" w:ascii="宋体" w:hAnsi="宋体" w:cs="宋体"/>
        </w:rPr>
        <w:t xml:space="preserve">3.</w:t>
      </w:r>
      <w:r>
        <w:rPr>
          <w:rFonts w:ascii="宋体" w:hAnsi="宋体" w:cs="宋体"/>
        </w:rPr>
        <w:t xml:space="preserve">平台正常运行所需的短信、语音通知、数据流量以及第三方插件服务，需在质保期内免费提供。</w:t>
      </w:r>
      <w:r/>
    </w:p>
    <w:p>
      <w:pPr>
        <w:ind w:firstLine="336"/>
        <w:spacing w:line="360" w:lineRule="auto"/>
        <w:rPr>
          <w:rFonts w:hint="eastAsia" w:ascii="宋体" w:hAnsi="宋体" w:cs="宋体"/>
        </w:rPr>
      </w:pPr>
      <w:r>
        <w:rPr>
          <w:rFonts w:hint="eastAsia" w:ascii="宋体" w:hAnsi="宋体" w:cs="宋体"/>
        </w:rPr>
        <w:t xml:space="preserve">4.</w:t>
      </w:r>
      <w:r>
        <w:rPr>
          <w:rFonts w:ascii="宋体" w:hAnsi="宋体" w:cs="宋体"/>
        </w:rPr>
        <w:t xml:space="preserve"> </w:t>
      </w:r>
      <w:r>
        <w:rPr>
          <w:rFonts w:ascii="宋体" w:hAnsi="宋体" w:cs="宋体"/>
        </w:rPr>
        <w:t xml:space="preserve">质量保证承诺及维修响应承诺，设备及软件系统</w:t>
      </w:r>
      <w:r>
        <w:rPr>
          <w:rFonts w:hint="eastAsia" w:ascii="宋体" w:hAnsi="宋体" w:cs="宋体"/>
          <w:u w:val="single"/>
        </w:rPr>
        <w:t xml:space="preserve">   </w:t>
      </w:r>
      <w:r>
        <w:rPr>
          <w:rFonts w:ascii="宋体" w:hAnsi="宋体" w:cs="宋体"/>
        </w:rPr>
        <w:t xml:space="preserve">年免费原厂质保及升级服务</w:t>
      </w:r>
      <w:r>
        <w:rPr>
          <w:rFonts w:hint="eastAsia" w:ascii="宋体" w:hAnsi="宋体" w:cs="宋体"/>
        </w:rPr>
        <w:t xml:space="preserve">。</w:t>
      </w:r>
      <w:r/>
    </w:p>
    <w:p>
      <w:pPr>
        <w:ind w:firstLine="336"/>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本项目实施过程中，因平台对接所产生的配套软件部署、开发工具采购与使用、接口开发与调试、跨系统联调测试、系统兼容性适配等所有相关衍生费用，均已包含在本次项目投标报价范围内，采购人无需另行支付任何额外费用，</w:t>
      </w:r>
      <w:r>
        <w:rPr>
          <w:rFonts w:ascii="宋体" w:hAnsi="宋体" w:cs="宋体"/>
        </w:rPr>
        <w:t xml:space="preserve">我司</w:t>
      </w:r>
      <w:r>
        <w:rPr>
          <w:rFonts w:hint="eastAsia" w:ascii="宋体" w:hAnsi="宋体" w:cs="宋体"/>
        </w:rPr>
        <w:t xml:space="preserve">不得提出任何追加费用的申请。</w:t>
      </w:r>
      <w:r/>
    </w:p>
    <w:p>
      <w:pPr>
        <w:ind w:firstLine="336"/>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质保期满前独立式光电感烟火灾探测报警器</w:t>
      </w:r>
      <w:r>
        <w:rPr>
          <w:rFonts w:ascii="宋体" w:hAnsi="宋体" w:cs="宋体"/>
        </w:rPr>
        <w:t xml:space="preserve">我司</w:t>
      </w:r>
      <w:r>
        <w:rPr>
          <w:rFonts w:hint="eastAsia" w:ascii="宋体" w:hAnsi="宋体" w:cs="宋体"/>
        </w:rPr>
        <w:t xml:space="preserve">须全部进行一次烟感锂锰电池更换，费用包含在本次投标报价中。（提供承诺函并加盖公章）。</w:t>
      </w:r>
      <w:r/>
    </w:p>
    <w:p>
      <w:pPr>
        <w:ind w:firstLine="336"/>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本项目消防设备的安装、调试、验收等环节，由具备消防设施工程专业承包贰级及以</w:t>
      </w:r>
      <w:r>
        <w:rPr>
          <w:rFonts w:hint="eastAsia" w:ascii="宋体" w:hAnsi="宋体" w:cs="宋体"/>
        </w:rPr>
        <w:t xml:space="preserve">上资质及有效的安全生产许可证的单位实施且现场技术人员至少一人持有安全员B证，并在合同签订前提供有效资质证书复印件向采购人备案。</w:t>
      </w:r>
      <w:r/>
    </w:p>
    <w:p>
      <w:pPr>
        <w:ind w:firstLine="315"/>
        <w:spacing w:line="360" w:lineRule="auto"/>
        <w:rPr>
          <w:rFonts w:hint="eastAsia" w:ascii="宋体" w:hAnsi="宋体" w:cs="宋体"/>
        </w:rPr>
      </w:pPr>
      <w:r>
        <w:rPr>
          <w:rFonts w:ascii="宋体" w:hAnsi="宋体" w:cs="宋体"/>
        </w:rPr>
        <w:t xml:space="preserve">…</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承诺人：</w:t>
      </w:r>
      <w:r>
        <w:rPr>
          <w:rFonts w:hint="eastAsia" w:ascii="宋体" w:hAnsi="宋体" w:cs="宋体"/>
          <w:szCs w:val="21"/>
        </w:rPr>
        <w:t xml:space="preserve">（加盖电子公章）</w:t>
      </w:r>
      <w:r/>
    </w:p>
    <w:p>
      <w:pPr>
        <w:ind w:firstLine="5040"/>
        <w:spacing w:line="360" w:lineRule="auto"/>
        <w:rPr>
          <w:rFonts w:hint="eastAsia" w:ascii="宋体" w:hAnsi="宋体" w:cs="宋体"/>
          <w:szCs w:val="21"/>
          <w:lang w:val="zh-CN"/>
        </w:rPr>
      </w:pPr>
      <w:r>
        <w:rPr>
          <w:rFonts w:hint="eastAsia" w:ascii="宋体" w:hAnsi="宋体" w:cs="宋体"/>
          <w:szCs w:val="21"/>
          <w:lang w:val="zh-CN"/>
        </w:rPr>
        <w:t xml:space="preserve">日期：年月</w:t>
      </w:r>
      <w:r/>
    </w:p>
    <w:p>
      <w:pPr>
        <w:ind w:firstLine="5040"/>
        <w:spacing w:line="360" w:lineRule="auto"/>
        <w:rPr>
          <w:rFonts w:hint="eastAsia" w:ascii="宋体" w:hAnsi="宋体" w:cs="宋体"/>
          <w:szCs w:val="21"/>
          <w:lang w:val="zh-CN"/>
        </w:rPr>
      </w:pPr>
      <w:r>
        <w:rPr>
          <w:rFonts w:hint="eastAsia" w:ascii="宋体" w:hAnsi="宋体" w:cs="宋体"/>
          <w:szCs w:val="21"/>
          <w:lang w:val="zh-CN"/>
        </w:rPr>
      </w:r>
      <w:r/>
    </w:p>
    <w:p>
      <w:pPr>
        <w:jc w:val="left"/>
        <w:widowControl/>
        <w:rPr>
          <w:rFonts w:hint="eastAsia" w:ascii="宋体" w:hAnsi="宋体" w:cs="宋体"/>
          <w:sz w:val="28"/>
          <w:szCs w:val="36"/>
        </w:rPr>
      </w:pPr>
      <w:r>
        <w:rPr>
          <w:rFonts w:hint="eastAsia" w:ascii="宋体" w:hAnsi="宋体" w:cs="宋体"/>
          <w:sz w:val="28"/>
          <w:szCs w:val="36"/>
        </w:rPr>
        <w:br w:type="page" w:clear="all"/>
      </w:r>
      <w:r/>
    </w:p>
    <w:p>
      <w:pPr>
        <w:jc w:val="center"/>
        <w:spacing w:line="240" w:lineRule="atLeast"/>
        <w:rPr>
          <w:rFonts w:hint="eastAsia" w:ascii="宋体" w:hAnsi="宋体" w:cs="宋体"/>
          <w:sz w:val="28"/>
          <w:szCs w:val="36"/>
        </w:rPr>
      </w:pPr>
      <w:r>
        <w:rPr>
          <w:rFonts w:hint="eastAsia" w:ascii="宋体" w:hAnsi="宋体" w:cs="宋体"/>
          <w:sz w:val="28"/>
          <w:szCs w:val="36"/>
        </w:rPr>
        <w:t xml:space="preserve">（二）其他条款承诺书</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江苏第二师范学院</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我单位（供应商名称）参加</w:t>
      </w:r>
      <w:r>
        <w:rPr>
          <w:rFonts w:ascii="宋体" w:hAnsi="宋体" w:cs="宋体"/>
        </w:rPr>
        <w:t xml:space="preserve">江苏第二师范学院两校区学生宿舍加装火灾自动报警系统</w:t>
      </w:r>
      <w:r>
        <w:rPr>
          <w:rFonts w:hint="eastAsia" w:ascii="宋体" w:hAnsi="宋体" w:cs="宋体"/>
        </w:rPr>
        <w:t xml:space="preserve">投标郑重承诺：</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1.质保期满前独立式光电感烟火灾探测报警器进行一次烟感锂锰电池更换，费用包含在本次投标报价中</w:t>
      </w:r>
      <w:r>
        <w:rPr>
          <w:rFonts w:hint="eastAsia" w:ascii="宋体" w:hAnsi="宋体" w:cs="宋体"/>
          <w:bCs/>
          <w:szCs w:val="21"/>
          <w:lang w:val="zh-CN"/>
        </w:rPr>
        <w:t xml:space="preserve">；</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w:t>
      </w:r>
      <w:r>
        <w:rPr>
          <w:rFonts w:hint="eastAsia" w:ascii="宋体" w:hAnsi="宋体" w:cs="宋体"/>
          <w:bCs/>
          <w:szCs w:val="21"/>
          <w:lang w:val="zh-CN"/>
        </w:rPr>
        <w:t xml:space="preserve">质量保证期过后，提供免费电话咨询服务，并应承诺提供产品上门维护服务。质量保证期过后，采购人需要继续由</w:t>
      </w:r>
      <w:r>
        <w:rPr>
          <w:rFonts w:hint="eastAsia" w:ascii="宋体" w:hAnsi="宋体" w:cs="宋体"/>
          <w:bCs/>
          <w:szCs w:val="21"/>
          <w:lang w:val="zh-CN"/>
        </w:rPr>
        <w:t xml:space="preserve">我司</w:t>
      </w:r>
      <w:r>
        <w:rPr>
          <w:rFonts w:hint="eastAsia" w:ascii="宋体" w:hAnsi="宋体" w:cs="宋体"/>
          <w:bCs/>
          <w:szCs w:val="21"/>
          <w:lang w:val="zh-CN"/>
        </w:rPr>
        <w:t xml:space="preserve">提供售后服务的，</w:t>
      </w:r>
      <w:r>
        <w:rPr>
          <w:rFonts w:ascii="宋体" w:hAnsi="宋体" w:cs="宋体"/>
          <w:bCs/>
          <w:szCs w:val="21"/>
          <w:lang w:val="zh-CN"/>
        </w:rPr>
        <w:t xml:space="preserve">我司</w:t>
      </w:r>
      <w:r>
        <w:rPr>
          <w:rFonts w:hint="eastAsia" w:ascii="宋体" w:hAnsi="宋体" w:cs="宋体"/>
          <w:bCs/>
          <w:szCs w:val="21"/>
          <w:lang w:val="zh-CN"/>
        </w:rPr>
        <w:t xml:space="preserve">以优惠价格提供售后服务。保修期外的维护保养，</w:t>
      </w:r>
      <w:r>
        <w:rPr>
          <w:rFonts w:ascii="宋体" w:hAnsi="宋体" w:cs="宋体"/>
          <w:bCs/>
          <w:szCs w:val="21"/>
          <w:lang w:val="zh-CN"/>
        </w:rPr>
        <w:t xml:space="preserve">我司</w:t>
      </w:r>
      <w:r>
        <w:rPr>
          <w:rFonts w:hint="eastAsia" w:ascii="宋体" w:hAnsi="宋体" w:cs="宋体"/>
          <w:bCs/>
          <w:szCs w:val="21"/>
          <w:lang w:val="zh-CN"/>
        </w:rPr>
        <w:t xml:space="preserve">承诺只收取成本费并提供终身免费技术支持服务。</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3</w:t>
      </w:r>
      <w:r>
        <w:rPr>
          <w:rFonts w:hint="eastAsia" w:ascii="宋体" w:hAnsi="宋体" w:cs="宋体"/>
          <w:bCs/>
          <w:szCs w:val="21"/>
          <w:lang w:val="zh-CN"/>
        </w:rPr>
        <w:t xml:space="preserve">.</w:t>
      </w:r>
      <w:r>
        <w:rPr>
          <w:rFonts w:hint="eastAsia" w:ascii="宋体" w:hAnsi="宋体" w:cs="宋体"/>
          <w:bCs/>
          <w:szCs w:val="21"/>
          <w:lang w:val="zh-CN"/>
        </w:rPr>
        <w:t xml:space="preserve">所有设备需兼容接入学校现有的消安防智慧管理平台；若无法兼容接入，可采用</w:t>
      </w:r>
      <w:r>
        <w:rPr>
          <w:rFonts w:ascii="宋体" w:hAnsi="宋体" w:cs="宋体"/>
          <w:bCs/>
          <w:szCs w:val="21"/>
          <w:lang w:val="zh-CN"/>
        </w:rPr>
        <w:t xml:space="preserve">我司</w:t>
      </w:r>
      <w:r>
        <w:rPr>
          <w:rFonts w:hint="eastAsia" w:ascii="宋体" w:hAnsi="宋体" w:cs="宋体"/>
          <w:bCs/>
          <w:szCs w:val="21"/>
          <w:lang w:val="zh-CN"/>
        </w:rPr>
        <w:t xml:space="preserve">提供的能与我校现有消安防智慧管理平台相融合的第三方智慧管理平台，该平台建成后，与本项目相关的业务模块全部源代码、二次开发API接口文档及数据对接协议文档、相关配置文件、数据库脚本等完整交付校方，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r/>
    </w:p>
    <w:p>
      <w:pPr>
        <w:spacing w:line="360" w:lineRule="auto"/>
        <w:rPr>
          <w:rFonts w:hint="eastAsia" w:ascii="宋体" w:hAnsi="宋体" w:cs="宋体"/>
          <w:b/>
          <w:szCs w:val="21"/>
          <w:lang w:val="zh-CN"/>
        </w:rPr>
      </w:pPr>
      <w:r>
        <w:rPr>
          <w:rFonts w:hint="eastAsia" w:ascii="宋体" w:hAnsi="宋体" w:cs="宋体"/>
          <w:b/>
          <w:szCs w:val="21"/>
          <w:lang w:val="zh-CN"/>
        </w:rPr>
      </w:r>
      <w:r/>
    </w:p>
    <w:p>
      <w:pPr>
        <w:ind w:firstLine="5060"/>
        <w:spacing w:line="360" w:lineRule="auto"/>
        <w:rPr>
          <w:rFonts w:hint="eastAsia" w:ascii="宋体" w:hAnsi="宋体" w:cs="宋体"/>
          <w:b/>
          <w:szCs w:val="21"/>
          <w:lang w:val="zh-CN"/>
        </w:rPr>
      </w:pPr>
      <w:r>
        <w:rPr>
          <w:rFonts w:hint="eastAsia" w:ascii="宋体" w:hAnsi="宋体" w:cs="宋体"/>
          <w:b/>
          <w:szCs w:val="21"/>
          <w:lang w:val="zh-CN"/>
        </w:rPr>
      </w:r>
      <w:r/>
    </w:p>
    <w:p>
      <w:pPr>
        <w:ind w:firstLine="5103"/>
        <w:spacing w:line="360" w:lineRule="auto"/>
        <w:rPr>
          <w:rFonts w:hint="eastAsia" w:ascii="宋体" w:hAnsi="宋体" w:cs="宋体"/>
        </w:rPr>
      </w:pPr>
      <w:r>
        <w:rPr>
          <w:rFonts w:hint="eastAsia" w:ascii="宋体" w:hAnsi="宋体" w:cs="宋体"/>
        </w:rPr>
        <w:t xml:space="preserve">承诺人：</w:t>
      </w:r>
      <w:r>
        <w:rPr>
          <w:rFonts w:hint="eastAsia" w:ascii="宋体" w:hAnsi="宋体" w:cs="宋体"/>
          <w:szCs w:val="21"/>
        </w:rPr>
        <w:t xml:space="preserve">（加盖电子公章）</w:t>
      </w:r>
      <w:r/>
    </w:p>
    <w:p>
      <w:pPr>
        <w:ind w:firstLine="5040"/>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cs="宋体"/>
          <w:szCs w:val="21"/>
          <w:lang w:val="zh-CN"/>
        </w:rPr>
        <w:t xml:space="preserve">年月</w:t>
      </w:r>
      <w:r/>
    </w:p>
    <w:p>
      <w:pPr>
        <w:ind w:firstLine="5060"/>
        <w:spacing w:line="360" w:lineRule="auto"/>
        <w:rPr>
          <w:rFonts w:hint="eastAsia" w:ascii="宋体" w:hAnsi="宋体" w:cs="宋体"/>
          <w:b/>
        </w:rPr>
      </w:pPr>
      <w:r>
        <w:rPr>
          <w:rFonts w:hint="eastAsia" w:ascii="宋体" w:hAnsi="宋体" w:cs="宋体"/>
          <w:b/>
          <w:szCs w:val="21"/>
        </w:rPr>
        <w:br w:type="page" w:clear="all"/>
      </w:r>
      <w:r/>
    </w:p>
    <w:p>
      <w:pPr>
        <w:spacing w:line="360" w:lineRule="auto"/>
        <w:rPr>
          <w:rFonts w:hint="eastAsia" w:ascii="宋体" w:hAnsi="宋体" w:cs="宋体"/>
          <w:b/>
        </w:rPr>
      </w:pPr>
      <w:r>
        <w:rPr>
          <w:rFonts w:hint="eastAsia" w:ascii="宋体" w:hAnsi="宋体" w:cs="宋体"/>
          <w:b/>
        </w:rPr>
        <w:t xml:space="preserve">附件十四、</w:t>
      </w:r>
      <w:r>
        <w:rPr>
          <w:rFonts w:hint="eastAsia" w:ascii="宋体" w:hAnsi="宋体" w:cs="宋体"/>
          <w:b/>
        </w:rPr>
        <w:t xml:space="preserve">投标人</w:t>
      </w:r>
      <w:r>
        <w:rPr>
          <w:rFonts w:hint="eastAsia" w:ascii="宋体" w:hAnsi="宋体" w:cs="宋体"/>
          <w:b/>
        </w:rPr>
        <w:t xml:space="preserve">需要提供的其他材料</w:t>
      </w:r>
      <w:r/>
    </w:p>
    <w:p>
      <w:pPr>
        <w:pStyle w:val="996"/>
        <w:rPr>
          <w:rFonts w:hint="eastAsia" w:ascii="宋体" w:hAnsi="宋体" w:cs="宋体"/>
          <w:b/>
        </w:rPr>
      </w:pPr>
      <w:r>
        <w:rPr>
          <w:rFonts w:hint="eastAsia" w:ascii="宋体" w:hAnsi="宋体" w:cs="宋体"/>
          <w:b/>
        </w:rPr>
      </w:r>
      <w:r/>
    </w:p>
    <w:p>
      <w:r/>
      <w:r/>
    </w:p>
    <w:sectPr>
      <w:headerReference w:type="default" r:id="rId9"/>
      <w:footerReference w:type="default" r:id="rId13"/>
      <w:footerReference w:type="first" r:id="rId14"/>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MS Mincho">
    <w:panose1 w:val="020206030504050903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29722450"/>
      <w:docPartObj>
        <w:docPartGallery w:val="Page Numbers (Bottom of Page)"/>
        <w:docPartUnique w:val="true"/>
      </w:docPartObj>
      <w:rPr/>
    </w:sdtPr>
    <w:sdtContent>
      <w:p>
        <w:pPr>
          <w:pStyle w:val="100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2665095</wp:posOffset>
              </wp:positionH>
              <wp:positionV relativeFrom="paragraph">
                <wp:posOffset>0</wp:posOffset>
              </wp:positionV>
              <wp:extent cx="174625" cy="1911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74928" cy="1908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09.8pt;mso-position-horizontal:absolute;mso-position-vertical-relative:text;margin-top:0.0pt;mso-position-vertical:absolute;width:13.8pt;height:15.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asciiTheme="minorEastAsia" w:hAnsiTheme="minorEastAsia" w:eastAsiaTheme="minorEastAsia" w:cstheme="minor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7"/>
      <w:isLgl w:val="false"/>
      <w:suff w:val="nothing"/>
      <w:lvlText w:val="第%1章"/>
      <w:lvlJc w:val="left"/>
      <w:pPr>
        <w:ind w:left="0" w:firstLine="0"/>
      </w:pPr>
    </w:lvl>
    <w:lvl w:ilvl="1">
      <w:start w:val="1"/>
      <w:numFmt w:val="none"/>
      <w:pStyle w:val="978"/>
      <w:isLgl w:val="false"/>
      <w:suff w:val="nothing"/>
      <w:lvlText w:val=""/>
      <w:lvlJc w:val="left"/>
      <w:pPr>
        <w:ind w:left="0" w:firstLine="0"/>
      </w:pPr>
    </w:lvl>
    <w:lvl w:ilvl="2">
      <w:start w:val="1"/>
      <w:numFmt w:val="none"/>
      <w:pStyle w:val="979"/>
      <w:isLgl w:val="false"/>
      <w:suff w:val="nothing"/>
      <w:lvlText w:val=""/>
      <w:lvlJc w:val="left"/>
      <w:pPr>
        <w:ind w:left="0" w:firstLine="0"/>
      </w:pPr>
    </w:lvl>
    <w:lvl w:ilvl="3">
      <w:start w:val="1"/>
      <w:numFmt w:val="none"/>
      <w:pStyle w:val="980"/>
      <w:isLgl w:val="false"/>
      <w:suff w:val="nothing"/>
      <w:lvlText w:val=""/>
      <w:lvlJc w:val="left"/>
      <w:pPr>
        <w:ind w:left="0" w:firstLine="0"/>
      </w:pPr>
    </w:lvl>
    <w:lvl w:ilvl="4">
      <w:start w:val="1"/>
      <w:numFmt w:val="none"/>
      <w:pStyle w:val="981"/>
      <w:isLgl w:val="false"/>
      <w:suff w:val="nothing"/>
      <w:lvlText w:val=""/>
      <w:lvlJc w:val="left"/>
      <w:pPr>
        <w:ind w:left="0" w:firstLine="0"/>
      </w:pPr>
    </w:lvl>
    <w:lvl w:ilvl="5">
      <w:start w:val="1"/>
      <w:numFmt w:val="none"/>
      <w:pStyle w:val="982"/>
      <w:isLgl w:val="false"/>
      <w:suff w:val="nothing"/>
      <w:lvlText w:val=""/>
      <w:lvlJc w:val="left"/>
      <w:pPr>
        <w:ind w:left="0" w:firstLine="0"/>
      </w:pPr>
    </w:lvl>
    <w:lvl w:ilvl="6">
      <w:start w:val="1"/>
      <w:numFmt w:val="none"/>
      <w:pStyle w:val="983"/>
      <w:isLgl w:val="false"/>
      <w:suff w:val="nothing"/>
      <w:lvlText w:val=""/>
      <w:lvlJc w:val="left"/>
      <w:pPr>
        <w:ind w:left="0" w:firstLine="0"/>
      </w:pPr>
    </w:lvl>
    <w:lvl w:ilvl="7">
      <w:start w:val="1"/>
      <w:numFmt w:val="none"/>
      <w:pStyle w:val="984"/>
      <w:isLgl w:val="false"/>
      <w:suff w:val="nothing"/>
      <w:lvlText w:val=""/>
      <w:lvlJc w:val="left"/>
      <w:pPr>
        <w:ind w:left="0" w:firstLine="0"/>
      </w:pPr>
    </w:lvl>
    <w:lvl w:ilvl="8">
      <w:start w:val="1"/>
      <w:numFmt w:val="none"/>
      <w:pStyle w:val="98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12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8"/>
      <w:isLgl/>
      <w:suff w:val="tab"/>
      <w:lvlText w:val="%1.%2"/>
      <w:lvlJc w:val="left"/>
      <w:pPr>
        <w:ind w:left="425" w:hanging="425"/>
      </w:pPr>
      <w:rPr>
        <w:rFonts w:hint="eastAsia" w:ascii="Arial Unicode MS" w:hAnsi="Arial Unicode MS" w:eastAsia="微软雅黑"/>
        <w:b/>
        <w:i w:val="0"/>
      </w:rPr>
    </w:lvl>
    <w:lvl w:ilvl="2">
      <w:start w:val="1"/>
      <w:numFmt w:val="decimal"/>
      <w:pStyle w:val="116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99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2"/>
  </w:num>
  <w:num w:numId="6">
    <w:abstractNumId w:val="0"/>
  </w:num>
  <w:num w:numId="7">
    <w:abstractNumId w:val="5"/>
  </w:num>
  <w:num w:numId="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86"/>
    <w:link w:val="977"/>
    <w:uiPriority w:val="9"/>
    <w:rPr>
      <w:rFonts w:ascii="Arial" w:hAnsi="Arial" w:eastAsia="Arial" w:cs="Arial"/>
      <w:sz w:val="40"/>
      <w:szCs w:val="40"/>
    </w:rPr>
  </w:style>
  <w:style w:type="character" w:styleId="825">
    <w:name w:val="Heading 2 Char"/>
    <w:basedOn w:val="986"/>
    <w:link w:val="978"/>
    <w:uiPriority w:val="9"/>
    <w:rPr>
      <w:rFonts w:ascii="Arial" w:hAnsi="Arial" w:eastAsia="Arial" w:cs="Arial"/>
      <w:sz w:val="34"/>
    </w:rPr>
  </w:style>
  <w:style w:type="character" w:styleId="826">
    <w:name w:val="Heading 3 Char"/>
    <w:basedOn w:val="986"/>
    <w:link w:val="979"/>
    <w:uiPriority w:val="9"/>
    <w:rPr>
      <w:rFonts w:ascii="Arial" w:hAnsi="Arial" w:eastAsia="Arial" w:cs="Arial"/>
      <w:sz w:val="30"/>
      <w:szCs w:val="30"/>
    </w:rPr>
  </w:style>
  <w:style w:type="character" w:styleId="827">
    <w:name w:val="Heading 4 Char"/>
    <w:basedOn w:val="986"/>
    <w:link w:val="980"/>
    <w:uiPriority w:val="9"/>
    <w:rPr>
      <w:rFonts w:ascii="Arial" w:hAnsi="Arial" w:eastAsia="Arial" w:cs="Arial"/>
      <w:b/>
      <w:bCs/>
      <w:sz w:val="26"/>
      <w:szCs w:val="26"/>
    </w:rPr>
  </w:style>
  <w:style w:type="character" w:styleId="828">
    <w:name w:val="Heading 5 Char"/>
    <w:basedOn w:val="986"/>
    <w:link w:val="981"/>
    <w:uiPriority w:val="9"/>
    <w:rPr>
      <w:rFonts w:ascii="Arial" w:hAnsi="Arial" w:eastAsia="Arial" w:cs="Arial"/>
      <w:b/>
      <w:bCs/>
      <w:sz w:val="24"/>
      <w:szCs w:val="24"/>
    </w:rPr>
  </w:style>
  <w:style w:type="character" w:styleId="829">
    <w:name w:val="Heading 6 Char"/>
    <w:basedOn w:val="986"/>
    <w:link w:val="982"/>
    <w:uiPriority w:val="9"/>
    <w:rPr>
      <w:rFonts w:ascii="Arial" w:hAnsi="Arial" w:eastAsia="Arial" w:cs="Arial"/>
      <w:b/>
      <w:bCs/>
      <w:sz w:val="22"/>
      <w:szCs w:val="22"/>
    </w:rPr>
  </w:style>
  <w:style w:type="character" w:styleId="830">
    <w:name w:val="Heading 7 Char"/>
    <w:basedOn w:val="986"/>
    <w:link w:val="983"/>
    <w:uiPriority w:val="9"/>
    <w:rPr>
      <w:rFonts w:ascii="Arial" w:hAnsi="Arial" w:eastAsia="Arial" w:cs="Arial"/>
      <w:b/>
      <w:bCs/>
      <w:i/>
      <w:iCs/>
      <w:sz w:val="22"/>
      <w:szCs w:val="22"/>
    </w:rPr>
  </w:style>
  <w:style w:type="character" w:styleId="831">
    <w:name w:val="Heading 8 Char"/>
    <w:basedOn w:val="986"/>
    <w:link w:val="984"/>
    <w:uiPriority w:val="9"/>
    <w:rPr>
      <w:rFonts w:ascii="Arial" w:hAnsi="Arial" w:eastAsia="Arial" w:cs="Arial"/>
      <w:i/>
      <w:iCs/>
      <w:sz w:val="22"/>
      <w:szCs w:val="22"/>
    </w:rPr>
  </w:style>
  <w:style w:type="character" w:styleId="832">
    <w:name w:val="Heading 9 Char"/>
    <w:basedOn w:val="986"/>
    <w:link w:val="985"/>
    <w:uiPriority w:val="9"/>
    <w:rPr>
      <w:rFonts w:ascii="Arial" w:hAnsi="Arial" w:eastAsia="Arial" w:cs="Arial"/>
      <w:i/>
      <w:iCs/>
      <w:sz w:val="21"/>
      <w:szCs w:val="21"/>
    </w:rPr>
  </w:style>
  <w:style w:type="paragraph" w:styleId="833">
    <w:name w:val="No Spacing"/>
    <w:uiPriority w:val="1"/>
    <w:qFormat/>
    <w:pPr>
      <w:spacing w:before="0" w:after="0" w:line="240" w:lineRule="auto"/>
    </w:pPr>
  </w:style>
  <w:style w:type="character" w:styleId="834">
    <w:name w:val="Title Char"/>
    <w:basedOn w:val="986"/>
    <w:link w:val="1020"/>
    <w:uiPriority w:val="10"/>
    <w:rPr>
      <w:sz w:val="48"/>
      <w:szCs w:val="48"/>
    </w:rPr>
  </w:style>
  <w:style w:type="character" w:styleId="835">
    <w:name w:val="Subtitle Char"/>
    <w:basedOn w:val="986"/>
    <w:link w:val="1013"/>
    <w:uiPriority w:val="11"/>
    <w:rPr>
      <w:sz w:val="24"/>
      <w:szCs w:val="24"/>
    </w:rPr>
  </w:style>
  <w:style w:type="paragraph" w:styleId="836">
    <w:name w:val="Quote"/>
    <w:basedOn w:val="976"/>
    <w:next w:val="976"/>
    <w:link w:val="837"/>
    <w:uiPriority w:val="29"/>
    <w:qFormat/>
    <w:pPr>
      <w:ind w:left="720" w:right="720"/>
    </w:pPr>
    <w:rPr>
      <w:i/>
    </w:rPr>
  </w:style>
  <w:style w:type="character" w:styleId="837">
    <w:name w:val="Quote Char"/>
    <w:link w:val="836"/>
    <w:uiPriority w:val="29"/>
    <w:rPr>
      <w:i/>
    </w:rPr>
  </w:style>
  <w:style w:type="paragraph" w:styleId="838">
    <w:name w:val="Intense Quote"/>
    <w:basedOn w:val="976"/>
    <w:next w:val="976"/>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character" w:styleId="840">
    <w:name w:val="Header Char"/>
    <w:basedOn w:val="986"/>
    <w:link w:val="1010"/>
    <w:uiPriority w:val="99"/>
  </w:style>
  <w:style w:type="character" w:styleId="841">
    <w:name w:val="Footer Char"/>
    <w:basedOn w:val="986"/>
    <w:link w:val="1008"/>
    <w:uiPriority w:val="99"/>
  </w:style>
  <w:style w:type="character" w:styleId="842">
    <w:name w:val="Caption Char"/>
    <w:basedOn w:val="994"/>
    <w:link w:val="1008"/>
    <w:uiPriority w:val="99"/>
  </w:style>
  <w:style w:type="table" w:styleId="843">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8">
    <w:name w:val="footnote text"/>
    <w:basedOn w:val="976"/>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basedOn w:val="986"/>
    <w:uiPriority w:val="99"/>
    <w:unhideWhenUsed/>
    <w:rPr>
      <w:vertAlign w:val="superscript"/>
    </w:rPr>
  </w:style>
  <w:style w:type="paragraph" w:styleId="971">
    <w:name w:val="endnote text"/>
    <w:basedOn w:val="976"/>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basedOn w:val="986"/>
    <w:uiPriority w:val="99"/>
    <w:semiHidden/>
    <w:unhideWhenUsed/>
    <w:rPr>
      <w:vertAlign w:val="superscript"/>
    </w:r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qFormat/>
    <w:pPr>
      <w:jc w:val="both"/>
      <w:widowControl w:val="off"/>
    </w:pPr>
    <w:rPr>
      <w:sz w:val="21"/>
      <w:szCs w:val="24"/>
    </w:rPr>
  </w:style>
  <w:style w:type="paragraph" w:styleId="977">
    <w:name w:val="Heading 1"/>
    <w:basedOn w:val="976"/>
    <w:next w:val="976"/>
    <w:link w:val="1115"/>
    <w:qFormat/>
    <w:pPr>
      <w:numPr>
        <w:numId w:val="1"/>
      </w:numPr>
      <w:jc w:val="center"/>
      <w:keepLines/>
      <w:keepNext/>
      <w:spacing w:before="340" w:after="330" w:line="578" w:lineRule="auto"/>
      <w:outlineLvl w:val="0"/>
    </w:pPr>
    <w:rPr>
      <w:b/>
      <w:bCs/>
      <w:sz w:val="32"/>
      <w:szCs w:val="44"/>
    </w:rPr>
  </w:style>
  <w:style w:type="paragraph" w:styleId="978">
    <w:name w:val="Heading 2"/>
    <w:basedOn w:val="976"/>
    <w:next w:val="976"/>
    <w:link w:val="1044"/>
    <w:qFormat/>
    <w:pPr>
      <w:numPr>
        <w:ilvl w:val="1"/>
        <w:numId w:val="1"/>
      </w:numPr>
      <w:keepLines/>
      <w:keepNext/>
      <w:spacing w:before="260" w:after="260" w:line="416" w:lineRule="auto"/>
      <w:outlineLvl w:val="1"/>
    </w:pPr>
    <w:rPr>
      <w:rFonts w:ascii="Cambria" w:hAnsi="Cambria"/>
      <w:b/>
      <w:bCs/>
      <w:sz w:val="32"/>
      <w:szCs w:val="32"/>
    </w:rPr>
  </w:style>
  <w:style w:type="paragraph" w:styleId="979">
    <w:name w:val="Heading 3"/>
    <w:basedOn w:val="976"/>
    <w:next w:val="976"/>
    <w:link w:val="1083"/>
    <w:qFormat/>
    <w:pPr>
      <w:numPr>
        <w:ilvl w:val="2"/>
        <w:numId w:val="1"/>
      </w:numPr>
      <w:keepLines/>
      <w:keepNext/>
      <w:spacing w:before="260" w:after="260" w:line="416" w:lineRule="auto"/>
      <w:outlineLvl w:val="2"/>
    </w:pPr>
    <w:rPr>
      <w:b/>
      <w:bCs/>
      <w:sz w:val="32"/>
      <w:szCs w:val="32"/>
    </w:rPr>
  </w:style>
  <w:style w:type="paragraph" w:styleId="980">
    <w:name w:val="Heading 4"/>
    <w:basedOn w:val="976"/>
    <w:next w:val="976"/>
    <w:link w:val="1121"/>
    <w:qFormat/>
    <w:pPr>
      <w:numPr>
        <w:ilvl w:val="3"/>
        <w:numId w:val="1"/>
      </w:numPr>
      <w:keepLines/>
      <w:keepNext/>
      <w:spacing w:before="280" w:after="290" w:line="376" w:lineRule="auto"/>
      <w:outlineLvl w:val="3"/>
    </w:pPr>
    <w:rPr>
      <w:rFonts w:ascii="Cambria" w:hAnsi="Cambria"/>
      <w:b/>
      <w:bCs/>
      <w:sz w:val="28"/>
      <w:szCs w:val="28"/>
    </w:rPr>
  </w:style>
  <w:style w:type="paragraph" w:styleId="981">
    <w:name w:val="Heading 5"/>
    <w:basedOn w:val="976"/>
    <w:next w:val="976"/>
    <w:link w:val="1073"/>
    <w:qFormat/>
    <w:pPr>
      <w:numPr>
        <w:ilvl w:val="4"/>
        <w:numId w:val="1"/>
      </w:numPr>
      <w:keepLines/>
      <w:keepNext/>
      <w:spacing w:before="280" w:after="290" w:line="376" w:lineRule="auto"/>
      <w:outlineLvl w:val="4"/>
    </w:pPr>
    <w:rPr>
      <w:b/>
      <w:bCs/>
      <w:sz w:val="28"/>
      <w:szCs w:val="28"/>
    </w:rPr>
  </w:style>
  <w:style w:type="paragraph" w:styleId="982">
    <w:name w:val="Heading 6"/>
    <w:basedOn w:val="976"/>
    <w:next w:val="976"/>
    <w:link w:val="1059"/>
    <w:qFormat/>
    <w:pPr>
      <w:numPr>
        <w:ilvl w:val="5"/>
        <w:numId w:val="1"/>
      </w:numPr>
      <w:keepLines/>
      <w:keepNext/>
      <w:spacing w:before="240" w:after="64" w:line="320" w:lineRule="auto"/>
      <w:outlineLvl w:val="5"/>
    </w:pPr>
    <w:rPr>
      <w:rFonts w:ascii="Cambria" w:hAnsi="Cambria"/>
      <w:b/>
      <w:bCs/>
      <w:sz w:val="24"/>
    </w:rPr>
  </w:style>
  <w:style w:type="paragraph" w:styleId="983">
    <w:name w:val="Heading 7"/>
    <w:basedOn w:val="976"/>
    <w:next w:val="976"/>
    <w:link w:val="1114"/>
    <w:qFormat/>
    <w:pPr>
      <w:numPr>
        <w:ilvl w:val="6"/>
        <w:numId w:val="1"/>
      </w:numPr>
      <w:keepLines/>
      <w:keepNext/>
      <w:spacing w:before="240" w:after="64" w:line="320" w:lineRule="auto"/>
      <w:outlineLvl w:val="6"/>
    </w:pPr>
    <w:rPr>
      <w:b/>
      <w:bCs/>
      <w:sz w:val="24"/>
    </w:rPr>
  </w:style>
  <w:style w:type="paragraph" w:styleId="984">
    <w:name w:val="Heading 8"/>
    <w:basedOn w:val="976"/>
    <w:next w:val="976"/>
    <w:link w:val="1099"/>
    <w:qFormat/>
    <w:pPr>
      <w:numPr>
        <w:ilvl w:val="7"/>
        <w:numId w:val="1"/>
      </w:numPr>
      <w:keepLines/>
      <w:keepNext/>
      <w:spacing w:before="240" w:after="64" w:line="320" w:lineRule="auto"/>
      <w:outlineLvl w:val="7"/>
    </w:pPr>
    <w:rPr>
      <w:rFonts w:ascii="Cambria" w:hAnsi="Cambria"/>
      <w:sz w:val="24"/>
    </w:rPr>
  </w:style>
  <w:style w:type="paragraph" w:styleId="985">
    <w:name w:val="Heading 9"/>
    <w:basedOn w:val="976"/>
    <w:next w:val="976"/>
    <w:link w:val="1077"/>
    <w:qFormat/>
    <w:pPr>
      <w:numPr>
        <w:ilvl w:val="8"/>
        <w:numId w:val="1"/>
      </w:numPr>
      <w:keepLines/>
      <w:keepNext/>
      <w:spacing w:before="240" w:after="64" w:line="320" w:lineRule="auto"/>
      <w:outlineLvl w:val="8"/>
    </w:pPr>
    <w:rPr>
      <w:rFonts w:ascii="Cambria" w:hAnsi="Cambria"/>
      <w:szCs w:val="21"/>
    </w:rPr>
  </w:style>
  <w:style w:type="character" w:styleId="986" w:default="1">
    <w:name w:val="Default Paragraph Font"/>
    <w:uiPriority w:val="1"/>
    <w:semiHidden/>
    <w:unhideWhenUsed/>
  </w:style>
  <w:style w:type="table" w:styleId="987" w:default="1">
    <w:name w:val="Normal Table"/>
    <w:uiPriority w:val="99"/>
    <w:semiHidden/>
    <w:unhideWhenUsed/>
    <w:tblPr>
      <w:tblInd w:w="0" w:type="dxa"/>
      <w:tblCellMar>
        <w:left w:w="108" w:type="dxa"/>
        <w:top w:w="0" w:type="dxa"/>
        <w:right w:w="108" w:type="dxa"/>
        <w:bottom w:w="0" w:type="dxa"/>
      </w:tblCellMar>
    </w:tblPr>
  </w:style>
  <w:style w:type="numbering" w:styleId="988" w:default="1">
    <w:name w:val="No List"/>
    <w:uiPriority w:val="99"/>
    <w:semiHidden/>
    <w:unhideWhenUsed/>
  </w:style>
  <w:style w:type="paragraph" w:styleId="989">
    <w:name w:val="List 3"/>
    <w:basedOn w:val="976"/>
    <w:uiPriority w:val="99"/>
    <w:unhideWhenUsed/>
    <w:qFormat/>
    <w:pPr>
      <w:ind w:left="1260" w:hanging="420"/>
      <w:spacing w:before="100" w:beforeAutospacing="1" w:after="100" w:afterAutospacing="1"/>
    </w:pPr>
    <w:rPr>
      <w:szCs w:val="21"/>
    </w:rPr>
  </w:style>
  <w:style w:type="paragraph" w:styleId="990">
    <w:name w:val="toc 7"/>
    <w:basedOn w:val="976"/>
    <w:next w:val="976"/>
    <w:uiPriority w:val="39"/>
    <w:unhideWhenUsed/>
    <w:qFormat/>
    <w:pPr>
      <w:ind w:left="2520"/>
    </w:pPr>
    <w:rPr>
      <w:rFonts w:ascii="Calibri" w:hAnsi="Calibri"/>
      <w:szCs w:val="22"/>
    </w:rPr>
  </w:style>
  <w:style w:type="paragraph" w:styleId="991">
    <w:name w:val="index 8"/>
    <w:basedOn w:val="976"/>
    <w:next w:val="976"/>
    <w:uiPriority w:val="99"/>
    <w:semiHidden/>
    <w:unhideWhenUsed/>
    <w:qFormat/>
    <w:pPr>
      <w:ind w:left="2940"/>
      <w:jc w:val="left"/>
    </w:pPr>
  </w:style>
  <w:style w:type="paragraph" w:styleId="992">
    <w:name w:val="List Number"/>
    <w:basedOn w:val="976"/>
    <w:qFormat/>
    <w:pPr>
      <w:numPr>
        <w:numId w:val="2"/>
      </w:numPr>
      <w:contextualSpacing/>
    </w:pPr>
    <w:rPr>
      <w:rFonts w:ascii="Calibri" w:hAnsi="Calibri"/>
    </w:rPr>
  </w:style>
  <w:style w:type="paragraph" w:styleId="993">
    <w:name w:val="Normal Indent"/>
    <w:basedOn w:val="976"/>
    <w:link w:val="1203"/>
    <w:qFormat/>
    <w:pPr>
      <w:ind w:firstLine="420"/>
    </w:pPr>
    <w:rPr>
      <w:b/>
      <w:sz w:val="24"/>
      <w:szCs w:val="20"/>
    </w:rPr>
  </w:style>
  <w:style w:type="paragraph" w:styleId="994">
    <w:name w:val="Caption"/>
    <w:basedOn w:val="976"/>
    <w:next w:val="976"/>
    <w:qFormat/>
    <w:rPr>
      <w:rFonts w:ascii="Cambria" w:hAnsi="Cambria" w:eastAsia="黑体"/>
      <w:sz w:val="20"/>
      <w:szCs w:val="22"/>
    </w:rPr>
  </w:style>
  <w:style w:type="paragraph" w:styleId="995">
    <w:name w:val="Document Map"/>
    <w:basedOn w:val="976"/>
    <w:link w:val="1067"/>
    <w:qFormat/>
    <w:rPr>
      <w:rFonts w:ascii="宋体"/>
      <w:sz w:val="18"/>
      <w:szCs w:val="18"/>
    </w:rPr>
  </w:style>
  <w:style w:type="paragraph" w:styleId="996">
    <w:name w:val="annotation text"/>
    <w:basedOn w:val="976"/>
    <w:link w:val="1091"/>
    <w:qFormat/>
    <w:pPr>
      <w:jc w:val="left"/>
    </w:pPr>
  </w:style>
  <w:style w:type="paragraph" w:styleId="997">
    <w:name w:val="Body Text 3"/>
    <w:basedOn w:val="976"/>
    <w:link w:val="1110"/>
    <w:qFormat/>
    <w:rPr>
      <w:rFonts w:ascii="宋体"/>
      <w:sz w:val="24"/>
      <w:szCs w:val="20"/>
    </w:rPr>
  </w:style>
  <w:style w:type="paragraph" w:styleId="998">
    <w:name w:val="Body Text"/>
    <w:basedOn w:val="976"/>
    <w:link w:val="1098"/>
    <w:qFormat/>
    <w:pPr>
      <w:jc w:val="center"/>
    </w:pPr>
    <w:rPr>
      <w:rFonts w:eastAsia="幼圆"/>
      <w:b/>
      <w:bCs/>
      <w:sz w:val="44"/>
    </w:rPr>
  </w:style>
  <w:style w:type="paragraph" w:styleId="999">
    <w:name w:val="Body Text Indent"/>
    <w:basedOn w:val="976"/>
    <w:next w:val="976"/>
    <w:link w:val="1054"/>
    <w:qFormat/>
    <w:pPr>
      <w:ind w:left="420"/>
      <w:spacing w:after="120"/>
    </w:pPr>
  </w:style>
  <w:style w:type="paragraph" w:styleId="1000">
    <w:name w:val="index 4"/>
    <w:basedOn w:val="976"/>
    <w:next w:val="976"/>
    <w:qFormat/>
    <w:pPr>
      <w:ind w:left="600"/>
    </w:pPr>
    <w:rPr>
      <w:rFonts w:ascii="Calibri" w:hAnsi="Calibri"/>
    </w:rPr>
  </w:style>
  <w:style w:type="paragraph" w:styleId="1001">
    <w:name w:val="toc 5"/>
    <w:basedOn w:val="976"/>
    <w:next w:val="976"/>
    <w:uiPriority w:val="39"/>
    <w:unhideWhenUsed/>
    <w:qFormat/>
    <w:pPr>
      <w:ind w:left="1680"/>
    </w:pPr>
    <w:rPr>
      <w:rFonts w:ascii="Calibri" w:hAnsi="Calibri"/>
      <w:szCs w:val="22"/>
    </w:rPr>
  </w:style>
  <w:style w:type="paragraph" w:styleId="1002">
    <w:name w:val="toc 3"/>
    <w:basedOn w:val="976"/>
    <w:next w:val="976"/>
    <w:uiPriority w:val="39"/>
    <w:qFormat/>
    <w:pPr>
      <w:ind w:left="840"/>
    </w:pPr>
    <w:rPr>
      <w:rFonts w:ascii="Calibri" w:hAnsi="Calibri"/>
      <w:szCs w:val="22"/>
    </w:rPr>
  </w:style>
  <w:style w:type="paragraph" w:styleId="1003">
    <w:name w:val="Plain Text"/>
    <w:basedOn w:val="976"/>
    <w:link w:val="1060"/>
    <w:qFormat/>
    <w:rPr>
      <w:rFonts w:ascii="Ari"/>
    </w:rPr>
  </w:style>
  <w:style w:type="paragraph" w:styleId="1004">
    <w:name w:val="toc 8"/>
    <w:basedOn w:val="976"/>
    <w:next w:val="976"/>
    <w:uiPriority w:val="39"/>
    <w:unhideWhenUsed/>
    <w:qFormat/>
    <w:pPr>
      <w:ind w:left="2940"/>
    </w:pPr>
    <w:rPr>
      <w:rFonts w:ascii="Calibri" w:hAnsi="Calibri"/>
      <w:szCs w:val="22"/>
    </w:rPr>
  </w:style>
  <w:style w:type="paragraph" w:styleId="1005">
    <w:name w:val="Date"/>
    <w:basedOn w:val="976"/>
    <w:next w:val="976"/>
    <w:link w:val="1068"/>
    <w:unhideWhenUsed/>
    <w:qFormat/>
  </w:style>
  <w:style w:type="paragraph" w:styleId="1006">
    <w:name w:val="Body Text Indent 2"/>
    <w:basedOn w:val="976"/>
    <w:link w:val="1090"/>
    <w:uiPriority w:val="99"/>
    <w:unhideWhenUsed/>
    <w:qFormat/>
    <w:pPr>
      <w:ind w:firstLine="525"/>
      <w:spacing w:line="420" w:lineRule="exact"/>
    </w:pPr>
    <w:rPr>
      <w:rFonts w:ascii="宋体"/>
      <w:sz w:val="20"/>
      <w:szCs w:val="20"/>
    </w:rPr>
  </w:style>
  <w:style w:type="paragraph" w:styleId="1007">
    <w:name w:val="Balloon Text"/>
    <w:basedOn w:val="976"/>
    <w:link w:val="1113"/>
    <w:qFormat/>
    <w:rPr>
      <w:sz w:val="18"/>
      <w:szCs w:val="18"/>
    </w:rPr>
  </w:style>
  <w:style w:type="paragraph" w:styleId="1008">
    <w:name w:val="Footer"/>
    <w:basedOn w:val="976"/>
    <w:next w:val="1009"/>
    <w:link w:val="1103"/>
    <w:uiPriority w:val="99"/>
    <w:qFormat/>
    <w:pPr>
      <w:jc w:val="left"/>
      <w:tabs>
        <w:tab w:val="center" w:pos="4153" w:leader="none"/>
        <w:tab w:val="right" w:pos="8306" w:leader="none"/>
      </w:tabs>
    </w:pPr>
    <w:rPr>
      <w:sz w:val="18"/>
      <w:szCs w:val="18"/>
    </w:rPr>
  </w:style>
  <w:style w:type="paragraph" w:styleId="1009">
    <w:name w:val="toc 2"/>
    <w:basedOn w:val="976"/>
    <w:next w:val="976"/>
    <w:uiPriority w:val="39"/>
    <w:qFormat/>
    <w:pPr>
      <w:ind w:left="420"/>
    </w:pPr>
    <w:rPr>
      <w:rFonts w:ascii="Calibri" w:hAnsi="Calibri"/>
      <w:szCs w:val="22"/>
    </w:rPr>
  </w:style>
  <w:style w:type="paragraph" w:styleId="1010">
    <w:name w:val="Header"/>
    <w:basedOn w:val="976"/>
    <w:link w:val="1058"/>
    <w:qFormat/>
    <w:pPr>
      <w:jc w:val="center"/>
      <w:tabs>
        <w:tab w:val="center" w:pos="4153" w:leader="none"/>
        <w:tab w:val="right" w:pos="8306" w:leader="none"/>
      </w:tabs>
      <w:pBdr>
        <w:bottom w:val="single" w:color="auto" w:sz="6" w:space="1"/>
      </w:pBdr>
    </w:pPr>
    <w:rPr>
      <w:sz w:val="18"/>
      <w:szCs w:val="18"/>
    </w:rPr>
  </w:style>
  <w:style w:type="paragraph" w:styleId="1011">
    <w:name w:val="toc 1"/>
    <w:basedOn w:val="976"/>
    <w:next w:val="976"/>
    <w:uiPriority w:val="39"/>
    <w:qFormat/>
  </w:style>
  <w:style w:type="paragraph" w:styleId="1012">
    <w:name w:val="toc 4"/>
    <w:basedOn w:val="976"/>
    <w:next w:val="976"/>
    <w:uiPriority w:val="39"/>
    <w:unhideWhenUsed/>
    <w:qFormat/>
    <w:pPr>
      <w:ind w:left="1260"/>
    </w:pPr>
    <w:rPr>
      <w:rFonts w:ascii="Calibri" w:hAnsi="Calibri"/>
      <w:szCs w:val="22"/>
    </w:rPr>
  </w:style>
  <w:style w:type="paragraph" w:styleId="1013">
    <w:name w:val="Subtitle"/>
    <w:basedOn w:val="976"/>
    <w:next w:val="976"/>
    <w:link w:val="1086"/>
    <w:qFormat/>
    <w:pPr>
      <w:jc w:val="center"/>
      <w:spacing w:before="240" w:after="60" w:line="312" w:lineRule="auto"/>
      <w:outlineLvl w:val="1"/>
    </w:pPr>
    <w:rPr>
      <w:rFonts w:ascii="Cambria" w:hAnsi="Cambria"/>
      <w:b/>
      <w:bCs/>
      <w:sz w:val="32"/>
      <w:szCs w:val="32"/>
    </w:rPr>
  </w:style>
  <w:style w:type="paragraph" w:styleId="1014">
    <w:name w:val="toc 6"/>
    <w:basedOn w:val="976"/>
    <w:next w:val="976"/>
    <w:uiPriority w:val="39"/>
    <w:unhideWhenUsed/>
    <w:qFormat/>
    <w:pPr>
      <w:ind w:left="2100"/>
    </w:pPr>
    <w:rPr>
      <w:rFonts w:ascii="Calibri" w:hAnsi="Calibri"/>
      <w:szCs w:val="22"/>
    </w:rPr>
  </w:style>
  <w:style w:type="paragraph" w:styleId="1015">
    <w:name w:val="Body Text Indent 3"/>
    <w:basedOn w:val="976"/>
    <w:link w:val="1111"/>
    <w:qFormat/>
    <w:pPr>
      <w:ind w:left="420"/>
      <w:spacing w:after="120"/>
    </w:pPr>
    <w:rPr>
      <w:sz w:val="16"/>
      <w:szCs w:val="20"/>
    </w:rPr>
  </w:style>
  <w:style w:type="paragraph" w:styleId="1016">
    <w:name w:val="toc 9"/>
    <w:basedOn w:val="976"/>
    <w:next w:val="976"/>
    <w:uiPriority w:val="39"/>
    <w:unhideWhenUsed/>
    <w:qFormat/>
    <w:pPr>
      <w:ind w:left="3360"/>
    </w:pPr>
    <w:rPr>
      <w:rFonts w:ascii="Calibri" w:hAnsi="Calibri"/>
      <w:szCs w:val="22"/>
    </w:rPr>
  </w:style>
  <w:style w:type="paragraph" w:styleId="1017">
    <w:name w:val="HTML Preformatted"/>
    <w:basedOn w:val="976"/>
    <w:link w:val="11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8">
    <w:name w:val="Normal (Web)"/>
    <w:basedOn w:val="976"/>
    <w:qFormat/>
    <w:pPr>
      <w:jc w:val="left"/>
      <w:spacing w:before="100" w:beforeAutospacing="1" w:after="100" w:afterAutospacing="1"/>
      <w:widowControl/>
    </w:pPr>
    <w:rPr>
      <w:rFonts w:ascii="宋体" w:hAnsi="宋体" w:cs="宋体"/>
      <w:sz w:val="24"/>
    </w:rPr>
  </w:style>
  <w:style w:type="paragraph" w:styleId="1019">
    <w:name w:val="index 1"/>
    <w:basedOn w:val="976"/>
    <w:next w:val="976"/>
    <w:qFormat/>
    <w:pPr>
      <w:jc w:val="center"/>
      <w:spacing w:line="220" w:lineRule="exact"/>
    </w:pPr>
    <w:rPr>
      <w:rFonts w:ascii="仿宋_GB2312" w:hAnsi="Calibri" w:eastAsia="仿宋_GB2312"/>
      <w:szCs w:val="22"/>
    </w:rPr>
  </w:style>
  <w:style w:type="paragraph" w:styleId="1020">
    <w:name w:val="Title"/>
    <w:basedOn w:val="976"/>
    <w:link w:val="1063"/>
    <w:qFormat/>
    <w:pPr>
      <w:jc w:val="center"/>
      <w:spacing w:before="240" w:after="60" w:line="420" w:lineRule="atLeast"/>
      <w:outlineLvl w:val="0"/>
    </w:pPr>
    <w:rPr>
      <w:rFonts w:ascii="Arial" w:hAnsi="Arial"/>
      <w:b/>
      <w:sz w:val="32"/>
      <w:szCs w:val="20"/>
    </w:rPr>
  </w:style>
  <w:style w:type="paragraph" w:styleId="1021">
    <w:name w:val="annotation subject"/>
    <w:basedOn w:val="996"/>
    <w:next w:val="996"/>
    <w:link w:val="1101"/>
    <w:qFormat/>
    <w:rPr>
      <w:b/>
      <w:bCs/>
    </w:rPr>
  </w:style>
  <w:style w:type="paragraph" w:styleId="1022">
    <w:name w:val="Body Text First Indent"/>
    <w:basedOn w:val="998"/>
    <w:qFormat/>
    <w:pPr>
      <w:ind w:right="-24" w:firstLine="425"/>
      <w:spacing w:line="360" w:lineRule="auto"/>
    </w:pPr>
    <w:rPr>
      <w:rFonts w:ascii="Arial" w:hAnsi="Arial" w:eastAsia="仿宋_GB2312" w:cs="Arial"/>
      <w:szCs w:val="32"/>
    </w:rPr>
  </w:style>
  <w:style w:type="paragraph" w:styleId="1023">
    <w:name w:val="Body Text First Indent 2"/>
    <w:basedOn w:val="999"/>
    <w:next w:val="1022"/>
    <w:uiPriority w:val="99"/>
    <w:semiHidden/>
    <w:unhideWhenUsed/>
    <w:qFormat/>
    <w:pPr>
      <w:ind w:firstLine="420"/>
    </w:pPr>
  </w:style>
  <w:style w:type="table" w:styleId="1024">
    <w:name w:val="Table Grid"/>
    <w:basedOn w:val="98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Strong"/>
    <w:basedOn w:val="986"/>
    <w:qFormat/>
    <w:rPr>
      <w:rFonts w:cs="Times New Roman"/>
      <w:b/>
    </w:rPr>
  </w:style>
  <w:style w:type="character" w:styleId="1026">
    <w:name w:val="page number"/>
    <w:qFormat/>
    <w:rPr>
      <w:rFonts w:eastAsia="宋体"/>
      <w:b/>
      <w:spacing w:val="0"/>
      <w:sz w:val="24"/>
      <w:szCs w:val="24"/>
      <w:vertAlign w:val="baseline"/>
      <w:lang w:val="en-US" w:eastAsia="zh-CN" w:bidi="ar-SA"/>
    </w:rPr>
  </w:style>
  <w:style w:type="character" w:styleId="1027">
    <w:name w:val="FollowedHyperlink"/>
    <w:qFormat/>
    <w:rPr>
      <w:color w:val="800080"/>
      <w:u w:val="single"/>
    </w:rPr>
  </w:style>
  <w:style w:type="character" w:styleId="1028">
    <w:name w:val="Emphasis"/>
    <w:qFormat/>
    <w:rPr>
      <w:color w:val="cc0000"/>
    </w:rPr>
  </w:style>
  <w:style w:type="character" w:styleId="1029">
    <w:name w:val="Hyperlink"/>
    <w:uiPriority w:val="99"/>
    <w:qFormat/>
    <w:rPr>
      <w:color w:val="0000ff"/>
      <w:u w:val="single"/>
    </w:rPr>
  </w:style>
  <w:style w:type="character" w:styleId="1030">
    <w:name w:val="annotation reference"/>
    <w:qFormat/>
    <w:rPr>
      <w:sz w:val="21"/>
      <w:szCs w:val="21"/>
    </w:rPr>
  </w:style>
  <w:style w:type="character" w:styleId="1031">
    <w:name w:val="HTML Cite"/>
    <w:qFormat/>
    <w:rPr>
      <w:color w:val="008000"/>
    </w:rPr>
  </w:style>
  <w:style w:type="paragraph" w:styleId="1032" w:customStyle="1">
    <w:name w:val="索引 41"/>
    <w:basedOn w:val="976"/>
    <w:next w:val="976"/>
    <w:semiHidden/>
    <w:qFormat/>
    <w:pPr>
      <w:ind w:left="1260"/>
    </w:pPr>
    <w:rPr>
      <w:rFonts w:ascii="Calibri" w:hAnsi="Calibri" w:eastAsia="Calibri" w:cs="宋体"/>
      <w:sz w:val="20"/>
      <w:lang w:val="zh-CN"/>
    </w:rPr>
  </w:style>
  <w:style w:type="paragraph" w:styleId="1033" w:customStyle="1">
    <w:name w:val="NormalIndent"/>
    <w:basedOn w:val="976"/>
    <w:qFormat/>
    <w:pPr>
      <w:ind w:firstLine="420"/>
    </w:pPr>
  </w:style>
  <w:style w:type="paragraph" w:styleId="1034" w:customStyle="1">
    <w:name w:val="Default"/>
    <w:qFormat/>
    <w:pPr>
      <w:widowControl w:val="off"/>
    </w:pPr>
    <w:rPr>
      <w:rFonts w:ascii="宋体" w:cs="宋体"/>
      <w:color w:val="000000"/>
      <w:sz w:val="24"/>
      <w:szCs w:val="24"/>
    </w:rPr>
  </w:style>
  <w:style w:type="paragraph" w:styleId="1035" w:customStyle="1">
    <w:name w:val="无间隔1"/>
    <w:qFormat/>
    <w:pPr>
      <w:jc w:val="both"/>
      <w:widowControl w:val="off"/>
    </w:pPr>
    <w:rPr>
      <w:rFonts w:ascii="Calibri" w:hAnsi="Calibri"/>
      <w:sz w:val="21"/>
      <w:szCs w:val="22"/>
    </w:rPr>
  </w:style>
  <w:style w:type="paragraph" w:styleId="1036" w:customStyle="1">
    <w:name w:val="Body Text First Indent 21"/>
    <w:basedOn w:val="1037"/>
    <w:qFormat/>
    <w:pPr>
      <w:ind w:firstLine="420"/>
    </w:pPr>
  </w:style>
  <w:style w:type="paragraph" w:styleId="1037" w:customStyle="1">
    <w:name w:val="Body Text Indent1"/>
    <w:basedOn w:val="976"/>
    <w:qFormat/>
    <w:pPr>
      <w:ind w:left="420"/>
    </w:pPr>
  </w:style>
  <w:style w:type="paragraph" w:styleId="1038">
    <w:name w:val="List Paragraph"/>
    <w:basedOn w:val="976"/>
    <w:next w:val="996"/>
    <w:link w:val="1220"/>
    <w:uiPriority w:val="99"/>
    <w:qFormat/>
    <w:pPr>
      <w:ind w:firstLine="420"/>
    </w:pPr>
  </w:style>
  <w:style w:type="character" w:styleId="1039" w:customStyle="1">
    <w:name w:val="明显强调1"/>
    <w:qFormat/>
    <w:rPr>
      <w:b/>
      <w:bCs/>
      <w:i/>
      <w:iCs/>
      <w:color w:val="4f81bd"/>
    </w:rPr>
  </w:style>
  <w:style w:type="character" w:styleId="1040" w:customStyle="1">
    <w:name w:val="批注文字 Char2"/>
    <w:qFormat/>
    <w:rPr>
      <w:sz w:val="21"/>
    </w:rPr>
  </w:style>
  <w:style w:type="character" w:styleId="1041" w:customStyle="1">
    <w:name w:val="标题 3 Char_0"/>
    <w:link w:val="1042"/>
    <w:qFormat/>
    <w:rPr>
      <w:b/>
      <w:bCs/>
      <w:sz w:val="32"/>
      <w:szCs w:val="32"/>
    </w:rPr>
  </w:style>
  <w:style w:type="paragraph" w:styleId="1042" w:customStyle="1">
    <w:name w:val="标题 3_0"/>
    <w:basedOn w:val="1043"/>
    <w:next w:val="1043"/>
    <w:link w:val="1041"/>
    <w:qFormat/>
    <w:pPr>
      <w:keepLines/>
      <w:keepNext/>
      <w:spacing w:before="260" w:after="260" w:line="416" w:lineRule="auto"/>
      <w:outlineLvl w:val="2"/>
    </w:pPr>
    <w:rPr>
      <w:b/>
      <w:bCs/>
      <w:sz w:val="32"/>
      <w:szCs w:val="32"/>
    </w:rPr>
  </w:style>
  <w:style w:type="paragraph" w:styleId="1043" w:customStyle="1">
    <w:name w:val="正文_0"/>
    <w:qFormat/>
    <w:pPr>
      <w:jc w:val="both"/>
      <w:widowControl w:val="off"/>
    </w:pPr>
    <w:rPr>
      <w:sz w:val="21"/>
      <w:szCs w:val="24"/>
    </w:rPr>
  </w:style>
  <w:style w:type="character" w:styleId="1044" w:customStyle="1">
    <w:name w:val="标题 2 字符"/>
    <w:link w:val="978"/>
    <w:qFormat/>
    <w:rPr>
      <w:rFonts w:ascii="Cambria" w:hAnsi="Cambria"/>
      <w:b/>
      <w:bCs/>
      <w:sz w:val="32"/>
      <w:szCs w:val="32"/>
    </w:rPr>
  </w:style>
  <w:style w:type="character" w:styleId="1045" w:customStyle="1">
    <w:name w:val="正文文本 Char2"/>
    <w:uiPriority w:val="99"/>
    <w:semiHidden/>
    <w:qFormat/>
    <w:rPr>
      <w:rFonts w:ascii="Calibri" w:hAnsi="Calibri" w:eastAsia="宋体" w:cs="Times New Roman"/>
    </w:rPr>
  </w:style>
  <w:style w:type="character" w:styleId="1046" w:customStyle="1">
    <w:name w:val="页脚 Char1"/>
    <w:uiPriority w:val="99"/>
    <w:semiHidden/>
    <w:qFormat/>
    <w:rPr>
      <w:rFonts w:ascii="Calibri" w:hAnsi="Calibri" w:eastAsia="宋体" w:cs="Times New Roman"/>
      <w:sz w:val="18"/>
      <w:szCs w:val="18"/>
    </w:rPr>
  </w:style>
  <w:style w:type="character" w:styleId="1047" w:customStyle="1">
    <w:name w:val="明显引用 Char2"/>
    <w:uiPriority w:val="99"/>
    <w:qFormat/>
    <w:rPr>
      <w:b/>
      <w:bCs/>
      <w:i/>
      <w:iCs/>
      <w:color w:val="4f81bd"/>
      <w:sz w:val="21"/>
      <w:szCs w:val="24"/>
    </w:rPr>
  </w:style>
  <w:style w:type="character" w:styleId="1048" w:customStyle="1">
    <w:name w:val="引用 Char"/>
    <w:link w:val="1049"/>
    <w:qFormat/>
    <w:rPr>
      <w:i/>
      <w:iCs/>
      <w:color w:val="000000"/>
    </w:rPr>
  </w:style>
  <w:style w:type="paragraph" w:styleId="1049" w:customStyle="1">
    <w:name w:val="引用1"/>
    <w:basedOn w:val="976"/>
    <w:next w:val="976"/>
    <w:link w:val="1048"/>
    <w:qFormat/>
    <w:rPr>
      <w:i/>
      <w:iCs/>
      <w:color w:val="000000"/>
      <w:sz w:val="20"/>
      <w:szCs w:val="20"/>
    </w:rPr>
  </w:style>
  <w:style w:type="character" w:styleId="1050" w:customStyle="1">
    <w:name w:val="标题 1 Char_0"/>
    <w:link w:val="1051"/>
    <w:qFormat/>
    <w:rPr>
      <w:b/>
      <w:bCs/>
      <w:sz w:val="44"/>
      <w:szCs w:val="44"/>
    </w:rPr>
  </w:style>
  <w:style w:type="paragraph" w:styleId="1051" w:customStyle="1">
    <w:name w:val="标题 1_0"/>
    <w:basedOn w:val="1043"/>
    <w:next w:val="1043"/>
    <w:link w:val="1050"/>
    <w:qFormat/>
    <w:pPr>
      <w:keepLines/>
      <w:keepNext/>
      <w:spacing w:before="340" w:after="330" w:line="578" w:lineRule="auto"/>
      <w:outlineLvl w:val="0"/>
    </w:pPr>
    <w:rPr>
      <w:b/>
      <w:bCs/>
      <w:sz w:val="44"/>
      <w:szCs w:val="44"/>
    </w:rPr>
  </w:style>
  <w:style w:type="character" w:styleId="1052" w:customStyle="1">
    <w:name w:val="正文文本缩进 3 Char1"/>
    <w:uiPriority w:val="99"/>
    <w:semiHidden/>
    <w:qFormat/>
    <w:rPr>
      <w:sz w:val="16"/>
      <w:szCs w:val="16"/>
    </w:rPr>
  </w:style>
  <w:style w:type="character" w:styleId="1053" w:customStyle="1">
    <w:name w:val="引用 Char1"/>
    <w:uiPriority w:val="29"/>
    <w:qFormat/>
    <w:rPr>
      <w:i/>
      <w:iCs/>
      <w:color w:val="000000"/>
      <w:sz w:val="21"/>
    </w:rPr>
  </w:style>
  <w:style w:type="character" w:styleId="1054" w:customStyle="1">
    <w:name w:val="正文文本缩进 字符"/>
    <w:link w:val="999"/>
    <w:qFormat/>
    <w:rPr>
      <w:sz w:val="21"/>
      <w:szCs w:val="24"/>
    </w:rPr>
  </w:style>
  <w:style w:type="character" w:styleId="1055" w:customStyle="1">
    <w:name w:val="font161"/>
    <w:qFormat/>
    <w:rPr>
      <w:b/>
      <w:sz w:val="32"/>
    </w:rPr>
  </w:style>
  <w:style w:type="character" w:styleId="1056" w:customStyle="1">
    <w:name w:val="标题 4 Char_0"/>
    <w:link w:val="1057"/>
    <w:qFormat/>
    <w:rPr>
      <w:rFonts w:ascii="Arial" w:hAnsi="Arial" w:eastAsia="黑体"/>
      <w:b/>
      <w:bCs/>
      <w:sz w:val="28"/>
      <w:szCs w:val="28"/>
    </w:rPr>
  </w:style>
  <w:style w:type="paragraph" w:styleId="1057" w:customStyle="1">
    <w:name w:val="标题 4_0"/>
    <w:basedOn w:val="1043"/>
    <w:next w:val="1043"/>
    <w:link w:val="1056"/>
    <w:qFormat/>
    <w:pPr>
      <w:keepLines/>
      <w:keepNext/>
      <w:spacing w:before="280" w:after="290" w:line="376" w:lineRule="auto"/>
      <w:outlineLvl w:val="3"/>
    </w:pPr>
    <w:rPr>
      <w:rFonts w:ascii="Arial" w:hAnsi="Arial" w:eastAsia="黑体"/>
      <w:b/>
      <w:bCs/>
      <w:sz w:val="28"/>
      <w:szCs w:val="28"/>
    </w:rPr>
  </w:style>
  <w:style w:type="character" w:styleId="1058" w:customStyle="1">
    <w:name w:val="页眉 字符"/>
    <w:link w:val="1010"/>
    <w:qFormat/>
    <w:rPr>
      <w:sz w:val="18"/>
      <w:szCs w:val="18"/>
    </w:rPr>
  </w:style>
  <w:style w:type="character" w:styleId="1059" w:customStyle="1">
    <w:name w:val="标题 6 字符"/>
    <w:link w:val="982"/>
    <w:qFormat/>
    <w:rPr>
      <w:rFonts w:ascii="Cambria" w:hAnsi="Cambria"/>
      <w:b/>
      <w:bCs/>
      <w:sz w:val="24"/>
      <w:szCs w:val="24"/>
    </w:rPr>
  </w:style>
  <w:style w:type="character" w:styleId="1060" w:customStyle="1">
    <w:name w:val="纯文本 字符"/>
    <w:link w:val="1003"/>
    <w:uiPriority w:val="99"/>
    <w:qFormat/>
    <w:rPr>
      <w:rFonts w:ascii="Ari"/>
      <w:lang w:val="en-US" w:eastAsia="zh-CN" w:bidi="ar-SA"/>
    </w:rPr>
  </w:style>
  <w:style w:type="character" w:styleId="1061" w:customStyle="1">
    <w:name w:val="引用 Char2"/>
    <w:uiPriority w:val="99"/>
    <w:qFormat/>
    <w:rPr>
      <w:i/>
      <w:iCs/>
      <w:color w:val="000000"/>
      <w:sz w:val="21"/>
      <w:szCs w:val="24"/>
    </w:rPr>
  </w:style>
  <w:style w:type="character" w:styleId="1062" w:customStyle="1">
    <w:name w:val="rvts11"/>
    <w:qFormat/>
    <w:rPr>
      <w:rFonts w:hint="default" w:ascii="KNLe" w:hAnsi="KNLe"/>
      <w:sz w:val="24"/>
      <w:szCs w:val="24"/>
      <w:u w:val="single"/>
    </w:rPr>
  </w:style>
  <w:style w:type="character" w:styleId="1063" w:customStyle="1">
    <w:name w:val="标题 字符"/>
    <w:link w:val="1020"/>
    <w:qFormat/>
    <w:rPr>
      <w:rFonts w:ascii="Arial" w:hAnsi="Arial"/>
      <w:b/>
      <w:sz w:val="32"/>
    </w:rPr>
  </w:style>
  <w:style w:type="character" w:styleId="1064" w:customStyle="1">
    <w:name w:val="标题5 Char Char"/>
    <w:link w:val="1065"/>
    <w:qFormat/>
    <w:rPr>
      <w:rFonts w:ascii="Arial" w:hAnsi="Arial"/>
      <w:b/>
      <w:bCs/>
      <w:sz w:val="24"/>
      <w:szCs w:val="32"/>
    </w:rPr>
  </w:style>
  <w:style w:type="paragraph" w:styleId="1065" w:customStyle="1">
    <w:name w:val="标题5"/>
    <w:basedOn w:val="979"/>
    <w:link w:val="1064"/>
    <w:qFormat/>
    <w:pPr>
      <w:numPr>
        <w:ilvl w:val="0"/>
        <w:numId w:val="0"/>
      </w:numPr>
      <w:spacing w:line="413" w:lineRule="auto"/>
    </w:pPr>
    <w:rPr>
      <w:rFonts w:ascii="Arial" w:hAnsi="Arial"/>
      <w:sz w:val="24"/>
    </w:rPr>
  </w:style>
  <w:style w:type="character" w:styleId="1066" w:customStyle="1">
    <w:name w:val="副标题 Char2"/>
    <w:uiPriority w:val="11"/>
    <w:qFormat/>
    <w:rPr>
      <w:rFonts w:ascii="Cambria" w:hAnsi="Cambria" w:cs="Times New Roman"/>
      <w:b/>
      <w:bCs/>
      <w:sz w:val="32"/>
      <w:szCs w:val="32"/>
    </w:rPr>
  </w:style>
  <w:style w:type="character" w:styleId="1067" w:customStyle="1">
    <w:name w:val="文档结构图 字符"/>
    <w:link w:val="995"/>
    <w:qFormat/>
    <w:rPr>
      <w:rFonts w:ascii="宋体"/>
      <w:sz w:val="18"/>
      <w:szCs w:val="18"/>
    </w:rPr>
  </w:style>
  <w:style w:type="character" w:styleId="1068" w:customStyle="1">
    <w:name w:val="日期 字符"/>
    <w:link w:val="1005"/>
    <w:qFormat/>
    <w:rPr>
      <w:sz w:val="21"/>
      <w:szCs w:val="24"/>
    </w:rPr>
  </w:style>
  <w:style w:type="character" w:styleId="1069" w:customStyle="1">
    <w:name w:val="批注主题 Char1"/>
    <w:qFormat/>
    <w:rPr>
      <w:b/>
      <w:bCs/>
      <w:sz w:val="21"/>
      <w:szCs w:val="22"/>
    </w:rPr>
  </w:style>
  <w:style w:type="character" w:styleId="1070" w:customStyle="1">
    <w:name w:val="font31"/>
    <w:qFormat/>
    <w:rPr>
      <w:rFonts w:hint="eastAsia" w:ascii="宋体" w:hAnsi="宋体" w:eastAsia="宋体" w:cs="宋体"/>
      <w:color w:val="000000"/>
      <w:sz w:val="20"/>
      <w:szCs w:val="20"/>
      <w:u w:val="none"/>
    </w:rPr>
  </w:style>
  <w:style w:type="character" w:styleId="1071" w:customStyle="1">
    <w:name w:val="明显引用 Char"/>
    <w:link w:val="1072"/>
    <w:qFormat/>
    <w:rPr>
      <w:b/>
      <w:bCs/>
      <w:i/>
      <w:iCs/>
      <w:color w:val="4f81bd"/>
    </w:rPr>
  </w:style>
  <w:style w:type="paragraph" w:styleId="1072" w:customStyle="1">
    <w:name w:val="明显引用1"/>
    <w:basedOn w:val="976"/>
    <w:next w:val="976"/>
    <w:link w:val="1071"/>
    <w:qFormat/>
    <w:pPr>
      <w:ind w:left="936" w:right="936"/>
      <w:spacing w:before="200" w:after="280"/>
      <w:pBdr>
        <w:bottom w:val="single" w:color="4F81BD" w:sz="4" w:space="4"/>
      </w:pBdr>
    </w:pPr>
    <w:rPr>
      <w:b/>
      <w:bCs/>
      <w:i/>
      <w:iCs/>
      <w:color w:val="4f81bd"/>
      <w:sz w:val="20"/>
      <w:szCs w:val="20"/>
    </w:rPr>
  </w:style>
  <w:style w:type="character" w:styleId="1073" w:customStyle="1">
    <w:name w:val="标题 5 字符"/>
    <w:link w:val="981"/>
    <w:qFormat/>
    <w:rPr>
      <w:b/>
      <w:bCs/>
      <w:sz w:val="28"/>
      <w:szCs w:val="28"/>
    </w:rPr>
  </w:style>
  <w:style w:type="character" w:styleId="1074" w:customStyle="1">
    <w:name w:val="日期 Char1"/>
    <w:qFormat/>
    <w:rPr>
      <w:rFonts w:ascii="Calibri" w:hAnsi="Calibri" w:eastAsia="宋体" w:cs="Times New Roman"/>
    </w:rPr>
  </w:style>
  <w:style w:type="character" w:styleId="1075" w:customStyle="1">
    <w:name w:val="批注框文本 Char1"/>
    <w:qFormat/>
    <w:rPr>
      <w:sz w:val="18"/>
      <w:szCs w:val="18"/>
    </w:rPr>
  </w:style>
  <w:style w:type="character" w:styleId="1076" w:customStyle="1">
    <w:name w:val="标题 Char1"/>
    <w:uiPriority w:val="10"/>
    <w:qFormat/>
    <w:rPr>
      <w:rFonts w:ascii="Cambria" w:hAnsi="Cambria" w:eastAsia="宋体" w:cs="Times New Roman"/>
      <w:b/>
      <w:bCs/>
      <w:sz w:val="32"/>
      <w:szCs w:val="32"/>
    </w:rPr>
  </w:style>
  <w:style w:type="character" w:styleId="1077" w:customStyle="1">
    <w:name w:val="标题 9 字符"/>
    <w:link w:val="985"/>
    <w:qFormat/>
    <w:rPr>
      <w:rFonts w:ascii="Cambria" w:hAnsi="Cambria"/>
      <w:sz w:val="21"/>
      <w:szCs w:val="21"/>
    </w:rPr>
  </w:style>
  <w:style w:type="character" w:styleId="1078" w:customStyle="1">
    <w:name w:val="不明显参考1"/>
    <w:qFormat/>
    <w:rPr>
      <w:smallCaps/>
      <w:color w:val="c0504d"/>
      <w:u w:val="single"/>
    </w:rPr>
  </w:style>
  <w:style w:type="character" w:styleId="1079" w:customStyle="1">
    <w:name w:val="批注文字 Char1"/>
    <w:qFormat/>
    <w:rPr>
      <w:rFonts w:ascii="Calibri" w:hAnsi="Calibri" w:eastAsia="宋体" w:cs="Times New Roman"/>
    </w:rPr>
  </w:style>
  <w:style w:type="character" w:styleId="1080" w:customStyle="1">
    <w:name w:val="标题 Char2"/>
    <w:uiPriority w:val="10"/>
    <w:qFormat/>
    <w:rPr>
      <w:rFonts w:ascii="Cambria" w:hAnsi="Cambria" w:cs="Times New Roman"/>
      <w:b/>
      <w:bCs/>
      <w:sz w:val="32"/>
      <w:szCs w:val="32"/>
    </w:rPr>
  </w:style>
  <w:style w:type="character" w:styleId="1081" w:customStyle="1">
    <w:name w:val="正文文本 3 Char1"/>
    <w:uiPriority w:val="99"/>
    <w:semiHidden/>
    <w:qFormat/>
    <w:rPr>
      <w:sz w:val="16"/>
      <w:szCs w:val="16"/>
    </w:rPr>
  </w:style>
  <w:style w:type="character" w:styleId="1082" w:customStyle="1">
    <w:name w:val="批注主题 Char2"/>
    <w:qFormat/>
    <w:rPr>
      <w:b/>
      <w:bCs/>
      <w:sz w:val="21"/>
    </w:rPr>
  </w:style>
  <w:style w:type="character" w:styleId="1083" w:customStyle="1">
    <w:name w:val="标题 3 字符"/>
    <w:link w:val="979"/>
    <w:qFormat/>
    <w:rPr>
      <w:b/>
      <w:bCs/>
      <w:sz w:val="32"/>
      <w:szCs w:val="32"/>
    </w:rPr>
  </w:style>
  <w:style w:type="character" w:styleId="1084" w:customStyle="1">
    <w:name w:val="正文文本 Char_0"/>
    <w:link w:val="1085"/>
    <w:qFormat/>
    <w:rPr>
      <w:szCs w:val="24"/>
    </w:rPr>
  </w:style>
  <w:style w:type="paragraph" w:styleId="1085" w:customStyle="1">
    <w:name w:val="正文文本_0"/>
    <w:basedOn w:val="1043"/>
    <w:link w:val="1084"/>
    <w:qFormat/>
    <w:pPr>
      <w:spacing w:after="120"/>
    </w:pPr>
    <w:rPr>
      <w:sz w:val="20"/>
    </w:rPr>
  </w:style>
  <w:style w:type="character" w:styleId="1086" w:customStyle="1">
    <w:name w:val="副标题 字符"/>
    <w:link w:val="1013"/>
    <w:qFormat/>
    <w:rPr>
      <w:rFonts w:ascii="Cambria" w:hAnsi="Cambria"/>
      <w:b/>
      <w:bCs/>
      <w:sz w:val="32"/>
      <w:szCs w:val="32"/>
    </w:rPr>
  </w:style>
  <w:style w:type="character" w:styleId="1087" w:customStyle="1">
    <w:name w:val="bookmark"/>
    <w:basedOn w:val="986"/>
    <w:qFormat/>
  </w:style>
  <w:style w:type="character" w:styleId="1088" w:customStyle="1">
    <w:name w:val="标题 5 Char_0"/>
    <w:link w:val="1089"/>
    <w:qFormat/>
    <w:rPr>
      <w:rFonts w:ascii="Calibri" w:hAnsi="Calibri"/>
      <w:b/>
      <w:bCs/>
      <w:sz w:val="28"/>
      <w:szCs w:val="28"/>
    </w:rPr>
  </w:style>
  <w:style w:type="paragraph" w:styleId="1089" w:customStyle="1">
    <w:name w:val="标题 5_0"/>
    <w:basedOn w:val="1043"/>
    <w:next w:val="1043"/>
    <w:link w:val="1088"/>
    <w:qFormat/>
    <w:pPr>
      <w:keepLines/>
      <w:keepNext/>
      <w:spacing w:before="280" w:after="290" w:line="372" w:lineRule="auto"/>
      <w:outlineLvl w:val="4"/>
    </w:pPr>
    <w:rPr>
      <w:rFonts w:ascii="Calibri" w:hAnsi="Calibri"/>
      <w:b/>
      <w:bCs/>
      <w:sz w:val="28"/>
      <w:szCs w:val="28"/>
    </w:rPr>
  </w:style>
  <w:style w:type="character" w:styleId="1090" w:customStyle="1">
    <w:name w:val="正文文本缩进 2 字符"/>
    <w:link w:val="1006"/>
    <w:uiPriority w:val="99"/>
    <w:qFormat/>
    <w:rPr>
      <w:rFonts w:ascii="宋体"/>
    </w:rPr>
  </w:style>
  <w:style w:type="character" w:styleId="1091" w:customStyle="1">
    <w:name w:val="批注文字 字符"/>
    <w:link w:val="996"/>
    <w:qFormat/>
    <w:rPr>
      <w:sz w:val="21"/>
      <w:szCs w:val="24"/>
    </w:rPr>
  </w:style>
  <w:style w:type="character" w:styleId="1092" w:customStyle="1">
    <w:name w:val="font11"/>
    <w:qFormat/>
    <w:rPr>
      <w:rFonts w:hint="eastAsia" w:ascii="宋体" w:hAnsi="宋体" w:eastAsia="宋体" w:cs="宋体"/>
      <w:color w:val="000000"/>
      <w:sz w:val="20"/>
      <w:szCs w:val="20"/>
      <w:u w:val="none"/>
    </w:rPr>
  </w:style>
  <w:style w:type="character" w:styleId="1093" w:customStyle="1">
    <w:name w:val="明显参考1"/>
    <w:qFormat/>
    <w:rPr>
      <w:b/>
      <w:bCs/>
      <w:smallCaps/>
      <w:color w:val="c0504d"/>
      <w:spacing w:val="5"/>
      <w:u w:val="single"/>
    </w:rPr>
  </w:style>
  <w:style w:type="character" w:styleId="1094" w:customStyle="1">
    <w:name w:val="超链接_0"/>
    <w:uiPriority w:val="99"/>
    <w:qFormat/>
    <w:rPr>
      <w:rFonts w:ascii="Calibri" w:hAnsi="Calibri"/>
      <w:color w:val="0000ff"/>
      <w:u w:val="single"/>
    </w:rPr>
  </w:style>
  <w:style w:type="character" w:styleId="1095" w:customStyle="1">
    <w:name w:val="文档结构图 Char2"/>
    <w:uiPriority w:val="99"/>
    <w:semiHidden/>
    <w:qFormat/>
    <w:rPr>
      <w:rFonts w:ascii="宋体" w:hAnsi="Calibri" w:eastAsia="宋体" w:cs="Times New Roman"/>
      <w:sz w:val="18"/>
      <w:szCs w:val="18"/>
    </w:rPr>
  </w:style>
  <w:style w:type="character" w:styleId="1096" w:customStyle="1">
    <w:name w:val="textcontents"/>
    <w:qFormat/>
    <w:rPr>
      <w:rFonts w:cs="Times New Roman"/>
    </w:rPr>
  </w:style>
  <w:style w:type="character" w:styleId="1097" w:customStyle="1">
    <w:name w:val="标题 1 Char"/>
    <w:qFormat/>
    <w:rPr>
      <w:b/>
      <w:bCs/>
      <w:sz w:val="32"/>
      <w:szCs w:val="44"/>
    </w:rPr>
  </w:style>
  <w:style w:type="character" w:styleId="1098" w:customStyle="1">
    <w:name w:val="正文文本 字符"/>
    <w:link w:val="998"/>
    <w:qFormat/>
    <w:rPr>
      <w:rFonts w:eastAsia="幼圆"/>
      <w:b/>
      <w:bCs/>
      <w:sz w:val="44"/>
      <w:szCs w:val="24"/>
    </w:rPr>
  </w:style>
  <w:style w:type="character" w:styleId="1099" w:customStyle="1">
    <w:name w:val="标题 8 字符"/>
    <w:link w:val="984"/>
    <w:qFormat/>
    <w:rPr>
      <w:rFonts w:ascii="Cambria" w:hAnsi="Cambria"/>
      <w:sz w:val="24"/>
      <w:szCs w:val="24"/>
    </w:rPr>
  </w:style>
  <w:style w:type="character" w:styleId="1100" w:customStyle="1">
    <w:name w:val="副标题 Char1"/>
    <w:uiPriority w:val="11"/>
    <w:qFormat/>
    <w:rPr>
      <w:rFonts w:ascii="Cambria" w:hAnsi="Cambria" w:cs="Times New Roman"/>
      <w:b/>
      <w:bCs/>
      <w:sz w:val="32"/>
      <w:szCs w:val="32"/>
    </w:rPr>
  </w:style>
  <w:style w:type="character" w:styleId="1101" w:customStyle="1">
    <w:name w:val="批注主题 字符"/>
    <w:link w:val="1021"/>
    <w:qFormat/>
    <w:rPr>
      <w:b/>
      <w:bCs/>
      <w:sz w:val="21"/>
      <w:szCs w:val="24"/>
    </w:rPr>
  </w:style>
  <w:style w:type="character" w:styleId="1102" w:customStyle="1">
    <w:name w:val="书籍标题1"/>
    <w:qFormat/>
    <w:rPr>
      <w:b/>
      <w:bCs/>
      <w:smallCaps/>
      <w:spacing w:val="5"/>
    </w:rPr>
  </w:style>
  <w:style w:type="character" w:styleId="1103" w:customStyle="1">
    <w:name w:val="页脚 字符"/>
    <w:link w:val="1008"/>
    <w:uiPriority w:val="99"/>
    <w:qFormat/>
    <w:rPr>
      <w:sz w:val="18"/>
      <w:szCs w:val="18"/>
    </w:rPr>
  </w:style>
  <w:style w:type="character" w:styleId="1104" w:customStyle="1">
    <w:name w:val="标题4 Char Char"/>
    <w:link w:val="1105"/>
    <w:qFormat/>
    <w:rPr>
      <w:rFonts w:ascii="Arial" w:hAnsi="Arial"/>
      <w:b/>
      <w:bCs/>
      <w:sz w:val="24"/>
      <w:szCs w:val="32"/>
    </w:rPr>
  </w:style>
  <w:style w:type="paragraph" w:styleId="1105" w:customStyle="1">
    <w:name w:val="标题4"/>
    <w:basedOn w:val="978"/>
    <w:next w:val="1000"/>
    <w:link w:val="1104"/>
    <w:qFormat/>
    <w:pPr>
      <w:numPr>
        <w:ilvl w:val="0"/>
        <w:numId w:val="0"/>
      </w:numPr>
      <w:spacing w:line="413" w:lineRule="auto"/>
    </w:pPr>
    <w:rPr>
      <w:rFonts w:ascii="Arial" w:hAnsi="Arial"/>
      <w:sz w:val="24"/>
    </w:rPr>
  </w:style>
  <w:style w:type="character" w:styleId="1106" w:customStyle="1">
    <w:name w:val="正文文本 Char1"/>
    <w:qFormat/>
    <w:rPr>
      <w:rFonts w:ascii="Calibri" w:hAnsi="Calibri" w:eastAsia="宋体" w:cs="Times New Roman"/>
    </w:rPr>
  </w:style>
  <w:style w:type="character" w:styleId="1107" w:customStyle="1">
    <w:name w:val="明显引用 Char1"/>
    <w:uiPriority w:val="30"/>
    <w:qFormat/>
    <w:rPr>
      <w:b/>
      <w:bCs/>
      <w:i/>
      <w:iCs/>
      <w:color w:val="4f81bd"/>
      <w:sz w:val="21"/>
    </w:rPr>
  </w:style>
  <w:style w:type="character" w:styleId="1108" w:customStyle="1">
    <w:name w:val="页眉 Char1"/>
    <w:uiPriority w:val="99"/>
    <w:semiHidden/>
    <w:qFormat/>
    <w:rPr>
      <w:rFonts w:ascii="Calibri" w:hAnsi="Calibri" w:eastAsia="宋体" w:cs="Times New Roman"/>
      <w:sz w:val="18"/>
      <w:szCs w:val="18"/>
    </w:rPr>
  </w:style>
  <w:style w:type="character" w:styleId="1109" w:customStyle="1">
    <w:name w:val="不明显强调1"/>
    <w:qFormat/>
    <w:rPr>
      <w:i/>
      <w:iCs/>
      <w:color w:val="808080"/>
    </w:rPr>
  </w:style>
  <w:style w:type="character" w:styleId="1110" w:customStyle="1">
    <w:name w:val="正文文本 3 字符"/>
    <w:link w:val="997"/>
    <w:qFormat/>
    <w:rPr>
      <w:rFonts w:ascii="宋体"/>
      <w:sz w:val="24"/>
    </w:rPr>
  </w:style>
  <w:style w:type="character" w:styleId="1111" w:customStyle="1">
    <w:name w:val="正文文本缩进 3 字符"/>
    <w:link w:val="1015"/>
    <w:qFormat/>
    <w:rPr>
      <w:sz w:val="16"/>
    </w:rPr>
  </w:style>
  <w:style w:type="character" w:styleId="1112" w:customStyle="1">
    <w:name w:val="font21"/>
    <w:qFormat/>
    <w:rPr>
      <w:rFonts w:hint="eastAsia" w:ascii="宋体" w:hAnsi="宋体" w:eastAsia="宋体" w:cs="宋体"/>
      <w:color w:val="000000"/>
      <w:sz w:val="20"/>
      <w:szCs w:val="20"/>
      <w:u w:val="none"/>
    </w:rPr>
  </w:style>
  <w:style w:type="character" w:styleId="1113" w:customStyle="1">
    <w:name w:val="批注框文本 字符"/>
    <w:link w:val="1007"/>
    <w:qFormat/>
    <w:rPr>
      <w:sz w:val="18"/>
      <w:szCs w:val="18"/>
    </w:rPr>
  </w:style>
  <w:style w:type="character" w:styleId="1114" w:customStyle="1">
    <w:name w:val="标题 7 字符"/>
    <w:link w:val="983"/>
    <w:qFormat/>
    <w:rPr>
      <w:b/>
      <w:bCs/>
      <w:sz w:val="24"/>
      <w:szCs w:val="24"/>
    </w:rPr>
  </w:style>
  <w:style w:type="character" w:styleId="1115" w:customStyle="1">
    <w:name w:val="标题 1 字符"/>
    <w:link w:val="977"/>
    <w:qFormat/>
    <w:rPr>
      <w:b/>
      <w:bCs/>
      <w:sz w:val="32"/>
      <w:szCs w:val="44"/>
    </w:rPr>
  </w:style>
  <w:style w:type="character" w:styleId="1116" w:customStyle="1">
    <w:name w:val="文档结构图 Char1"/>
    <w:qFormat/>
    <w:rPr>
      <w:rFonts w:ascii="宋体" w:hAnsi="Calibri" w:eastAsia="宋体" w:cs="Times New Roman"/>
      <w:sz w:val="18"/>
      <w:szCs w:val="18"/>
    </w:rPr>
  </w:style>
  <w:style w:type="character" w:styleId="1117" w:customStyle="1">
    <w:name w:val="标题 2 Char_0"/>
    <w:link w:val="1118"/>
    <w:qFormat/>
    <w:rPr>
      <w:rFonts w:ascii="Cambria" w:hAnsi="Cambria"/>
      <w:b/>
      <w:bCs/>
      <w:sz w:val="32"/>
      <w:szCs w:val="32"/>
    </w:rPr>
  </w:style>
  <w:style w:type="paragraph" w:styleId="1118" w:customStyle="1">
    <w:name w:val="标题 2_0"/>
    <w:basedOn w:val="1043"/>
    <w:next w:val="1043"/>
    <w:link w:val="1117"/>
    <w:unhideWhenUsed/>
    <w:qFormat/>
    <w:pPr>
      <w:keepLines/>
      <w:keepNext/>
      <w:spacing w:before="260" w:after="260" w:line="416" w:lineRule="auto"/>
      <w:outlineLvl w:val="1"/>
    </w:pPr>
    <w:rPr>
      <w:rFonts w:ascii="Cambria" w:hAnsi="Cambria"/>
      <w:b/>
      <w:bCs/>
      <w:sz w:val="32"/>
      <w:szCs w:val="32"/>
    </w:rPr>
  </w:style>
  <w:style w:type="character" w:styleId="1119" w:customStyle="1">
    <w:name w:val="日期 Char2"/>
    <w:uiPriority w:val="99"/>
    <w:semiHidden/>
    <w:qFormat/>
    <w:rPr>
      <w:rFonts w:ascii="Calibri" w:hAnsi="Calibri" w:eastAsia="宋体" w:cs="Times New Roman"/>
    </w:rPr>
  </w:style>
  <w:style w:type="character" w:styleId="1120" w:customStyle="1">
    <w:name w:val="批注框文本 Char2"/>
    <w:uiPriority w:val="99"/>
    <w:semiHidden/>
    <w:qFormat/>
    <w:rPr>
      <w:rFonts w:ascii="Calibri" w:hAnsi="Calibri" w:eastAsia="宋体" w:cs="Times New Roman"/>
      <w:sz w:val="18"/>
      <w:szCs w:val="18"/>
    </w:rPr>
  </w:style>
  <w:style w:type="character" w:styleId="1121" w:customStyle="1">
    <w:name w:val="标题 4 字符"/>
    <w:link w:val="980"/>
    <w:qFormat/>
    <w:rPr>
      <w:rFonts w:ascii="Cambria" w:hAnsi="Cambria"/>
      <w:b/>
      <w:bCs/>
      <w:sz w:val="28"/>
      <w:szCs w:val="28"/>
    </w:rPr>
  </w:style>
  <w:style w:type="character" w:styleId="1122" w:customStyle="1">
    <w:name w:val="列出段落 Char"/>
    <w:link w:val="1123"/>
    <w:uiPriority w:val="34"/>
    <w:qFormat/>
    <w:rPr>
      <w:sz w:val="21"/>
      <w:szCs w:val="24"/>
    </w:rPr>
  </w:style>
  <w:style w:type="paragraph" w:styleId="1123" w:customStyle="1">
    <w:name w:val="List Paragraph1"/>
    <w:basedOn w:val="976"/>
    <w:link w:val="1122"/>
    <w:uiPriority w:val="34"/>
    <w:qFormat/>
    <w:pPr>
      <w:ind w:firstLine="420"/>
    </w:pPr>
  </w:style>
  <w:style w:type="paragraph" w:styleId="1124" w:customStyle="1">
    <w:name w:val="样式 标题 3 + (中文) 黑体 小四 非加粗 段前: 7.8 磅 段后: 0 磅 行距: 固定值 20 磅"/>
    <w:basedOn w:val="979"/>
    <w:next w:val="976"/>
    <w:qFormat/>
    <w:pPr>
      <w:spacing w:before="0" w:after="0" w:line="400" w:lineRule="exact"/>
    </w:pPr>
    <w:rPr>
      <w:rFonts w:eastAsia="黑体" w:cs="宋体"/>
      <w:b w:val="0"/>
      <w:bCs w:val="0"/>
      <w:sz w:val="24"/>
      <w:szCs w:val="20"/>
    </w:rPr>
  </w:style>
  <w:style w:type="paragraph" w:styleId="1125" w:customStyle="1">
    <w:name w:val="_Style 34"/>
    <w:next w:val="976"/>
    <w:qFormat/>
    <w:pPr>
      <w:jc w:val="both"/>
      <w:widowControl w:val="off"/>
    </w:pPr>
    <w:rPr>
      <w:sz w:val="21"/>
    </w:rPr>
  </w:style>
  <w:style w:type="paragraph" w:styleId="1126" w:customStyle="1">
    <w:name w:val="正文_3"/>
    <w:qFormat/>
    <w:pPr>
      <w:jc w:val="both"/>
      <w:widowControl w:val="off"/>
    </w:pPr>
    <w:rPr>
      <w:sz w:val="21"/>
      <w:szCs w:val="22"/>
    </w:rPr>
  </w:style>
  <w:style w:type="paragraph" w:styleId="1127" w:customStyle="1">
    <w:name w:val="_Style 36"/>
    <w:next w:val="976"/>
    <w:qFormat/>
    <w:pPr>
      <w:jc w:val="both"/>
      <w:widowControl w:val="off"/>
    </w:pPr>
    <w:rPr>
      <w:sz w:val="21"/>
    </w:rPr>
  </w:style>
  <w:style w:type="paragraph" w:styleId="1128" w:customStyle="1">
    <w:name w:val="空半行"/>
    <w:basedOn w:val="976"/>
    <w:qFormat/>
    <w:pPr>
      <w:spacing w:line="120" w:lineRule="exact"/>
    </w:pPr>
    <w:rPr>
      <w:rFonts w:ascii="Calibri" w:hAnsi="Calibri" w:eastAsia="仿宋_GB2312"/>
      <w:color w:val="ffffff"/>
      <w:sz w:val="30"/>
      <w:szCs w:val="22"/>
    </w:rPr>
  </w:style>
  <w:style w:type="paragraph" w:styleId="1129" w:customStyle="1">
    <w:name w:val="1方案格式1"/>
    <w:basedOn w:val="977"/>
    <w:qFormat/>
    <w:pPr>
      <w:numPr>
        <w:numId w:val="3"/>
      </w:numPr>
      <w:ind w:left="0" w:firstLine="0"/>
      <w:spacing w:line="360" w:lineRule="auto"/>
      <w:tabs>
        <w:tab w:val="left" w:pos="360" w:leader="none"/>
      </w:tabs>
    </w:pPr>
    <w:rPr>
      <w:rFonts w:eastAsia="微软雅黑"/>
      <w:bCs w:val="0"/>
      <w:sz w:val="48"/>
    </w:rPr>
  </w:style>
  <w:style w:type="paragraph" w:styleId="1130" w:customStyle="1">
    <w:name w:val="格式３"/>
    <w:basedOn w:val="976"/>
    <w:qFormat/>
    <w:pPr>
      <w:ind w:left="600" w:hanging="600"/>
      <w:spacing w:line="420" w:lineRule="exact"/>
    </w:pPr>
    <w:rPr>
      <w:rFonts w:ascii="宋体" w:hAnsi="宋体"/>
      <w:color w:val="000000"/>
      <w:sz w:val="24"/>
      <w:szCs w:val="20"/>
    </w:rPr>
  </w:style>
  <w:style w:type="paragraph" w:styleId="1131" w:customStyle="1">
    <w:name w:val="正文1"/>
    <w:qFormat/>
    <w:pPr>
      <w:jc w:val="both"/>
      <w:widowControl w:val="off"/>
    </w:pPr>
    <w:rPr>
      <w:rFonts w:ascii="Calibri" w:hAnsi="Calibri"/>
    </w:rPr>
  </w:style>
  <w:style w:type="paragraph" w:styleId="1132" w:customStyle="1">
    <w:name w:val="列出段落1"/>
    <w:basedOn w:val="976"/>
    <w:uiPriority w:val="99"/>
    <w:qFormat/>
    <w:pPr>
      <w:contextualSpacing/>
      <w:ind w:left="720"/>
      <w:jc w:val="left"/>
      <w:widowControl/>
    </w:pPr>
    <w:rPr>
      <w:rFonts w:ascii="Arial" w:hAnsi="Arial" w:eastAsia="黑体"/>
      <w:sz w:val="24"/>
      <w:lang w:eastAsia="en-US"/>
    </w:rPr>
  </w:style>
  <w:style w:type="paragraph" w:styleId="1133" w:customStyle="1">
    <w:name w:val="正文空2字"/>
    <w:basedOn w:val="976"/>
    <w:qFormat/>
    <w:pPr>
      <w:ind w:firstLine="200"/>
      <w:spacing w:line="360" w:lineRule="auto"/>
    </w:pPr>
    <w:rPr>
      <w:sz w:val="24"/>
      <w:lang w:bidi="en-US"/>
    </w:rPr>
  </w:style>
  <w:style w:type="paragraph" w:styleId="1134" w:customStyle="1">
    <w:name w:val="正文_0_0_0"/>
    <w:qFormat/>
    <w:pPr>
      <w:jc w:val="both"/>
      <w:widowControl w:val="off"/>
    </w:pPr>
  </w:style>
  <w:style w:type="paragraph" w:styleId="1135" w:customStyle="1">
    <w:name w:val="目录 5_0"/>
    <w:basedOn w:val="1043"/>
    <w:next w:val="1043"/>
    <w:uiPriority w:val="39"/>
    <w:qFormat/>
    <w:pPr>
      <w:ind w:left="1680"/>
    </w:pPr>
    <w:rPr>
      <w:rFonts w:ascii="Calibri" w:hAnsi="Calibri"/>
    </w:rPr>
  </w:style>
  <w:style w:type="paragraph" w:styleId="1136" w:customStyle="1">
    <w:name w:val="修订1"/>
    <w:qFormat/>
    <w:rPr>
      <w:sz w:val="21"/>
      <w:szCs w:val="24"/>
    </w:rPr>
  </w:style>
  <w:style w:type="paragraph" w:styleId="1137" w:customStyle="1">
    <w:name w:val="标题 11"/>
    <w:basedOn w:val="1131"/>
    <w:next w:val="1131"/>
    <w:qFormat/>
    <w:pPr>
      <w:keepLines/>
      <w:keepNext/>
      <w:spacing w:before="340" w:after="330" w:line="576" w:lineRule="auto"/>
      <w:outlineLvl w:val="0"/>
    </w:pPr>
    <w:rPr>
      <w:rFonts w:ascii="Times New Roman" w:hAnsi="Times New Roman" w:eastAsia="Times New Roman"/>
      <w:b/>
      <w:sz w:val="44"/>
      <w:lang w:val="zh-CN"/>
    </w:rPr>
  </w:style>
  <w:style w:type="paragraph" w:styleId="1138" w:customStyle="1">
    <w:name w:val="正文 + 行距: 固定值 20 磅"/>
    <w:basedOn w:val="976"/>
    <w:qFormat/>
    <w:pPr>
      <w:ind w:firstLine="716"/>
      <w:spacing w:line="400" w:lineRule="exact"/>
    </w:pPr>
    <w:rPr>
      <w:rFonts w:ascii="Calibri" w:hAnsi="Calibri"/>
      <w:szCs w:val="22"/>
    </w:rPr>
  </w:style>
  <w:style w:type="paragraph" w:styleId="1139" w:customStyle="1">
    <w:name w:val="TOC 标题1"/>
    <w:basedOn w:val="977"/>
    <w:next w:val="976"/>
    <w:qFormat/>
    <w:pPr>
      <w:numPr>
        <w:numId w:val="0"/>
      </w:numPr>
      <w:jc w:val="left"/>
      <w:spacing w:before="480" w:after="0" w:line="276" w:lineRule="auto"/>
      <w:widowControl/>
      <w:outlineLvl w:val="9"/>
    </w:pPr>
    <w:rPr>
      <w:rFonts w:ascii="Cambria" w:hAnsi="Cambria"/>
      <w:color w:val="365f91"/>
      <w:sz w:val="28"/>
      <w:szCs w:val="28"/>
    </w:rPr>
  </w:style>
  <w:style w:type="paragraph" w:styleId="1140" w:customStyle="1">
    <w:name w:val="表格文字"/>
    <w:basedOn w:val="976"/>
    <w:link w:val="1169"/>
    <w:qFormat/>
    <w:pPr>
      <w:jc w:val="left"/>
      <w:spacing w:line="420" w:lineRule="atLeast"/>
    </w:pPr>
    <w:rPr>
      <w:rFonts w:ascii="Calibri" w:hAnsi="Calibri"/>
      <w:szCs w:val="22"/>
    </w:rPr>
  </w:style>
  <w:style w:type="paragraph" w:styleId="1141" w:customStyle="1">
    <w:name w:val="flNote"/>
    <w:basedOn w:val="976"/>
    <w:qFormat/>
    <w:pPr>
      <w:jc w:val="center"/>
      <w:spacing w:before="320" w:after="160" w:line="360" w:lineRule="atLeast"/>
    </w:pPr>
    <w:rPr>
      <w:rFonts w:ascii="Arial" w:hAnsi="Calibri" w:eastAsia="黑体"/>
      <w:sz w:val="30"/>
      <w:szCs w:val="22"/>
    </w:rPr>
  </w:style>
  <w:style w:type="paragraph" w:styleId="1142" w:customStyle="1">
    <w:name w:val="文章正文"/>
    <w:basedOn w:val="976"/>
    <w:uiPriority w:val="99"/>
    <w:qFormat/>
    <w:pPr>
      <w:ind w:firstLine="480"/>
      <w:spacing w:line="360" w:lineRule="auto"/>
    </w:pPr>
    <w:rPr>
      <w:rFonts w:ascii="仿宋_GB2312" w:hAnsi="宋体" w:eastAsia="仿宋_GB2312"/>
      <w:color w:val="ff0000"/>
      <w:sz w:val="24"/>
    </w:rPr>
  </w:style>
  <w:style w:type="paragraph" w:styleId="1143" w:customStyle="1">
    <w:name w:val="表格"/>
    <w:basedOn w:val="976"/>
    <w:qFormat/>
    <w:pPr>
      <w:jc w:val="center"/>
    </w:pPr>
    <w:rPr>
      <w:rFonts w:ascii="华文细黑" w:hAnsi="华文细黑"/>
      <w:szCs w:val="22"/>
    </w:rPr>
  </w:style>
  <w:style w:type="paragraph" w:styleId="1144" w:customStyle="1">
    <w:name w:val="Char"/>
    <w:basedOn w:val="976"/>
    <w:qFormat/>
    <w:pPr>
      <w:jc w:val="left"/>
      <w:spacing w:after="160" w:line="240" w:lineRule="exact"/>
      <w:widowControl/>
    </w:pPr>
    <w:rPr>
      <w:rFonts w:ascii="Verdana" w:hAnsi="Verdana"/>
      <w:sz w:val="20"/>
      <w:szCs w:val="20"/>
      <w:lang w:eastAsia="en-US"/>
    </w:rPr>
  </w:style>
  <w:style w:type="paragraph" w:styleId="1145" w:customStyle="1">
    <w:name w:val="列出段落2"/>
    <w:basedOn w:val="976"/>
    <w:uiPriority w:val="34"/>
    <w:qFormat/>
    <w:pPr>
      <w:ind w:firstLine="420"/>
    </w:pPr>
  </w:style>
  <w:style w:type="paragraph" w:styleId="1146" w:customStyle="1">
    <w:name w:val="6'"/>
    <w:basedOn w:val="976"/>
    <w:qFormat/>
    <w:pPr>
      <w:jc w:val="center"/>
      <w:spacing w:line="320" w:lineRule="exact"/>
    </w:pPr>
    <w:rPr>
      <w:rFonts w:ascii="Calibri" w:hAnsi="Calibri"/>
      <w:spacing w:val="20"/>
      <w:szCs w:val="22"/>
    </w:rPr>
  </w:style>
  <w:style w:type="paragraph" w:styleId="1147" w:customStyle="1">
    <w:name w:val="Char Char Char Char Char Char Char"/>
    <w:basedOn w:val="976"/>
    <w:qFormat/>
    <w:pPr>
      <w:spacing w:line="360" w:lineRule="auto"/>
    </w:pPr>
    <w:rPr>
      <w:sz w:val="24"/>
      <w:szCs w:val="20"/>
    </w:rPr>
  </w:style>
  <w:style w:type="paragraph" w:styleId="1148" w:customStyle="1">
    <w:name w:val="2方案格式2"/>
    <w:basedOn w:val="1129"/>
    <w:qFormat/>
    <w:pPr>
      <w:numPr>
        <w:ilvl w:val="1"/>
      </w:numPr>
      <w:spacing w:before="50" w:after="50" w:line="240" w:lineRule="auto"/>
      <w:outlineLvl w:val="1"/>
    </w:pPr>
    <w:rPr>
      <w:sz w:val="44"/>
    </w:rPr>
  </w:style>
  <w:style w:type="paragraph" w:styleId="1149" w:customStyle="1">
    <w:name w:val="文档正文"/>
    <w:basedOn w:val="976"/>
    <w:qFormat/>
    <w:pPr>
      <w:ind w:firstLine="567"/>
      <w:spacing w:line="480" w:lineRule="atLeast"/>
    </w:pPr>
    <w:rPr>
      <w:rFonts w:ascii="Ari" w:eastAsia="Ari"/>
      <w:sz w:val="28"/>
      <w:szCs w:val="20"/>
    </w:rPr>
  </w:style>
  <w:style w:type="paragraph" w:styleId="1150" w:customStyle="1">
    <w:name w:val="txt"/>
    <w:basedOn w:val="976"/>
    <w:qFormat/>
    <w:pPr>
      <w:jc w:val="left"/>
      <w:spacing w:before="100" w:beforeAutospacing="1" w:after="100" w:afterAutospacing="1"/>
      <w:widowControl/>
    </w:pPr>
    <w:rPr>
      <w:rFonts w:ascii="宋体" w:hAnsi="宋体" w:cs="宋体"/>
      <w:sz w:val="24"/>
    </w:rPr>
  </w:style>
  <w:style w:type="paragraph" w:styleId="1151" w:customStyle="1">
    <w:name w:val="目录 4_0"/>
    <w:basedOn w:val="1043"/>
    <w:next w:val="1043"/>
    <w:uiPriority w:val="39"/>
    <w:qFormat/>
    <w:pPr>
      <w:ind w:left="1260"/>
    </w:pPr>
    <w:rPr>
      <w:rFonts w:ascii="Calibri" w:hAnsi="Calibri"/>
    </w:rPr>
  </w:style>
  <w:style w:type="paragraph" w:styleId="1152" w:customStyle="1">
    <w:name w:val="目录 3_0"/>
    <w:basedOn w:val="1043"/>
    <w:next w:val="1043"/>
    <w:uiPriority w:val="39"/>
    <w:qFormat/>
    <w:pPr>
      <w:ind w:left="840"/>
    </w:pPr>
    <w:rPr>
      <w:rFonts w:ascii="Calibri" w:hAnsi="Calibri"/>
    </w:rPr>
  </w:style>
  <w:style w:type="paragraph" w:styleId="1153" w:customStyle="1">
    <w:name w:val="样式 标题 1 + 黑体 三号 非加粗 居中 段前: 6 磅 段后: 6 磅 行距: 固定值 20 磅"/>
    <w:basedOn w:val="977"/>
    <w:qFormat/>
    <w:pPr>
      <w:numPr>
        <w:numId w:val="0"/>
      </w:numPr>
      <w:spacing w:before="120" w:after="120" w:line="400" w:lineRule="exact"/>
    </w:pPr>
    <w:rPr>
      <w:rFonts w:ascii="黑体" w:hAnsi="黑体" w:eastAsia="黑体"/>
      <w:b w:val="0"/>
      <w:bCs w:val="0"/>
      <w:szCs w:val="20"/>
    </w:rPr>
  </w:style>
  <w:style w:type="paragraph" w:styleId="1154" w:customStyle="1">
    <w:name w:val="1"/>
    <w:basedOn w:val="976"/>
    <w:next w:val="976"/>
    <w:qFormat/>
    <w:rPr>
      <w:rFonts w:ascii="Calibri" w:hAnsi="Calibri"/>
      <w:szCs w:val="22"/>
    </w:rPr>
  </w:style>
  <w:style w:type="paragraph" w:styleId="1155" w:customStyle="1">
    <w:name w:val="Blockquote_0"/>
    <w:basedOn w:val="1043"/>
    <w:qFormat/>
    <w:pPr>
      <w:ind w:left="360" w:right="360"/>
      <w:jc w:val="left"/>
      <w:spacing w:before="100" w:after="100"/>
    </w:pPr>
    <w:rPr>
      <w:rFonts w:ascii="Calibri" w:hAnsi="Calibri" w:eastAsia="Times New Roman"/>
      <w:sz w:val="24"/>
      <w:szCs w:val="20"/>
    </w:rPr>
  </w:style>
  <w:style w:type="paragraph" w:styleId="1156" w:customStyle="1">
    <w:name w:val="列出段落11"/>
    <w:basedOn w:val="976"/>
    <w:qFormat/>
    <w:pPr>
      <w:contextualSpacing/>
      <w:ind w:left="720"/>
      <w:jc w:val="left"/>
      <w:widowControl/>
    </w:pPr>
    <w:rPr>
      <w:rFonts w:ascii="Arial" w:hAnsi="Arial" w:eastAsia="黑体"/>
      <w:sz w:val="24"/>
      <w:lang w:eastAsia="en-US"/>
    </w:rPr>
  </w:style>
  <w:style w:type="paragraph" w:styleId="1157" w:customStyle="1">
    <w:name w:val="样式 标题 2 + Times New Roman 四号 非加粗 段前: 5 磅 段后: 0 磅 行距: 固定值 20..._0"/>
    <w:basedOn w:val="976"/>
    <w:qFormat/>
    <w:pPr>
      <w:keepLines/>
      <w:keepNext/>
      <w:spacing w:before="100" w:line="360" w:lineRule="auto"/>
      <w:outlineLvl w:val="1"/>
    </w:pPr>
    <w:rPr>
      <w:rFonts w:eastAsia="Times New Roman" w:cs="宋体"/>
      <w:sz w:val="28"/>
      <w:szCs w:val="20"/>
    </w:rPr>
  </w:style>
  <w:style w:type="paragraph" w:styleId="1158" w:customStyle="1">
    <w:name w:val="op_mapdots_left"/>
    <w:basedOn w:val="976"/>
    <w:qFormat/>
    <w:pPr>
      <w:jc w:val="left"/>
      <w:spacing w:before="100" w:beforeAutospacing="1" w:after="100" w:afterAutospacing="1"/>
      <w:widowControl/>
    </w:pPr>
    <w:rPr>
      <w:rFonts w:ascii="宋体" w:hAnsi="宋体" w:cs="宋体"/>
      <w:sz w:val="24"/>
    </w:rPr>
  </w:style>
  <w:style w:type="paragraph" w:styleId="1159" w:customStyle="1">
    <w:name w:val="p0"/>
    <w:basedOn w:val="976"/>
    <w:qFormat/>
    <w:pPr>
      <w:widowControl/>
    </w:pPr>
    <w:rPr>
      <w:b/>
      <w:bCs/>
      <w:sz w:val="24"/>
    </w:rPr>
  </w:style>
  <w:style w:type="paragraph" w:styleId="1160" w:customStyle="1">
    <w:name w:val="Blockquote"/>
    <w:basedOn w:val="976"/>
    <w:qFormat/>
    <w:pPr>
      <w:ind w:left="360" w:right="360"/>
      <w:jc w:val="left"/>
      <w:spacing w:before="100" w:after="100"/>
    </w:pPr>
    <w:rPr>
      <w:rFonts w:ascii="Calibri" w:hAnsi="Calibri"/>
      <w:sz w:val="24"/>
      <w:szCs w:val="22"/>
    </w:rPr>
  </w:style>
  <w:style w:type="paragraph" w:styleId="1161" w:customStyle="1">
    <w:name w:val="3方案格式3"/>
    <w:basedOn w:val="1148"/>
    <w:qFormat/>
    <w:pPr>
      <w:numPr>
        <w:ilvl w:val="2"/>
      </w:numPr>
      <w:outlineLvl w:val="2"/>
    </w:pPr>
    <w:rPr>
      <w:sz w:val="32"/>
    </w:rPr>
  </w:style>
  <w:style w:type="paragraph" w:styleId="1162" w:customStyle="1">
    <w:name w:val="样式 标题 2 + Times New Roman 四号 非加粗 段前: 5 磅 段后: 0 磅 行距: 固定值 20..."/>
    <w:basedOn w:val="978"/>
    <w:qFormat/>
    <w:pPr>
      <w:numPr>
        <w:ilvl w:val="0"/>
        <w:numId w:val="0"/>
      </w:numPr>
      <w:spacing w:before="100" w:after="0" w:line="400" w:lineRule="exact"/>
    </w:pPr>
    <w:rPr>
      <w:rFonts w:ascii="Times New Roman" w:hAnsi="Times New Roman" w:eastAsia="黑体"/>
      <w:b w:val="0"/>
      <w:bCs w:val="0"/>
      <w:sz w:val="28"/>
      <w:szCs w:val="20"/>
    </w:rPr>
  </w:style>
  <w:style w:type="paragraph" w:styleId="1163" w:customStyle="1">
    <w:name w:val="标题2"/>
    <w:basedOn w:val="978"/>
    <w:next w:val="998"/>
    <w:qFormat/>
    <w:pPr>
      <w:spacing w:before="156" w:after="156" w:line="360" w:lineRule="auto"/>
    </w:pPr>
    <w:rPr>
      <w:bCs w:val="0"/>
      <w:sz w:val="24"/>
    </w:rPr>
  </w:style>
  <w:style w:type="paragraph" w:styleId="1164" w:customStyle="1">
    <w:name w:val="普通正文"/>
    <w:basedOn w:val="976"/>
    <w:qFormat/>
    <w:pPr>
      <w:ind w:firstLine="480"/>
      <w:jc w:val="left"/>
      <w:spacing w:before="120" w:after="120" w:line="360" w:lineRule="auto"/>
    </w:pPr>
    <w:rPr>
      <w:rFonts w:ascii="Arial" w:hAnsi="Arial"/>
      <w:sz w:val="24"/>
    </w:rPr>
  </w:style>
  <w:style w:type="paragraph" w:styleId="1165" w:customStyle="1">
    <w:name w:val="正文11"/>
    <w:qFormat/>
    <w:rPr>
      <w:rFonts w:ascii="Calibri" w:hAnsi="Calibri" w:cs="Calibri"/>
      <w:sz w:val="24"/>
      <w:szCs w:val="24"/>
    </w:rPr>
  </w:style>
  <w:style w:type="paragraph" w:styleId="1166" w:customStyle="1">
    <w:name w:val="正文2"/>
    <w:qFormat/>
    <w:rPr>
      <w:rFonts w:eastAsia="微软雅黑"/>
      <w:sz w:val="24"/>
      <w:szCs w:val="24"/>
    </w:rPr>
  </w:style>
  <w:style w:type="paragraph" w:styleId="1167" w:customStyle="1">
    <w:name w:val="列出段落3"/>
    <w:basedOn w:val="976"/>
    <w:qFormat/>
    <w:pPr>
      <w:ind w:firstLine="420"/>
      <w:jc w:val="left"/>
      <w:spacing w:after="200"/>
      <w:widowControl/>
    </w:pPr>
    <w:rPr>
      <w:rFonts w:ascii="Tahoma" w:hAnsi="Tahoma" w:eastAsia="微软雅黑"/>
      <w:sz w:val="22"/>
      <w:szCs w:val="22"/>
    </w:rPr>
  </w:style>
  <w:style w:type="paragraph" w:styleId="1168" w:customStyle="1">
    <w:name w:val="纯文本2"/>
    <w:basedOn w:val="976"/>
    <w:qFormat/>
    <w:pPr>
      <w:jc w:val="left"/>
    </w:pPr>
    <w:rPr>
      <w:rFonts w:hint="eastAsia" w:ascii="宋体" w:hAnsi="宋体" w:cs="Courier New"/>
      <w:sz w:val="24"/>
      <w:szCs w:val="20"/>
      <w:lang w:bidi="hi-IN"/>
    </w:rPr>
  </w:style>
  <w:style w:type="character" w:styleId="1169" w:customStyle="1">
    <w:name w:val="表格文字 字符"/>
    <w:link w:val="1140"/>
    <w:qFormat/>
    <w:rPr>
      <w:rFonts w:ascii="Calibri" w:hAnsi="Calibri" w:eastAsia="宋体" w:cs="Times New Roman"/>
      <w:sz w:val="21"/>
      <w:szCs w:val="22"/>
    </w:rPr>
  </w:style>
  <w:style w:type="paragraph" w:styleId="1170" w:customStyle="1">
    <w:name w:val="trs_editor"/>
    <w:basedOn w:val="976"/>
    <w:qFormat/>
    <w:pPr>
      <w:jc w:val="left"/>
      <w:spacing w:before="100" w:beforeAutospacing="1" w:after="100" w:afterAutospacing="1"/>
      <w:widowControl/>
    </w:pPr>
    <w:rPr>
      <w:rFonts w:ascii="宋体" w:hAnsi="宋体" w:cs="宋体"/>
      <w:sz w:val="24"/>
    </w:rPr>
  </w:style>
  <w:style w:type="character" w:styleId="1171" w:customStyle="1">
    <w:name w:val="未处理的提及1"/>
    <w:basedOn w:val="986"/>
    <w:uiPriority w:val="99"/>
    <w:semiHidden/>
    <w:unhideWhenUsed/>
    <w:qFormat/>
    <w:rPr>
      <w:color w:val="605e5c"/>
      <w:shd w:val="clear" w:color="auto" w:fill="e1dfdd"/>
    </w:rPr>
  </w:style>
  <w:style w:type="paragraph" w:styleId="1172" w:customStyle="1">
    <w:name w:val="_Style 3"/>
    <w:basedOn w:val="976"/>
    <w:uiPriority w:val="99"/>
    <w:qFormat/>
    <w:pPr>
      <w:ind w:firstLine="420"/>
    </w:pPr>
    <w:rPr>
      <w:szCs w:val="22"/>
    </w:rPr>
  </w:style>
  <w:style w:type="table" w:styleId="1173" w:customStyle="1">
    <w:name w:val="网格型1"/>
    <w:basedOn w:val="9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4" w:customStyle="1">
    <w:name w:val="批注文字 字符1"/>
    <w:uiPriority w:val="99"/>
    <w:qFormat/>
    <w:rPr>
      <w:sz w:val="24"/>
      <w:szCs w:val="22"/>
    </w:rPr>
  </w:style>
  <w:style w:type="character" w:styleId="1175" w:customStyle="1">
    <w:name w:val="f141"/>
    <w:qFormat/>
    <w:rPr>
      <w:sz w:val="21"/>
      <w:szCs w:val="21"/>
    </w:rPr>
  </w:style>
  <w:style w:type="character" w:styleId="1176" w:customStyle="1">
    <w:name w:val="p141"/>
    <w:qFormat/>
    <w:rPr>
      <w:sz w:val="21"/>
      <w:szCs w:val="21"/>
    </w:rPr>
  </w:style>
  <w:style w:type="character" w:styleId="1177" w:customStyle="1">
    <w:name w:val="s10pv000000"/>
    <w:basedOn w:val="986"/>
    <w:qFormat/>
  </w:style>
  <w:style w:type="paragraph" w:styleId="1178" w:customStyle="1">
    <w:name w:val="样式 标题 4 + 段前: 5 磅 段后: 5 磅 行距: 单倍行距"/>
    <w:basedOn w:val="98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79" w:customStyle="1">
    <w:name w:val="基准标题"/>
    <w:basedOn w:val="998"/>
    <w:next w:val="998"/>
    <w:qFormat/>
    <w:pPr>
      <w:jc w:val="left"/>
      <w:keepLines/>
      <w:keepNext/>
      <w:spacing w:line="240" w:lineRule="atLeast"/>
      <w:widowControl/>
    </w:pPr>
    <w:rPr>
      <w:rFonts w:ascii="Garamond" w:hAnsi="Garamond" w:eastAsia="宋体"/>
      <w:b w:val="0"/>
      <w:bCs w:val="0"/>
      <w:sz w:val="22"/>
      <w:szCs w:val="20"/>
      <w:lang w:bidi="he-IL"/>
    </w:rPr>
  </w:style>
  <w:style w:type="paragraph" w:styleId="1180" w:customStyle="1">
    <w:name w:val="font6"/>
    <w:basedOn w:val="976"/>
    <w:qFormat/>
    <w:pPr>
      <w:jc w:val="left"/>
      <w:spacing w:before="100" w:beforeAutospacing="1" w:after="100" w:afterAutospacing="1"/>
      <w:widowControl/>
    </w:pPr>
    <w:rPr>
      <w:rFonts w:hint="eastAsia" w:ascii="宋体" w:hAnsi="宋体"/>
      <w:sz w:val="24"/>
    </w:rPr>
  </w:style>
  <w:style w:type="paragraph" w:styleId="1181" w:customStyle="1">
    <w:name w:val="样式4"/>
    <w:basedOn w:val="976"/>
    <w:qFormat/>
    <w:pPr>
      <w:ind w:left="2328" w:hanging="708"/>
      <w:tabs>
        <w:tab w:val="left" w:pos="2328" w:leader="none"/>
      </w:tabs>
    </w:pPr>
  </w:style>
  <w:style w:type="paragraph" w:styleId="1182" w:customStyle="1">
    <w:name w:val="font5"/>
    <w:basedOn w:val="976"/>
    <w:qFormat/>
    <w:pPr>
      <w:jc w:val="left"/>
      <w:spacing w:before="100" w:beforeAutospacing="1" w:after="100" w:afterAutospacing="1"/>
      <w:widowControl/>
    </w:pPr>
    <w:rPr>
      <w:rFonts w:hint="eastAsia" w:ascii="宋体" w:hAnsi="宋体"/>
      <w:sz w:val="18"/>
      <w:szCs w:val="18"/>
    </w:rPr>
  </w:style>
  <w:style w:type="paragraph" w:styleId="1183" w:customStyle="1">
    <w:name w:val="3 Char"/>
    <w:basedOn w:val="976"/>
    <w:qFormat/>
    <w:pPr>
      <w:jc w:val="center"/>
      <w:spacing w:line="400" w:lineRule="exact"/>
      <w:widowControl/>
    </w:pPr>
    <w:rPr>
      <w:rFonts w:ascii="Verdana" w:hAnsi="Verdana"/>
      <w:szCs w:val="20"/>
      <w:lang w:eastAsia="en-US"/>
    </w:rPr>
  </w:style>
  <w:style w:type="paragraph" w:styleId="1184" w:customStyle="1">
    <w:name w:val="样式 标题 2 + 宋体 五号 非加粗 黑色"/>
    <w:basedOn w:val="978"/>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85" w:customStyle="1">
    <w:name w:val="xl29"/>
    <w:basedOn w:val="976"/>
    <w:qFormat/>
    <w:pPr>
      <w:jc w:val="center"/>
      <w:spacing w:before="100" w:beforeAutospacing="1" w:after="100" w:afterAutospacing="1"/>
      <w:widowControl/>
    </w:pPr>
    <w:rPr>
      <w:rFonts w:ascii="宋体" w:hAnsi="宋体"/>
      <w:sz w:val="28"/>
      <w:szCs w:val="28"/>
    </w:rPr>
  </w:style>
  <w:style w:type="paragraph" w:styleId="1186" w:customStyle="1">
    <w:name w:val="图"/>
    <w:basedOn w:val="976"/>
    <w:qFormat/>
    <w:pPr>
      <w:jc w:val="center"/>
      <w:keepNext/>
      <w:spacing w:before="60" w:after="60" w:line="300" w:lineRule="auto"/>
    </w:pPr>
    <w:rPr>
      <w:spacing w:val="20"/>
      <w:sz w:val="24"/>
      <w:szCs w:val="20"/>
    </w:rPr>
  </w:style>
  <w:style w:type="paragraph" w:styleId="1187" w:customStyle="1">
    <w:name w:val="设计方案"/>
    <w:basedOn w:val="976"/>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88" w:customStyle="1">
    <w:name w:val="xl24"/>
    <w:basedOn w:val="9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89" w:customStyle="1">
    <w:name w:val="样式1"/>
    <w:basedOn w:val="976"/>
    <w:qFormat/>
    <w:pPr>
      <w:ind w:left="425" w:hanging="425"/>
      <w:tabs>
        <w:tab w:val="left" w:pos="425" w:leader="none"/>
        <w:tab w:val="left" w:pos="709" w:leader="none"/>
      </w:tabs>
    </w:pPr>
    <w:rPr>
      <w:rFonts w:ascii="宋体" w:hAnsi="宋体"/>
      <w:szCs w:val="20"/>
    </w:rPr>
  </w:style>
  <w:style w:type="paragraph" w:styleId="1190" w:customStyle="1">
    <w:name w:val="head"/>
    <w:basedOn w:val="976"/>
    <w:qFormat/>
    <w:pPr>
      <w:jc w:val="center"/>
      <w:spacing w:before="100" w:beforeAutospacing="1" w:after="100" w:afterAutospacing="1"/>
      <w:widowControl/>
    </w:pPr>
    <w:rPr>
      <w:rFonts w:hint="eastAsia" w:ascii="黑体" w:hAnsi="宋体" w:eastAsia="黑体"/>
      <w:b/>
      <w:bCs/>
      <w:sz w:val="28"/>
      <w:szCs w:val="28"/>
    </w:rPr>
  </w:style>
  <w:style w:type="paragraph" w:styleId="1191" w:customStyle="1">
    <w:name w:val="默认段落字体 Para Char Char Char Char"/>
    <w:basedOn w:val="976"/>
    <w:qFormat/>
    <w:rPr>
      <w:szCs w:val="20"/>
    </w:rPr>
  </w:style>
  <w:style w:type="paragraph" w:styleId="1192" w:customStyle="1">
    <w:name w:val="Char Char Char Char"/>
    <w:basedOn w:val="976"/>
    <w:qFormat/>
    <w:pPr>
      <w:jc w:val="left"/>
      <w:spacing w:after="160" w:line="240" w:lineRule="exact"/>
      <w:widowControl/>
    </w:pPr>
    <w:rPr>
      <w:rFonts w:ascii="Verdana" w:hAnsi="Verdana" w:eastAsia="仿宋_GB2312"/>
      <w:sz w:val="24"/>
      <w:szCs w:val="20"/>
      <w:lang w:eastAsia="en-US"/>
    </w:rPr>
  </w:style>
  <w:style w:type="paragraph" w:styleId="1193" w:customStyle="1">
    <w:name w:val="font0"/>
    <w:basedOn w:val="976"/>
    <w:qFormat/>
    <w:pPr>
      <w:jc w:val="left"/>
      <w:spacing w:before="100" w:beforeAutospacing="1" w:after="100" w:afterAutospacing="1"/>
      <w:widowControl/>
    </w:pPr>
    <w:rPr>
      <w:rFonts w:hint="eastAsia" w:ascii="宋体" w:hAnsi="宋体"/>
      <w:sz w:val="24"/>
    </w:rPr>
  </w:style>
  <w:style w:type="paragraph" w:styleId="1194" w:customStyle="1">
    <w:name w:val="样式 标题 3h3H3sect1.2.3 + 五号 段前: 6 磅 段后: 6 磅 行距: 单倍行距"/>
    <w:basedOn w:val="979"/>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95" w:customStyle="1">
    <w:name w:val="纯文本 Char1"/>
    <w:basedOn w:val="986"/>
    <w:qFormat/>
    <w:rPr>
      <w:rFonts w:ascii="宋体" w:hAnsi="Courier New" w:eastAsia="宋体" w:cs="Courier New"/>
      <w:szCs w:val="21"/>
    </w:rPr>
  </w:style>
  <w:style w:type="character" w:styleId="1196" w:customStyle="1">
    <w:name w:val="HTML 预设格式 字符"/>
    <w:basedOn w:val="986"/>
    <w:link w:val="1017"/>
    <w:uiPriority w:val="99"/>
    <w:qFormat/>
    <w:rPr>
      <w:rFonts w:ascii="宋体" w:hAnsi="宋体"/>
      <w:sz w:val="24"/>
      <w:szCs w:val="24"/>
    </w:rPr>
  </w:style>
  <w:style w:type="paragraph" w:styleId="1197" w:customStyle="1">
    <w:name w:val="Char1 Char Char Char"/>
    <w:basedOn w:val="976"/>
    <w:qFormat/>
    <w:rPr>
      <w:szCs w:val="20"/>
    </w:rPr>
  </w:style>
  <w:style w:type="paragraph" w:styleId="1198" w:customStyle="1">
    <w:name w:val="Char1"/>
    <w:basedOn w:val="976"/>
    <w:qFormat/>
    <w:pPr>
      <w:jc w:val="left"/>
      <w:spacing w:after="160" w:line="240" w:lineRule="exact"/>
      <w:widowControl/>
    </w:pPr>
    <w:rPr>
      <w:sz w:val="24"/>
    </w:rPr>
  </w:style>
  <w:style w:type="paragraph" w:styleId="1199" w:customStyle="1">
    <w:name w:val="默认段落字体 Para Char"/>
    <w:basedOn w:val="976"/>
    <w:qFormat/>
  </w:style>
  <w:style w:type="paragraph" w:styleId="1200" w:customStyle="1">
    <w:name w:val="Char1 Char Char Char Char Char Char Char Char Char"/>
    <w:basedOn w:val="976"/>
    <w:qFormat/>
    <w:pPr>
      <w:jc w:val="center"/>
      <w:spacing w:line="400" w:lineRule="exact"/>
      <w:widowControl/>
    </w:pPr>
    <w:rPr>
      <w:rFonts w:ascii="Verdana" w:hAnsi="Verdana"/>
      <w:szCs w:val="20"/>
      <w:lang w:eastAsia="en-US"/>
    </w:rPr>
  </w:style>
  <w:style w:type="paragraph" w:styleId="1201" w:customStyle="1">
    <w:name w:val="普通(网站)1"/>
    <w:basedOn w:val="976"/>
    <w:qFormat/>
    <w:pPr>
      <w:jc w:val="left"/>
      <w:spacing w:before="100" w:beforeAutospacing="1" w:after="100" w:afterAutospacing="1"/>
      <w:widowControl/>
    </w:pPr>
    <w:rPr>
      <w:rFonts w:ascii="宋体" w:hAnsi="宋体"/>
      <w:sz w:val="24"/>
    </w:rPr>
  </w:style>
  <w:style w:type="paragraph" w:styleId="1202" w:customStyle="1">
    <w:name w:val="Char Char2 Char"/>
    <w:basedOn w:val="976"/>
    <w:qFormat/>
    <w:rPr>
      <w:rFonts w:ascii="宋体" w:hAnsi="宋体"/>
      <w:b/>
      <w:sz w:val="28"/>
      <w:szCs w:val="28"/>
    </w:rPr>
  </w:style>
  <w:style w:type="character" w:styleId="1203" w:customStyle="1">
    <w:name w:val="正文缩进 字符"/>
    <w:link w:val="993"/>
    <w:qFormat/>
    <w:rPr>
      <w:b/>
      <w:sz w:val="24"/>
    </w:rPr>
  </w:style>
  <w:style w:type="paragraph" w:styleId="1204" w:customStyle="1">
    <w:name w:val="Char Char Char"/>
    <w:basedOn w:val="976"/>
    <w:qFormat/>
    <w:rPr>
      <w:rFonts w:ascii="宋体" w:hAnsi="宋体"/>
      <w:b/>
      <w:sz w:val="28"/>
      <w:szCs w:val="28"/>
    </w:rPr>
  </w:style>
  <w:style w:type="paragraph" w:styleId="1205" w:customStyle="1">
    <w:name w:val="Char2"/>
    <w:basedOn w:val="976"/>
    <w:qFormat/>
    <w:pPr>
      <w:jc w:val="left"/>
      <w:spacing w:after="160" w:line="240" w:lineRule="exact"/>
      <w:widowControl/>
    </w:pPr>
    <w:rPr>
      <w:szCs w:val="20"/>
    </w:rPr>
  </w:style>
  <w:style w:type="paragraph" w:styleId="1206" w:customStyle="1">
    <w:name w:val="a"/>
    <w:basedOn w:val="976"/>
    <w:qFormat/>
    <w:pPr>
      <w:jc w:val="left"/>
      <w:spacing w:before="100" w:beforeAutospacing="1" w:after="100" w:afterAutospacing="1"/>
      <w:widowControl/>
    </w:pPr>
    <w:rPr>
      <w:rFonts w:ascii="宋体" w:hAnsi="宋体" w:cs="宋体"/>
      <w:sz w:val="24"/>
    </w:rPr>
  </w:style>
  <w:style w:type="character" w:styleId="1207" w:customStyle="1">
    <w:name w:val="description5"/>
    <w:basedOn w:val="986"/>
    <w:qFormat/>
  </w:style>
  <w:style w:type="character" w:styleId="1208">
    <w:name w:val="Placeholder Text"/>
    <w:uiPriority w:val="99"/>
    <w:semiHidden/>
    <w:qFormat/>
    <w:rPr>
      <w:color w:val="808080"/>
    </w:rPr>
  </w:style>
  <w:style w:type="paragraph" w:styleId="1209" w:customStyle="1">
    <w:name w:val="Table Paragraph"/>
    <w:basedOn w:val="976"/>
    <w:uiPriority w:val="1"/>
    <w:qFormat/>
    <w:pPr>
      <w:jc w:val="left"/>
    </w:pPr>
    <w:rPr>
      <w:sz w:val="24"/>
    </w:rPr>
  </w:style>
  <w:style w:type="character" w:styleId="1210" w:customStyle="1">
    <w:name w:val="Char Char7"/>
    <w:qFormat/>
    <w:rPr>
      <w:rFonts w:ascii="Tahoma" w:hAnsi="Tahoma" w:eastAsia="微软雅黑"/>
      <w:b/>
      <w:bCs/>
      <w:sz w:val="32"/>
      <w:szCs w:val="32"/>
      <w:lang w:val="en-US" w:eastAsia="zh-CN" w:bidi="ar-SA"/>
    </w:rPr>
  </w:style>
  <w:style w:type="character" w:styleId="1211" w:customStyle="1">
    <w:name w:val="font01"/>
    <w:qFormat/>
    <w:rPr>
      <w:rFonts w:hint="eastAsia" w:ascii="宋体" w:hAnsi="宋体" w:eastAsia="宋体" w:cs="宋体"/>
      <w:color w:val="000000"/>
      <w:sz w:val="20"/>
      <w:szCs w:val="20"/>
      <w:u w:val="none"/>
    </w:rPr>
  </w:style>
  <w:style w:type="character" w:styleId="1212" w:customStyle="1">
    <w:name w:val="font81"/>
    <w:qFormat/>
    <w:rPr>
      <w:rFonts w:hint="eastAsia" w:ascii="宋体" w:hAnsi="宋体" w:eastAsia="宋体" w:cs="宋体"/>
      <w:color w:val="000000"/>
      <w:sz w:val="22"/>
      <w:szCs w:val="22"/>
      <w:u w:val="none"/>
    </w:rPr>
  </w:style>
  <w:style w:type="character" w:styleId="1213" w:customStyle="1">
    <w:name w:val="font71"/>
    <w:qFormat/>
    <w:rPr>
      <w:rFonts w:hint="eastAsia" w:ascii="宋体" w:hAnsi="宋体" w:eastAsia="宋体" w:cs="宋体"/>
      <w:color w:val="000000"/>
      <w:sz w:val="22"/>
      <w:szCs w:val="22"/>
      <w:u w:val="none"/>
    </w:rPr>
  </w:style>
  <w:style w:type="character" w:styleId="1214" w:customStyle="1">
    <w:name w:val="font51"/>
    <w:qFormat/>
    <w:rPr>
      <w:rFonts w:hint="default" w:ascii="Calibri" w:hAnsi="Calibri" w:cs="Calibri"/>
      <w:color w:val="000000"/>
      <w:sz w:val="22"/>
      <w:szCs w:val="22"/>
      <w:u w:val="none"/>
    </w:rPr>
  </w:style>
  <w:style w:type="character" w:styleId="1215" w:customStyle="1">
    <w:name w:val="font61"/>
    <w:qFormat/>
    <w:rPr>
      <w:rFonts w:hint="default" w:ascii="Calibri" w:hAnsi="Calibri" w:cs="Calibri"/>
      <w:color w:val="000000"/>
      <w:sz w:val="22"/>
      <w:szCs w:val="22"/>
      <w:u w:val="none"/>
    </w:rPr>
  </w:style>
  <w:style w:type="character" w:styleId="1216" w:customStyle="1">
    <w:name w:val="font41"/>
    <w:qFormat/>
    <w:rPr>
      <w:rFonts w:hint="eastAsia" w:ascii="宋体" w:hAnsi="宋体" w:eastAsia="宋体" w:cs="宋体"/>
      <w:color w:val="000000"/>
      <w:sz w:val="22"/>
      <w:szCs w:val="22"/>
      <w:u w:val="none"/>
    </w:rPr>
  </w:style>
  <w:style w:type="character" w:styleId="1217" w:customStyle="1">
    <w:name w:val="未处理的提及2"/>
    <w:basedOn w:val="986"/>
    <w:uiPriority w:val="99"/>
    <w:semiHidden/>
    <w:unhideWhenUsed/>
    <w:qFormat/>
    <w:rPr>
      <w:color w:val="605e5c"/>
      <w:shd w:val="clear" w:color="auto" w:fill="e1dfdd"/>
    </w:rPr>
  </w:style>
  <w:style w:type="character" w:styleId="1218" w:customStyle="1">
    <w:name w:val="未处理的提及3"/>
    <w:basedOn w:val="986"/>
    <w:uiPriority w:val="99"/>
    <w:semiHidden/>
    <w:unhideWhenUsed/>
    <w:qFormat/>
    <w:rPr>
      <w:color w:val="605e5c"/>
      <w:shd w:val="clear" w:color="auto" w:fill="e1dfdd"/>
    </w:rPr>
  </w:style>
  <w:style w:type="paragraph" w:styleId="1219" w:customStyle="1">
    <w:name w:val="_Style 234"/>
    <w:basedOn w:val="976"/>
    <w:next w:val="1038"/>
    <w:uiPriority w:val="34"/>
    <w:qFormat/>
    <w:pPr>
      <w:ind w:left="420" w:firstLine="420"/>
      <w:spacing w:line="400" w:lineRule="exact"/>
    </w:pPr>
    <w:rPr>
      <w:rFonts w:ascii="Calibri" w:hAnsi="Calibri"/>
    </w:rPr>
  </w:style>
  <w:style w:type="character" w:styleId="1220" w:customStyle="1">
    <w:name w:val="列表段落 字符"/>
    <w:link w:val="1038"/>
    <w:uiPriority w:val="99"/>
    <w:qFormat/>
    <w:rPr>
      <w:sz w:val="21"/>
      <w:szCs w:val="24"/>
    </w:rPr>
  </w:style>
  <w:style w:type="character" w:styleId="1221" w:customStyle="1">
    <w:name w:val="彩色列表 - 强调文字颜色 1字符"/>
    <w:uiPriority w:val="34"/>
    <w:qFormat/>
    <w:rPr>
      <w:rFonts w:ascii="Calibri" w:hAnsi="Calibri"/>
      <w:sz w:val="21"/>
      <w:szCs w:val="24"/>
    </w:rPr>
  </w:style>
  <w:style w:type="character" w:styleId="1222" w:customStyle="1">
    <w:name w:val="批注主题 字符1"/>
    <w:basedOn w:val="1174"/>
    <w:uiPriority w:val="99"/>
    <w:semiHidden/>
    <w:qFormat/>
    <w:rPr>
      <w:rFonts w:ascii="Calibri" w:hAnsi="Calibri" w:eastAsia="宋体" w:cs="Times New Roman"/>
      <w:b/>
      <w:bCs/>
      <w:sz w:val="24"/>
      <w:szCs w:val="24"/>
    </w:rPr>
  </w:style>
  <w:style w:type="character" w:styleId="1223" w:customStyle="1">
    <w:name w:val="正文文本缩进 2 字符1"/>
    <w:basedOn w:val="986"/>
    <w:uiPriority w:val="99"/>
    <w:semiHidden/>
    <w:qFormat/>
    <w:rPr>
      <w:rFonts w:ascii="Calibri" w:hAnsi="Calibri" w:eastAsia="宋体" w:cs="Times New Roman"/>
      <w:szCs w:val="24"/>
    </w:rPr>
  </w:style>
  <w:style w:type="character" w:styleId="1224" w:customStyle="1">
    <w:name w:val="标题 字符1"/>
    <w:basedOn w:val="986"/>
    <w:uiPriority w:val="10"/>
    <w:qFormat/>
    <w:rPr>
      <w:rFonts w:asciiTheme="majorHAnsi" w:hAnsiTheme="majorHAnsi" w:eastAsiaTheme="majorEastAsia" w:cstheme="majorBidi"/>
      <w:b/>
      <w:bCs/>
      <w:sz w:val="32"/>
      <w:szCs w:val="32"/>
    </w:rPr>
  </w:style>
  <w:style w:type="character" w:styleId="1225" w:customStyle="1">
    <w:name w:val="正文文本缩进 字符1"/>
    <w:basedOn w:val="986"/>
    <w:uiPriority w:val="99"/>
    <w:semiHidden/>
    <w:qFormat/>
    <w:rPr>
      <w:rFonts w:ascii="Calibri" w:hAnsi="Calibri" w:eastAsia="宋体" w:cs="Times New Roman"/>
      <w:szCs w:val="24"/>
    </w:rPr>
  </w:style>
  <w:style w:type="character" w:styleId="1226" w:customStyle="1">
    <w:name w:val="副标题 字符1"/>
    <w:basedOn w:val="986"/>
    <w:uiPriority w:val="11"/>
    <w:qFormat/>
    <w:rPr>
      <w:b/>
      <w:bCs/>
      <w:sz w:val="32"/>
      <w:szCs w:val="32"/>
    </w:rPr>
  </w:style>
  <w:style w:type="character" w:styleId="1227" w:customStyle="1">
    <w:name w:val="日期 字符1"/>
    <w:basedOn w:val="986"/>
    <w:uiPriority w:val="99"/>
    <w:semiHidden/>
    <w:qFormat/>
    <w:rPr>
      <w:rFonts w:ascii="Calibri" w:hAnsi="Calibri" w:eastAsia="宋体" w:cs="Times New Roman"/>
      <w:szCs w:val="24"/>
    </w:rPr>
  </w:style>
  <w:style w:type="paragraph" w:styleId="1228" w:customStyle="1">
    <w:name w:val="修订2"/>
    <w:uiPriority w:val="99"/>
    <w:unhideWhenUsed/>
    <w:qFormat/>
    <w:rPr>
      <w:rFonts w:ascii="Calibri" w:hAnsi="Calibri"/>
      <w:sz w:val="21"/>
      <w:szCs w:val="24"/>
    </w:rPr>
  </w:style>
  <w:style w:type="character" w:styleId="1229" w:customStyle="1">
    <w:name w:val="正文文本 字符1"/>
    <w:basedOn w:val="986"/>
    <w:uiPriority w:val="99"/>
    <w:semiHidden/>
    <w:qFormat/>
    <w:rPr>
      <w:rFonts w:ascii="Calibri" w:hAnsi="Calibri" w:eastAsia="宋体" w:cs="Times New Roman"/>
      <w:szCs w:val="24"/>
    </w:rPr>
  </w:style>
  <w:style w:type="character" w:styleId="1230" w:customStyle="1">
    <w:name w:val="批注框文本 字符1"/>
    <w:basedOn w:val="986"/>
    <w:uiPriority w:val="99"/>
    <w:semiHidden/>
    <w:qFormat/>
    <w:rPr>
      <w:rFonts w:ascii="Calibri" w:hAnsi="Calibri" w:eastAsia="宋体" w:cs="Times New Roman"/>
      <w:sz w:val="18"/>
      <w:szCs w:val="18"/>
    </w:rPr>
  </w:style>
  <w:style w:type="paragraph" w:styleId="1231" w:customStyle="1">
    <w:name w:val="小四 段落 宋体 Char Char Char"/>
    <w:basedOn w:val="992"/>
    <w:qFormat/>
    <w:pPr>
      <w:numPr>
        <w:numId w:val="0"/>
      </w:numPr>
      <w:ind w:right="-33" w:firstLine="480"/>
      <w:jc w:val="left"/>
      <w:spacing w:line="360" w:lineRule="auto"/>
    </w:pPr>
    <w:rPr>
      <w:rFonts w:ascii="Times New Roman" w:hAnsi="Times New Roman"/>
      <w:sz w:val="24"/>
      <w:szCs w:val="20"/>
    </w:rPr>
  </w:style>
  <w:style w:type="character" w:styleId="1232" w:customStyle="1">
    <w:name w:val="纯文本 字符1"/>
    <w:basedOn w:val="986"/>
    <w:uiPriority w:val="99"/>
    <w:semiHidden/>
    <w:qFormat/>
    <w:rPr>
      <w:rFonts w:hAnsi="Courier New" w:cs="Courier New" w:asciiTheme="minorEastAsia"/>
      <w:szCs w:val="24"/>
    </w:rPr>
  </w:style>
  <w:style w:type="character" w:styleId="1233" w:customStyle="1">
    <w:name w:val="文档结构图 字符1"/>
    <w:basedOn w:val="986"/>
    <w:uiPriority w:val="99"/>
    <w:semiHidden/>
    <w:qFormat/>
    <w:rPr>
      <w:rFonts w:ascii="Microsoft YaHei UI" w:hAnsi="Calibri" w:eastAsia="Microsoft YaHei UI" w:cs="Times New Roman"/>
      <w:sz w:val="18"/>
      <w:szCs w:val="18"/>
    </w:rPr>
  </w:style>
  <w:style w:type="character" w:styleId="1234" w:customStyle="1">
    <w:name w:val="正文文本 3 字符1"/>
    <w:basedOn w:val="986"/>
    <w:uiPriority w:val="99"/>
    <w:semiHidden/>
    <w:qFormat/>
    <w:rPr>
      <w:rFonts w:ascii="Calibri" w:hAnsi="Calibri" w:eastAsia="宋体" w:cs="Times New Roman"/>
      <w:sz w:val="16"/>
      <w:szCs w:val="16"/>
    </w:rPr>
  </w:style>
  <w:style w:type="paragraph" w:styleId="1235" w:customStyle="1">
    <w:name w:val="_Style 106"/>
    <w:basedOn w:val="976"/>
    <w:next w:val="1038"/>
    <w:uiPriority w:val="34"/>
    <w:qFormat/>
    <w:pPr>
      <w:ind w:left="420" w:firstLine="420"/>
      <w:spacing w:line="400" w:lineRule="exact"/>
    </w:pPr>
    <w:rPr>
      <w:rFonts w:ascii="Calibri" w:hAnsi="Calibri"/>
    </w:rPr>
  </w:style>
  <w:style w:type="character" w:styleId="1236" w:customStyle="1">
    <w:name w:val="正文文本缩进 3 字符1"/>
    <w:basedOn w:val="986"/>
    <w:uiPriority w:val="99"/>
    <w:semiHidden/>
    <w:qFormat/>
    <w:rPr>
      <w:rFonts w:ascii="Calibri" w:hAnsi="Calibri" w:eastAsia="宋体" w:cs="Times New Roman"/>
      <w:sz w:val="16"/>
      <w:szCs w:val="16"/>
    </w:rPr>
  </w:style>
  <w:style w:type="character" w:styleId="1237" w:customStyle="1">
    <w:name w:val="未处理的提及4"/>
    <w:basedOn w:val="986"/>
    <w:uiPriority w:val="99"/>
    <w:semiHidden/>
    <w:unhideWhenUsed/>
    <w:qFormat/>
    <w:rPr>
      <w:color w:val="605e5c"/>
      <w:shd w:val="clear" w:color="auto" w:fill="e1dfdd"/>
    </w:rPr>
  </w:style>
  <w:style w:type="character" w:styleId="1238" w:customStyle="1">
    <w:name w:val="未处理的提及5"/>
    <w:basedOn w:val="986"/>
    <w:uiPriority w:val="99"/>
    <w:semiHidden/>
    <w:unhideWhenUsed/>
    <w:qFormat/>
    <w:rPr>
      <w:color w:val="605e5c"/>
      <w:shd w:val="clear" w:color="auto" w:fill="e1dfdd"/>
    </w:rPr>
  </w:style>
  <w:style w:type="character" w:styleId="1239" w:customStyle="1">
    <w:name w:val="未处理的提及6"/>
    <w:basedOn w:val="986"/>
    <w:uiPriority w:val="99"/>
    <w:semiHidden/>
    <w:unhideWhenUsed/>
    <w:qFormat/>
    <w:rPr>
      <w:color w:val="605e5c"/>
      <w:shd w:val="clear" w:color="auto" w:fill="e1dfdd"/>
    </w:rPr>
  </w:style>
  <w:style w:type="character" w:styleId="1240" w:customStyle="1">
    <w:name w:val="font101"/>
    <w:qFormat/>
    <w:rPr>
      <w:rFonts w:ascii="PingFangTC-light" w:hAnsi="PingFangTC-light" w:eastAsia="PingFangTC-light" w:cs="PingFangTC-light"/>
      <w:color w:val="ff0000"/>
      <w:sz w:val="22"/>
      <w:szCs w:val="22"/>
      <w:u w:val="none"/>
    </w:rPr>
  </w:style>
  <w:style w:type="character" w:styleId="1241" w:customStyle="1">
    <w:name w:val="font112"/>
    <w:qFormat/>
    <w:rPr>
      <w:rFonts w:ascii="Calibri" w:hAnsi="Calibri" w:cs="Calibri"/>
      <w:color w:val="ff0000"/>
      <w:sz w:val="21"/>
      <w:szCs w:val="21"/>
      <w:u w:val="none"/>
    </w:rPr>
  </w:style>
  <w:style w:type="character" w:styleId="1242" w:customStyle="1">
    <w:name w:val="font121"/>
    <w:qFormat/>
    <w:rPr>
      <w:rFonts w:hint="eastAsia" w:ascii="宋体" w:hAnsi="宋体" w:eastAsia="宋体" w:cs="宋体"/>
      <w:color w:val="000000"/>
      <w:sz w:val="20"/>
      <w:szCs w:val="20"/>
      <w:u w:val="none"/>
    </w:rPr>
  </w:style>
  <w:style w:type="character" w:styleId="1243" w:customStyle="1">
    <w:name w:val="纯文本 Char"/>
    <w:qFormat/>
    <w:rPr>
      <w:rFonts w:ascii="宋体" w:hAnsi="Courier New" w:eastAsia="宋体" w:cs="Courier New"/>
      <w:szCs w:val="21"/>
    </w:rPr>
  </w:style>
  <w:style w:type="character" w:styleId="1244" w:customStyle="1">
    <w:name w:val="NormalCharacter"/>
    <w:qFormat/>
    <w:rPr>
      <w:rFonts w:ascii="Times New Roman" w:hAnsi="Times New Roman" w:eastAsia="宋体" w:cs="Times New Roman"/>
      <w:sz w:val="21"/>
      <w:szCs w:val="22"/>
      <w:lang w:val="en-US" w:eastAsia="zh-CN" w:bidi="ar-SA"/>
    </w:rPr>
  </w:style>
  <w:style w:type="paragraph" w:styleId="1245" w:customStyle="1">
    <w:name w:val="样式 宋体 五号 行距: 单倍行距"/>
    <w:basedOn w:val="976"/>
    <w:qFormat/>
    <w:pPr>
      <w:jc w:val="left"/>
    </w:pPr>
    <w:rPr>
      <w:rFonts w:ascii="宋体" w:hAnsi="宋体"/>
      <w:szCs w:val="20"/>
    </w:rPr>
  </w:style>
  <w:style w:type="paragraph" w:styleId="1246" w:customStyle="1">
    <w:name w:val="一级条标题"/>
    <w:basedOn w:val="1247"/>
    <w:next w:val="124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47" w:customStyle="1">
    <w:name w:val="章标题"/>
    <w:basedOn w:val="976"/>
    <w:next w:val="976"/>
    <w:qFormat/>
    <w:pPr>
      <w:jc w:val="center"/>
      <w:spacing w:before="158" w:after="153" w:line="1292" w:lineRule="atLeast"/>
      <w:widowControl/>
    </w:pPr>
    <w:rPr>
      <w:rFonts w:ascii="Arial" w:hAnsi="Calibri" w:eastAsia="黑体" w:cs="黑体"/>
      <w:sz w:val="31"/>
      <w:szCs w:val="22"/>
      <w:lang w:eastAsia="en-US" w:bidi="en-US"/>
    </w:rPr>
  </w:style>
  <w:style w:type="paragraph" w:styleId="1248" w:customStyle="1">
    <w:name w:val="段"/>
    <w:basedOn w:val="976"/>
    <w:next w:val="976"/>
    <w:qFormat/>
    <w:pPr>
      <w:ind w:firstLine="200"/>
      <w:widowControl/>
    </w:pPr>
    <w:rPr>
      <w:rFonts w:hint="eastAsia" w:ascii="宋体"/>
      <w:szCs w:val="20"/>
    </w:rPr>
  </w:style>
  <w:style w:type="paragraph" w:styleId="1249" w:customStyle="1">
    <w:name w:val="首行缩进"/>
    <w:qFormat/>
    <w:pPr>
      <w:ind w:firstLine="480"/>
      <w:spacing w:line="360" w:lineRule="auto"/>
      <w:widowControl w:val="off"/>
    </w:pPr>
    <w:rPr>
      <w:rFonts w:ascii="宋体" w:hAnsi="宋体" w:cs="宋体"/>
      <w:sz w:val="24"/>
      <w:szCs w:val="24"/>
    </w:rPr>
  </w:style>
  <w:style w:type="paragraph" w:styleId="1250" w:customStyle="1">
    <w:name w:val="RZM投标图片和表格"/>
    <w:basedOn w:val="976"/>
    <w:qFormat/>
    <w:rPr>
      <w:szCs w:val="20"/>
    </w:rPr>
  </w:style>
  <w:style w:type="paragraph" w:styleId="1251" w:customStyle="1">
    <w:name w:val="列表段落1"/>
    <w:basedOn w:val="976"/>
    <w:next w:val="996"/>
    <w:qFormat/>
    <w:pPr>
      <w:ind w:firstLine="420"/>
    </w:pPr>
  </w:style>
  <w:style w:type="paragraph" w:styleId="1252" w:customStyle="1">
    <w:name w:val="修订3"/>
    <w:hidden/>
    <w:uiPriority w:val="99"/>
    <w:unhideWhenUsed/>
    <w:qFormat/>
    <w:rPr>
      <w:sz w:val="21"/>
      <w:szCs w:val="24"/>
    </w:rPr>
  </w:style>
  <w:style w:type="character" w:styleId="1253" w:customStyle="1">
    <w:name w:val="未处理的提及7"/>
    <w:basedOn w:val="986"/>
    <w:uiPriority w:val="99"/>
    <w:semiHidden/>
    <w:unhideWhenUsed/>
    <w:qFormat/>
    <w:rPr>
      <w:color w:val="605e5c"/>
      <w:shd w:val="clear" w:color="auto" w:fill="e1dfdd"/>
    </w:rPr>
  </w:style>
  <w:style w:type="paragraph" w:styleId="1254" w:customStyle="1">
    <w:name w:val="修订4"/>
    <w:hidden/>
    <w:uiPriority w:val="99"/>
    <w:unhideWhenUsed/>
    <w:qFormat/>
    <w:rPr>
      <w:sz w:val="21"/>
      <w:szCs w:val="24"/>
    </w:rPr>
  </w:style>
  <w:style w:type="paragraph" w:styleId="1255" w:customStyle="1">
    <w:name w:val="修订5"/>
    <w:hidden/>
    <w:uiPriority w:val="99"/>
    <w:unhideWhenUsed/>
    <w:qFormat/>
    <w:rPr>
      <w:sz w:val="21"/>
      <w:szCs w:val="24"/>
    </w:rPr>
  </w:style>
  <w:style w:type="paragraph" w:styleId="1256" w:customStyle="1">
    <w:name w:val="修订6"/>
    <w:hidden/>
    <w:uiPriority w:val="99"/>
    <w:unhideWhenUsed/>
    <w:qFormat/>
    <w:rPr>
      <w:sz w:val="21"/>
      <w:szCs w:val="24"/>
    </w:rPr>
  </w:style>
  <w:style w:type="paragraph" w:styleId="1257" w:customStyle="1">
    <w:name w:val="修订7"/>
    <w:hidden/>
    <w:uiPriority w:val="99"/>
    <w:unhideWhenUsed/>
    <w:qFormat/>
    <w:rPr>
      <w:sz w:val="21"/>
      <w:szCs w:val="24"/>
    </w:rPr>
  </w:style>
  <w:style w:type="paragraph" w:styleId="1258">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7110C-3F70-47BD-B1BC-E739F75BC1EA}">
  <ds:schemaRefs>
    <ds:schemaRef ds:uri="http://schemas.openxmlformats.org/officeDocument/2006/bibliography"/>
  </ds:schemaRefs>
</ds:datastoreItem>
</file>

<file path=customXml/itemProps3.xml><?xml version="1.0" encoding="utf-8"?>
<ds:datastoreItem xmlns:ds="http://schemas.openxmlformats.org/officeDocument/2006/customXml" ds:itemID="{200873C3-1D62-4EB1-90CA-246183C3F16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22</cp:revision>
  <dcterms:created xsi:type="dcterms:W3CDTF">2026-06-01T10:39:00Z</dcterms:created>
  <dcterms:modified xsi:type="dcterms:W3CDTF">2026-06-08T07:56:07Z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ADD73CD81E30498F8DA246C8FA71AB1F_13</vt:lpwstr>
  </property>
  <property fmtid="{D5CDD505-2E9C-101B-9397-08002B2CF9AE}" pid="4" name="KSOTemplateDocerSaveRecord">
    <vt:lpwstr>eyJoZGlkIjoiMjQ2OTE0MmNjMjNlNTViMzRkZGFmNDBkZjExMDlhZDUiLCJ1c2VySWQiOiIxNzY4NDMxMTAxIn0=</vt:lpwstr>
  </property>
</Properties>
</file>