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w:t>
      </w:r>
      <w:bookmarkStart w:id="0" w:name="_GoBack"/>
      <w:r/>
      <w:bookmarkEnd w:id="0"/>
      <w:r>
        <w:rPr>
          <w:rFonts w:hint="eastAsia" w:ascii="宋体" w:hAnsi="宋体"/>
          <w:b/>
          <w:sz w:val="108"/>
        </w:rPr>
        <w:t xml:space="preserve">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JSZC-320500-JZCG-G2026-0119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中国共产党苏州市姑苏区委员会政法委员会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2026年度古城区前端监控及后台运维项目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2"/>
        <w:ind w:firstLine="0"/>
        <w:jc w:val="left"/>
        <w:spacing w:before="120" w:after="120"/>
        <w:tabs>
          <w:tab w:val="right" w:pos="9856" w:leader="dot"/>
        </w:tabs>
        <w:rPr>
          <w:rStyle w:val="914"/>
          <w:rFonts w:ascii="宋体" w:hAnsi="宋体" w:cs="Calibri"/>
          <w:bCs/>
          <w:caps/>
          <w:color w:val="auto"/>
          <w:sz w:val="32"/>
          <w:szCs w:val="32"/>
        </w:rPr>
        <w:outlineLvl w:val="9"/>
      </w:pPr>
      <w:r>
        <w:rPr>
          <w:rFonts w:ascii="宋体" w:hAnsi="宋体" w:cs="Calibri"/>
          <w:bCs/>
          <w:caps/>
          <w:color w:val="auto"/>
          <w:sz w:val="32"/>
          <w:szCs w:val="32"/>
        </w:rPr>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rPr>
          <w:rStyle w:val="914"/>
          <w:rFonts w:ascii="宋体" w:hAnsi="宋体" w:cs="Calibri"/>
          <w:bCs/>
          <w:caps/>
          <w:color w:val="auto"/>
          <w:sz w:val="32"/>
        </w:rPr>
        <w:fldChar w:fldCharType="begin"/>
      </w:r>
      <w:r>
        <w:rPr>
          <w:rStyle w:val="914"/>
          <w:rFonts w:ascii="宋体" w:hAnsi="宋体" w:cs="Calibri"/>
          <w:bCs/>
          <w:caps/>
          <w:color w:val="auto"/>
          <w:sz w:val="32"/>
        </w:rPr>
        <w:instrText xml:space="preserve"> TOC \o "1-1" \h \z \u </w:instrText>
      </w:r>
      <w:r>
        <w:rPr>
          <w:rStyle w:val="914"/>
          <w:rFonts w:ascii="宋体" w:hAnsi="宋体" w:cs="Calibri"/>
          <w:bCs/>
          <w:caps/>
          <w:color w:val="auto"/>
          <w:sz w:val="32"/>
        </w:rPr>
        <w:fldChar w:fldCharType="separate"/>
      </w:r>
      <w:hyperlink w:tooltip="#_Toc105397776" w:anchor="_Toc105397776" w:history="1">
        <w:r>
          <w:rPr>
            <w:rStyle w:val="914"/>
            <w:rFonts w:ascii="宋体" w:hAnsi="宋体" w:cs="Calibri"/>
            <w:bCs/>
            <w:caps/>
            <w:color w:val="auto"/>
            <w:sz w:val="32"/>
            <w:szCs w:val="32"/>
          </w:rPr>
          <w:t xml:space="preserve">第一章 投标邀请函</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_Toc105397776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5</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7" w:anchor="_Toc105397777" w:history="1">
        <w:r>
          <w:rPr>
            <w:rStyle w:val="914"/>
            <w:rFonts w:ascii="宋体" w:hAnsi="宋体" w:cs="Calibri"/>
            <w:bCs/>
            <w:caps/>
            <w:color w:val="auto"/>
            <w:sz w:val="32"/>
            <w:szCs w:val="32"/>
          </w:rPr>
          <w:t xml:space="preserve">第二章 投标人须知</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_Toc105397777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8</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8" w:anchor="_Toc105397778" w:history="1">
        <w:r>
          <w:rPr>
            <w:rStyle w:val="914"/>
            <w:rFonts w:ascii="宋体" w:hAnsi="宋体" w:cs="Calibri"/>
            <w:bCs/>
            <w:caps/>
            <w:color w:val="auto"/>
            <w:sz w:val="32"/>
            <w:szCs w:val="32"/>
          </w:rPr>
          <w:t xml:space="preserve">第三章 投标文件格式</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_Toc105397778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20</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3" w:anchor="_Toc105397793" w:history="1">
        <w:r>
          <w:rPr>
            <w:rStyle w:val="914"/>
            <w:rFonts w:ascii="宋体" w:hAnsi="宋体" w:cs="Calibri"/>
            <w:bCs/>
            <w:caps/>
            <w:color w:val="auto"/>
            <w:sz w:val="32"/>
            <w:szCs w:val="32"/>
          </w:rPr>
          <w:t xml:space="preserve">第四章 招标书</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_Toc105397793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33</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4" w:anchor="_Toc105397794" w:history="1">
        <w:r>
          <w:rPr>
            <w:rStyle w:val="914"/>
            <w:rFonts w:ascii="宋体" w:hAnsi="宋体" w:cs="Calibri"/>
            <w:bCs/>
            <w:caps/>
            <w:color w:val="auto"/>
            <w:sz w:val="32"/>
            <w:szCs w:val="32"/>
          </w:rPr>
          <w:t xml:space="preserve">第五章 合同及主要条款</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_Toc105397794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54</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5" w:anchor="_Toc105397795" w:history="1">
        <w:r>
          <w:rPr>
            <w:rStyle w:val="914"/>
            <w:rFonts w:ascii="宋体" w:hAnsi="宋体" w:cs="Calibri"/>
            <w:bCs/>
            <w:caps/>
            <w:color w:val="auto"/>
            <w:sz w:val="32"/>
            <w:szCs w:val="32"/>
          </w:rPr>
          <w:t xml:space="preserve">第六章 评标办法和评分标准</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_Toc105397795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ascii="宋体" w:hAnsi="宋体" w:cs="Calibri"/>
            <w:bCs/>
            <w:caps/>
            <w:color w:val="auto"/>
            <w:sz w:val="32"/>
            <w:szCs w:val="32"/>
          </w:rPr>
          <w:t xml:space="preserve">54</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6" w:leader="dot"/>
        </w:tabs>
        <w:rPr>
          <w:rFonts w:ascii="宋体" w:hAnsi="宋体"/>
          <w:sz w:val="32"/>
          <w:szCs w:val="32"/>
        </w:rPr>
        <w:outlineLvl w:val="9"/>
      </w:pPr>
      <w:r>
        <w:rPr>
          <w:rStyle w:val="91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2026年度古城区前端监控及后台运维项目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bookmarkStart w:id="4" w:name="OLE_LINK28"/>
            <w:r>
              <w:rPr>
                <w:rFonts w:ascii="宋体" w:hAnsi="宋体"/>
                <w:sz w:val="21"/>
                <w:szCs w:val="21"/>
              </w:rPr>
              <w:t xml:space="preserve">69820255</w:t>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中国共产党苏州市姑苏区委员会政法委员会</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陈栋喜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65211767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979"/>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2026年度古城区前端监控及后台运维项目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月18</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JSZC-320500-JZCG-G2026-0119</w:t>
      </w:r>
      <w:r/>
    </w:p>
    <w:p>
      <w:pPr>
        <w:pStyle w:val="86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2026年度古城区前端监控及后台运维项目</w:t>
      </w:r>
      <w:r/>
    </w:p>
    <w:p>
      <w:pPr>
        <w:pStyle w:val="86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7"/>
        <w:ind w:left="0" w:firstLine="420"/>
        <w:spacing w:line="360" w:lineRule="auto"/>
        <w:rPr>
          <w:rFonts w:ascii="宋体" w:hAnsi="宋体"/>
          <w:sz w:val="21"/>
          <w:szCs w:val="21"/>
        </w:rPr>
      </w:pPr>
      <w:r>
        <w:rPr>
          <w:rFonts w:hint="eastAsia" w:ascii="宋体" w:hAnsi="宋体"/>
          <w:sz w:val="21"/>
          <w:szCs w:val="21"/>
        </w:rPr>
        <w:t xml:space="preserve">4.预算金额：</w:t>
      </w:r>
      <w:bookmarkStart w:id="8" w:name="OLE_LINK27"/>
      <w:r/>
      <w:bookmarkStart w:id="9" w:name="OLE_LINK36"/>
      <w:r>
        <w:rPr>
          <w:rFonts w:hint="eastAsia" w:ascii="宋体" w:hAnsi="宋体"/>
          <w:sz w:val="21"/>
          <w:szCs w:val="21"/>
        </w:rPr>
        <w:t xml:space="preserve">人民币</w:t>
      </w:r>
      <w:r>
        <w:rPr>
          <w:rFonts w:hint="eastAsia" w:ascii="宋体" w:hAnsi="宋体"/>
          <w:sz w:val="21"/>
          <w:szCs w:val="21"/>
        </w:rPr>
        <w:t xml:space="preserve">贰佰捌拾陆万贰仟陆佰贰拾玖元整</w:t>
      </w:r>
      <w:r>
        <w:rPr>
          <w:rFonts w:hint="eastAsia" w:ascii="宋体" w:hAnsi="宋体"/>
          <w:sz w:val="21"/>
          <w:szCs w:val="21"/>
        </w:rPr>
        <w:t xml:space="preserve">（¥</w:t>
      </w:r>
      <w:r>
        <w:rPr>
          <w:rFonts w:ascii="宋体" w:hAnsi="宋体"/>
          <w:sz w:val="21"/>
          <w:szCs w:val="21"/>
        </w:rPr>
        <w:t xml:space="preserve">2862629</w:t>
      </w:r>
      <w:r>
        <w:rPr>
          <w:rFonts w:hint="eastAsia" w:ascii="宋体" w:hAnsi="宋体"/>
          <w:sz w:val="21"/>
          <w:szCs w:val="21"/>
        </w:rPr>
        <w:t xml:space="preserve">.00）</w:t>
      </w:r>
      <w:bookmarkEnd w:id="8"/>
      <w:r/>
      <w:bookmarkEnd w:id="9"/>
      <w:r/>
      <w:r/>
    </w:p>
    <w:p>
      <w:pPr>
        <w:pStyle w:val="86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人民币贰佰捌拾陆万贰仟陆佰贰拾玖元整（¥2862629.00）</w:t>
      </w:r>
      <w:r/>
    </w:p>
    <w:p>
      <w:pPr>
        <w:pStyle w:val="86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自本合同签订生效之日起，服务期12个月（具体起止时间以甲方实际需求为准）。</w:t>
      </w:r>
      <w:r/>
    </w:p>
    <w:p>
      <w:pPr>
        <w:pStyle w:val="86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67"/>
        <w:ind w:left="0" w:firstLine="420"/>
        <w:spacing w:line="360" w:lineRule="auto"/>
        <w:rPr>
          <w:rFonts w:ascii="宋体" w:hAnsi="宋体"/>
          <w:sz w:val="21"/>
          <w:szCs w:val="21"/>
        </w:rPr>
      </w:pPr>
      <w:r>
        <w:rPr>
          <w:rFonts w:hint="eastAsia" w:ascii="宋体" w:hAnsi="宋体"/>
          <w:sz w:val="21"/>
          <w:szCs w:val="21"/>
        </w:rPr>
        <w:t xml:space="preserve">本次古城区前端监控及后台运维项目共涉及高清监控前端数量1501个、立杆设备箱3821套、中心机房设备340台以及软件平台，网络服务共计租纤842条。</w:t>
      </w:r>
      <w:r/>
    </w:p>
    <w:p>
      <w:pPr>
        <w:pStyle w:val="86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7"/>
        <w:ind w:left="0" w:firstLine="420"/>
        <w:spacing w:line="360" w:lineRule="auto"/>
        <w:rPr>
          <w:rFonts w:ascii="宋体" w:hAnsi="宋体"/>
          <w:sz w:val="21"/>
          <w:szCs w:val="21"/>
        </w:rPr>
      </w:pPr>
      <w:r>
        <w:rPr>
          <w:rFonts w:hint="eastAsia" w:ascii="宋体" w:hAnsi="宋体"/>
          <w:sz w:val="21"/>
          <w:szCs w:val="21"/>
        </w:rPr>
        <w:t xml:space="preserve">3.方式：</w:t>
      </w:r>
      <w:r/>
    </w:p>
    <w:p>
      <w:pPr>
        <w:pStyle w:val="86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8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6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年6月18日9点30分</w:t>
      </w:r>
      <w:r>
        <w:rPr>
          <w:rFonts w:hint="eastAsia" w:ascii="宋体" w:hAnsi="宋体"/>
          <w:sz w:val="21"/>
          <w:szCs w:val="21"/>
        </w:rPr>
        <w:t xml:space="preserve">（北京时间）；</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年6月18日9点30分</w:t>
      </w:r>
      <w:r>
        <w:rPr>
          <w:rFonts w:hint="eastAsia" w:ascii="宋体" w:hAnsi="宋体"/>
          <w:sz w:val="21"/>
          <w:szCs w:val="21"/>
        </w:rPr>
        <w:t xml:space="preserve">（北京时间）；</w:t>
      </w:r>
      <w:r/>
    </w:p>
    <w:p>
      <w:pPr>
        <w:pStyle w:val="86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中国共产党苏州市姑苏区委员会政法委员会</w:t>
      </w:r>
      <w:r/>
    </w:p>
    <w:p>
      <w:pPr>
        <w:pStyle w:val="86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pStyle w:val="86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陈栋喜</w:t>
      </w:r>
      <w:r/>
    </w:p>
    <w:p>
      <w:pPr>
        <w:pStyle w:val="86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65211767</w:t>
      </w:r>
      <w:r/>
    </w:p>
    <w:p>
      <w:pPr>
        <w:pStyle w:val="86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6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6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1"/>
      </w:pPr>
      <w:r/>
      <w:r/>
    </w:p>
    <w:p>
      <w:r/>
      <w:r/>
    </w:p>
    <w:p>
      <w:pPr>
        <w:pStyle w:val="861"/>
      </w:pPr>
      <w:r/>
      <w:r/>
    </w:p>
    <w:p>
      <w:r/>
      <w:r/>
    </w:p>
    <w:p>
      <w:pPr>
        <w:pStyle w:val="861"/>
      </w:pPr>
      <w:r/>
      <w:r/>
    </w:p>
    <w:p>
      <w:r/>
      <w:r/>
    </w:p>
    <w:p>
      <w:pPr>
        <w:pStyle w:val="861"/>
      </w:pPr>
      <w:r/>
      <w:r/>
    </w:p>
    <w:p>
      <w:pPr>
        <w:pStyle w:val="861"/>
        <w:ind w:left="0" w:firstLine="0"/>
      </w:pPr>
      <w:r/>
      <w:r/>
    </w:p>
    <w:p>
      <w:pPr>
        <w:pStyle w:val="849"/>
        <w:ind w:left="0" w:firstLine="0"/>
        <w:jc w:val="center"/>
        <w:rPr>
          <w:rFonts w:ascii="宋体" w:hAnsi="宋体"/>
          <w:b/>
          <w:sz w:val="44"/>
          <w:szCs w:val="22"/>
        </w:rPr>
      </w:pPr>
      <w:r/>
      <w:bookmarkStart w:id="12" w:name="_Toc105397777"/>
      <w:r/>
      <w:bookmarkStart w:id="13" w:name="_Toc6217"/>
      <w:r/>
      <w:bookmarkStart w:id="1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67"/>
        <w:ind w:left="0" w:firstLine="422"/>
        <w:spacing w:line="360" w:lineRule="auto"/>
        <w:rPr>
          <w:rFonts w:ascii="宋体" w:hAnsi="宋体"/>
          <w:b/>
          <w:sz w:val="21"/>
          <w:szCs w:val="21"/>
        </w:rPr>
      </w:pPr>
      <w:r/>
      <w:bookmarkStart w:id="16" w:name="_Toc20132"/>
      <w:r/>
      <w:bookmarkStart w:id="17" w:name="_Toc13437"/>
      <w:r>
        <w:rPr>
          <w:rFonts w:hint="eastAsia" w:ascii="宋体" w:hAnsi="宋体"/>
          <w:b/>
          <w:sz w:val="21"/>
          <w:szCs w:val="21"/>
        </w:rPr>
        <w:t xml:space="preserve">一、说明和释义</w:t>
      </w:r>
      <w:bookmarkEnd w:id="16"/>
      <w:r/>
      <w:bookmarkEnd w:id="17"/>
      <w:r/>
      <w:r/>
    </w:p>
    <w:p>
      <w:pPr>
        <w:pStyle w:val="867"/>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6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7"/>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6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67"/>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6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6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7"/>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rPr>
          <w:rFonts w:hint="eastAsia" w:ascii="宋体" w:hAnsi="宋体"/>
          <w:b/>
          <w:sz w:val="21"/>
          <w:szCs w:val="21"/>
        </w:rPr>
        <w:t xml:space="preserve">与质疑函一起递交，否则不予受理。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7"/>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bookmarkStart w:id="33" w:name="OLE_LINK41"/>
      <w:r>
        <w:rPr>
          <w:rFonts w:hint="eastAsia" w:ascii="宋体" w:hAnsi="宋体"/>
          <w:b/>
          <w:sz w:val="21"/>
          <w:szCs w:val="21"/>
        </w:rPr>
        <w:t xml:space="preserve">联系电话：0512-69826795</w:t>
      </w:r>
      <w:r/>
    </w:p>
    <w:p>
      <w:pPr>
        <w:pStyle w:val="86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bookmarkEnd w:id="33"/>
      <w:r/>
    </w:p>
    <w:p>
      <w:pPr>
        <w:pStyle w:val="86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6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bookmarkEnd w:id="35"/>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3"/>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41"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41"/>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42" w:name="OLE_LINK15"/>
      <w:r/>
      <w:bookmarkStart w:id="43" w:name="OLE_LINK16"/>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42"/>
      <w:r/>
      <w:bookmarkEnd w:id="43"/>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44" w:name="OLE_LINK29"/>
      <w:r/>
      <w:bookmarkStart w:id="45"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083"/>
        <w:ind w:left="0" w:firstLine="422"/>
        <w:spacing w:line="360" w:lineRule="auto"/>
        <w:rPr>
          <w:shd w:val="clear" w:color="auto" w:fill="ffffff"/>
        </w:rPr>
      </w:pPr>
      <w:r/>
      <w:bookmarkStart w:id="46" w:name="OLE_LINK3"/>
      <w:r/>
      <w:bookmarkStart w:id="47" w:name="OLE_LINK4"/>
      <w:r/>
      <w:bookmarkStart w:id="48" w:name="OLE_LINK31"/>
      <w:r/>
      <w:bookmarkStart w:id="49" w:name="OLE_LINK34"/>
      <w:r/>
      <w:bookmarkEnd w:id="44"/>
      <w:r/>
      <w:bookmarkEnd w:id="45"/>
      <w:r>
        <w:rPr>
          <w:rFonts w:ascii="宋体" w:hAnsi="宋体"/>
          <w:b/>
          <w:sz w:val="21"/>
          <w:szCs w:val="21"/>
        </w:rPr>
        <w:t xml:space="preserve">26.4.2</w:t>
      </w:r>
      <w:r>
        <w:rPr>
          <w:rFonts w:hint="eastAsia" w:ascii="宋体" w:hAnsi="宋体"/>
          <w:b/>
          <w:sz w:val="21"/>
          <w:szCs w:val="21"/>
        </w:rPr>
        <w:t xml:space="preserve">启动异常低价投标审查后，</w:t>
      </w:r>
      <w:bookmarkStart w:id="50" w:name="OLE_LINK1"/>
      <w:r/>
      <w:bookmarkStart w:id="51" w:name="OLE_LINK2"/>
      <w:r>
        <w:rPr>
          <w:rFonts w:hint="eastAsia" w:ascii="宋体" w:hAnsi="宋体"/>
          <w:b/>
          <w:sz w:val="21"/>
          <w:szCs w:val="21"/>
        </w:rPr>
        <w:t xml:space="preserve">评标委员会</w:t>
      </w:r>
      <w:bookmarkEnd w:id="50"/>
      <w:r/>
      <w:bookmarkEnd w:id="5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2" w:name="OLE_LINK9"/>
      <w:r/>
      <w:bookmarkStart w:id="53" w:name="OLE_LINK10"/>
      <w:r>
        <w:rPr>
          <w:rFonts w:hint="eastAsia" w:ascii="宋体" w:hAnsi="宋体"/>
          <w:b/>
          <w:sz w:val="21"/>
          <w:szCs w:val="21"/>
        </w:rPr>
        <w:t xml:space="preserve">，</w:t>
      </w:r>
      <w:bookmarkEnd w:id="52"/>
      <w:r/>
      <w:bookmarkEnd w:id="5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6"/>
      <w:r/>
      <w:bookmarkEnd w:id="47"/>
      <w:r/>
      <w:bookmarkEnd w:id="48"/>
      <w:bookmarkEnd w:id="49"/>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4" w:name="_Toc19501"/>
      <w:r/>
      <w:bookmarkStart w:id="55" w:name="_Toc18442"/>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4"/>
      <w:r/>
      <w:bookmarkEnd w:id="55"/>
      <w:r/>
      <w:r/>
    </w:p>
    <w:p>
      <w:pPr>
        <w:pStyle w:val="108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6" w:name="_Toc21029"/>
      <w:r/>
      <w:bookmarkStart w:id="57" w:name="_Toc8186"/>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6"/>
      <w:r/>
      <w:bookmarkEnd w:id="57"/>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3"/>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58" w:name="_Toc105397778"/>
      <w:r/>
      <w:bookmarkStart w:id="59" w:name="_Toc7264"/>
      <w:r/>
      <w:bookmarkStart w:id="60" w:name="_Toc24711"/>
      <w:r>
        <w:rPr>
          <w:rFonts w:hint="eastAsia" w:ascii="宋体" w:hAnsi="宋体"/>
          <w:b/>
          <w:sz w:val="44"/>
          <w:szCs w:val="22"/>
        </w:rPr>
        <w:br w:type="page" w:clear="all"/>
      </w:r>
      <w:r>
        <w:rPr>
          <w:rFonts w:hint="eastAsia" w:ascii="宋体" w:hAnsi="宋体"/>
          <w:b/>
          <w:sz w:val="44"/>
          <w:szCs w:val="22"/>
        </w:rPr>
        <w:t xml:space="preserve">第三章  </w:t>
      </w:r>
      <w:bookmarkStart w:id="61" w:name="投标文件格式"/>
      <w:r/>
      <w:bookmarkEnd w:id="61"/>
      <w:r>
        <w:rPr>
          <w:rFonts w:hint="eastAsia" w:ascii="宋体" w:hAnsi="宋体"/>
          <w:b/>
          <w:sz w:val="44"/>
          <w:szCs w:val="22"/>
        </w:rPr>
        <w:t xml:space="preserve">投标文件格式</w:t>
      </w:r>
      <w:bookmarkEnd w:id="58"/>
      <w:r/>
      <w:bookmarkEnd w:id="59"/>
      <w:r/>
      <w:bookmarkEnd w:id="60"/>
      <w:r/>
      <w:r/>
    </w:p>
    <w:p>
      <w:pPr>
        <w:ind w:left="0"/>
        <w:spacing w:line="440" w:lineRule="exact"/>
        <w:rPr>
          <w:rFonts w:ascii="宋体" w:hAnsi="宋体"/>
          <w:b/>
          <w:sz w:val="21"/>
          <w:szCs w:val="21"/>
        </w:rPr>
      </w:pPr>
      <w:r>
        <w:rPr>
          <w:rFonts w:ascii="宋体" w:hAnsi="宋体"/>
          <w:b/>
          <w:sz w:val="21"/>
          <w:szCs w:val="21"/>
        </w:rPr>
        <w:t xml:space="preserve">说明：</w:t>
      </w:r>
      <w:r/>
    </w:p>
    <w:p>
      <w:pPr>
        <w:pStyle w:val="108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2" w:name="_Toc3821"/>
      <w:r/>
      <w:bookmarkStart w:id="63" w:name="_Toc17036"/>
      <w:r/>
      <w:bookmarkStart w:id="64" w:name="_Toc105397779"/>
      <w:r/>
      <w:bookmarkStart w:id="65" w:name="_Toc71810480"/>
      <w:r>
        <w:rPr>
          <w:rFonts w:hint="eastAsia" w:ascii="宋体" w:hAnsi="宋体"/>
          <w:b/>
          <w:sz w:val="21"/>
          <w:szCs w:val="21"/>
        </w:rPr>
        <w:t xml:space="preserve">附件1.投标函</w:t>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5"/>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r/>
    </w:p>
    <w:p>
      <w:pPr>
        <w:pStyle w:val="861"/>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71810483"/>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05397783"/>
      <w:r/>
      <w:bookmarkStart w:id="84" w:name="_Toc71810484"/>
      <w:r/>
      <w:bookmarkStart w:id="85" w:name="_Toc19621"/>
      <w:r/>
      <w:bookmarkStart w:id="8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sz w:val="21"/>
          <w:szCs w:val="21"/>
          <w:u w:val="single"/>
        </w:rPr>
        <w:t xml:space="preserve">中国共产党苏州市姑苏区委员会政法委员会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2026年度古城区前端监控及后台运维项目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2026年度古城区前端监控及后台运维项目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2206"/>
      <w:r/>
      <w:bookmarkStart w:id="90" w:name="_Toc15378"/>
      <w:r/>
      <w:bookmarkStart w:id="9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8"/>
        <w:ind w:left="0" w:firstLine="0"/>
        <w:rPr>
          <w:rFonts w:ascii="宋体" w:hAnsi="宋体"/>
          <w:b/>
          <w:lang w:val="zh-CN"/>
        </w:rPr>
      </w:pPr>
      <w:r>
        <w:rPr>
          <w:rFonts w:ascii="宋体" w:hAnsi="宋体"/>
          <w:b/>
          <w:lang w:val="zh-CN"/>
        </w:rPr>
      </w:r>
      <w:r/>
    </w:p>
    <w:p>
      <w:pPr>
        <w:pStyle w:val="90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rPr>
          <w:rFonts w:ascii="宋体" w:hAnsi="宋体"/>
          <w:b/>
          <w:sz w:val="21"/>
          <w:szCs w:val="21"/>
        </w:rPr>
        <w:t xml:space="preserve">附件7</w:t>
      </w:r>
      <w:r>
        <w:rPr>
          <w:rFonts w:hint="eastAsia" w:ascii="宋体" w:hAnsi="宋体"/>
          <w:b/>
          <w:sz w:val="21"/>
          <w:szCs w:val="21"/>
        </w:rPr>
        <w:t xml:space="preserve">.</w:t>
      </w:r>
      <w:bookmarkEnd w:id="92"/>
      <w:r>
        <w:rPr>
          <w:rFonts w:hint="eastAsia" w:ascii="宋体" w:hAnsi="宋体"/>
          <w:b/>
          <w:sz w:val="21"/>
          <w:szCs w:val="21"/>
        </w:rPr>
        <w:t xml:space="preserve">偏离表（技术、商务）</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87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71810490"/>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2" w:name="OLE_LINK7"/>
      <w:r/>
      <w:bookmarkStart w:id="103" w:name="OLE_LINK8"/>
      <w:r/>
      <w:bookmarkStart w:id="104" w:name="OLE_LINK48"/>
      <w:r>
        <w:rPr>
          <w:rFonts w:hint="eastAsia" w:ascii="宋体" w:hAnsi="宋体"/>
          <w:b/>
          <w:sz w:val="21"/>
          <w:szCs w:val="21"/>
          <w:lang w:val="zh-CN"/>
        </w:rPr>
        <w:t xml:space="preserve">备注：根据招标文件第二章“投标人须知”第26.4</w:t>
      </w:r>
      <w:bookmarkStart w:id="105"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5"/>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2"/>
      <w:bookmarkEnd w:id="103"/>
      <w:bookmarkEnd w:id="104"/>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1"/>
        <w:rPr>
          <w:lang w:val="zh-CN"/>
        </w:rPr>
      </w:pPr>
      <w:r>
        <w:rPr>
          <w:lang w:val="zh-CN"/>
        </w:rPr>
      </w:r>
      <w:r/>
    </w:p>
    <w:p>
      <w:pPr>
        <w:rPr>
          <w:lang w:val="zh-CN"/>
        </w:rPr>
      </w:pPr>
      <w:r>
        <w:rPr>
          <w:lang w:val="zh-CN"/>
        </w:rPr>
      </w:r>
      <w:r/>
    </w:p>
    <w:p>
      <w:pPr>
        <w:pStyle w:val="861"/>
        <w:rPr>
          <w:lang w:val="zh-CN"/>
        </w:rPr>
      </w:pPr>
      <w:r>
        <w:rPr>
          <w:lang w:val="zh-CN"/>
        </w:rPr>
      </w:r>
      <w:r/>
    </w:p>
    <w:p>
      <w:pPr>
        <w:pStyle w:val="849"/>
        <w:ind w:left="0" w:firstLine="0"/>
        <w:jc w:val="center"/>
        <w:rPr>
          <w:rFonts w:ascii="宋体" w:hAnsi="宋体"/>
          <w:b/>
          <w:sz w:val="44"/>
          <w:szCs w:val="22"/>
        </w:rPr>
      </w:pPr>
      <w:r/>
      <w:bookmarkStart w:id="106" w:name="_Toc4098"/>
      <w:r/>
      <w:bookmarkStart w:id="107" w:name="_Toc105397793"/>
      <w:r/>
      <w:bookmarkStart w:id="108" w:name="_Toc23660"/>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中国共产党苏州市姑苏区委员会政法委员会</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2026年度古城区前端监控及后台运维项目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JSZC-320500-JZCG-G2026-0119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2026年度古城区前端监控及后台运维项目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人民币贰佰捌拾陆万贰仟陆佰贰拾玖元整（¥2862629.00）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人民币贰佰捌拾陆万贰仟陆佰贰拾玖元整（¥2862629.00）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自本合同签订生效之日起，服务期12个月（具体起止时间以甲方实际需求为准）。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t xml:space="preserve"> </w:t>
      </w:r>
      <w:r/>
    </w:p>
    <w:p>
      <w:pPr>
        <w:ind w:left="0" w:firstLine="434"/>
        <w:spacing w:line="360" w:lineRule="auto"/>
        <w:rPr>
          <w:rFonts w:ascii="宋体" w:hAnsi="宋体"/>
          <w:b/>
          <w:bCs/>
          <w:spacing w:val="3"/>
          <w:sz w:val="21"/>
          <w:szCs w:val="21"/>
        </w:rPr>
      </w:pPr>
      <w:r>
        <w:rPr>
          <w:rFonts w:ascii="宋体" w:hAnsi="宋体"/>
          <w:b/>
          <w:bCs/>
          <w:spacing w:val="3"/>
          <w:sz w:val="21"/>
          <w:szCs w:val="21"/>
        </w:rPr>
        <w:t xml:space="preserve">（一）服务范围</w:t>
      </w:r>
      <w:r/>
    </w:p>
    <w:p>
      <w:pPr>
        <w:ind w:left="0" w:firstLine="432"/>
        <w:spacing w:line="360" w:lineRule="auto"/>
        <w:rPr>
          <w:rFonts w:ascii="宋体" w:hAnsi="宋体"/>
          <w:spacing w:val="3"/>
          <w:sz w:val="21"/>
          <w:szCs w:val="21"/>
        </w:rPr>
      </w:pPr>
      <w:r>
        <w:rPr>
          <w:rFonts w:hint="eastAsia" w:ascii="宋体" w:hAnsi="宋体"/>
          <w:spacing w:val="3"/>
          <w:sz w:val="21"/>
          <w:szCs w:val="21"/>
        </w:rPr>
        <w:t xml:space="preserve">本次古城区前端监控及后台运维项目共涉及高清监控前端数量</w:t>
      </w:r>
      <w:r>
        <w:rPr>
          <w:rFonts w:ascii="宋体" w:hAnsi="宋体"/>
          <w:spacing w:val="3"/>
          <w:sz w:val="21"/>
          <w:szCs w:val="21"/>
        </w:rPr>
        <w:t xml:space="preserve">1501</w:t>
      </w:r>
      <w:r>
        <w:rPr>
          <w:rFonts w:hint="eastAsia" w:ascii="宋体" w:hAnsi="宋体"/>
          <w:spacing w:val="3"/>
          <w:sz w:val="21"/>
          <w:szCs w:val="21"/>
        </w:rPr>
        <w:t xml:space="preserve">个、立杆设备箱</w:t>
      </w:r>
      <w:r>
        <w:rPr>
          <w:rFonts w:ascii="宋体" w:hAnsi="宋体"/>
          <w:spacing w:val="3"/>
          <w:sz w:val="21"/>
          <w:szCs w:val="21"/>
        </w:rPr>
        <w:t xml:space="preserve">3821</w:t>
      </w:r>
      <w:r>
        <w:rPr>
          <w:rFonts w:hint="eastAsia" w:ascii="宋体" w:hAnsi="宋体"/>
          <w:spacing w:val="3"/>
          <w:sz w:val="21"/>
          <w:szCs w:val="21"/>
        </w:rPr>
        <w:t xml:space="preserve">套、中心机房设备</w:t>
      </w:r>
      <w:r>
        <w:rPr>
          <w:rFonts w:ascii="宋体" w:hAnsi="宋体"/>
          <w:spacing w:val="3"/>
          <w:sz w:val="21"/>
          <w:szCs w:val="21"/>
        </w:rPr>
        <w:t xml:space="preserve">340</w:t>
      </w:r>
      <w:r>
        <w:rPr>
          <w:rFonts w:hint="eastAsia" w:ascii="宋体" w:hAnsi="宋体"/>
          <w:spacing w:val="3"/>
          <w:sz w:val="21"/>
          <w:szCs w:val="21"/>
        </w:rPr>
        <w:t xml:space="preserve">台以及软件平台，网络服务共计租纤</w:t>
      </w:r>
      <w:r>
        <w:rPr>
          <w:rFonts w:ascii="宋体" w:hAnsi="宋体"/>
          <w:spacing w:val="3"/>
          <w:sz w:val="21"/>
          <w:szCs w:val="21"/>
        </w:rPr>
        <w:t xml:space="preserve">842</w:t>
      </w:r>
      <w:r>
        <w:rPr>
          <w:rFonts w:hint="eastAsia" w:ascii="宋体" w:hAnsi="宋体"/>
          <w:spacing w:val="3"/>
          <w:sz w:val="21"/>
          <w:szCs w:val="21"/>
        </w:rPr>
        <w:t xml:space="preserve">条</w:t>
      </w:r>
      <w:r>
        <w:rPr>
          <w:rFonts w:ascii="宋体" w:hAnsi="宋体"/>
          <w:spacing w:val="3"/>
          <w:sz w:val="21"/>
          <w:szCs w:val="21"/>
        </w:rPr>
        <w:t xml:space="preserve"> </w:t>
      </w:r>
      <w:r>
        <w:rPr>
          <w:rFonts w:hint="eastAsia" w:ascii="宋体" w:hAnsi="宋体"/>
          <w:spacing w:val="3"/>
          <w:sz w:val="21"/>
          <w:szCs w:val="21"/>
        </w:rPr>
        <w:t xml:space="preserve">。本次维护采用整包方式采购，内容包括管线部位、硬件设备及中心软件平台整体维护，维护所需的硬件设备及材料由中标方自行采购，采购方不再另行付费（详见备品备件清单）。</w:t>
      </w:r>
      <w:r/>
    </w:p>
    <w:p>
      <w:pPr>
        <w:ind w:left="0" w:firstLine="420"/>
        <w:jc w:val="left"/>
        <w:spacing w:line="360" w:lineRule="auto"/>
        <w:widowControl w:val="off"/>
        <w:tabs>
          <w:tab w:val="left" w:pos="312" w:leader="none"/>
        </w:tabs>
        <w:rPr>
          <w:rFonts w:ascii="宋体" w:hAnsi="宋体" w:cs="Arial"/>
          <w:sz w:val="21"/>
          <w:szCs w:val="21"/>
        </w:rPr>
      </w:pPr>
      <w:r>
        <w:rPr>
          <w:rFonts w:hint="eastAsia" w:ascii="宋体" w:hAnsi="宋体" w:cs="Arial"/>
          <w:sz w:val="21"/>
          <w:szCs w:val="21"/>
        </w:rPr>
        <w:t xml:space="preserve">1、详细维保清单：</w:t>
      </w:r>
      <w:r/>
    </w:p>
    <w:tbl>
      <w:tblPr>
        <w:tblW w:w="857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9"/>
        <w:gridCol w:w="5028"/>
        <w:gridCol w:w="2311"/>
      </w:tblGrid>
      <w:tr>
        <w:trPr>
          <w:trHeight w:val="273"/>
        </w:trPr>
        <w:tc>
          <w:tcPr>
            <w:shd w:val="clear" w:color="auto" w:fill="auto"/>
            <w:tcW w:w="123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shd w:val="clear" w:color="auto" w:fill="auto"/>
            <w:tcW w:w="502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运维系统</w:t>
            </w:r>
            <w:r/>
          </w:p>
        </w:tc>
        <w:tc>
          <w:tcPr>
            <w:shd w:val="clear" w:color="auto" w:fill="auto"/>
            <w:tcW w:w="231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运维期限</w:t>
            </w:r>
            <w:r/>
          </w:p>
        </w:tc>
      </w:tr>
      <w:tr>
        <w:trPr>
          <w:trHeight w:val="90"/>
        </w:trPr>
        <w:tc>
          <w:tcPr>
            <w:shd w:val="clear" w:color="auto" w:fill="auto"/>
            <w:tcW w:w="12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02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姑苏区外围区界卡口及购买服务项目</w:t>
            </w:r>
            <w:r/>
          </w:p>
        </w:tc>
        <w:tc>
          <w:tcPr>
            <w:shd w:val="clear" w:color="auto" w:fill="auto"/>
            <w:tcW w:w="23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1年</w:t>
            </w:r>
            <w:r/>
          </w:p>
        </w:tc>
      </w:tr>
      <w:tr>
        <w:trPr>
          <w:trHeight w:val="273"/>
        </w:trPr>
        <w:tc>
          <w:tcPr>
            <w:shd w:val="clear" w:color="auto" w:fill="auto"/>
            <w:tcW w:w="12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502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姑苏区疫情防控监控项目</w:t>
            </w:r>
            <w:r/>
          </w:p>
        </w:tc>
        <w:tc>
          <w:tcPr>
            <w:shd w:val="clear" w:color="auto" w:fill="auto"/>
            <w:tcW w:w="23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1年</w:t>
            </w:r>
            <w:r/>
          </w:p>
        </w:tc>
      </w:tr>
      <w:tr>
        <w:trPr>
          <w:trHeight w:val="90"/>
        </w:trPr>
        <w:tc>
          <w:tcPr>
            <w:shd w:val="clear" w:color="auto" w:fill="auto"/>
            <w:tcW w:w="12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502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姑苏区疫情防控小区监控安装工程</w:t>
            </w:r>
            <w:r/>
          </w:p>
        </w:tc>
        <w:tc>
          <w:tcPr>
            <w:shd w:val="clear" w:color="auto" w:fill="auto"/>
            <w:tcW w:w="23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1年</w:t>
            </w:r>
            <w:r/>
          </w:p>
        </w:tc>
      </w:tr>
      <w:tr>
        <w:trPr>
          <w:trHeight w:val="94"/>
        </w:trPr>
        <w:tc>
          <w:tcPr>
            <w:shd w:val="clear" w:color="auto" w:fill="auto"/>
            <w:tcW w:w="12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502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姑苏老旧小区及人像识别建设项目</w:t>
            </w:r>
            <w:r/>
          </w:p>
        </w:tc>
        <w:tc>
          <w:tcPr>
            <w:shd w:val="clear" w:color="auto" w:fill="auto"/>
            <w:tcW w:w="23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1年</w:t>
            </w:r>
            <w:r/>
          </w:p>
        </w:tc>
      </w:tr>
      <w:tr>
        <w:trPr>
          <w:trHeight w:val="283"/>
        </w:trPr>
        <w:tc>
          <w:tcPr>
            <w:shd w:val="clear" w:color="auto" w:fill="auto"/>
            <w:tcW w:w="12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W w:w="502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姑苏区臻迭平台</w:t>
            </w:r>
            <w:r/>
          </w:p>
        </w:tc>
        <w:tc>
          <w:tcPr>
            <w:shd w:val="clear" w:color="auto" w:fill="auto"/>
            <w:tcW w:w="23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1年</w:t>
            </w:r>
            <w:r/>
          </w:p>
        </w:tc>
      </w:tr>
    </w:tbl>
    <w:p>
      <w:pPr>
        <w:ind w:left="0" w:firstLine="422"/>
        <w:jc w:val="left"/>
        <w:spacing w:line="360" w:lineRule="auto"/>
        <w:widowControl w:val="off"/>
        <w:tabs>
          <w:tab w:val="left" w:pos="312" w:leader="none"/>
        </w:tabs>
        <w:rPr>
          <w:rFonts w:ascii="宋体" w:hAnsi="宋体" w:cs="Arial"/>
          <w:b/>
          <w:sz w:val="21"/>
          <w:szCs w:val="21"/>
        </w:rPr>
      </w:pPr>
      <w:r>
        <w:rPr>
          <w:rFonts w:hint="eastAsia" w:ascii="宋体" w:hAnsi="宋体" w:cs="Arial"/>
          <w:b/>
          <w:sz w:val="21"/>
          <w:szCs w:val="21"/>
        </w:rPr>
        <w:t xml:space="preserve">1.1姑苏区外围区界卡口及购买服务项目清单</w:t>
      </w:r>
      <w:r/>
    </w:p>
    <w:tbl>
      <w:tblPr>
        <w:tblW w:w="886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9"/>
        <w:gridCol w:w="1229"/>
        <w:gridCol w:w="745"/>
        <w:gridCol w:w="4075"/>
        <w:gridCol w:w="790"/>
        <w:gridCol w:w="630"/>
        <w:gridCol w:w="768"/>
      </w:tblGrid>
      <w:tr>
        <w:trPr>
          <w:trHeight w:val="20"/>
        </w:trPr>
        <w:tc>
          <w:tcPr>
            <w:shd w:val="clear" w:color="auto" w:fill="auto"/>
            <w:tcW w:w="629" w:type="dxa"/>
            <w:vAlign w:val="center"/>
            <w:textDirection w:val="lrTb"/>
            <w:noWrap w:val="false"/>
          </w:tcPr>
          <w:p>
            <w:pPr>
              <w:ind w:left="0"/>
              <w:jc w:val="center"/>
              <w:rPr>
                <w:rFonts w:ascii="宋体" w:hAnsi="宋体"/>
                <w:b/>
              </w:rPr>
            </w:pPr>
            <w:r>
              <w:rPr>
                <w:rFonts w:hint="eastAsia" w:ascii="宋体" w:hAnsi="宋体"/>
                <w:b/>
              </w:rPr>
              <w:t xml:space="preserve">序号</w:t>
            </w:r>
            <w:r/>
          </w:p>
        </w:tc>
        <w:tc>
          <w:tcPr>
            <w:shd w:val="clear" w:color="auto" w:fill="auto"/>
            <w:tcW w:w="1229" w:type="dxa"/>
            <w:vAlign w:val="center"/>
            <w:textDirection w:val="lrTb"/>
            <w:noWrap w:val="false"/>
          </w:tcPr>
          <w:p>
            <w:pPr>
              <w:ind w:left="0"/>
              <w:jc w:val="left"/>
              <w:rPr>
                <w:rFonts w:ascii="宋体" w:hAnsi="宋体"/>
                <w:b/>
              </w:rPr>
            </w:pPr>
            <w:r>
              <w:rPr>
                <w:rFonts w:hint="eastAsia" w:ascii="宋体" w:hAnsi="宋体"/>
                <w:b/>
              </w:rPr>
              <w:t xml:space="preserve">标的物名称</w:t>
            </w:r>
            <w:r/>
          </w:p>
        </w:tc>
        <w:tc>
          <w:tcPr>
            <w:shd w:val="clear" w:color="auto" w:fill="auto"/>
            <w:tcW w:w="745" w:type="dxa"/>
            <w:vAlign w:val="center"/>
            <w:textDirection w:val="lrTb"/>
            <w:noWrap w:val="false"/>
          </w:tcPr>
          <w:p>
            <w:pPr>
              <w:ind w:left="0"/>
              <w:jc w:val="center"/>
              <w:rPr>
                <w:rFonts w:ascii="宋体" w:hAnsi="宋体"/>
                <w:b/>
              </w:rPr>
            </w:pPr>
            <w:r>
              <w:rPr>
                <w:rFonts w:hint="eastAsia" w:ascii="宋体" w:hAnsi="宋体"/>
                <w:b/>
              </w:rPr>
              <w:t xml:space="preserve">品牌</w:t>
            </w:r>
            <w:r/>
          </w:p>
        </w:tc>
        <w:tc>
          <w:tcPr>
            <w:shd w:val="clear" w:color="auto" w:fill="auto"/>
            <w:tcW w:w="4075" w:type="dxa"/>
            <w:vAlign w:val="center"/>
            <w:textDirection w:val="lrTb"/>
            <w:noWrap w:val="false"/>
          </w:tcPr>
          <w:p>
            <w:pPr>
              <w:ind w:left="0"/>
              <w:jc w:val="left"/>
              <w:rPr>
                <w:rFonts w:ascii="宋体" w:hAnsi="宋体"/>
                <w:b/>
              </w:rPr>
            </w:pPr>
            <w:r>
              <w:rPr>
                <w:rFonts w:hint="eastAsia" w:ascii="宋体" w:hAnsi="宋体"/>
                <w:b/>
              </w:rPr>
              <w:t xml:space="preserve">规格型号</w:t>
            </w:r>
            <w:r/>
          </w:p>
        </w:tc>
        <w:tc>
          <w:tcPr>
            <w:shd w:val="clear" w:color="auto" w:fill="auto"/>
            <w:tcW w:w="790" w:type="dxa"/>
            <w:vAlign w:val="center"/>
            <w:textDirection w:val="lrTb"/>
            <w:noWrap w:val="false"/>
          </w:tcPr>
          <w:p>
            <w:pPr>
              <w:ind w:left="0"/>
              <w:jc w:val="center"/>
              <w:rPr>
                <w:rFonts w:ascii="宋体" w:hAnsi="宋体"/>
                <w:b/>
              </w:rPr>
            </w:pPr>
            <w:r>
              <w:rPr>
                <w:rFonts w:hint="eastAsia" w:ascii="宋体" w:hAnsi="宋体"/>
                <w:b/>
              </w:rPr>
              <w:t xml:space="preserve">产地</w:t>
            </w:r>
            <w:r/>
          </w:p>
        </w:tc>
        <w:tc>
          <w:tcPr>
            <w:shd w:val="clear" w:color="auto" w:fill="auto"/>
            <w:tcW w:w="630" w:type="dxa"/>
            <w:vAlign w:val="center"/>
            <w:textDirection w:val="lrTb"/>
            <w:noWrap w:val="false"/>
          </w:tcPr>
          <w:p>
            <w:pPr>
              <w:ind w:left="0"/>
              <w:jc w:val="center"/>
              <w:rPr>
                <w:rFonts w:ascii="宋体" w:hAnsi="宋体"/>
                <w:b/>
              </w:rPr>
            </w:pPr>
            <w:r>
              <w:rPr>
                <w:rFonts w:hint="eastAsia" w:ascii="宋体" w:hAnsi="宋体"/>
                <w:b/>
              </w:rPr>
              <w:t xml:space="preserve">单位</w:t>
            </w:r>
            <w:r/>
          </w:p>
        </w:tc>
        <w:tc>
          <w:tcPr>
            <w:shd w:val="clear" w:color="auto" w:fill="auto"/>
            <w:tcW w:w="768" w:type="dxa"/>
            <w:vAlign w:val="center"/>
            <w:textDirection w:val="lrTb"/>
            <w:noWrap w:val="false"/>
          </w:tcPr>
          <w:p>
            <w:pPr>
              <w:ind w:left="0"/>
              <w:jc w:val="center"/>
              <w:rPr>
                <w:rFonts w:ascii="宋体" w:hAnsi="宋体"/>
                <w:b/>
              </w:rPr>
            </w:pPr>
            <w:r>
              <w:rPr>
                <w:rFonts w:hint="eastAsia" w:ascii="宋体" w:hAnsi="宋体"/>
                <w:b/>
              </w:rPr>
              <w:t xml:space="preserve">数量</w:t>
            </w:r>
            <w:r/>
          </w:p>
        </w:tc>
      </w:tr>
      <w:tr>
        <w:trPr>
          <w:trHeight w:val="20"/>
        </w:trPr>
        <w:tc>
          <w:tcPr>
            <w:gridSpan w:val="7"/>
            <w:shd w:val="clear" w:color="auto" w:fill="auto"/>
            <w:tcW w:w="8866" w:type="dxa"/>
            <w:vAlign w:val="center"/>
            <w:textDirection w:val="lrTb"/>
            <w:noWrap w:val="false"/>
          </w:tcPr>
          <w:p>
            <w:pPr>
              <w:ind w:left="0"/>
              <w:jc w:val="center"/>
              <w:rPr>
                <w:rFonts w:ascii="宋体" w:hAnsi="宋体"/>
              </w:rPr>
            </w:pPr>
            <w:r>
              <w:rPr>
                <w:rFonts w:hint="eastAsia" w:ascii="宋体" w:hAnsi="宋体"/>
                <w:b/>
                <w:bCs/>
              </w:rPr>
              <w:t xml:space="preserve">一、硬件采购</w:t>
            </w:r>
            <w:r/>
          </w:p>
        </w:tc>
      </w:tr>
      <w:tr>
        <w:trPr>
          <w:trHeight w:val="20"/>
        </w:trPr>
        <w:tc>
          <w:tcPr>
            <w:gridSpan w:val="7"/>
            <w:shd w:val="clear" w:color="auto" w:fill="auto"/>
            <w:tcW w:w="8866" w:type="dxa"/>
            <w:vAlign w:val="center"/>
            <w:textDirection w:val="lrTb"/>
            <w:noWrap w:val="false"/>
          </w:tcPr>
          <w:p>
            <w:pPr>
              <w:ind w:left="0"/>
              <w:jc w:val="center"/>
              <w:rPr>
                <w:rFonts w:ascii="宋体" w:hAnsi="宋体"/>
              </w:rPr>
            </w:pPr>
            <w:r>
              <w:rPr>
                <w:rFonts w:hint="eastAsia" w:ascii="宋体" w:hAnsi="宋体"/>
                <w:b/>
                <w:bCs/>
              </w:rPr>
              <w:t xml:space="preserve">（一）外围区界卡口</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超微光智能卡口单元</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 IPC695-HUS-C900D　</w:t>
            </w:r>
            <w:r>
              <w:rPr>
                <w:rFonts w:hint="eastAsia" w:ascii="宋体" w:hAnsi="宋体"/>
              </w:rPr>
              <w:br/>
              <w:t xml:space="preserve">规格：1英寸全局快门CMOS，900万像素，分辨率不低于4096*2160，高清智能摄像机，一体化实现车辆检测抓拍、车辆特征识别、智能人脸增强、补光控制、AI图像处理、图片合成、数据传输对联等功能，视频输出H.265/H.264  25fps，码率小于16Mbps；摄像单元包含防护罩、高清摄像机、综合控制模块、电源模块、安装支架、64G存储卡、防尘防水滴面板、遮光筒、视</w:t>
            </w:r>
            <w:r>
              <w:rPr>
                <w:rFonts w:hint="eastAsia" w:ascii="宋体" w:hAnsi="宋体"/>
              </w:rPr>
              <w:t xml:space="preserve">窗玻璃、LED补光灯等部件。补光灯为内嵌横向前置LED频闪补光灯，含12颗LED灯珠；可支持线圈、雷达、视频互补检测。防护等级不低于IP66。</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178</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超微光卡口补光装置</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型号：CXBG-1-PS-K210</w:t>
            </w:r>
            <w:r>
              <w:rPr>
                <w:rFonts w:hint="eastAsia" w:ascii="宋体" w:hAnsi="宋体"/>
              </w:rPr>
              <w:br/>
              <w:t xml:space="preserve">规格：LED频闪补光灯，48颗Cree高亮LED灯珠；色温≥5000K，功率0~45W可调，光效120 Lm/W，平均照度≤20Lux ，使用寿命≥5万小时；带安装支架。</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178</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超微光卡口闪光装置</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型号：CXBG-2-MC-K308</w:t>
            </w:r>
            <w:r>
              <w:rPr>
                <w:rFonts w:hint="eastAsia" w:ascii="宋体" w:hAnsi="宋体"/>
              </w:rPr>
              <w:br/>
              <w:t xml:space="preserve">规格：闪光灯，白光；采用有效隔离措施，防止光污染；闪光持续时间≤1/40ms， 色温≥5500K，回电时间≤40ms，单次能耗5~30焦耳/次可调，单次闪光曝光指数（1m@ISO100）≥45，使用寿命≥1000万次或3年，工作温度-40°C~+80°C；带安装支架。</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178</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防雷器</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奥信</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型号：AX-F2010</w:t>
            </w:r>
            <w:r>
              <w:rPr>
                <w:rFonts w:hint="eastAsia" w:ascii="宋体" w:hAnsi="宋体"/>
              </w:rPr>
              <w:br/>
              <w:t xml:space="preserve">规格：网络、电源二合一</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178</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工业交换机</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新创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型号：FSLA8TLB5F-BG4</w:t>
            </w:r>
            <w:r>
              <w:rPr>
                <w:rFonts w:hint="eastAsia" w:ascii="宋体" w:hAnsi="宋体"/>
              </w:rPr>
              <w:br/>
              <w:t xml:space="preserve">规格：1个千兆光口，4个百兆电口，含光模块</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73</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光纤收发器</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新创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型号：FT/RLx</w:t>
            </w:r>
            <w:r>
              <w:rPr>
                <w:rFonts w:hint="eastAsia" w:ascii="宋体" w:hAnsi="宋体"/>
              </w:rPr>
              <w:br/>
              <w:t xml:space="preserve">规格：百兆单模</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对</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73</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抱杆箱</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规格：壁挂室外防水不锈钢机箱</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73</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8</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规格：高6米，臂长3米</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9</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规格：高6米，臂长7米</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规格：高6米，臂长9米</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14</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规格：高6米，臂长11米</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规格：高6米，臂长13米</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13</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F式立杆基础</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规格：1200cm*1200cm*1500cm</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13</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14</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F式立杆基础</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规格：1400cm*1400cm*1700cm</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31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15</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F式立杆基础</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规格：2000cm*2000cm*2500cm</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2</w:t>
            </w:r>
            <w:r/>
          </w:p>
        </w:tc>
      </w:tr>
      <w:tr>
        <w:trPr>
          <w:trHeight w:val="20"/>
        </w:trPr>
        <w:tc>
          <w:tcPr>
            <w:gridSpan w:val="7"/>
            <w:shd w:val="clear" w:color="auto" w:fill="auto"/>
            <w:tcW w:w="8866" w:type="dxa"/>
            <w:vAlign w:val="center"/>
            <w:textDirection w:val="lrTb"/>
            <w:noWrap w:val="false"/>
          </w:tcPr>
          <w:p>
            <w:pPr>
              <w:ind w:left="0"/>
              <w:jc w:val="left"/>
              <w:rPr>
                <w:rFonts w:ascii="宋体" w:hAnsi="宋体"/>
              </w:rPr>
            </w:pPr>
            <w:r>
              <w:rPr>
                <w:rFonts w:hint="eastAsia" w:ascii="宋体" w:hAnsi="宋体"/>
                <w:b/>
                <w:bCs/>
              </w:rPr>
              <w:t xml:space="preserve">（二）人员复杂场所前端设备</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结构化摄像机</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型号：IPC146-Fi7bNT</w:t>
            </w:r>
            <w:r>
              <w:rPr>
                <w:rFonts w:hint="eastAsia" w:ascii="宋体" w:hAnsi="宋体"/>
              </w:rPr>
              <w:br/>
              <w:t xml:space="preserve">规格：1、不低于400W星光级卡口高清智能网络摄像机，1/1.8"高性能传感器，内置智能算法控制软件，8-32mm电动变焦镜头，暖黄光补光、护罩一体化设计；</w:t>
            </w:r>
            <w:r>
              <w:rPr>
                <w:rFonts w:hint="eastAsia" w:ascii="宋体" w:hAnsi="宋体"/>
              </w:rPr>
              <w:br/>
              <w:t xml:space="preserve">2、支持H.265/H.264，2560×1440，25fps；</w:t>
            </w:r>
            <w:r>
              <w:rPr>
                <w:rFonts w:hint="eastAsia" w:ascii="宋体" w:hAnsi="宋体"/>
              </w:rPr>
              <w:br/>
              <w:t xml:space="preserve">3、接口不少于：2×告警输入，1×告警输出，1×RS485，支持GPS，可扩展4G、RFID等扩展模块（需搭配额外配件）；</w:t>
            </w:r>
            <w:r>
              <w:rPr>
                <w:rFonts w:hint="eastAsia" w:ascii="宋体" w:hAnsi="宋体"/>
              </w:rPr>
              <w:br/>
              <w:t xml:space="preserve">4、支持抓拍目标的属性分类：人脸、人员、非机动车、机动车；</w:t>
            </w:r>
            <w:r>
              <w:rPr>
                <w:rFonts w:hint="eastAsia" w:ascii="宋体" w:hAnsi="宋体"/>
              </w:rPr>
              <w:br/>
              <w:t xml:space="preserve">5、支持抓拍输出六种类型的图片，包含人脸局部图片、人像全身局部图片、车辆局部照片、车牌局部照片、非机动车局部照片、场景全景图片</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40</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人员卡口摄像机</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型号：IPC146-Fi4cNT　</w:t>
            </w:r>
            <w:r>
              <w:rPr>
                <w:rFonts w:hint="eastAsia" w:ascii="宋体" w:hAnsi="宋体"/>
              </w:rPr>
              <w:br/>
              <w:t xml:space="preserve">规格：1、不低于400W星光级卡口高清智能网络摄像机，1/1.8"高性能传感器，内置智能算法控制软件，8-32mm电动变焦镜头，暖黄光补光、护罩一体化设计；</w:t>
            </w:r>
            <w:r>
              <w:rPr>
                <w:rFonts w:hint="eastAsia" w:ascii="宋体" w:hAnsi="宋体"/>
              </w:rPr>
              <w:br/>
              <w:t xml:space="preserve">2、支持H.265/H.264，2560×1440，25fps；</w:t>
            </w:r>
            <w:r>
              <w:rPr>
                <w:rFonts w:hint="eastAsia" w:ascii="宋体" w:hAnsi="宋体"/>
              </w:rPr>
              <w:br/>
              <w:t xml:space="preserve">3、接口不少于：2×告警输入，1×告警输出，1×RS485，支持GPS，可扩展4G、RFID等扩展模块（需搭配额外配件）；</w:t>
            </w:r>
            <w:r>
              <w:rPr>
                <w:rFonts w:hint="eastAsia" w:ascii="宋体" w:hAnsi="宋体"/>
              </w:rPr>
              <w:br/>
              <w:t xml:space="preserve">4、支持抓拍目标的属性分类：人脸、人员、非机动车、机动车；</w:t>
            </w:r>
            <w:r>
              <w:rPr>
                <w:rFonts w:hint="eastAsia" w:ascii="宋体" w:hAnsi="宋体"/>
              </w:rPr>
              <w:br/>
              <w:t xml:space="preserve">5、支持抓拍输出六种类型的图片，包含人脸局部图片、人像全身局部图片、车辆局部照片、车牌局部照片、非机动车局部照片、场景全景图片</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奥信</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型号：AX-F2010</w:t>
            </w:r>
            <w:r>
              <w:rPr>
                <w:rFonts w:hint="eastAsia" w:ascii="宋体" w:hAnsi="宋体"/>
              </w:rPr>
              <w:br/>
              <w:t xml:space="preserve">规格：信号、电源二合一</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摄像机支架</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规格：定制</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规格：定制</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规格：AC24V 3A</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恒创</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规格：高3.5米，臂长0.5米、下部管150mm*150mm*4mm，上部管100mm*100mm*4mm，挑臂管60mm*60mm*3mm黑色喷塑</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规格：500mm*500mm*600mm 含地笼</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百通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规格：规格：400mm（高）*300mm（宽）*200mm（深），散热、防雨、通风、整体喷塑；</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gridSpan w:val="7"/>
            <w:shd w:val="clear" w:color="auto" w:fill="auto"/>
            <w:tcW w:w="8866" w:type="dxa"/>
            <w:vAlign w:val="center"/>
            <w:textDirection w:val="lrTb"/>
            <w:noWrap w:val="false"/>
          </w:tcPr>
          <w:p>
            <w:pPr>
              <w:ind w:left="0"/>
              <w:jc w:val="left"/>
              <w:rPr>
                <w:rFonts w:ascii="宋体" w:hAnsi="宋体"/>
              </w:rPr>
            </w:pPr>
            <w:r>
              <w:rPr>
                <w:rFonts w:hint="eastAsia" w:ascii="宋体" w:hAnsi="宋体"/>
                <w:b/>
                <w:bCs/>
              </w:rPr>
              <w:t xml:space="preserve">（三）中心设备</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云存储</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科达</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型号：KCloudStor2100-240t</w:t>
            </w:r>
            <w:r>
              <w:rPr>
                <w:rFonts w:hint="eastAsia" w:ascii="宋体" w:hAnsi="宋体"/>
              </w:rPr>
              <w:br/>
              <w:t xml:space="preserve">规格：1、存储容量240T；支持24盘位，支持硬盘漫游和热插拔；接口不少于2个万兆以太网光接口；64位多核处理器，≥8GB内存；</w:t>
            </w:r>
            <w:r>
              <w:rPr>
                <w:rFonts w:hint="eastAsia" w:ascii="宋体" w:hAnsi="宋体"/>
              </w:rPr>
              <w:br/>
              <w:t xml:space="preserve">2、配置BBU电池保护，设备异常断电情况下保护缓存数据不丢失；</w:t>
            </w:r>
            <w:r>
              <w:rPr>
                <w:rFonts w:hint="eastAsia" w:ascii="宋体" w:hAnsi="宋体"/>
              </w:rPr>
              <w:br/>
              <w:t xml:space="preserve">3、含高性能云存储系统，单台设备既可作为控制节点，也可作为存储节点，也可作为控制存储一体节点；控制节点支持三台以上集群部署，任何控制节点损坏业务不受影响；存储节点支持纠删码数据离散冗余存储方式和副本冗余方式，提供跨节点数据保护能力，确保数据完整性和可靠性；</w:t>
            </w:r>
            <w:r>
              <w:rPr>
                <w:rFonts w:hint="eastAsia" w:ascii="宋体" w:hAnsi="宋体"/>
              </w:rPr>
              <w:br/>
              <w:t xml:space="preserve">4、支持数百PB级存储容量横向平滑扩展；</w:t>
            </w:r>
            <w:r>
              <w:rPr>
                <w:rFonts w:hint="eastAsia" w:ascii="宋体" w:hAnsi="宋体"/>
              </w:rPr>
              <w:br/>
              <w:t xml:space="preserve">5、提供API，NFS，FTP等通用访问接口，支持与监控业务平台、图像资源库等业务系统对接，支持视频码流直存转发技术；</w:t>
            </w:r>
            <w:r>
              <w:rPr>
                <w:rFonts w:hint="eastAsia" w:ascii="宋体" w:hAnsi="宋体"/>
              </w:rPr>
              <w:br/>
              <w:t xml:space="preserve">6、标配24块10T企业级硬盘；</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视图解析服务器（GPU）</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中兴</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型号：R5300 G4X</w:t>
            </w:r>
            <w:r>
              <w:rPr>
                <w:rFonts w:hint="eastAsia" w:ascii="宋体" w:hAnsi="宋体"/>
              </w:rPr>
              <w:br/>
              <w:t xml:space="preserve">规格：（CPU） Intel Xeon 4314×2</w:t>
            </w:r>
            <w:r>
              <w:rPr>
                <w:rFonts w:hint="eastAsia" w:ascii="宋体" w:hAnsi="宋体"/>
              </w:rPr>
              <w:br/>
              <w:t xml:space="preserve">（GPU） Nvidia Tesla T4×4</w:t>
            </w:r>
            <w:r>
              <w:rPr>
                <w:rFonts w:hint="eastAsia" w:ascii="宋体" w:hAnsi="宋体"/>
              </w:rPr>
              <w:br/>
              <w:t xml:space="preserve">（内存） DDR4 RDIMM ECC 32GB×16 2933MHz及以上</w:t>
            </w:r>
            <w:r>
              <w:rPr>
                <w:rFonts w:hint="eastAsia" w:ascii="宋体" w:hAnsi="宋体"/>
              </w:rPr>
              <w:br/>
              <w:t xml:space="preserve">（阵列卡） PMC-16i Raid 0/1/5/6/10/50/60 2G</w:t>
            </w:r>
            <w:r>
              <w:rPr>
                <w:rFonts w:hint="eastAsia" w:ascii="宋体" w:hAnsi="宋体"/>
              </w:rPr>
              <w:br/>
              <w:t xml:space="preserve">（数据盘1） SATA SSD 3.8TB x10（单盘RAID0）</w:t>
            </w:r>
            <w:r>
              <w:rPr>
                <w:rFonts w:hint="eastAsia" w:ascii="宋体" w:hAnsi="宋体"/>
              </w:rPr>
              <w:br/>
            </w:r>
            <w:r>
              <w:rPr>
                <w:rFonts w:hint="eastAsia" w:ascii="宋体" w:hAnsi="宋体"/>
              </w:rPr>
              <w:t xml:space="preserve">（数据盘2） SATA SSD 480GB x2（RAID1）</w:t>
            </w:r>
            <w:r>
              <w:rPr>
                <w:rFonts w:hint="eastAsia" w:ascii="宋体" w:hAnsi="宋体"/>
              </w:rPr>
              <w:br/>
              <w:t xml:space="preserve">（网络） 万兆双光口，含模块</w:t>
            </w:r>
            <w:r>
              <w:rPr>
                <w:rFonts w:hint="eastAsia" w:ascii="宋体" w:hAnsi="宋体"/>
              </w:rPr>
              <w:br/>
              <w:t xml:space="preserve">（电源） 1200W×2 (1+1冗余)</w:t>
            </w:r>
            <w:r>
              <w:rPr>
                <w:rFonts w:hint="eastAsia" w:ascii="宋体" w:hAnsi="宋体"/>
              </w:rPr>
              <w:br/>
              <w:t xml:space="preserve">（带外管理ipmi） 独立RJ45口</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布控检索系统服务器（CPU）</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中兴</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型号：R5300 G4</w:t>
            </w:r>
            <w:r>
              <w:rPr>
                <w:rFonts w:hint="eastAsia" w:ascii="宋体" w:hAnsi="宋体"/>
              </w:rPr>
              <w:br/>
              <w:t xml:space="preserve">规格：（CPU）Intel Xeon Silver 4216 × 2</w:t>
            </w:r>
            <w:r>
              <w:rPr>
                <w:rFonts w:hint="eastAsia" w:ascii="宋体" w:hAnsi="宋体"/>
              </w:rPr>
              <w:br/>
              <w:t xml:space="preserve">（内存）320GB</w:t>
            </w:r>
            <w:r>
              <w:rPr>
                <w:rFonts w:hint="eastAsia" w:ascii="宋体" w:hAnsi="宋体"/>
              </w:rPr>
              <w:br/>
              <w:t xml:space="preserve">（系统盘）240G B SATA SSD × 2</w:t>
            </w:r>
            <w:r>
              <w:rPr>
                <w:rFonts w:hint="eastAsia" w:ascii="宋体" w:hAnsi="宋体"/>
              </w:rPr>
              <w:br/>
              <w:t xml:space="preserve">（数据盘）8TB × 4</w:t>
            </w:r>
            <w:r>
              <w:rPr>
                <w:rFonts w:hint="eastAsia" w:ascii="宋体" w:hAnsi="宋体"/>
              </w:rPr>
              <w:br/>
              <w:t xml:space="preserve">（RAID 卡） PMC-16i Raid 0/1/5/6/10/50/60 2G</w:t>
            </w:r>
            <w:r>
              <w:rPr>
                <w:rFonts w:hint="eastAsia" w:ascii="宋体" w:hAnsi="宋体"/>
              </w:rPr>
              <w:br/>
              <w:t xml:space="preserve">（网卡）板载2个GE电口+2个10GE光口含模块</w:t>
            </w:r>
            <w:r>
              <w:rPr>
                <w:rFonts w:hint="eastAsia" w:ascii="宋体" w:hAnsi="宋体"/>
              </w:rPr>
              <w:br/>
              <w:t xml:space="preserve">（配管）千兆管理口，支持IPMI</w:t>
            </w:r>
            <w:r>
              <w:rPr>
                <w:rFonts w:hint="eastAsia" w:ascii="宋体" w:hAnsi="宋体"/>
              </w:rPr>
              <w:br/>
              <w:t xml:space="preserve">（电源）550W</w:t>
            </w:r>
            <w:r>
              <w:rPr>
                <w:rFonts w:hint="eastAsia" w:ascii="宋体" w:hAnsi="宋体"/>
              </w:rPr>
              <w:br/>
              <w:t xml:space="preserve">（电源数量）1+1 冗余</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通用服务器1</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规格：i9-12900K 16核24线程 主频3.9G 最高睿频5.2G 128G DDR4 3600频率 32G*4 SSD 4T PCLE 4.0 Z690、Z690-A系列 RTX6000 24G 专业图形台式机独立专业显卡 全模组1200W 360水冷</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通用服务器2</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联想</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型号：THINKPAD P15</w:t>
            </w:r>
            <w:r>
              <w:rPr>
                <w:rFonts w:hint="eastAsia" w:ascii="宋体" w:hAnsi="宋体"/>
              </w:rPr>
              <w:br/>
              <w:t xml:space="preserve">规格：I9-11950H 64G DDR4 3200Mhz 2TB 英伟达 RTX A4000 8G 95WH电池  17.3英寸 4K屏幕 高色域 500尼特</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通用服务器3</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规格：I7   12代 32G内存 512Ssd 6T×2机械硬盘 3060显卡</w:t>
            </w:r>
            <w:r>
              <w:rPr>
                <w:rFonts w:hint="eastAsia" w:ascii="宋体" w:hAnsi="宋体"/>
              </w:rPr>
              <w:br/>
              <w:t xml:space="preserve">万兆网卡</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12</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云存储组网交换机</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锐捷</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型号：RG-S5310-48SFP4XS-E</w:t>
            </w:r>
            <w:r>
              <w:rPr>
                <w:rFonts w:hint="eastAsia" w:ascii="宋体" w:hAnsi="宋体"/>
              </w:rPr>
              <w:br/>
              <w:t xml:space="preserve">规格：1U高度，19英寸机架式安装，冗余电源模块；冗余风扇； 48端口万兆光+2端口40G光，以太网路由交换机，1个Console口，1个带外管理千兆电口，48个万兆SFP+光口，2个40G QSFP+光口； 交换容量1.28Tbps；包转发率960Mpps； 支持虚拟化技术，支持TRILL/SPB大二层技术，支持FCoE技术，支持SDN； 含15个多模10G光模块；</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8</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光纤跳线</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高通</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规格：单模双纤</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15</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9</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显示设备</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戴尔</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型号：U4919W</w:t>
            </w:r>
            <w:r>
              <w:rPr>
                <w:rFonts w:hint="eastAsia" w:ascii="宋体" w:hAnsi="宋体"/>
              </w:rPr>
              <w:br/>
              <w:t xml:space="preserve">规格：49英寸IPS曲面升降专业10.7亿色彩带鱼屏type-C显示设备 49英寸32:9带鱼屏USB-C显示设备</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涉疫研判终端1</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华为</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型号：MateBook X Pro </w:t>
            </w:r>
            <w:r>
              <w:rPr>
                <w:rFonts w:hint="eastAsia" w:ascii="宋体" w:hAnsi="宋体"/>
              </w:rPr>
              <w:br/>
              <w:t xml:space="preserve">规格：14.2英寸11代酷睿i7 16G 1TB锐炬显卡/3.1K触控全面屏/超级终端</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涉疫研判终端2</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联想</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型号：拯救者Y9000K</w:t>
            </w:r>
            <w:r>
              <w:rPr>
                <w:rFonts w:hint="eastAsia" w:ascii="宋体" w:hAnsi="宋体"/>
              </w:rPr>
              <w:br/>
              <w:t xml:space="preserve">规格：11代酷睿i7 RTX3080笔记本电脑 i7-11800H 32G 1T RTX3080 2.5K分辨率 165Hz高色域</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gridSpan w:val="7"/>
            <w:shd w:val="clear" w:color="auto" w:fill="auto"/>
            <w:tcW w:w="8866" w:type="dxa"/>
            <w:vAlign w:val="center"/>
            <w:textDirection w:val="lrTb"/>
            <w:noWrap w:val="false"/>
          </w:tcPr>
          <w:p>
            <w:pPr>
              <w:ind w:left="0"/>
              <w:jc w:val="left"/>
              <w:rPr>
                <w:rFonts w:ascii="Arial" w:hAnsi="Arial" w:cs="Arial" w:eastAsiaTheme="minorEastAsia"/>
                <w:sz w:val="21"/>
                <w:szCs w:val="21"/>
              </w:rPr>
            </w:pPr>
            <w:r>
              <w:rPr>
                <w:rFonts w:hint="eastAsia" w:ascii="宋体" w:hAnsi="宋体"/>
                <w:b/>
                <w:bCs/>
              </w:rPr>
              <w:t xml:space="preserve">（四）其他</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网络传输</w:t>
            </w:r>
            <w:r/>
          </w:p>
        </w:tc>
        <w:tc>
          <w:tcPr>
            <w:shd w:val="clear" w:color="auto" w:fill="auto"/>
            <w:tcW w:w="745" w:type="dxa"/>
            <w:vAlign w:val="center"/>
            <w:textDirection w:val="lrTb"/>
            <w:noWrap w:val="false"/>
          </w:tcPr>
          <w:p>
            <w:pPr>
              <w:ind w:left="0"/>
              <w:jc w:val="center"/>
              <w:rPr>
                <w:rFonts w:ascii="宋体" w:hAnsi="宋体"/>
              </w:rPr>
            </w:pPr>
            <w:r>
              <w:rPr>
                <w:rFonts w:ascii="宋体" w:hAnsi="宋体"/>
              </w:rPr>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网络传输</w:t>
            </w:r>
            <w:r>
              <w:rPr>
                <w:rFonts w:hint="eastAsia" w:ascii="宋体" w:hAnsi="宋体"/>
              </w:rPr>
              <w:t xml:space="preserve">运维服务</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点</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46</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网络传输</w:t>
            </w:r>
            <w:r/>
          </w:p>
        </w:tc>
        <w:tc>
          <w:tcPr>
            <w:shd w:val="clear" w:color="auto" w:fill="auto"/>
            <w:tcW w:w="745" w:type="dxa"/>
            <w:vAlign w:val="center"/>
            <w:textDirection w:val="lrTb"/>
            <w:noWrap w:val="false"/>
          </w:tcPr>
          <w:p>
            <w:pPr>
              <w:ind w:left="0"/>
              <w:jc w:val="center"/>
              <w:rPr>
                <w:rFonts w:ascii="宋体" w:hAnsi="宋体"/>
              </w:rPr>
            </w:pPr>
            <w:r>
              <w:rPr>
                <w:rFonts w:ascii="宋体" w:hAnsi="宋体"/>
              </w:rPr>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网络传输</w:t>
            </w:r>
            <w:r>
              <w:rPr>
                <w:rFonts w:hint="eastAsia" w:ascii="宋体" w:hAnsi="宋体"/>
              </w:rPr>
              <w:t xml:space="preserve">运维服务</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路</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47</w:t>
            </w:r>
            <w:r/>
          </w:p>
        </w:tc>
      </w:tr>
      <w:tr>
        <w:trPr>
          <w:trHeight w:val="20"/>
        </w:trPr>
        <w:tc>
          <w:tcPr>
            <w:gridSpan w:val="7"/>
            <w:shd w:val="clear" w:color="auto" w:fill="auto"/>
            <w:tcW w:w="8866" w:type="dxa"/>
            <w:vAlign w:val="center"/>
            <w:textDirection w:val="lrTb"/>
            <w:noWrap w:val="false"/>
          </w:tcPr>
          <w:p>
            <w:pPr>
              <w:ind w:left="0"/>
              <w:jc w:val="left"/>
              <w:rPr>
                <w:rFonts w:ascii="宋体" w:hAnsi="宋体"/>
              </w:rPr>
            </w:pPr>
            <w:r>
              <w:rPr>
                <w:rFonts w:hint="eastAsia" w:ascii="宋体" w:hAnsi="宋体"/>
                <w:b/>
                <w:bCs/>
              </w:rPr>
              <w:t xml:space="preserve">二、服务</w:t>
            </w:r>
            <w:r/>
          </w:p>
        </w:tc>
      </w:tr>
      <w:tr>
        <w:trPr>
          <w:trHeight w:val="20"/>
        </w:trPr>
        <w:tc>
          <w:tcPr>
            <w:shd w:val="clear" w:color="auto" w:fill="auto"/>
            <w:tcW w:w="629"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229" w:type="dxa"/>
            <w:vAlign w:val="center"/>
            <w:textDirection w:val="lrTb"/>
            <w:noWrap w:val="false"/>
          </w:tcPr>
          <w:p>
            <w:pPr>
              <w:ind w:left="0"/>
              <w:jc w:val="left"/>
              <w:rPr>
                <w:rFonts w:ascii="宋体" w:hAnsi="宋体"/>
              </w:rPr>
            </w:pPr>
            <w:r>
              <w:rPr>
                <w:rFonts w:hint="eastAsia" w:ascii="宋体" w:hAnsi="宋体"/>
              </w:rPr>
              <w:t xml:space="preserve">公安内网服务器</w:t>
            </w:r>
            <w:r/>
          </w:p>
        </w:tc>
        <w:tc>
          <w:tcPr>
            <w:shd w:val="clear" w:color="auto" w:fill="auto"/>
            <w:tcW w:w="745" w:type="dxa"/>
            <w:vAlign w:val="center"/>
            <w:textDirection w:val="lrTb"/>
            <w:noWrap w:val="false"/>
          </w:tcPr>
          <w:p>
            <w:pPr>
              <w:ind w:left="0"/>
              <w:jc w:val="center"/>
              <w:rPr>
                <w:rFonts w:ascii="宋体" w:hAnsi="宋体"/>
              </w:rPr>
            </w:pPr>
            <w:r>
              <w:rPr>
                <w:rFonts w:hint="eastAsia" w:ascii="宋体" w:hAnsi="宋体"/>
              </w:rPr>
              <w:t xml:space="preserve">苏州百卓 </w:t>
            </w:r>
            <w:r/>
          </w:p>
        </w:tc>
        <w:tc>
          <w:tcPr>
            <w:shd w:val="clear" w:color="auto" w:fill="auto"/>
            <w:tcW w:w="4075" w:type="dxa"/>
            <w:vAlign w:val="center"/>
            <w:textDirection w:val="lrTb"/>
            <w:noWrap w:val="false"/>
          </w:tcPr>
          <w:p>
            <w:pPr>
              <w:ind w:left="0"/>
              <w:jc w:val="left"/>
              <w:rPr>
                <w:rFonts w:ascii="宋体" w:hAnsi="宋体"/>
              </w:rPr>
            </w:pPr>
            <w:r>
              <w:rPr>
                <w:rFonts w:hint="eastAsia" w:ascii="宋体" w:hAnsi="宋体"/>
              </w:rPr>
              <w:t xml:space="preserve">型号：定制</w:t>
            </w:r>
            <w:r>
              <w:rPr>
                <w:rFonts w:hint="eastAsia" w:ascii="宋体" w:hAnsi="宋体"/>
              </w:rPr>
              <w:br/>
              <w:t xml:space="preserve">规格：3106/32G*4/2T SAS*3/DVD/H330/750W 双电/集成四口千兆网卡/含动态导轨，标准产品-服务器</w:t>
            </w:r>
            <w:r/>
          </w:p>
        </w:tc>
        <w:tc>
          <w:tcPr>
            <w:shd w:val="clear" w:color="auto" w:fill="auto"/>
            <w:tcW w:w="790" w:type="dxa"/>
            <w:vAlign w:val="center"/>
            <w:textDirection w:val="lrTb"/>
            <w:noWrap w:val="false"/>
          </w:tcPr>
          <w:p>
            <w:pPr>
              <w:ind w:left="0"/>
              <w:jc w:val="center"/>
              <w:rPr>
                <w:rFonts w:ascii="宋体" w:hAnsi="宋体"/>
              </w:rPr>
            </w:pPr>
            <w:r>
              <w:rPr>
                <w:rFonts w:hint="eastAsia" w:ascii="宋体" w:hAnsi="宋体"/>
              </w:rPr>
              <w:t xml:space="preserve">国产</w:t>
            </w:r>
            <w:r/>
          </w:p>
        </w:tc>
        <w:tc>
          <w:tcPr>
            <w:shd w:val="clear" w:color="auto" w:fill="auto"/>
            <w:tcW w:w="63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768" w:type="dxa"/>
            <w:vAlign w:val="center"/>
            <w:textDirection w:val="lrTb"/>
            <w:noWrap w:val="false"/>
          </w:tcPr>
          <w:p>
            <w:pPr>
              <w:ind w:left="0"/>
              <w:jc w:val="center"/>
              <w:rPr>
                <w:rFonts w:ascii="宋体" w:hAnsi="宋体"/>
              </w:rPr>
            </w:pPr>
            <w:r>
              <w:rPr>
                <w:rFonts w:hint="eastAsia" w:ascii="宋体" w:hAnsi="宋体"/>
              </w:rPr>
              <w:t xml:space="preserve">1</w:t>
            </w:r>
            <w:r/>
          </w:p>
        </w:tc>
      </w:tr>
    </w:tbl>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r>
      <w:r/>
    </w:p>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t xml:space="preserve">1.2</w:t>
      </w:r>
      <w:r>
        <w:rPr>
          <w:rFonts w:hint="eastAsia" w:ascii="宋体" w:hAnsi="宋体" w:cs="Arial"/>
          <w:b/>
          <w:sz w:val="21"/>
          <w:szCs w:val="21"/>
        </w:rPr>
        <w:t xml:space="preserve">姑苏区疫情防控监控项目</w:t>
      </w:r>
      <w:r/>
    </w:p>
    <w:tbl>
      <w:tblPr>
        <w:tblW w:w="8921" w:type="dxa"/>
        <w:tblInd w:w="93" w:type="dxa"/>
        <w:tblLook w:val="04A0" w:firstRow="1" w:lastRow="0" w:firstColumn="1" w:lastColumn="0" w:noHBand="0" w:noVBand="1"/>
      </w:tblPr>
      <w:tblGrid>
        <w:gridCol w:w="920"/>
        <w:gridCol w:w="2620"/>
        <w:gridCol w:w="3421"/>
        <w:gridCol w:w="920"/>
        <w:gridCol w:w="1040"/>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b/>
                <w:bCs/>
              </w:rPr>
            </w:pPr>
            <w:r>
              <w:rPr>
                <w:rFonts w:hint="eastAsia" w:ascii="宋体" w:hAnsi="宋体"/>
                <w:b/>
                <w:bC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620" w:type="dxa"/>
            <w:vAlign w:val="center"/>
            <w:textDirection w:val="lrTb"/>
            <w:noWrap w:val="false"/>
          </w:tcPr>
          <w:p>
            <w:pPr>
              <w:ind w:left="0"/>
              <w:jc w:val="center"/>
              <w:rPr>
                <w:rFonts w:ascii="宋体" w:hAnsi="宋体"/>
                <w:b/>
                <w:bCs/>
              </w:rPr>
            </w:pPr>
            <w:r>
              <w:rPr>
                <w:rFonts w:hint="eastAsia" w:ascii="宋体" w:hAnsi="宋体"/>
                <w:b/>
                <w:bCs/>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421" w:type="dxa"/>
            <w:vAlign w:val="center"/>
            <w:textDirection w:val="lrTb"/>
            <w:noWrap w:val="false"/>
          </w:tcPr>
          <w:p>
            <w:pPr>
              <w:ind w:left="0"/>
              <w:jc w:val="center"/>
              <w:rPr>
                <w:rFonts w:ascii="宋体" w:hAnsi="宋体"/>
                <w:b/>
                <w:bCs/>
              </w:rPr>
            </w:pPr>
            <w:r>
              <w:rPr>
                <w:rFonts w:hint="eastAsia" w:ascii="宋体" w:hAnsi="宋体"/>
                <w:b/>
                <w:bCs/>
              </w:rPr>
              <w:t xml:space="preserve">品牌规格型号产地</w:t>
            </w:r>
            <w:r/>
          </w:p>
        </w:tc>
        <w:tc>
          <w:tcPr>
            <w:shd w:val="clear" w:color="auto" w:fill="auto"/>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b/>
                <w:bCs/>
              </w:rPr>
            </w:pPr>
            <w:r>
              <w:rPr>
                <w:rFonts w:hint="eastAsia" w:ascii="宋体" w:hAnsi="宋体"/>
                <w:b/>
                <w:bCs/>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b/>
                <w:bCs/>
              </w:rPr>
            </w:pPr>
            <w:r>
              <w:rPr>
                <w:rFonts w:hint="eastAsia" w:ascii="宋体" w:hAnsi="宋体"/>
                <w:b/>
                <w:bCs/>
              </w:rPr>
              <w:t xml:space="preserve">数量</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一、姑苏区查封点</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b/>
                <w:bCs/>
              </w:rPr>
            </w:pPr>
            <w:r>
              <w:rPr>
                <w:rFonts w:hint="eastAsia" w:ascii="宋体" w:hAnsi="宋体"/>
                <w:b/>
                <w:bCs/>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结构化摄像机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科达、IPC146-Fi7bNT、苏州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240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240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32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借杆支架</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126</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吊装支架B</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240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240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81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81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239</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二、卫生服务中心核酸采样点</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科达、IPC146-Fi4cNT、苏州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吊装支架B</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10</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三、小区</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科达、IPC146-Fi4cNT、苏州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结构化摄像机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科达、IPC146-Fi7bNT、苏州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197</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57</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借杆支架</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197</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197</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109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109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197</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四、超市</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科达、IPC146-Fi4cNT、苏州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吊装支架A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借杆支架</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34</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五、农贸市场</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科达、IPC146-Fi4cNT、苏州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吊装支架A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36</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借杆支架</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64</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64</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六、公厕</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人员卡口摄像机B</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科达、IPC2451-Fi4N-SIR50-Z2812、苏州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壁装支架B</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11</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七、火车站</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结构化摄像机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科达、IPC146-Fi7bNT、苏州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人员卡口摄像机A</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科达、IPC146-Fi4cNT、苏州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10</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壁装支架C</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吊装支架B</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8</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摄像机电源</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DEPUCOM、DP-GSW100-4E-1SFP、深圳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DEPUCOM、DP-GSW100-8E-1SFP、深圳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5</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国产、配套、中国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19</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八、中心设备</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高密云存储阵列</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科达、KCloudStor2100、苏州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9</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8卡GPU服务器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海康、DS-IF4000-A3H、杭州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社会面监控接入管理平台</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海康、iSecure Center综合安防管理平台、杭州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九、传输链路及供电</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传输链路</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20M、</w:t>
            </w:r>
            <w:r>
              <w:rPr>
                <w:rFonts w:hint="eastAsia" w:ascii="宋体" w:hAnsi="宋体"/>
              </w:rPr>
              <w:t xml:space="preserve">传输链路运维服务</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585</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十、移动设备</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移动哨兵</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科达、IPC522-G330-5GP、苏州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6</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M300动力电池TB60</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大疆、M300RTK电池TB60、深圳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点</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12</w:t>
            </w:r>
            <w:r/>
          </w:p>
        </w:tc>
      </w:tr>
      <w:tr>
        <w:trP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ind w:left="0"/>
              <w:jc w:val="left"/>
              <w:rPr>
                <w:rFonts w:ascii="宋体" w:hAnsi="宋体"/>
                <w:b/>
                <w:bCs/>
              </w:rPr>
            </w:pPr>
            <w:r>
              <w:rPr>
                <w:rFonts w:hint="eastAsia" w:ascii="宋体" w:hAnsi="宋体"/>
                <w:b/>
                <w:bCs/>
              </w:rPr>
              <w:t xml:space="preserve">十一、场所建设</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标配电脑</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DELL、3080SFF、厦门</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高配电脑</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DELL、3080SFF、厦门</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标配显示器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DELL、E2216HV、厦门</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高配显示器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三星、U32J592、北京</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黑白打印机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HP、136A、北京</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彩色打印机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HP、179FNW、北京</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碎纸机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得力、得力9917、杭州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智能触摸式一体机</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LXY、G043T、深圳</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网呈电子白板显示器</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科达、ZEN Z1120T、苏州</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ind w:left="0"/>
              <w:jc w:val="left"/>
              <w:rPr>
                <w:rFonts w:ascii="宋体" w:hAnsi="宋体"/>
              </w:rPr>
            </w:pPr>
            <w:r>
              <w:rPr>
                <w:rFonts w:hint="eastAsia" w:ascii="宋体" w:hAnsi="宋体"/>
              </w:rPr>
              <w:t xml:space="preserve">数据落查服务</w:t>
            </w:r>
            <w:r/>
          </w:p>
        </w:tc>
        <w:tc>
          <w:tcPr>
            <w:shd w:val="clear" w:color="auto" w:fill="auto"/>
            <w:tcBorders>
              <w:top w:val="none" w:color="000000" w:sz="4" w:space="0"/>
              <w:left w:val="none" w:color="000000" w:sz="4" w:space="0"/>
              <w:bottom w:val="single" w:color="auto" w:sz="4" w:space="0"/>
              <w:right w:val="single" w:color="auto" w:sz="4" w:space="0"/>
            </w:tcBorders>
            <w:tcW w:w="3421" w:type="dxa"/>
            <w:vAlign w:val="center"/>
            <w:textDirection w:val="lrTb"/>
            <w:noWrap w:val="false"/>
          </w:tcPr>
          <w:p>
            <w:pPr>
              <w:ind w:left="0"/>
              <w:jc w:val="left"/>
              <w:rPr>
                <w:rFonts w:ascii="宋体" w:hAnsi="宋体"/>
              </w:rPr>
            </w:pPr>
            <w:r>
              <w:rPr>
                <w:rFonts w:hint="eastAsia" w:ascii="宋体" w:hAnsi="宋体"/>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ind w:left="0"/>
              <w:jc w:val="center"/>
              <w:rPr>
                <w:rFonts w:ascii="宋体" w:hAnsi="宋体"/>
              </w:rPr>
            </w:pPr>
            <w:r>
              <w:rPr>
                <w:rFonts w:hint="eastAsia" w:ascii="宋体" w:hAnsi="宋体"/>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ind w:left="0"/>
              <w:jc w:val="center"/>
              <w:rPr>
                <w:rFonts w:ascii="宋体" w:hAnsi="宋体"/>
              </w:rPr>
            </w:pPr>
            <w:r>
              <w:rPr>
                <w:rFonts w:hint="eastAsia" w:ascii="宋体" w:hAnsi="宋体"/>
              </w:rPr>
              <w:t xml:space="preserve">1</w:t>
            </w:r>
            <w:r/>
          </w:p>
        </w:tc>
      </w:tr>
    </w:tbl>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r>
      <w:r/>
    </w:p>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t xml:space="preserve">1.3</w:t>
      </w:r>
      <w:r>
        <w:rPr>
          <w:rFonts w:hint="eastAsia" w:ascii="宋体" w:hAnsi="宋体" w:cs="Arial"/>
          <w:b/>
          <w:sz w:val="21"/>
          <w:szCs w:val="21"/>
        </w:rPr>
        <w:t xml:space="preserve">姑苏区疫情防控小区监控安装工程</w:t>
      </w:r>
      <w:r/>
    </w:p>
    <w:tbl>
      <w:tblPr>
        <w:tblW w:w="8946" w:type="dxa"/>
        <w:tblInd w:w="93" w:type="dxa"/>
        <w:tblLook w:val="04A0" w:firstRow="1" w:lastRow="0" w:firstColumn="1" w:lastColumn="0" w:noHBand="0" w:noVBand="1"/>
      </w:tblPr>
      <w:tblGrid>
        <w:gridCol w:w="1839"/>
        <w:gridCol w:w="2053"/>
        <w:gridCol w:w="3069"/>
        <w:gridCol w:w="851"/>
        <w:gridCol w:w="1134"/>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jc w:val="center"/>
              <w:rPr>
                <w:rFonts w:ascii="宋体" w:hAnsi="宋体"/>
                <w:b/>
                <w:bCs/>
              </w:rPr>
            </w:pPr>
            <w:r>
              <w:rPr>
                <w:rFonts w:hint="eastAsia" w:ascii="宋体" w:hAnsi="宋体"/>
                <w:b/>
                <w:bCs/>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b/>
                <w:bCs/>
              </w:rPr>
            </w:pPr>
            <w:r>
              <w:rPr>
                <w:rFonts w:hint="eastAsia" w:ascii="宋体" w:hAnsi="宋体"/>
                <w:b/>
                <w:bCs/>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069" w:type="dxa"/>
            <w:vAlign w:val="center"/>
            <w:textDirection w:val="lrTb"/>
            <w:noWrap w:val="false"/>
          </w:tcPr>
          <w:p>
            <w:pPr>
              <w:ind w:left="0"/>
              <w:jc w:val="center"/>
              <w:rPr>
                <w:rFonts w:ascii="宋体" w:hAnsi="宋体"/>
                <w:b/>
                <w:bCs/>
              </w:rPr>
            </w:pPr>
            <w:r>
              <w:rPr>
                <w:rFonts w:hint="eastAsia" w:ascii="宋体" w:hAnsi="宋体"/>
                <w:b/>
                <w:bCs/>
              </w:rPr>
              <w:t xml:space="preserve">品牌规格型号产地</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b/>
                <w:bCs/>
              </w:rPr>
            </w:pPr>
            <w:r>
              <w:rPr>
                <w:rFonts w:hint="eastAsia" w:ascii="宋体" w:hAnsi="宋体"/>
                <w:b/>
                <w:bCs/>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rPr>
            </w:pPr>
            <w:r>
              <w:rPr>
                <w:rFonts w:hint="eastAsia" w:ascii="宋体" w:hAnsi="宋体"/>
                <w:b/>
                <w:bCs/>
              </w:rPr>
              <w:t xml:space="preserve">数量</w:t>
            </w:r>
            <w:r/>
          </w:p>
        </w:tc>
      </w:tr>
      <w:tr>
        <w:trPr>
          <w:trHeight w:val="20"/>
        </w:trPr>
        <w:tc>
          <w:tcPr>
            <w:gridSpan w:val="2"/>
            <w:shd w:val="clear" w:color="auto" w:fill="auto"/>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ind w:left="0"/>
              <w:jc w:val="left"/>
              <w:rPr>
                <w:rFonts w:ascii="宋体" w:hAnsi="宋体"/>
                <w:b/>
                <w:bCs/>
              </w:rPr>
            </w:pPr>
            <w:r>
              <w:rPr>
                <w:rFonts w:hint="eastAsia" w:ascii="宋体" w:hAnsi="宋体"/>
                <w:b/>
                <w:bCs/>
              </w:rPr>
              <w:t xml:space="preserve">一、车辆卡口摄像机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rPr>
            </w:pPr>
            <w:r>
              <w:rPr>
                <w:rFonts w:hint="eastAsia" w:ascii="宋体" w:hAnsi="宋体"/>
                <w:b/>
                <w:bCs/>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车卡口摄像机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ind w:left="0"/>
              <w:jc w:val="center"/>
              <w:rPr>
                <w:rFonts w:ascii="宋体" w:hAnsi="宋体"/>
              </w:rPr>
            </w:pPr>
            <w:r>
              <w:rPr>
                <w:rFonts w:hint="eastAsia" w:ascii="宋体" w:hAnsi="宋体"/>
              </w:rPr>
              <w:t xml:space="preserve">科达 IPC625-HUH-S300C-L0800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科达 FQ-F001200B</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JT-COM/优质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恒创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国产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国产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东土 OPAL5-1S4T</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6 </w:t>
            </w:r>
            <w:r/>
          </w:p>
        </w:tc>
      </w:tr>
      <w:tr>
        <w:trPr>
          <w:trHeight w:val="20"/>
        </w:trPr>
        <w:tc>
          <w:tcPr>
            <w:gridSpan w:val="2"/>
            <w:shd w:val="clear" w:color="auto" w:fill="auto"/>
            <w:tcBorders>
              <w:top w:val="none" w:color="000000" w:sz="4" w:space="0"/>
              <w:left w:val="single" w:color="auto" w:sz="4" w:space="0"/>
              <w:bottom w:val="single" w:color="auto" w:sz="4" w:space="0"/>
              <w:right w:val="single" w:color="auto" w:sz="4" w:space="0"/>
            </w:tcBorders>
            <w:tcW w:w="3892" w:type="dxa"/>
            <w:vAlign w:val="center"/>
            <w:textDirection w:val="lrTb"/>
            <w:noWrap/>
          </w:tcPr>
          <w:p>
            <w:pPr>
              <w:ind w:left="0"/>
              <w:jc w:val="left"/>
              <w:rPr>
                <w:rFonts w:ascii="宋体" w:hAnsi="宋体"/>
                <w:b/>
                <w:bCs/>
              </w:rPr>
            </w:pPr>
            <w:r>
              <w:rPr>
                <w:rFonts w:hint="eastAsia" w:ascii="宋体" w:hAnsi="宋体"/>
                <w:b/>
                <w:bCs/>
              </w:rPr>
              <w:t xml:space="preserve">二、人员卡口摄像机　</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人员卡口摄像机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ind w:left="0"/>
              <w:jc w:val="center"/>
              <w:rPr>
                <w:rFonts w:ascii="宋体" w:hAnsi="宋体"/>
              </w:rPr>
            </w:pPr>
            <w:r>
              <w:rPr>
                <w:rFonts w:hint="eastAsia" w:ascii="宋体" w:hAnsi="宋体"/>
              </w:rPr>
              <w:t xml:space="preserve">科达 IPC146-Fi4cNT</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18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JT-COM/优质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18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F式立杆</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恒创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立杆基础</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国产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16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国产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18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东土 OPAL5-1S4T</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18 </w:t>
            </w:r>
            <w:r/>
          </w:p>
        </w:tc>
      </w:tr>
      <w:tr>
        <w:trPr>
          <w:trHeight w:val="20"/>
        </w:trPr>
        <w:tc>
          <w:tcPr>
            <w:gridSpan w:val="2"/>
            <w:shd w:val="clear" w:color="auto" w:fill="auto"/>
            <w:tcBorders>
              <w:top w:val="none" w:color="000000" w:sz="4" w:space="0"/>
              <w:left w:val="single" w:color="auto" w:sz="4" w:space="0"/>
              <w:bottom w:val="single" w:color="auto" w:sz="4" w:space="0"/>
              <w:right w:val="single" w:color="auto" w:sz="4" w:space="0"/>
            </w:tcBorders>
            <w:tcW w:w="3892" w:type="dxa"/>
            <w:vAlign w:val="center"/>
            <w:textDirection w:val="lrTb"/>
            <w:noWrap/>
          </w:tcPr>
          <w:p>
            <w:pPr>
              <w:ind w:left="0"/>
              <w:jc w:val="left"/>
              <w:rPr>
                <w:rFonts w:ascii="宋体" w:hAnsi="宋体"/>
                <w:b/>
                <w:bCs/>
              </w:rPr>
            </w:pPr>
            <w:r>
              <w:rPr>
                <w:rFonts w:hint="eastAsia" w:ascii="宋体" w:hAnsi="宋体"/>
                <w:b/>
                <w:bCs/>
              </w:rPr>
              <w:t xml:space="preserve">三、制高点监控　</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left"/>
              <w:rPr>
                <w:rFonts w:ascii="宋体" w:hAnsi="宋体"/>
                <w:b/>
                <w:bCs/>
              </w:rPr>
            </w:pPr>
            <w:r>
              <w:rPr>
                <w:rFonts w:hint="eastAsia" w:ascii="宋体" w:hAnsi="宋体"/>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高清高速红外球型网络摄像机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val="false"/>
          </w:tcPr>
          <w:p>
            <w:pPr>
              <w:ind w:left="0"/>
              <w:jc w:val="center"/>
              <w:rPr>
                <w:rFonts w:ascii="宋体" w:hAnsi="宋体"/>
              </w:rPr>
            </w:pPr>
            <w:r>
              <w:rPr>
                <w:rFonts w:hint="eastAsia" w:ascii="宋体" w:hAnsi="宋体"/>
              </w:rPr>
              <w:t xml:space="preserve">科达 IPC485-H233-N</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避雷器</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JT-COM/优质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支架</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亿诚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室外挂壁设备箱</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国产 定制</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 </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1839" w:type="dxa"/>
            <w:vAlign w:val="center"/>
            <w:textDirection w:val="lrTb"/>
            <w:noWrap/>
          </w:tcPr>
          <w:p>
            <w:pPr>
              <w:ind w:left="0"/>
              <w:jc w:val="center"/>
              <w:rPr>
                <w:rFonts w:ascii="宋体" w:hAnsi="宋体"/>
              </w:rPr>
            </w:pPr>
            <w:r>
              <w:rPr>
                <w:rFonts w:hint="eastAsia" w:ascii="宋体" w:hAnsi="宋体"/>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ind w:left="0"/>
              <w:jc w:val="center"/>
              <w:rPr>
                <w:rFonts w:ascii="宋体" w:hAnsi="宋体"/>
              </w:rPr>
            </w:pPr>
            <w:r>
              <w:rPr>
                <w:rFonts w:hint="eastAsia" w:ascii="宋体" w:hAnsi="宋体"/>
              </w:rPr>
              <w:t xml:space="preserve">工业交换机</w:t>
            </w:r>
            <w:r/>
          </w:p>
        </w:tc>
        <w:tc>
          <w:tcPr>
            <w:shd w:val="clear" w:color="auto" w:fill="auto"/>
            <w:tcBorders>
              <w:top w:val="none" w:color="000000" w:sz="4" w:space="0"/>
              <w:left w:val="none" w:color="000000" w:sz="4" w:space="0"/>
              <w:bottom w:val="single" w:color="auto" w:sz="4" w:space="0"/>
              <w:right w:val="single" w:color="auto" w:sz="4" w:space="0"/>
            </w:tcBorders>
            <w:tcW w:w="3069" w:type="dxa"/>
            <w:vAlign w:val="center"/>
            <w:textDirection w:val="lrTb"/>
            <w:noWrap/>
          </w:tcPr>
          <w:p>
            <w:pPr>
              <w:ind w:left="0"/>
              <w:jc w:val="center"/>
              <w:rPr>
                <w:rFonts w:ascii="宋体" w:hAnsi="宋体"/>
              </w:rPr>
            </w:pPr>
            <w:r>
              <w:rPr>
                <w:rFonts w:hint="eastAsia" w:ascii="宋体" w:hAnsi="宋体"/>
              </w:rPr>
              <w:t xml:space="preserve">东土 OPAL5-1S4T</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w:t xml:space="preserve">1 </w:t>
            </w:r>
            <w:r/>
          </w:p>
        </w:tc>
      </w:tr>
    </w:tbl>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r>
      <w:r/>
    </w:p>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t xml:space="preserve">1.4</w:t>
      </w:r>
      <w:r>
        <w:rPr>
          <w:rFonts w:hint="eastAsia" w:ascii="宋体" w:hAnsi="宋体" w:cs="Arial"/>
          <w:b/>
          <w:sz w:val="21"/>
          <w:szCs w:val="21"/>
        </w:rPr>
        <w:t xml:space="preserve">姑苏老旧小区及人像识别建设项目</w:t>
      </w:r>
      <w:r/>
    </w:p>
    <w:tbl>
      <w:tblPr>
        <w:tblW w:w="901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2"/>
        <w:gridCol w:w="1134"/>
        <w:gridCol w:w="985"/>
        <w:gridCol w:w="4685"/>
        <w:gridCol w:w="780"/>
        <w:gridCol w:w="851"/>
      </w:tblGrid>
      <w:tr>
        <w:trPr>
          <w:trHeight w:val="20"/>
        </w:trPr>
        <w:tc>
          <w:tcPr>
            <w:shd w:val="clear" w:color="auto" w:fill="auto"/>
            <w:tcW w:w="582" w:type="dxa"/>
            <w:vAlign w:val="center"/>
            <w:textDirection w:val="lrTb"/>
            <w:noWrap w:val="false"/>
          </w:tcPr>
          <w:p>
            <w:pPr>
              <w:ind w:left="0"/>
              <w:jc w:val="center"/>
              <w:rPr>
                <w:rFonts w:ascii="宋体" w:hAnsi="宋体"/>
                <w:b/>
              </w:rPr>
            </w:pPr>
            <w:r>
              <w:rPr>
                <w:rFonts w:hint="eastAsia" w:ascii="宋体" w:hAnsi="宋体"/>
                <w:b/>
              </w:rPr>
              <w:t xml:space="preserve">序号</w:t>
            </w:r>
            <w:r/>
          </w:p>
        </w:tc>
        <w:tc>
          <w:tcPr>
            <w:shd w:val="clear" w:color="auto" w:fill="auto"/>
            <w:tcW w:w="1134" w:type="dxa"/>
            <w:textDirection w:val="lrTb"/>
            <w:noWrap w:val="false"/>
          </w:tcPr>
          <w:p>
            <w:pPr>
              <w:ind w:left="0"/>
              <w:jc w:val="center"/>
              <w:rPr>
                <w:rFonts w:ascii="宋体" w:hAnsi="宋体"/>
                <w:b/>
                <w:sz w:val="18"/>
                <w:szCs w:val="18"/>
              </w:rPr>
            </w:pPr>
            <w:r>
              <w:rPr>
                <w:rFonts w:hint="eastAsia" w:ascii="宋体" w:hAnsi="宋体"/>
                <w:b/>
                <w:sz w:val="18"/>
                <w:szCs w:val="18"/>
              </w:rPr>
              <w:t xml:space="preserve">标的物</w:t>
            </w:r>
            <w:r>
              <w:rPr>
                <w:rFonts w:hint="eastAsia" w:ascii="宋体" w:hAnsi="宋体"/>
                <w:b/>
                <w:sz w:val="18"/>
                <w:szCs w:val="18"/>
              </w:rPr>
              <w:br/>
              <w:t xml:space="preserve">名称</w:t>
            </w:r>
            <w:r/>
          </w:p>
        </w:tc>
        <w:tc>
          <w:tcPr>
            <w:shd w:val="clear" w:color="auto" w:fill="auto"/>
            <w:tcW w:w="985" w:type="dxa"/>
            <w:vAlign w:val="center"/>
            <w:textDirection w:val="lrTb"/>
            <w:noWrap w:val="false"/>
          </w:tcPr>
          <w:p>
            <w:pPr>
              <w:ind w:left="0"/>
              <w:jc w:val="center"/>
              <w:rPr>
                <w:rFonts w:ascii="宋体" w:hAnsi="宋体"/>
                <w:b/>
                <w:sz w:val="18"/>
                <w:szCs w:val="18"/>
              </w:rPr>
            </w:pPr>
            <w:r>
              <w:rPr>
                <w:rFonts w:hint="eastAsia" w:ascii="宋体" w:hAnsi="宋体"/>
                <w:b/>
                <w:sz w:val="18"/>
                <w:szCs w:val="18"/>
              </w:rPr>
              <w:t xml:space="preserve">品牌</w:t>
            </w:r>
            <w:r/>
          </w:p>
        </w:tc>
        <w:tc>
          <w:tcPr>
            <w:shd w:val="clear" w:color="auto" w:fill="auto"/>
            <w:tcW w:w="4685" w:type="dxa"/>
            <w:vAlign w:val="center"/>
            <w:textDirection w:val="lrTb"/>
            <w:noWrap w:val="false"/>
          </w:tcPr>
          <w:p>
            <w:pPr>
              <w:ind w:left="0"/>
              <w:jc w:val="center"/>
              <w:rPr>
                <w:rFonts w:ascii="宋体" w:hAnsi="宋体"/>
                <w:b/>
                <w:sz w:val="18"/>
                <w:szCs w:val="18"/>
              </w:rPr>
            </w:pPr>
            <w:r>
              <w:rPr>
                <w:rFonts w:hint="eastAsia" w:ascii="宋体" w:hAnsi="宋体"/>
                <w:b/>
                <w:sz w:val="18"/>
                <w:szCs w:val="18"/>
              </w:rPr>
              <w:t xml:space="preserve">型号、参数</w:t>
            </w:r>
            <w:r/>
          </w:p>
        </w:tc>
        <w:tc>
          <w:tcPr>
            <w:shd w:val="clear" w:color="auto" w:fill="auto"/>
            <w:tcW w:w="780" w:type="dxa"/>
            <w:vAlign w:val="center"/>
            <w:textDirection w:val="lrTb"/>
            <w:noWrap w:val="false"/>
          </w:tcPr>
          <w:p>
            <w:pPr>
              <w:ind w:left="0"/>
              <w:jc w:val="center"/>
              <w:rPr>
                <w:rFonts w:ascii="宋体" w:hAnsi="宋体"/>
                <w:b/>
                <w:sz w:val="18"/>
                <w:szCs w:val="18"/>
              </w:rPr>
            </w:pPr>
            <w:r>
              <w:rPr>
                <w:rFonts w:hint="eastAsia" w:ascii="宋体" w:hAnsi="宋体"/>
                <w:b/>
                <w:sz w:val="18"/>
                <w:szCs w:val="18"/>
              </w:rPr>
              <w:t xml:space="preserve">数量</w:t>
            </w:r>
            <w:r/>
          </w:p>
        </w:tc>
        <w:tc>
          <w:tcPr>
            <w:shd w:val="clear" w:color="auto" w:fill="auto"/>
            <w:tcW w:w="851" w:type="dxa"/>
            <w:vAlign w:val="center"/>
            <w:textDirection w:val="lrTb"/>
            <w:noWrap w:val="false"/>
          </w:tcPr>
          <w:p>
            <w:pPr>
              <w:ind w:left="0"/>
              <w:jc w:val="left"/>
              <w:rPr>
                <w:rFonts w:ascii="宋体" w:hAnsi="宋体"/>
                <w:b/>
                <w:sz w:val="18"/>
                <w:szCs w:val="18"/>
              </w:rPr>
            </w:pPr>
            <w:r>
              <w:rPr>
                <w:rFonts w:hint="eastAsia" w:ascii="宋体" w:hAnsi="宋体"/>
                <w:b/>
                <w:sz w:val="18"/>
                <w:szCs w:val="18"/>
              </w:rPr>
              <w:t xml:space="preserve">单位</w:t>
            </w:r>
            <w:r/>
          </w:p>
        </w:tc>
      </w:tr>
      <w:tr>
        <w:trPr>
          <w:trHeight w:val="20"/>
        </w:trPr>
        <w:tc>
          <w:tcPr>
            <w:shd w:val="clear" w:color="auto" w:fill="auto"/>
            <w:tcW w:w="582" w:type="dxa"/>
            <w:vAlign w:val="center"/>
            <w:textDirection w:val="lrTb"/>
            <w:noWrap w:val="false"/>
          </w:tcPr>
          <w:p>
            <w:pPr>
              <w:ind w:left="0"/>
              <w:jc w:val="center"/>
              <w:rPr>
                <w:rFonts w:ascii="宋体" w:hAnsi="宋体"/>
              </w:rPr>
            </w:pPr>
            <w:r>
              <w:rPr>
                <w:rFonts w:hint="eastAsia" w:ascii="宋体" w:hAnsi="宋体"/>
              </w:rPr>
              <w:t xml:space="preserve">1</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人像抓拍</w:t>
            </w:r>
            <w:r>
              <w:rPr>
                <w:rFonts w:hint="eastAsia" w:ascii="宋体" w:hAnsi="宋体"/>
              </w:rPr>
              <w:br/>
              <w:t xml:space="preserve">摄像机</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海康</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DS-2CD7047FWD/E2-X/JM(11-40mm)(D)400万星光级</w:t>
            </w:r>
            <w:r>
              <w:rPr>
                <w:rFonts w:hint="eastAsia" w:ascii="宋体" w:hAnsi="宋体"/>
              </w:rPr>
              <w:t xml:space="preserve">1/1.8"CMOS AI抓拍枪机护罩一体化网络摄像机采用深度学习算法，以海量图片及视频资源为路基，通过机器自身提取目标特征，形成深层可供学习的人脸图像。支持对运动人脸进行检测、跟踪、抓拍、评分、筛选，输出最优的人脸；支持人脸去误报、快速抓拍人脸；支持快速抓拍和最佳抓拍两种模式；最多同时检测60张人脸；支持人脸去重；支持最多10个人脸库的管理，最多15万张人脸的导入；最低照度：彩色：0.0005 Lux;宽动态：120dB焦距11~40mm;补光灯类型：混合补光(支持白光模式和混光模式),750nm+暖白光</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25</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台</w:t>
            </w:r>
            <w:r/>
          </w:p>
        </w:tc>
      </w:tr>
      <w:tr>
        <w:trPr>
          <w:trHeight w:val="20"/>
        </w:trPr>
        <w:tc>
          <w:tcPr>
            <w:shd w:val="clear" w:color="auto" w:fill="auto"/>
            <w:tcW w:w="582" w:type="dxa"/>
            <w:vAlign w:val="center"/>
            <w:textDirection w:val="lrTb"/>
            <w:noWrap w:val="false"/>
          </w:tcPr>
          <w:p>
            <w:pPr>
              <w:ind w:left="0"/>
              <w:jc w:val="center"/>
              <w:rPr>
                <w:rFonts w:ascii="宋体" w:hAnsi="宋体"/>
              </w:rPr>
            </w:pPr>
            <w:r>
              <w:rPr>
                <w:rFonts w:hint="eastAsia" w:ascii="宋体" w:hAnsi="宋体"/>
              </w:rPr>
              <w:t xml:space="preserve">2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挑壁支架</w:t>
            </w:r>
            <w:r>
              <w:rPr>
                <w:rFonts w:hint="eastAsia" w:ascii="宋体" w:hAnsi="宋体"/>
              </w:rPr>
              <w:br/>
              <w:t xml:space="preserve">(含抱</w:t>
            </w:r>
            <w:r>
              <w:rPr>
                <w:rFonts w:hint="eastAsia" w:ascii="宋体" w:hAnsi="宋体"/>
              </w:rPr>
              <w:br/>
              <w:t xml:space="preserve">箍 )</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国产优质</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国产优质</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20</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个</w:t>
            </w:r>
            <w:r/>
          </w:p>
        </w:tc>
      </w:tr>
      <w:tr>
        <w:trPr>
          <w:trHeight w:val="20"/>
        </w:trPr>
        <w:tc>
          <w:tcPr>
            <w:shd w:val="clear" w:color="auto" w:fill="auto"/>
            <w:tcW w:w="582" w:type="dxa"/>
            <w:vAlign w:val="center"/>
            <w:textDirection w:val="lrTb"/>
            <w:noWrap w:val="false"/>
          </w:tcPr>
          <w:p>
            <w:pPr>
              <w:ind w:left="0"/>
              <w:jc w:val="center"/>
              <w:rPr>
                <w:rFonts w:ascii="宋体" w:hAnsi="宋体"/>
              </w:rPr>
            </w:pPr>
            <w:r>
              <w:rPr>
                <w:rFonts w:hint="eastAsia" w:ascii="宋体" w:hAnsi="宋体"/>
              </w:rPr>
              <w:t xml:space="preserve">3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摄像机电源</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国产优质</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24v,3a</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25</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个</w:t>
            </w:r>
            <w:r/>
          </w:p>
        </w:tc>
      </w:tr>
      <w:tr>
        <w:trPr>
          <w:trHeight w:val="20"/>
        </w:trPr>
        <w:tc>
          <w:tcPr>
            <w:shd w:val="clear" w:color="auto" w:fill="auto"/>
            <w:tcW w:w="582" w:type="dxa"/>
            <w:textDirection w:val="lrTb"/>
            <w:noWrap w:val="false"/>
          </w:tcPr>
          <w:p>
            <w:pPr>
              <w:ind w:left="0"/>
              <w:jc w:val="center"/>
              <w:rPr>
                <w:rFonts w:ascii="宋体" w:hAnsi="宋体"/>
              </w:rPr>
            </w:pPr>
            <w:r>
              <w:rPr>
                <w:rFonts w:hint="eastAsia" w:ascii="宋体" w:hAnsi="宋体"/>
              </w:rPr>
              <w:t xml:space="preserve">4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交换机</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锐捷</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8口千兆</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10</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个</w:t>
            </w:r>
            <w:r/>
          </w:p>
        </w:tc>
      </w:tr>
      <w:tr>
        <w:trPr>
          <w:trHeight w:val="20"/>
        </w:trPr>
        <w:tc>
          <w:tcPr>
            <w:shd w:val="clear" w:color="auto" w:fill="auto"/>
            <w:tcW w:w="582" w:type="dxa"/>
            <w:vAlign w:val="center"/>
            <w:textDirection w:val="lrTb"/>
            <w:noWrap w:val="false"/>
          </w:tcPr>
          <w:p>
            <w:pPr>
              <w:ind w:left="0"/>
              <w:jc w:val="center"/>
              <w:rPr>
                <w:rFonts w:ascii="宋体" w:hAnsi="宋体"/>
              </w:rPr>
            </w:pPr>
            <w:r>
              <w:rPr>
                <w:rFonts w:hint="eastAsia" w:ascii="宋体" w:hAnsi="宋体"/>
              </w:rPr>
              <w:t xml:space="preserve">5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设备箱</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国产优质</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规格：400mm(高)*300mm(宽)*200mm(深),散热、防雨、通风、整体喷塑；含立杆3米位置开孔、设备箱安装、固定、防水处理、排线、标记。</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25</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个</w:t>
            </w:r>
            <w:r/>
          </w:p>
        </w:tc>
      </w:tr>
      <w:tr>
        <w:trPr>
          <w:trHeight w:val="20"/>
        </w:trPr>
        <w:tc>
          <w:tcPr>
            <w:shd w:val="clear" w:color="auto" w:fill="auto"/>
            <w:tcW w:w="582" w:type="dxa"/>
            <w:vAlign w:val="center"/>
            <w:textDirection w:val="lrTb"/>
            <w:noWrap w:val="false"/>
          </w:tcPr>
          <w:p>
            <w:pPr>
              <w:ind w:left="0"/>
              <w:jc w:val="center"/>
              <w:rPr>
                <w:rFonts w:ascii="宋体" w:hAnsi="宋体"/>
              </w:rPr>
            </w:pPr>
            <w:r>
              <w:rPr>
                <w:rFonts w:hint="eastAsia" w:ascii="宋体" w:hAnsi="宋体"/>
              </w:rPr>
              <w:t xml:space="preserve">9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立杆</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定制</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F式立杆(含基础)1、类型：高3.5米，臂长0.5米2、材质：下部管150*150*4,上部管100*100*4,黑色喷塑3、基础、垫层：混凝土基础0.5*0.5*0.6,基础开挖、地笼安装、浇筑砼及基础法兰，余土外运，运距自</w:t>
            </w:r>
            <w:r>
              <w:rPr>
                <w:rFonts w:hint="eastAsia" w:ascii="宋体" w:hAnsi="宋体"/>
              </w:rPr>
              <w:br/>
              <w:t xml:space="preserve">行考虑</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5</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台</w:t>
            </w:r>
            <w:r/>
          </w:p>
        </w:tc>
      </w:tr>
      <w:tr>
        <w:trPr>
          <w:trHeight w:val="20"/>
        </w:trPr>
        <w:tc>
          <w:tcPr>
            <w:shd w:val="clear" w:color="auto" w:fill="auto"/>
            <w:tcW w:w="582" w:type="dxa"/>
            <w:textDirection w:val="lrTb"/>
            <w:noWrap w:val="false"/>
          </w:tcPr>
          <w:p>
            <w:pPr>
              <w:ind w:left="0"/>
              <w:jc w:val="center"/>
              <w:rPr>
                <w:rFonts w:ascii="宋体" w:hAnsi="宋体"/>
              </w:rPr>
            </w:pPr>
            <w:r>
              <w:rPr>
                <w:rFonts w:hint="eastAsia" w:ascii="宋体" w:hAnsi="宋体"/>
              </w:rPr>
              <w:t xml:space="preserve">10 </w:t>
            </w:r>
            <w:r/>
          </w:p>
        </w:tc>
        <w:tc>
          <w:tcPr>
            <w:shd w:val="clear" w:color="auto" w:fill="auto"/>
            <w:tcW w:w="1134" w:type="dxa"/>
            <w:vAlign w:val="center"/>
            <w:textDirection w:val="lrTb"/>
            <w:noWrap w:val="false"/>
          </w:tcPr>
          <w:p>
            <w:pPr>
              <w:ind w:left="0"/>
              <w:jc w:val="center"/>
              <w:rPr>
                <w:rFonts w:ascii="宋体" w:hAnsi="宋体"/>
              </w:rPr>
            </w:pPr>
            <w:r>
              <w:rPr>
                <w:rFonts w:hint="eastAsia" w:ascii="宋体" w:hAnsi="宋体"/>
              </w:rPr>
              <w:t xml:space="preserve">避雷器</w:t>
            </w:r>
            <w:r/>
          </w:p>
        </w:tc>
        <w:tc>
          <w:tcPr>
            <w:shd w:val="clear" w:color="auto" w:fill="auto"/>
            <w:tcW w:w="985" w:type="dxa"/>
            <w:vAlign w:val="center"/>
            <w:textDirection w:val="lrTb"/>
            <w:noWrap w:val="false"/>
          </w:tcPr>
          <w:p>
            <w:pPr>
              <w:ind w:left="0"/>
              <w:jc w:val="center"/>
              <w:rPr>
                <w:rFonts w:ascii="宋体" w:hAnsi="宋体"/>
              </w:rPr>
            </w:pPr>
            <w:r>
              <w:rPr>
                <w:rFonts w:hint="eastAsia" w:ascii="宋体" w:hAnsi="宋体"/>
              </w:rPr>
              <w:t xml:space="preserve">国产优质</w:t>
            </w:r>
            <w:r/>
          </w:p>
        </w:tc>
        <w:tc>
          <w:tcPr>
            <w:shd w:val="clear" w:color="auto" w:fill="auto"/>
            <w:tcW w:w="4685" w:type="dxa"/>
            <w:vAlign w:val="center"/>
            <w:textDirection w:val="lrTb"/>
            <w:noWrap w:val="false"/>
          </w:tcPr>
          <w:p>
            <w:pPr>
              <w:ind w:left="0"/>
              <w:jc w:val="left"/>
              <w:rPr>
                <w:rFonts w:ascii="宋体" w:hAnsi="宋体"/>
              </w:rPr>
            </w:pPr>
            <w:r>
              <w:rPr>
                <w:rFonts w:hint="eastAsia" w:ascii="宋体" w:hAnsi="宋体"/>
              </w:rPr>
              <w:t xml:space="preserve">信号、电源二合一</w:t>
            </w:r>
            <w:r/>
          </w:p>
        </w:tc>
        <w:tc>
          <w:tcPr>
            <w:shd w:val="clear" w:color="auto" w:fill="auto"/>
            <w:tcW w:w="780" w:type="dxa"/>
            <w:vAlign w:val="center"/>
            <w:textDirection w:val="lrTb"/>
            <w:noWrap w:val="false"/>
          </w:tcPr>
          <w:p>
            <w:pPr>
              <w:ind w:left="0"/>
              <w:jc w:val="center"/>
              <w:rPr>
                <w:rFonts w:ascii="宋体" w:hAnsi="宋体"/>
              </w:rPr>
            </w:pPr>
            <w:r>
              <w:rPr>
                <w:rFonts w:hint="eastAsia" w:ascii="宋体" w:hAnsi="宋体"/>
              </w:rPr>
              <w:t xml:space="preserve">25</w:t>
            </w:r>
            <w:r/>
          </w:p>
        </w:tc>
        <w:tc>
          <w:tcPr>
            <w:shd w:val="clear" w:color="auto" w:fill="auto"/>
            <w:tcW w:w="851" w:type="dxa"/>
            <w:vAlign w:val="center"/>
            <w:textDirection w:val="lrTb"/>
            <w:noWrap w:val="false"/>
          </w:tcPr>
          <w:p>
            <w:pPr>
              <w:ind w:left="0"/>
              <w:jc w:val="center"/>
              <w:rPr>
                <w:rFonts w:ascii="宋体" w:hAnsi="宋体"/>
              </w:rPr>
            </w:pPr>
            <w:r>
              <w:rPr>
                <w:rFonts w:hint="eastAsia" w:ascii="宋体" w:hAnsi="宋体"/>
              </w:rPr>
              <w:t xml:space="preserve">台</w:t>
            </w:r>
            <w:r/>
          </w:p>
        </w:tc>
      </w:tr>
    </w:tbl>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r>
      <w:r/>
    </w:p>
    <w:p>
      <w:pPr>
        <w:ind w:left="0" w:firstLine="422"/>
        <w:jc w:val="left"/>
        <w:spacing w:line="360" w:lineRule="auto"/>
        <w:widowControl w:val="off"/>
        <w:tabs>
          <w:tab w:val="left" w:pos="312" w:leader="none"/>
        </w:tabs>
        <w:rPr>
          <w:rFonts w:ascii="宋体" w:hAnsi="宋体" w:cs="Arial"/>
          <w:b/>
          <w:sz w:val="21"/>
          <w:szCs w:val="21"/>
        </w:rPr>
      </w:pPr>
      <w:r>
        <w:rPr>
          <w:rFonts w:ascii="宋体" w:hAnsi="宋体" w:cs="Arial"/>
          <w:b/>
          <w:sz w:val="21"/>
          <w:szCs w:val="21"/>
        </w:rPr>
        <w:t xml:space="preserve">1.</w:t>
      </w:r>
      <w:r>
        <w:rPr>
          <w:rFonts w:hint="eastAsia" w:ascii="宋体" w:hAnsi="宋体" w:cs="Arial"/>
          <w:b/>
          <w:sz w:val="21"/>
          <w:szCs w:val="21"/>
        </w:rPr>
        <w:t xml:space="preserve">5姑苏区臻迭平台</w:t>
      </w:r>
      <w:r/>
    </w:p>
    <w:tbl>
      <w:tblPr>
        <w:tblW w:w="899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884"/>
        <w:gridCol w:w="3647"/>
        <w:gridCol w:w="747"/>
        <w:gridCol w:w="900"/>
      </w:tblGrid>
      <w:tr>
        <w:trPr>
          <w:trHeight w:val="20"/>
        </w:trPr>
        <w:tc>
          <w:tcPr>
            <w:shd w:val="clear" w:color="auto" w:fill="auto"/>
            <w:tcW w:w="817" w:type="dxa"/>
            <w:vAlign w:val="center"/>
            <w:textDirection w:val="lrTb"/>
            <w:noWrap w:val="false"/>
          </w:tcPr>
          <w:p>
            <w:pPr>
              <w:ind w:left="0"/>
              <w:jc w:val="left"/>
              <w:rPr>
                <w:rFonts w:ascii="宋体" w:hAnsi="宋体"/>
                <w:b/>
                <w:bCs/>
              </w:rPr>
            </w:pPr>
            <w:r>
              <w:rPr>
                <w:rFonts w:hint="eastAsia" w:ascii="宋体" w:hAnsi="宋体"/>
                <w:b/>
                <w:bCs/>
              </w:rPr>
              <w:t xml:space="preserve">序号</w:t>
            </w:r>
            <w:r/>
          </w:p>
        </w:tc>
        <w:tc>
          <w:tcPr>
            <w:shd w:val="clear" w:color="auto" w:fill="auto"/>
            <w:tcW w:w="2884" w:type="dxa"/>
            <w:vAlign w:val="center"/>
            <w:textDirection w:val="lrTb"/>
            <w:noWrap w:val="false"/>
          </w:tcPr>
          <w:p>
            <w:pPr>
              <w:ind w:left="0"/>
              <w:jc w:val="left"/>
              <w:rPr>
                <w:rFonts w:ascii="宋体" w:hAnsi="宋体"/>
                <w:b/>
                <w:bCs/>
              </w:rPr>
            </w:pPr>
            <w:r>
              <w:rPr>
                <w:rFonts w:hint="eastAsia" w:ascii="宋体" w:hAnsi="宋体"/>
                <w:b/>
                <w:bCs/>
              </w:rPr>
              <w:t xml:space="preserve">货物（服务）名称</w:t>
            </w:r>
            <w:r/>
          </w:p>
        </w:tc>
        <w:tc>
          <w:tcPr>
            <w:shd w:val="clear" w:color="auto" w:fill="auto"/>
            <w:tcW w:w="3647" w:type="dxa"/>
            <w:vAlign w:val="center"/>
            <w:textDirection w:val="lrTb"/>
            <w:noWrap w:val="false"/>
          </w:tcPr>
          <w:p>
            <w:pPr>
              <w:ind w:left="0"/>
              <w:jc w:val="left"/>
              <w:rPr>
                <w:rFonts w:ascii="宋体" w:hAnsi="宋体"/>
                <w:b/>
                <w:bCs/>
              </w:rPr>
            </w:pPr>
            <w:r>
              <w:rPr>
                <w:rFonts w:hint="eastAsia" w:ascii="宋体" w:hAnsi="宋体"/>
                <w:b/>
                <w:bCs/>
              </w:rPr>
              <w:t xml:space="preserve">品牌</w:t>
            </w:r>
            <w:r/>
          </w:p>
        </w:tc>
        <w:tc>
          <w:tcPr>
            <w:shd w:val="clear" w:color="auto" w:fill="auto"/>
            <w:tcW w:w="747" w:type="dxa"/>
            <w:vAlign w:val="center"/>
            <w:textDirection w:val="lrTb"/>
            <w:noWrap w:val="false"/>
          </w:tcPr>
          <w:p>
            <w:pPr>
              <w:ind w:left="0"/>
              <w:jc w:val="center"/>
              <w:rPr>
                <w:rFonts w:ascii="宋体" w:hAnsi="宋体"/>
                <w:b/>
                <w:bCs/>
              </w:rPr>
            </w:pPr>
            <w:r>
              <w:rPr>
                <w:rFonts w:hint="eastAsia" w:ascii="宋体" w:hAnsi="宋体"/>
                <w:b/>
                <w:bCs/>
              </w:rPr>
              <w:t xml:space="preserve">单位</w:t>
            </w:r>
            <w:r/>
          </w:p>
        </w:tc>
        <w:tc>
          <w:tcPr>
            <w:shd w:val="clear" w:color="auto" w:fill="auto"/>
            <w:tcW w:w="900" w:type="dxa"/>
            <w:vAlign w:val="center"/>
            <w:textDirection w:val="lrTb"/>
            <w:noWrap/>
          </w:tcPr>
          <w:p>
            <w:pPr>
              <w:ind w:left="0"/>
              <w:jc w:val="center"/>
              <w:rPr>
                <w:rFonts w:ascii="宋体" w:hAnsi="宋体"/>
                <w:b/>
                <w:bCs/>
              </w:rPr>
            </w:pPr>
            <w:r>
              <w:rPr>
                <w:rFonts w:hint="eastAsia" w:ascii="宋体" w:hAnsi="宋体"/>
                <w:b/>
                <w:bCs/>
              </w:rPr>
              <w:t xml:space="preserve">数量</w:t>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三</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基础数据支撑</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（一）</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人像卡口</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人员卡口摄像机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478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型号：IPC146-Fi4cNT</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开关电源</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品牌：衡孚</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478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型号：HF150W-LSM-24</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478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品牌：雷迅</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478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型号：SV-2/220EP</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265</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F式立杆（含基础）</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261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核增</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抱箍支架</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14</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4口工业交换机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品牌：恒信和安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160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型号：MIB12G-4EG-1GF-EIB</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（二）</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车辆卡口</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AI超微光卡口摄像机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163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型号：IPC695-HUS-C900D</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闪光灯</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163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型号：CXBG-2-MC-K308-WR</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LED频闪补光灯</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163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型号：CXBG-1-PS-K210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微卡口摄像机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型号：IPC146-Fi7bNT</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核增</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开关电源</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品牌：衡孚</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型号：HF150W-LSM-24</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核增</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万向节</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品牌：雷迅</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287</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型号：SV-2/220EP</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F式立杆</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立杆基础</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38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F式立杆（含基础）</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6</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8口工业交换机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品牌：恒信和安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30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型号：MIB12G-8E-2G-EIB</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15　</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4口工业交换机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品牌：恒信和安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　</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68　</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型号：MIB12G-4EG-1GF-EIB</w:t>
            </w:r>
            <w:r/>
          </w:p>
        </w:tc>
        <w:tc>
          <w:tcPr>
            <w:shd w:val="clear" w:color="auto" w:fill="auto"/>
            <w:tcW w:w="747" w:type="dxa"/>
            <w:vAlign w:val="center"/>
            <w:vMerge w:val="continue"/>
            <w:textDirection w:val="lrTb"/>
            <w:noWrap w:val="false"/>
          </w:tcPr>
          <w:p>
            <w:pPr>
              <w:ind w:left="0"/>
              <w:jc w:val="center"/>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center"/>
              <w:rPr>
                <w:rFonts w:ascii="宋体" w:hAnsi="宋体"/>
              </w:rPr>
            </w:pPr>
            <w:r>
              <w:rPr>
                <w:rFonts w:ascii="宋体" w:hAnsi="宋体"/>
              </w:rPr>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center"/>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center"/>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(三）</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多目摄像机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多目智能抓拍一体机（变焦）</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型号：IPC2258-GiCN-SML50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品牌：雷迅</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型号：SV-2/220EP</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抱箍支架</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F式立杆（含基础）</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8</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4口工业交换机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品牌：恒信和安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型号：MIB12G-4EG-1GF-EIB</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（四）</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高点摄像机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全景特写一体化球机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型号：IPC980-U850-NL</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重载云台摄像机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品牌：海康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型号：iDS-2DYH2A0IXS-AD</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安装支架</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安装支架</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避雷器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品牌：雷迅</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型号：SV-2/220EP</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室外挂壁设备箱</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品牌：国产</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只</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4口工业交换机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品牌：恒信和安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型号：MIB12G-4EG-1GF-EIB</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数据交换防火墙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NG-51228</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可信边界安全网关</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品牌：中宇万通</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型号：SG5300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数据交换系统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型号：DTP3009X</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数据交换网闸</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型号：TopRules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探针系统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型号：TZ-I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监管级联系统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型号：3AS-I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型号：RG-NBS5200-48GT4XS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视频专网与公安网视频边界</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万兆视频接入防火墙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视频安全传输系统（万兆）</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型号：MTP9009X</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探针系统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型号：TZ-I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型号：RG-NBS5200-48GT4XS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其他专网到视频专网视频通道</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万兆视频接入防火墙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视频安全传输系统（万兆）</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型号：MTP9009X</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探针系统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型号：TZ-I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型号：RG-NBS5200-48GT4XS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其他专网与视频专网数据边界</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数据交换防火墙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NG-51228</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可信边界安全网关</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品牌：中宇万通</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型号：SG5300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单向安全传输系统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型号：UIS3003X</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探针系统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型号：TZ-I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型号：RG-NBS5200-48GT4XS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社会面共享平台到视频专网（单向）视频通道</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万兆视频接入防火墙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视频安全传输系统（万兆）</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型号：MTP9009X</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探针系统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品牌：天行网安</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型号：TZ-I</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型号：RG-NBS5200-48GT4XS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市局视频专网边界万兆防火墙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视频专网防火墙</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品牌：天融信</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型号：NGFW4000-UF</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专网安全雷达系统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专网安全雷达系统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品牌：天懋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型号：RadarVN-201</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8）</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云存储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高密云存储阵列</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6</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型号：KCloudStor2100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平台接入授权</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773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（六）</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雪亮工程前端指挥部显示系统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6F指挥部显示系统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P1.5小间距LED大屏</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10.125</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型号：JY-P3-X15L</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独立主控发送器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型号：JY-S100-D15L</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拼接处理器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型号：MSP100-X1-4U</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DVI输入卡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型号：MSP100-X1-D-IC</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8</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DVI输出卡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型号：MSP100-X1-D-OC</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4F指挥部显示系统</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P1.5小间距LED大屏</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7.8975</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型号：JY-P3-X15L</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独立主控发送器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型号：JY-S100-D15L</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拼接处理器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型号：MSP100-X1-4U</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DVI输入卡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型号：MSP100-X1-D-IC</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8</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DVI输出卡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型号：MSP100-X1-D-OC</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6F指挥部环境改造</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（七）</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硬件资源中心</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　</w:t>
            </w:r>
            <w:r/>
          </w:p>
        </w:tc>
        <w:tc>
          <w:tcPr>
            <w:shd w:val="clear" w:color="auto" w:fill="auto"/>
            <w:tcW w:w="747" w:type="dxa"/>
            <w:vAlign w:val="center"/>
            <w:textDirection w:val="lrTb"/>
            <w:noWrap w:val="false"/>
          </w:tcPr>
          <w:p>
            <w:pPr>
              <w:ind w:left="0"/>
              <w:jc w:val="center"/>
              <w:rPr>
                <w:rFonts w:ascii="宋体" w:hAnsi="宋体"/>
              </w:rPr>
            </w:pPr>
            <w:r>
              <w:rPr>
                <w:rFonts w:hint="eastAsia" w:ascii="宋体" w:hAnsi="宋体"/>
              </w:rPr>
              <w:t xml:space="preserve">　</w:t>
            </w:r>
            <w:r/>
          </w:p>
        </w:tc>
        <w:tc>
          <w:tcPr>
            <w:shd w:val="clear" w:color="auto" w:fill="auto"/>
            <w:tcW w:w="900" w:type="dxa"/>
            <w:vAlign w:val="center"/>
            <w:textDirection w:val="lrTb"/>
            <w:noWrap w:val="false"/>
          </w:tcPr>
          <w:p>
            <w:pPr>
              <w:ind w:left="0"/>
              <w:jc w:val="center"/>
              <w:rPr>
                <w:rFonts w:ascii="宋体" w:hAnsi="宋体"/>
              </w:rPr>
            </w:pPr>
            <w:r>
              <w:rPr>
                <w:rFonts w:hint="eastAsia" w:ascii="宋体" w:hAnsi="宋体"/>
              </w:rPr>
              <w:t xml:space="preserve">　</w:t>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高密度服务器机箱</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型号：KProServer3-B01</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高密度服务器计算节点</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型号：KProServer3-N100-E01-128G</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高密度GPU服务器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型号：DeepEngine-1000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高密度GPU服务器计算单元</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型号：DeepEngine-1000-Unit1</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四电口千兆网卡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型号：KProServer3-NIC-1G-T04</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视频解析一体机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品牌：依图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型号：YT-AP-GA1150</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互联网视频汇聚平台</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套</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型号：KDM2901</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8</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接入license服务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品牌：科达</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5000</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型号：定制</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9</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汇聚交换机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品牌：锐捷</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型号：RG-S5750C-48SFP4XS-H</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精密列头柜</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型号：EP-250-OCD2-24-H</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11</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PDU</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48</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型号：PD4S24</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12</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服务器机柜</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24</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型号：XRack-R1</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26</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列间空调</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3</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室内机型号：XR040A</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室外机型号：CS54</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29</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监控主机</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台</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型号：EM90A-N</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35</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烟雾检测器</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2</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型号：HM-613PC4W</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vMerge w:val="restart"/>
            <w:textDirection w:val="lrTb"/>
            <w:noWrap w:val="false"/>
          </w:tcPr>
          <w:p>
            <w:pPr>
              <w:ind w:left="0"/>
              <w:jc w:val="left"/>
              <w:rPr>
                <w:rFonts w:ascii="宋体" w:hAnsi="宋体"/>
              </w:rPr>
            </w:pPr>
            <w:r>
              <w:rPr>
                <w:rFonts w:hint="eastAsia" w:ascii="宋体" w:hAnsi="宋体"/>
              </w:rPr>
              <w:t xml:space="preserve">40</w:t>
            </w:r>
            <w:r/>
          </w:p>
        </w:tc>
        <w:tc>
          <w:tcPr>
            <w:shd w:val="clear" w:color="auto" w:fill="auto"/>
            <w:tcW w:w="2884" w:type="dxa"/>
            <w:vAlign w:val="center"/>
            <w:vMerge w:val="restart"/>
            <w:textDirection w:val="lrTb"/>
            <w:noWrap w:val="false"/>
          </w:tcPr>
          <w:p>
            <w:pPr>
              <w:ind w:left="0"/>
              <w:jc w:val="left"/>
              <w:rPr>
                <w:rFonts w:ascii="宋体" w:hAnsi="宋体"/>
              </w:rPr>
            </w:pPr>
            <w:r>
              <w:rPr>
                <w:rFonts w:hint="eastAsia" w:ascii="宋体" w:hAnsi="宋体"/>
              </w:rPr>
              <w:t xml:space="preserve">机架式PDU</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品牌：英维克</w:t>
            </w:r>
            <w:r/>
          </w:p>
        </w:tc>
        <w:tc>
          <w:tcPr>
            <w:shd w:val="clear" w:color="auto" w:fill="auto"/>
            <w:tcW w:w="747" w:type="dxa"/>
            <w:vAlign w:val="center"/>
            <w:vMerge w:val="restart"/>
            <w:textDirection w:val="lrTb"/>
            <w:noWrap w:val="false"/>
          </w:tcPr>
          <w:p>
            <w:pPr>
              <w:ind w:left="0"/>
              <w:jc w:val="center"/>
              <w:rPr>
                <w:rFonts w:ascii="宋体" w:hAnsi="宋体"/>
              </w:rPr>
            </w:pPr>
            <w:r>
              <w:rPr>
                <w:rFonts w:hint="eastAsia" w:ascii="宋体" w:hAnsi="宋体"/>
              </w:rPr>
              <w:t xml:space="preserve">个</w:t>
            </w:r>
            <w:r/>
          </w:p>
        </w:tc>
        <w:tc>
          <w:tcPr>
            <w:shd w:val="clear" w:color="auto" w:fill="auto"/>
            <w:tcW w:w="900" w:type="dxa"/>
            <w:vAlign w:val="center"/>
            <w:vMerge w:val="restart"/>
            <w:textDirection w:val="lrTb"/>
            <w:noWrap w:val="false"/>
          </w:tcPr>
          <w:p>
            <w:pPr>
              <w:ind w:left="0"/>
              <w:jc w:val="center"/>
              <w:rPr>
                <w:rFonts w:ascii="宋体" w:hAnsi="宋体"/>
              </w:rPr>
            </w:pPr>
            <w:r>
              <w:rPr>
                <w:rFonts w:hint="eastAsia" w:ascii="宋体" w:hAnsi="宋体"/>
              </w:rPr>
              <w:t xml:space="preserve">1</w:t>
            </w:r>
            <w:r/>
          </w:p>
        </w:tc>
      </w:tr>
      <w:tr>
        <w:trPr>
          <w:trHeight w:val="20"/>
        </w:trPr>
        <w:tc>
          <w:tcPr>
            <w:shd w:val="clear" w:color="auto" w:fill="auto"/>
            <w:tcW w:w="81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288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型号：PD7S</w:t>
            </w:r>
            <w:r/>
          </w:p>
        </w:tc>
        <w:tc>
          <w:tcPr>
            <w:shd w:val="clear" w:color="auto" w:fill="auto"/>
            <w:tcW w:w="747"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900" w:type="dxa"/>
            <w:vAlign w:val="center"/>
            <w:vMerge w:val="continue"/>
            <w:textDirection w:val="lrTb"/>
            <w:noWrap w:val="false"/>
          </w:tcPr>
          <w:p>
            <w:pPr>
              <w:ind w:left="0"/>
              <w:jc w:val="left"/>
              <w:rPr>
                <w:rFonts w:ascii="宋体" w:hAnsi="宋体"/>
              </w:rPr>
            </w:pPr>
            <w:r>
              <w:rPr>
                <w:rFonts w:ascii="宋体" w:hAnsi="宋体"/>
              </w:rPr>
            </w:r>
            <w:r/>
          </w:p>
        </w:tc>
      </w:tr>
      <w:tr>
        <w:trPr>
          <w:trHeight w:val="20"/>
        </w:trPr>
        <w:tc>
          <w:tcPr>
            <w:shd w:val="clear" w:color="auto" w:fill="auto"/>
            <w:tcW w:w="817" w:type="dxa"/>
            <w:vAlign w:val="center"/>
            <w:textDirection w:val="lrTb"/>
            <w:noWrap w:val="false"/>
          </w:tcPr>
          <w:p>
            <w:pPr>
              <w:ind w:left="0"/>
              <w:jc w:val="left"/>
              <w:rPr>
                <w:rFonts w:ascii="宋体" w:hAnsi="宋体"/>
              </w:rPr>
            </w:pPr>
            <w:r>
              <w:rPr>
                <w:rFonts w:hint="eastAsia" w:ascii="宋体" w:hAnsi="宋体"/>
              </w:rPr>
              <w:t xml:space="preserve">（八）</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传输链路及供电</w:t>
            </w:r>
            <w:r/>
          </w:p>
        </w:tc>
        <w:tc>
          <w:tcPr>
            <w:shd w:val="clear" w:color="auto" w:fill="auto"/>
            <w:tcW w:w="3647" w:type="dxa"/>
            <w:vAlign w:val="center"/>
            <w:textDirection w:val="lrTb"/>
            <w:noWrap w:val="false"/>
          </w:tcPr>
          <w:p>
            <w:pPr>
              <w:ind w:left="0"/>
              <w:jc w:val="left"/>
              <w:rPr>
                <w:rFonts w:ascii="宋体" w:hAnsi="宋体"/>
              </w:rPr>
            </w:pPr>
            <w:r>
              <w:rPr>
                <w:rFonts w:ascii="宋体" w:hAnsi="宋体"/>
              </w:rPr>
            </w:r>
            <w:r/>
          </w:p>
        </w:tc>
        <w:tc>
          <w:tcPr>
            <w:shd w:val="clear" w:color="auto" w:fill="auto"/>
            <w:tcW w:w="747" w:type="dxa"/>
            <w:vAlign w:val="center"/>
            <w:textDirection w:val="lrTb"/>
            <w:noWrap w:val="false"/>
          </w:tcPr>
          <w:p>
            <w:pPr>
              <w:ind w:left="0"/>
              <w:jc w:val="left"/>
              <w:rPr>
                <w:rFonts w:ascii="宋体" w:hAnsi="宋体"/>
              </w:rPr>
            </w:pPr>
            <w:r>
              <w:rPr>
                <w:rFonts w:ascii="宋体" w:hAnsi="宋体"/>
              </w:rPr>
            </w:r>
            <w:r/>
          </w:p>
        </w:tc>
        <w:tc>
          <w:tcPr>
            <w:shd w:val="clear" w:color="auto" w:fill="auto"/>
            <w:tcW w:w="900" w:type="dxa"/>
            <w:vAlign w:val="center"/>
            <w:textDirection w:val="lrTb"/>
            <w:noWrap w:val="false"/>
          </w:tcPr>
          <w:p>
            <w:pPr>
              <w:ind w:left="0"/>
              <w:jc w:val="left"/>
              <w:rPr>
                <w:rFonts w:ascii="宋体" w:hAnsi="宋体"/>
              </w:rPr>
            </w:pPr>
            <w:r>
              <w:rPr>
                <w:rFonts w:ascii="宋体" w:hAnsi="宋体"/>
              </w:rPr>
            </w:r>
            <w:r/>
          </w:p>
        </w:tc>
      </w:tr>
      <w:tr>
        <w:trPr>
          <w:trHeight w:val="70"/>
        </w:trPr>
        <w:tc>
          <w:tcPr>
            <w:shd w:val="clear" w:color="auto" w:fill="auto"/>
            <w:tcW w:w="817" w:type="dxa"/>
            <w:vAlign w:val="center"/>
            <w:textDirection w:val="lrTb"/>
            <w:noWrap w:val="false"/>
          </w:tcPr>
          <w:p>
            <w:pPr>
              <w:ind w:left="0"/>
              <w:jc w:val="center"/>
              <w:rPr>
                <w:rFonts w:ascii="宋体" w:hAnsi="宋体"/>
                <w:lang w:eastAsia="en-US"/>
              </w:rPr>
            </w:pPr>
            <w:r>
              <w:rPr>
                <w:rFonts w:hint="eastAsia" w:ascii="Arial" w:hAnsi="Arial" w:eastAsia="Arial" w:cs="Arial"/>
                <w:lang w:eastAsia="en-US"/>
              </w:rPr>
              <w:t xml:space="preserve">1</w:t>
            </w:r>
            <w:r/>
          </w:p>
        </w:tc>
        <w:tc>
          <w:tcPr>
            <w:shd w:val="clear" w:color="auto" w:fill="auto"/>
            <w:tcW w:w="2884" w:type="dxa"/>
            <w:vAlign w:val="center"/>
            <w:textDirection w:val="lrTb"/>
            <w:noWrap w:val="false"/>
          </w:tcPr>
          <w:p>
            <w:pPr>
              <w:ind w:left="0"/>
              <w:jc w:val="left"/>
              <w:rPr>
                <w:rFonts w:ascii="宋体" w:hAnsi="宋体"/>
              </w:rPr>
            </w:pPr>
            <w:r>
              <w:rPr>
                <w:rFonts w:hint="eastAsia" w:ascii="宋体" w:hAnsi="宋体"/>
              </w:rPr>
              <w:t xml:space="preserve">传输链路（人卡）</w:t>
            </w:r>
            <w:r/>
          </w:p>
        </w:tc>
        <w:tc>
          <w:tcPr>
            <w:shd w:val="clear" w:color="auto" w:fill="auto"/>
            <w:tcW w:w="3647" w:type="dxa"/>
            <w:vAlign w:val="center"/>
            <w:textDirection w:val="lrTb"/>
            <w:noWrap w:val="false"/>
          </w:tcPr>
          <w:p>
            <w:pPr>
              <w:ind w:left="0"/>
              <w:jc w:val="left"/>
              <w:rPr>
                <w:rFonts w:ascii="宋体" w:hAnsi="宋体"/>
              </w:rPr>
            </w:pPr>
            <w:r>
              <w:rPr>
                <w:rFonts w:hint="eastAsia" w:ascii="宋体" w:hAnsi="宋体"/>
              </w:rPr>
              <w:t xml:space="preserve">传输链路运维服务</w:t>
            </w:r>
            <w:r/>
          </w:p>
        </w:tc>
        <w:tc>
          <w:tcPr>
            <w:shd w:val="clear" w:color="auto" w:fill="auto"/>
            <w:tcW w:w="747" w:type="dxa"/>
            <w:vAlign w:val="center"/>
            <w:textDirection w:val="lrTb"/>
            <w:noWrap w:val="false"/>
          </w:tcPr>
          <w:p>
            <w:pPr>
              <w:ind w:left="0"/>
              <w:jc w:val="left"/>
              <w:rPr>
                <w:rFonts w:ascii="宋体" w:hAnsi="宋体"/>
              </w:rPr>
            </w:pPr>
            <w:r>
              <w:rPr>
                <w:rFonts w:hint="eastAsia" w:ascii="宋体" w:hAnsi="宋体"/>
              </w:rPr>
              <w:t xml:space="preserve">路</w:t>
            </w:r>
            <w:r/>
          </w:p>
        </w:tc>
        <w:tc>
          <w:tcPr>
            <w:shd w:val="clear" w:color="auto" w:fill="auto"/>
            <w:tcW w:w="900" w:type="dxa"/>
            <w:vAlign w:val="center"/>
            <w:textDirection w:val="lrTb"/>
            <w:noWrap w:val="false"/>
          </w:tcPr>
          <w:p>
            <w:pPr>
              <w:ind w:left="0"/>
              <w:jc w:val="left"/>
              <w:rPr>
                <w:rFonts w:ascii="宋体" w:hAnsi="宋体"/>
              </w:rPr>
            </w:pPr>
            <w:r>
              <w:rPr>
                <w:rFonts w:ascii="宋体" w:hAnsi="宋体"/>
              </w:rPr>
              <w:t xml:space="preserve">164</w:t>
            </w:r>
            <w:r/>
          </w:p>
        </w:tc>
      </w:tr>
    </w:tbl>
    <w:p>
      <w:pPr>
        <w:ind w:left="0" w:firstLine="432"/>
        <w:spacing w:line="360" w:lineRule="auto"/>
        <w:rPr>
          <w:rFonts w:ascii="宋体" w:hAnsi="宋体"/>
          <w:strike/>
          <w:spacing w:val="3"/>
          <w:sz w:val="21"/>
          <w:szCs w:val="21"/>
        </w:rPr>
      </w:pPr>
      <w:r>
        <w:rPr>
          <w:rFonts w:ascii="宋体" w:hAnsi="宋体"/>
          <w:strike/>
          <w:spacing w:val="3"/>
          <w:sz w:val="21"/>
          <w:szCs w:val="21"/>
        </w:rPr>
      </w:r>
      <w:r/>
    </w:p>
    <w:p>
      <w:pPr>
        <w:ind w:left="0" w:firstLine="420"/>
        <w:jc w:val="left"/>
        <w:spacing w:line="360" w:lineRule="auto"/>
        <w:widowControl w:val="off"/>
        <w:tabs>
          <w:tab w:val="left" w:pos="312" w:leader="none"/>
        </w:tabs>
        <w:rPr>
          <w:rFonts w:ascii="宋体" w:hAnsi="宋体" w:cs="Arial"/>
          <w:sz w:val="21"/>
          <w:szCs w:val="21"/>
        </w:rPr>
      </w:pPr>
      <w:r>
        <w:rPr>
          <w:rFonts w:hint="eastAsia" w:ascii="宋体" w:hAnsi="宋体" w:cs="Arial"/>
          <w:sz w:val="21"/>
          <w:szCs w:val="21"/>
        </w:rPr>
        <w:t xml:space="preserve">2、备品备件表：</w:t>
      </w:r>
      <w:r/>
    </w:p>
    <w:tbl>
      <w:tblPr>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1370"/>
        <w:gridCol w:w="6732"/>
        <w:gridCol w:w="1752"/>
      </w:tblGrid>
      <w:tr>
        <w:trPr>
          <w:jc w:val="center"/>
          <w:trHeight w:val="20"/>
        </w:trPr>
        <w:tc>
          <w:tcPr>
            <w:tcW w:w="695" w:type="pct"/>
            <w:vAlign w:val="center"/>
            <w:textDirection w:val="lrTb"/>
            <w:noWrap w:val="false"/>
          </w:tcPr>
          <w:p>
            <w:pPr>
              <w:ind w:left="0" w:firstLine="422"/>
              <w:spacing w:line="360" w:lineRule="auto"/>
              <w:rPr>
                <w:rFonts w:ascii="宋体" w:hAnsi="宋体"/>
                <w:b/>
                <w:bCs/>
                <w:sz w:val="21"/>
                <w:szCs w:val="21"/>
              </w:rPr>
            </w:pPr>
            <w:r>
              <w:rPr>
                <w:rFonts w:hint="eastAsia" w:ascii="宋体" w:hAnsi="宋体"/>
                <w:b/>
                <w:bCs/>
                <w:sz w:val="21"/>
                <w:szCs w:val="21"/>
              </w:rPr>
              <w:t xml:space="preserve">序号</w:t>
            </w:r>
            <w:r/>
          </w:p>
        </w:tc>
        <w:tc>
          <w:tcPr>
            <w:tcW w:w="3416" w:type="pct"/>
            <w:vAlign w:val="center"/>
            <w:textDirection w:val="lrTb"/>
            <w:noWrap w:val="false"/>
          </w:tcPr>
          <w:p>
            <w:pPr>
              <w:ind w:left="0" w:firstLine="422"/>
              <w:jc w:val="center"/>
              <w:spacing w:line="360" w:lineRule="auto"/>
              <w:rPr>
                <w:rFonts w:ascii="宋体" w:hAnsi="宋体"/>
                <w:b/>
                <w:bCs/>
                <w:sz w:val="21"/>
                <w:szCs w:val="21"/>
              </w:rPr>
            </w:pPr>
            <w:r>
              <w:rPr>
                <w:rFonts w:hint="eastAsia" w:ascii="宋体" w:hAnsi="宋体"/>
                <w:b/>
                <w:bCs/>
                <w:sz w:val="21"/>
                <w:szCs w:val="21"/>
              </w:rPr>
              <w:t xml:space="preserve">备品备件名称</w:t>
            </w:r>
            <w:r/>
          </w:p>
        </w:tc>
        <w:tc>
          <w:tcPr>
            <w:tcW w:w="889"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数量（台）</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1</w:t>
            </w:r>
            <w:r/>
          </w:p>
        </w:tc>
        <w:tc>
          <w:tcPr>
            <w:tcW w:w="3416" w:type="pct"/>
            <w:vAlign w:val="center"/>
            <w:textDirection w:val="lrTb"/>
            <w:noWrap w:val="false"/>
          </w:tcPr>
          <w:p>
            <w:pPr>
              <w:ind w:left="0" w:firstLine="420"/>
              <w:jc w:val="center"/>
              <w:spacing w:line="360" w:lineRule="auto"/>
              <w:rPr>
                <w:rFonts w:ascii="宋体" w:hAnsi="宋体"/>
                <w:sz w:val="21"/>
                <w:szCs w:val="21"/>
                <w:lang w:eastAsia="en-US"/>
              </w:rPr>
            </w:pPr>
            <w:r>
              <w:rPr>
                <w:rFonts w:hint="eastAsia" w:ascii="宋体" w:hAnsi="宋体"/>
                <w:sz w:val="21"/>
                <w:szCs w:val="21"/>
                <w:lang w:eastAsia="en-US"/>
              </w:rPr>
              <w:t xml:space="preserve">超微光智能卡口单元</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2</w:t>
            </w:r>
            <w:r/>
          </w:p>
        </w:tc>
        <w:tc>
          <w:tcPr>
            <w:tcW w:w="3416" w:type="pct"/>
            <w:vAlign w:val="center"/>
            <w:textDirection w:val="lrTb"/>
            <w:noWrap w:val="false"/>
          </w:tcPr>
          <w:p>
            <w:pPr>
              <w:ind w:left="0" w:firstLine="420"/>
              <w:jc w:val="center"/>
              <w:spacing w:line="360" w:lineRule="auto"/>
              <w:rPr>
                <w:rFonts w:ascii="宋体" w:hAnsi="宋体"/>
                <w:sz w:val="21"/>
                <w:szCs w:val="21"/>
                <w:lang w:eastAsia="en-US"/>
              </w:rPr>
            </w:pPr>
            <w:r>
              <w:rPr>
                <w:rFonts w:hint="eastAsia" w:ascii="宋体" w:hAnsi="宋体"/>
                <w:sz w:val="21"/>
                <w:szCs w:val="21"/>
                <w:lang w:eastAsia="en-US"/>
              </w:rPr>
              <w:t xml:space="preserve">LED频闪补光灯</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3</w:t>
            </w:r>
            <w:r/>
          </w:p>
        </w:tc>
        <w:tc>
          <w:tcPr>
            <w:tcW w:w="3416" w:type="pct"/>
            <w:vAlign w:val="center"/>
            <w:textDirection w:val="lrTb"/>
            <w:noWrap w:val="false"/>
          </w:tcPr>
          <w:p>
            <w:pPr>
              <w:ind w:left="0" w:firstLine="420"/>
              <w:jc w:val="center"/>
              <w:spacing w:line="360" w:lineRule="auto"/>
              <w:rPr>
                <w:rFonts w:ascii="宋体" w:hAnsi="宋体"/>
                <w:sz w:val="21"/>
                <w:szCs w:val="21"/>
                <w:lang w:eastAsia="en-US"/>
              </w:rPr>
            </w:pPr>
            <w:r>
              <w:rPr>
                <w:rFonts w:hint="eastAsia" w:ascii="宋体" w:hAnsi="宋体"/>
                <w:sz w:val="21"/>
                <w:szCs w:val="21"/>
                <w:lang w:eastAsia="en-US"/>
              </w:rPr>
              <w:t xml:space="preserve">闪光灯</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4</w:t>
            </w:r>
            <w:r/>
          </w:p>
        </w:tc>
        <w:tc>
          <w:tcPr>
            <w:tcW w:w="3416" w:type="pct"/>
            <w:vAlign w:val="center"/>
            <w:textDirection w:val="lrTb"/>
            <w:noWrap w:val="false"/>
          </w:tcPr>
          <w:p>
            <w:pPr>
              <w:ind w:left="0" w:firstLine="420"/>
              <w:jc w:val="center"/>
              <w:spacing w:line="360" w:lineRule="auto"/>
              <w:rPr>
                <w:rFonts w:ascii="宋体" w:hAnsi="宋体"/>
                <w:sz w:val="21"/>
                <w:szCs w:val="21"/>
                <w:lang w:eastAsia="en-US"/>
              </w:rPr>
            </w:pPr>
            <w:r>
              <w:rPr>
                <w:rFonts w:hint="eastAsia" w:ascii="宋体" w:hAnsi="宋体"/>
                <w:sz w:val="21"/>
                <w:szCs w:val="21"/>
                <w:lang w:eastAsia="en-US"/>
              </w:rPr>
              <w:t xml:space="preserve">结构化摄像机</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5</w:t>
            </w:r>
            <w:r/>
          </w:p>
        </w:tc>
        <w:tc>
          <w:tcPr>
            <w:tcW w:w="3416" w:type="pct"/>
            <w:vAlign w:val="center"/>
            <w:textDirection w:val="lrTb"/>
            <w:noWrap w:val="false"/>
          </w:tcPr>
          <w:p>
            <w:pPr>
              <w:ind w:left="0" w:firstLine="420"/>
              <w:jc w:val="center"/>
              <w:spacing w:line="360" w:lineRule="auto"/>
              <w:rPr>
                <w:rFonts w:ascii="宋体" w:hAnsi="宋体"/>
                <w:sz w:val="21"/>
                <w:szCs w:val="21"/>
                <w:lang w:eastAsia="en-US"/>
              </w:rPr>
            </w:pPr>
            <w:r>
              <w:rPr>
                <w:rFonts w:hint="eastAsia" w:ascii="宋体" w:hAnsi="宋体"/>
                <w:sz w:val="21"/>
                <w:szCs w:val="21"/>
                <w:lang w:eastAsia="en-US"/>
              </w:rPr>
              <w:t xml:space="preserve">人员卡口摄像机A</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r>
      <w:tr>
        <w:trPr>
          <w:jc w:val="center"/>
          <w:trHeight w:val="20"/>
        </w:trPr>
        <w:tc>
          <w:tcPr>
            <w:tcW w:w="695" w:type="pct"/>
            <w:vAlign w:val="center"/>
            <w:textDirection w:val="lrTb"/>
            <w:noWrap w:val="false"/>
          </w:tcPr>
          <w:p>
            <w:pPr>
              <w:ind w:left="0" w:firstLine="420"/>
              <w:spacing w:line="360" w:lineRule="auto"/>
              <w:rPr>
                <w:rFonts w:ascii="宋体" w:hAnsi="宋体"/>
                <w:sz w:val="21"/>
                <w:szCs w:val="21"/>
              </w:rPr>
            </w:pPr>
            <w:r>
              <w:rPr>
                <w:rFonts w:hint="eastAsia" w:ascii="宋体" w:hAnsi="宋体"/>
                <w:sz w:val="21"/>
                <w:szCs w:val="21"/>
              </w:rPr>
              <w:t xml:space="preserve">6</w:t>
            </w:r>
            <w:r/>
          </w:p>
        </w:tc>
        <w:tc>
          <w:tcPr>
            <w:tcW w:w="3416" w:type="pct"/>
            <w:vAlign w:val="center"/>
            <w:textDirection w:val="lrTb"/>
            <w:noWrap w:val="false"/>
          </w:tcPr>
          <w:p>
            <w:pPr>
              <w:ind w:left="0" w:firstLine="420"/>
              <w:jc w:val="center"/>
              <w:spacing w:line="360" w:lineRule="auto"/>
              <w:rPr>
                <w:rFonts w:ascii="宋体" w:hAnsi="宋体"/>
                <w:sz w:val="21"/>
                <w:szCs w:val="21"/>
              </w:rPr>
            </w:pPr>
            <w:r>
              <w:rPr>
                <w:rFonts w:hint="eastAsia" w:ascii="宋体" w:hAnsi="宋体"/>
                <w:sz w:val="21"/>
                <w:szCs w:val="21"/>
              </w:rPr>
              <w:t xml:space="preserve">AI超微光卡口摄像机</w:t>
            </w:r>
            <w:r/>
          </w:p>
        </w:tc>
        <w:tc>
          <w:tcPr>
            <w:tcW w:w="88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备注：（1）上述备品备件需满足本项目维修更换使用，参数性能要等同或优于现用设备。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（2）上述备品备件清单作为</w:t>
      </w:r>
      <w:r>
        <w:rPr>
          <w:rFonts w:hint="eastAsia" w:ascii="宋体" w:hAnsi="宋体"/>
          <w:b/>
          <w:sz w:val="21"/>
        </w:rPr>
        <w:t xml:space="preserve">中标</w:t>
      </w:r>
      <w:r>
        <w:rPr>
          <w:rFonts w:hint="eastAsia" w:ascii="宋体" w:hAnsi="宋体"/>
          <w:b/>
          <w:sz w:val="21"/>
        </w:rPr>
        <w:t xml:space="preserve">单位在运维中所必须提供的维修材料，并在合同签订后15日内备齐，形成文件由采购单位签字确认；后续运维保障维修过程中超过备品备件数量，</w:t>
      </w:r>
      <w:r>
        <w:rPr>
          <w:rFonts w:hint="eastAsia" w:ascii="宋体" w:hAnsi="宋体"/>
          <w:b/>
          <w:sz w:val="21"/>
        </w:rPr>
        <w:t xml:space="preserve">中标</w:t>
      </w:r>
      <w:r>
        <w:rPr>
          <w:rFonts w:hint="eastAsia" w:ascii="宋体" w:hAnsi="宋体"/>
          <w:b/>
          <w:sz w:val="21"/>
        </w:rPr>
        <w:t xml:space="preserve">单位自行采购解决。</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（3）本次运维所需备品备件不限于上述表格中所列设备，实际运维保障维修更换中如需其他相关配件，成交单位应按要求及时保障供应。</w:t>
      </w:r>
      <w:r/>
    </w:p>
    <w:p>
      <w:pPr>
        <w:pStyle w:val="861"/>
      </w:pPr>
      <w:r/>
      <w:r/>
    </w:p>
    <w:p>
      <w:pPr>
        <w:ind w:left="0" w:firstLine="434"/>
        <w:spacing w:line="360" w:lineRule="auto"/>
        <w:rPr>
          <w:rFonts w:ascii="宋体" w:hAnsi="宋体"/>
          <w:b/>
          <w:bCs/>
          <w:spacing w:val="3"/>
          <w:sz w:val="21"/>
          <w:szCs w:val="21"/>
        </w:rPr>
      </w:pPr>
      <w:r>
        <w:rPr>
          <w:rFonts w:ascii="宋体" w:hAnsi="宋体"/>
          <w:b/>
          <w:bCs/>
          <w:spacing w:val="3"/>
          <w:sz w:val="21"/>
          <w:szCs w:val="21"/>
        </w:rPr>
        <w:t xml:space="preserve">（二）服务内容</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1、保障本项目维护范围内各系统设备的正常运行；对设备进行定期的预防性维护，做好系统运行的调优工作，及时发现系统存在的潜在隐患；当设备故障时，确保招标方系统设备设施能得到及时维护。</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项目服务期间，维保清单中所列明的设备维修、维护、更换所产生的费用由</w:t>
      </w:r>
      <w:r>
        <w:rPr>
          <w:rFonts w:ascii="宋体" w:hAnsi="宋体"/>
          <w:spacing w:val="3"/>
          <w:sz w:val="21"/>
          <w:szCs w:val="21"/>
          <w:lang w:val="zh-CN"/>
        </w:rPr>
        <w:t xml:space="preserve">投标</w:t>
      </w:r>
      <w:r>
        <w:rPr>
          <w:rFonts w:ascii="宋体" w:hAnsi="宋体"/>
          <w:spacing w:val="3"/>
          <w:sz w:val="21"/>
          <w:szCs w:val="21"/>
          <w:lang w:val="zh-CN"/>
        </w:rPr>
        <w:t xml:space="preserve">单位承担。</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2、维保服务技术</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（1）投标</w:t>
      </w:r>
      <w:r>
        <w:rPr>
          <w:rFonts w:hint="eastAsia" w:ascii="宋体" w:hAnsi="宋体"/>
          <w:spacing w:val="3"/>
          <w:sz w:val="21"/>
          <w:szCs w:val="21"/>
          <w:lang w:val="zh-CN"/>
        </w:rPr>
        <w:t xml:space="preserve">单位必须提供稳定专业化的技术支持服务队伍，完善的技术支持服务体系。配备有管理经验、具有较强管理和协调能力的技术团队，协助采购人进行现场工作管理和协调。要求</w:t>
      </w:r>
      <w:r>
        <w:rPr>
          <w:rFonts w:ascii="宋体" w:hAnsi="宋体"/>
          <w:spacing w:val="3"/>
          <w:sz w:val="21"/>
          <w:szCs w:val="21"/>
          <w:lang w:val="zh-CN"/>
        </w:rPr>
        <w:t xml:space="preserve">投标</w:t>
      </w:r>
      <w:r>
        <w:rPr>
          <w:rFonts w:hint="eastAsia" w:ascii="宋体" w:hAnsi="宋体"/>
          <w:spacing w:val="3"/>
          <w:sz w:val="21"/>
          <w:szCs w:val="21"/>
          <w:lang w:val="zh-CN"/>
        </w:rPr>
        <w:t xml:space="preserve">单位针对本项目配备实施团队如下：</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项目经理</w:t>
      </w:r>
      <w:r>
        <w:rPr>
          <w:rFonts w:ascii="宋体" w:hAnsi="宋体"/>
          <w:spacing w:val="3"/>
          <w:sz w:val="21"/>
          <w:szCs w:val="21"/>
          <w:lang w:val="zh-CN"/>
        </w:rPr>
        <w:t xml:space="preserve">1</w:t>
      </w:r>
      <w:r>
        <w:rPr>
          <w:rFonts w:hint="eastAsia" w:ascii="宋体" w:hAnsi="宋体"/>
          <w:spacing w:val="3"/>
          <w:sz w:val="21"/>
          <w:szCs w:val="21"/>
          <w:lang w:val="zh-CN"/>
        </w:rPr>
        <w:t xml:space="preserve">人，负责跟踪推进项目工作和问题的协调落实，并具有相关工作管理经验；</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技术负责人</w:t>
      </w:r>
      <w:r>
        <w:rPr>
          <w:rFonts w:ascii="宋体" w:hAnsi="宋体"/>
          <w:spacing w:val="3"/>
          <w:sz w:val="21"/>
          <w:szCs w:val="21"/>
          <w:lang w:val="zh-CN"/>
        </w:rPr>
        <w:t xml:space="preserve">1</w:t>
      </w:r>
      <w:r>
        <w:rPr>
          <w:rFonts w:hint="eastAsia" w:ascii="宋体" w:hAnsi="宋体"/>
          <w:spacing w:val="3"/>
          <w:sz w:val="21"/>
          <w:szCs w:val="21"/>
          <w:lang w:val="zh-CN"/>
        </w:rPr>
        <w:t xml:space="preserve">人，负责项目具体实施技术方面工作，要求人员驻场，并具有相关工作经验；</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除项目经理、技术负责人外其他实施团队成员配备不少于</w:t>
      </w:r>
      <w:r>
        <w:rPr>
          <w:rFonts w:ascii="宋体" w:hAnsi="宋体"/>
          <w:spacing w:val="3"/>
          <w:sz w:val="21"/>
          <w:szCs w:val="21"/>
          <w:lang w:val="zh-CN"/>
        </w:rPr>
        <w:t xml:space="preserve">3</w:t>
      </w:r>
      <w:r>
        <w:rPr>
          <w:rFonts w:hint="eastAsia" w:ascii="宋体" w:hAnsi="宋体"/>
          <w:spacing w:val="3"/>
          <w:sz w:val="21"/>
          <w:szCs w:val="21"/>
          <w:lang w:val="zh-CN"/>
        </w:rPr>
        <w:t xml:space="preserve">人，要求人员驻场，能够顺利开展项目实施工作。</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投标</w:t>
      </w:r>
      <w:r>
        <w:rPr>
          <w:rFonts w:hint="eastAsia" w:ascii="宋体" w:hAnsi="宋体"/>
          <w:spacing w:val="3"/>
          <w:sz w:val="21"/>
          <w:szCs w:val="21"/>
          <w:lang w:val="zh-CN"/>
        </w:rPr>
        <w:t xml:space="preserve">单位组织项目团队，投标文件中的项目组驻场成员名单，在中标后不经采购人允许不得随意更改。</w:t>
      </w:r>
      <w:r>
        <w:rPr>
          <w:rFonts w:ascii="宋体" w:hAnsi="宋体"/>
          <w:spacing w:val="3"/>
          <w:sz w:val="21"/>
          <w:szCs w:val="21"/>
          <w:lang w:val="zh-CN"/>
        </w:rPr>
        <w:t xml:space="preserve">劳动时间与采购方工作时间同步。并且建立充足的维修备品、备件库及提供维护所需的抢修交通工具，所提供备品、备件性能不低于原设备的性能。</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w:t>
      </w:r>
      <w:r>
        <w:rPr>
          <w:rFonts w:hint="eastAsia" w:ascii="宋体" w:hAnsi="宋体"/>
          <w:spacing w:val="3"/>
          <w:sz w:val="21"/>
          <w:szCs w:val="21"/>
          <w:lang w:val="zh-CN"/>
        </w:rPr>
        <w:t xml:space="preserve">运维设备</w:t>
      </w:r>
      <w:r>
        <w:rPr>
          <w:rFonts w:ascii="宋体" w:hAnsi="宋体"/>
          <w:spacing w:val="3"/>
          <w:sz w:val="21"/>
          <w:szCs w:val="21"/>
          <w:lang w:val="zh-CN"/>
        </w:rPr>
        <w:t xml:space="preserve">若现场不能及时修复，则投标单位需办妥手续方可送修，并于规定时间内送回修复的设备。必要时应提供备用设备，以保证采购方的正常业务的形式。</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（3）投标单位对整个系统进行定期巡检服务，及时发现设备的损坏或系统的功能异常。</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（4）每次维护保养及维修工作结束后，投标单位技术人员应填写设备维修档案，并写出维修报告由采购方签署意见并签字确认。</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（5）因投标单位技术人员技术问题或维护问题造成的故障，投标单位应承担其责任。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（6）投标单位必须按时完成维修维护任务。</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（7）投标单位安装人员必须持证上岗，提供优质的服务。</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（8）因投标单位技术问题或维护问题造成的故障，投标单位应承担其责任。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3、预案实施和预防措施</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（1）对维护清单中主要设备制定专门的维护计划。</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（2）提供有效的技术支持工具。</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（3）尽最大努力预防故障发生，保障设备正常进行。</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4、服务工作</w:t>
      </w:r>
      <w:r>
        <w:rPr>
          <w:rFonts w:hint="eastAsia" w:ascii="宋体" w:hAnsi="宋体"/>
          <w:spacing w:val="3"/>
          <w:sz w:val="21"/>
          <w:szCs w:val="21"/>
        </w:rPr>
        <w:t xml:space="preserve">内容</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（1）确保维护点7×24小时正常运行。</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（2）路口点每天应远程进行系统巡检，每周至少至现场巡检一次，并建立相应巡检台帐，供采购方随时检查。</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巡检内容为：</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清洁设备，保证外场设备安全、整洁、干净。</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统计遮挡物，如树枝等遮挡设备的情况，并每月上报一次。</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检查外场设备的完整性和牢固性，消除人为或自然原因影响安全和功能使用的隐患。</w:t>
      </w:r>
      <w:r/>
    </w:p>
    <w:p>
      <w:pPr>
        <w:numPr>
          <w:ilvl w:val="0"/>
          <w:numId w:val="1"/>
        </w:numPr>
        <w:ind w:left="0" w:firstLine="432"/>
        <w:jc w:val="left"/>
        <w:spacing w:line="360" w:lineRule="auto"/>
        <w:rPr>
          <w:rFonts w:ascii="宋体" w:hAnsi="宋体"/>
          <w:spacing w:val="3"/>
          <w:sz w:val="21"/>
          <w:szCs w:val="21"/>
          <w:lang w:val="zh-CN"/>
        </w:rPr>
      </w:pPr>
      <w:r>
        <w:rPr>
          <w:rFonts w:ascii="宋体" w:hAnsi="宋体"/>
          <w:spacing w:val="3"/>
          <w:sz w:val="21"/>
          <w:szCs w:val="21"/>
          <w:lang w:val="zh-CN"/>
        </w:rPr>
        <w:t xml:space="preserve">每年重要节假日（“五一”、“十一”、元旦、春节等）、大型活动期间、大型任务安保期间，特定巡检、维修、维护、清洁、保养。</w:t>
      </w:r>
      <w:r/>
    </w:p>
    <w:p>
      <w:pPr>
        <w:numPr>
          <w:ilvl w:val="0"/>
          <w:numId w:val="2"/>
        </w:numPr>
        <w:ind w:left="400"/>
        <w:jc w:val="left"/>
        <w:spacing w:line="360" w:lineRule="auto"/>
        <w:rPr>
          <w:rFonts w:ascii="宋体" w:hAnsi="宋体"/>
          <w:b/>
          <w:bCs/>
          <w:sz w:val="21"/>
          <w:szCs w:val="21"/>
        </w:rPr>
      </w:pPr>
      <w:r>
        <w:rPr>
          <w:rFonts w:hint="eastAsia" w:ascii="宋体" w:hAnsi="宋体"/>
          <w:b/>
          <w:bCs/>
          <w:sz w:val="21"/>
          <w:szCs w:val="21"/>
        </w:rPr>
        <w:t xml:space="preserve">信息安全保障</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针对本项目制定</w:t>
      </w:r>
      <w:r>
        <w:rPr>
          <w:rFonts w:hint="eastAsia" w:ascii="宋体" w:hAnsi="宋体"/>
          <w:sz w:val="21"/>
          <w:szCs w:val="21"/>
        </w:rPr>
        <w:t xml:space="preserve">信息安全方面的保障</w:t>
      </w:r>
      <w:r>
        <w:rPr>
          <w:rFonts w:hint="eastAsia" w:ascii="宋体" w:hAnsi="宋体"/>
          <w:spacing w:val="3"/>
          <w:sz w:val="21"/>
          <w:szCs w:val="21"/>
          <w:lang w:val="zh-CN"/>
        </w:rPr>
        <w:t xml:space="preserve">措施，</w:t>
      </w:r>
      <w:r>
        <w:rPr>
          <w:rFonts w:hint="eastAsia" w:ascii="宋体" w:hAnsi="宋体"/>
          <w:spacing w:val="3"/>
          <w:sz w:val="21"/>
          <w:szCs w:val="21"/>
        </w:rPr>
        <w:t xml:space="preserve">包含</w:t>
      </w:r>
      <w:r>
        <w:rPr>
          <w:rFonts w:hint="eastAsia" w:ascii="宋体" w:hAnsi="宋体"/>
          <w:sz w:val="21"/>
          <w:szCs w:val="21"/>
        </w:rPr>
        <w:t xml:space="preserve">保密措施、信息采集互联保障、数据存储安全、信息安全管理</w:t>
      </w:r>
      <w:r>
        <w:rPr>
          <w:rFonts w:hint="eastAsia" w:ascii="宋体" w:hAnsi="宋体"/>
          <w:spacing w:val="3"/>
          <w:sz w:val="21"/>
          <w:szCs w:val="21"/>
          <w:lang w:val="zh-CN"/>
        </w:rPr>
        <w:t xml:space="preserve">，并在项目实施过程中严格执行，以保证项目的成功实施。</w:t>
      </w:r>
      <w:r/>
    </w:p>
    <w:p>
      <w:pPr>
        <w:ind w:left="0" w:firstLine="434"/>
        <w:spacing w:line="360" w:lineRule="auto"/>
        <w:rPr>
          <w:rFonts w:ascii="宋体" w:hAnsi="宋体"/>
          <w:b/>
          <w:bCs/>
          <w:spacing w:val="3"/>
          <w:sz w:val="21"/>
          <w:szCs w:val="21"/>
        </w:rPr>
      </w:pPr>
      <w:r>
        <w:rPr>
          <w:rFonts w:ascii="宋体" w:hAnsi="宋体"/>
          <w:b/>
          <w:bCs/>
          <w:spacing w:val="3"/>
          <w:sz w:val="21"/>
          <w:szCs w:val="21"/>
        </w:rPr>
        <w:t xml:space="preserve">（三）服务标准</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1、设备维修响应</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投标单位应设立7×24小时服务专用电话，接受采购方的维修指令，当设备及其承载的系统发生故障，使用方向投标单位提出故障响应要求后，投标单位应在1小时内响应(应急抢修需10分钟内响应)，同时需满足下列要求：</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（1）发生系统不能运行等应急抢修故障的，乙方应在4小时内恢复系统；</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（2）发生监控点位离线等普通故障的，乙方应在8小时内恢复；</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（3）故障点在室外并且是由于电力供应或光缆引起的故障的，响应单位响应时间应从电力供应或光缆修复后开始计算。</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（4）投标单位应承担因操作失误而造成故障扩大、数据损坏、误操作等情形的赔偿和安全责任。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（5）投标单位每次维修必须进行详细记录并经使用方确认，每月向采购方报送维修报表。</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2、日常巡检和保养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（1）每月对监控中心的网络、硬件设备、软件系统、存储数据进行巡检、保养；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（2）每月对所有外场设备进行巡检、保养；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（3）每年对所有外场设备的金属部件进行防锈保养；</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（4）每次巡检、保养必须进行详细记录并经使用方确认，每月向采购方报送巡检、保养报表；</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w:t>
      </w:r>
      <w:r>
        <w:rPr>
          <w:rFonts w:ascii="宋体" w:hAnsi="宋体"/>
          <w:spacing w:val="3"/>
          <w:sz w:val="21"/>
          <w:szCs w:val="21"/>
          <w:lang w:val="zh-CN"/>
        </w:rPr>
        <w:t xml:space="preserve">5）平时按需进行摄像机清洁，在重大活动和重要节日前，对所有摄像机清洁一次。</w:t>
      </w:r>
      <w:r/>
    </w:p>
    <w:p>
      <w:pPr>
        <w:ind w:left="0" w:firstLine="434"/>
        <w:spacing w:line="360" w:lineRule="auto"/>
        <w:rPr>
          <w:rFonts w:ascii="宋体" w:hAnsi="宋体"/>
          <w:b/>
          <w:bCs/>
          <w:spacing w:val="3"/>
          <w:sz w:val="21"/>
          <w:szCs w:val="21"/>
        </w:rPr>
      </w:pPr>
      <w:r>
        <w:rPr>
          <w:rFonts w:ascii="宋体" w:hAnsi="宋体"/>
          <w:b/>
          <w:bCs/>
          <w:spacing w:val="3"/>
          <w:sz w:val="21"/>
          <w:szCs w:val="21"/>
        </w:rPr>
        <w:t xml:space="preserve">（四）考核标准</w:t>
      </w:r>
      <w:r>
        <w:rPr>
          <w:rFonts w:hint="eastAsia" w:ascii="宋体" w:hAnsi="宋体"/>
          <w:b/>
          <w:bCs/>
          <w:spacing w:val="3"/>
          <w:sz w:val="21"/>
          <w:szCs w:val="21"/>
        </w:rPr>
        <w:t xml:space="preserve">（详见附件）</w:t>
      </w:r>
      <w:r/>
    </w:p>
    <w:p>
      <w:pPr>
        <w:ind w:left="0" w:firstLine="434"/>
        <w:spacing w:line="360" w:lineRule="auto"/>
        <w:rPr>
          <w:rFonts w:ascii="宋体" w:hAnsi="宋体"/>
          <w:b/>
          <w:bCs/>
          <w:spacing w:val="8"/>
          <w:sz w:val="21"/>
          <w:szCs w:val="21"/>
        </w:rPr>
      </w:pPr>
      <w:r>
        <w:rPr>
          <w:rFonts w:hint="eastAsia" w:ascii="宋体" w:hAnsi="宋体"/>
          <w:b/>
          <w:bCs/>
          <w:spacing w:val="3"/>
          <w:sz w:val="21"/>
          <w:szCs w:val="21"/>
        </w:rPr>
        <w:t xml:space="preserve">（五）</w:t>
      </w:r>
      <w:r>
        <w:rPr>
          <w:rFonts w:hint="eastAsia" w:ascii="宋体" w:hAnsi="宋体"/>
          <w:b/>
          <w:bCs/>
          <w:spacing w:val="8"/>
          <w:sz w:val="21"/>
          <w:szCs w:val="21"/>
        </w:rPr>
        <w:t xml:space="preserve">付款方式：</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1.项目实施共4个周期，3个月为1个周期。</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2.本合同签订生效后，服务周期开始后7天内，采购人向中标供应商支付合同中合同总金额的30%作为预付款。</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费用分4次支付（每三个月为1个支付周期），每次支付按维护设备实际工作量由甲方根据周期内的考核标准评分情况支付（考核标准详见附件），第一周期支付费用总额从预付款中扣除，前两期支付总金额累计不超过合同总金额的50%，第三周期支付费用总额不超过本项目合同总金额的25%，第四周期支付费用需通过最终验收后进行支付，每个实施周期结束后30日内支付该周期维护部分的支付费用（项目实施过程中，采购人根据实际维护工作量计算费用，并于次月计算上月的维护费用）。</w:t>
      </w:r>
      <w:r/>
    </w:p>
    <w:p>
      <w:pPr>
        <w:ind w:left="0" w:firstLine="434"/>
        <w:spacing w:line="360" w:lineRule="auto"/>
        <w:rPr>
          <w:rFonts w:ascii="宋体" w:hAnsi="宋体"/>
          <w:b/>
          <w:bCs/>
          <w:spacing w:val="3"/>
          <w:sz w:val="21"/>
          <w:szCs w:val="21"/>
        </w:rPr>
      </w:pPr>
      <w:r>
        <w:rPr>
          <w:rFonts w:hint="eastAsia" w:ascii="宋体" w:hAnsi="宋体"/>
          <w:b/>
          <w:bCs/>
          <w:spacing w:val="3"/>
          <w:sz w:val="21"/>
          <w:szCs w:val="21"/>
        </w:rPr>
        <w:t xml:space="preserve">（六）项目履约验收</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服务期满后30日内，采购人组织最终履约完成验收程序，针对包括不限于采购文件、</w:t>
      </w:r>
      <w:r>
        <w:rPr>
          <w:rFonts w:ascii="宋体" w:hAnsi="宋体"/>
          <w:spacing w:val="3"/>
          <w:sz w:val="21"/>
          <w:szCs w:val="21"/>
          <w:lang w:val="zh-CN"/>
        </w:rPr>
        <w:t xml:space="preserve">投标</w:t>
      </w:r>
      <w:r>
        <w:rPr>
          <w:rFonts w:hint="eastAsia" w:ascii="宋体" w:hAnsi="宋体"/>
          <w:spacing w:val="3"/>
          <w:sz w:val="21"/>
          <w:szCs w:val="21"/>
          <w:lang w:val="zh-CN"/>
        </w:rPr>
        <w:t xml:space="preserve">文件、合同内的相关服务要求进行逐一验证，对设备的在线、网络的通畅及中心的存储等进行检查；同时对相关要求的过程文件进行审查。</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1.采购人将根据《江苏省财政厅关于印发&lt;江苏省政府采购履约验收管理办法&gt;的通知》（苏财规〔2024〕7号）相关要求，组织项目履约验收基本工作。</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2.招标文件、投标文件、政府采购合同等是履约验收工作的重要依据。在政府采购合同约定的履行验收条件达到时，成交供应商可以主动联系采购人启动履约验收工作。</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34"/>
        <w:spacing w:line="360" w:lineRule="auto"/>
        <w:rPr>
          <w:rFonts w:ascii="宋体" w:hAnsi="宋体"/>
          <w:b/>
          <w:spacing w:val="3"/>
          <w:sz w:val="21"/>
          <w:szCs w:val="21"/>
          <w:lang w:val="zh-CN"/>
        </w:rPr>
      </w:pPr>
      <w:r>
        <w:rPr>
          <w:rFonts w:ascii="宋体" w:hAnsi="宋体"/>
          <w:b/>
          <w:spacing w:val="3"/>
          <w:sz w:val="21"/>
          <w:szCs w:val="21"/>
          <w:lang w:val="zh-CN"/>
        </w:rPr>
        <w:t xml:space="preserve">（七）其他</w:t>
      </w:r>
      <w:r/>
    </w:p>
    <w:p>
      <w:pPr>
        <w:ind w:left="0" w:firstLine="432"/>
        <w:spacing w:line="360" w:lineRule="auto"/>
        <w:rPr>
          <w:rFonts w:ascii="宋体" w:hAnsi="宋体"/>
          <w:spacing w:val="3"/>
          <w:sz w:val="21"/>
          <w:szCs w:val="21"/>
          <w:lang w:val="zh-CN"/>
        </w:rPr>
      </w:pPr>
      <w:r>
        <w:rPr>
          <w:rFonts w:ascii="宋体" w:hAnsi="宋体"/>
          <w:spacing w:val="3"/>
          <w:sz w:val="21"/>
          <w:szCs w:val="21"/>
          <w:lang w:val="zh-CN"/>
        </w:rPr>
        <w:t xml:space="preserve">供应商需提供</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投标单位根据本项目实际提出日常巡检、维修和设备保养方案，包括但不限于：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1）前端设备；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2）网络设备；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3）服务器；</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4）安全设备。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投标单位根据本项目实际提出安全生产方案，包括但不限于：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1）安全措施计划；</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2）质量保证措施；</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3）安全防范措施。</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投标单位根据本项目实际提出日常巡检、维修和设备保养方案，包括但不限于：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1）项目实施的日常管理；</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2）行政制度；</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3）人员岗位职责及考核。</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投标单位根据本项目实际提出姑苏区外围区界卡口及购买服务项目运维方案，包括但不限于：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1）前端设备（外围区界卡口、人员复杂场所前端设备2个点位）；</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2）中心设备；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3）网络传输；</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4）数据购买服务。</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投标单位根据本项目实际提出姑苏区疫情防控监控项目运维方案，包括但不限于：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1）前端设备（姑苏区查封点、卫生服务中心核酸采样点、小区、超市、农贸市场、公厕、火车站7个点位）；</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2）中心设备和移动设备；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3）传输链路；</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4）场所建设。</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投标单位根据本项目实际提出姑苏区疫情防控小区监控安装工程运维方案，包括但不限于：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1）车辆卡口摄像机；</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2）人员卡口摄像机；</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3）制高点监控。</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投标单位根据本项目实际提出姑苏老旧小区及人像识别建设项目运维方案，包括但不限于：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1）人像抓拍摄像机；</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2）交换机；</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3）设备箱。</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投标单位根据本项目实际提出日常巡检、维修和设备保养方案，包括但不限于：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1）基础数据支撑（人像卡口、车辆卡口、多目摄像机、高点摄像机）；</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2）视频专网设备、云存储设备；</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3）雪亮工程前端指挥部显示系统；</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4）硬件资源中心。</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投标单位根据本项目实际提出维修备品、备件库能力方案，包括但不限于：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1）维修备品备件的清单；</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2）选型类型；</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3）分类配比；</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4）备品备件日常管理方案。</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投标单位根据本项目实际提出日常巡检、维修和设备保养方案，包括但不限于：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1）人员安排；</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2）响应时间；</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3）保障措施。</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投标单位根据本项目实际提出信息安全保障方案，包括但不限于：</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1）保密措施；</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2）信息采集互联保障；</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3）数据存储安全；</w:t>
      </w:r>
      <w:r/>
    </w:p>
    <w:p>
      <w:pPr>
        <w:ind w:left="0" w:firstLine="432"/>
        <w:spacing w:line="360" w:lineRule="auto"/>
        <w:rPr>
          <w:rFonts w:ascii="宋体" w:hAnsi="宋体"/>
          <w:spacing w:val="3"/>
          <w:sz w:val="21"/>
          <w:szCs w:val="21"/>
          <w:lang w:val="zh-CN"/>
        </w:rPr>
      </w:pPr>
      <w:r>
        <w:rPr>
          <w:rFonts w:hint="eastAsia" w:ascii="宋体" w:hAnsi="宋体"/>
          <w:spacing w:val="3"/>
          <w:sz w:val="21"/>
          <w:szCs w:val="21"/>
          <w:lang w:val="zh-CN"/>
        </w:rPr>
        <w:t xml:space="preserve">4）信息安全管理。</w:t>
      </w:r>
      <w:r/>
    </w:p>
    <w:p>
      <w:pPr>
        <w:rPr>
          <w:lang w:val="zh-CN"/>
        </w:rPr>
      </w:pPr>
      <w:r>
        <w:rPr>
          <w:lang w:val="zh-CN"/>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center"/>
        <w:rPr>
          <w:rFonts w:ascii="宋体" w:hAnsi="宋体"/>
          <w:b/>
          <w:sz w:val="44"/>
          <w:szCs w:val="22"/>
        </w:rPr>
      </w:pPr>
      <w:r/>
      <w:bookmarkStart w:id="110" w:name="_Toc5111"/>
      <w:r/>
      <w:bookmarkStart w:id="111" w:name="_Toc11789"/>
      <w:r/>
      <w:bookmarkStart w:id="112" w:name="_Hlk55741158"/>
      <w:r>
        <w:rPr>
          <w:rFonts w:hint="eastAsia" w:ascii="宋体" w:hAnsi="宋体"/>
          <w:b/>
          <w:sz w:val="44"/>
          <w:szCs w:val="22"/>
        </w:rPr>
        <w:br w:type="page" w:clear="all"/>
      </w:r>
      <w:bookmarkStart w:id="113" w:name="_Toc105397794"/>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 合同及主要条款</w:t>
      </w:r>
      <w:bookmarkEnd w:id="110"/>
      <w:r/>
      <w:bookmarkEnd w:id="111"/>
      <w:r/>
      <w:bookmarkEnd w:id="113"/>
      <w:r/>
      <w:r/>
    </w:p>
    <w:p>
      <w:pPr>
        <w:ind w:left="0"/>
        <w:jc w:val="center"/>
        <w:rPr>
          <w:rFonts w:ascii="宋体" w:hAnsi="宋体"/>
          <w:b/>
          <w:sz w:val="32"/>
          <w:szCs w:val="32"/>
        </w:rPr>
      </w:pPr>
      <w:r/>
      <w:bookmarkStart w:id="115" w:name="OLE_LINK13"/>
      <w:r/>
      <w:bookmarkStart w:id="116" w:name="_Toc57376410"/>
      <w:r/>
      <w:bookmarkStart w:id="117" w:name="_Toc27667"/>
      <w:r/>
      <w:bookmarkStart w:id="118" w:name="_Toc8564"/>
      <w:r/>
      <w:bookmarkStart w:id="119" w:name="_Toc105397795"/>
      <w:r/>
      <w:bookmarkEnd w:id="112"/>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一、合同内容</w:t>
      </w:r>
      <w:r/>
    </w:p>
    <w:p>
      <w:pPr>
        <w:ind w:left="0" w:firstLine="420"/>
        <w:jc w:val="left"/>
        <w:spacing w:line="360" w:lineRule="auto"/>
        <w:rPr>
          <w:rFonts w:cs="Arial" w:asciiTheme="minorEastAsia" w:hAnsiTheme="minorEastAsia" w:eastAsiaTheme="minorEastAsia"/>
          <w:sz w:val="21"/>
          <w:szCs w:val="21"/>
        </w:rPr>
      </w:pPr>
      <w:r>
        <w:rPr>
          <w:rFonts w:cs="Arial" w:asciiTheme="minorEastAsia" w:hAnsiTheme="minorEastAsia" w:eastAsiaTheme="minorEastAsia"/>
          <w:sz w:val="21"/>
          <w:szCs w:val="21"/>
        </w:rPr>
      </w:r>
      <w:r/>
    </w:p>
    <w:tbl>
      <w:tblPr>
        <w:tblStyle w:val="1274"/>
        <w:tblW w:w="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03"/>
        <w:gridCol w:w="5903"/>
        <w:gridCol w:w="1723"/>
      </w:tblGrid>
      <w:tr>
        <w:trPr>
          <w:jc w:val="center"/>
          <w:trHeight w:val="572"/>
        </w:trPr>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ind w:left="0" w:firstLine="444"/>
              <w:jc w:val="left"/>
              <w:rPr>
                <w:rFonts w:cs="宋体" w:asciiTheme="minorEastAsia" w:hAnsiTheme="minorEastAsia" w:eastAsiaTheme="minorEastAsia"/>
                <w:sz w:val="21"/>
                <w:szCs w:val="21"/>
                <w:lang w:eastAsia="en-US"/>
              </w:rPr>
            </w:pPr>
            <w:r>
              <w:rPr>
                <w:rFonts w:hint="eastAsia" w:cs="宋体" w:asciiTheme="minorEastAsia" w:hAnsiTheme="minorEastAsia" w:eastAsiaTheme="minorEastAsia"/>
                <w:spacing w:val="6"/>
                <w:sz w:val="21"/>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5903" w:type="dxa"/>
            <w:textDirection w:val="lrTb"/>
            <w:noWrap w:val="false"/>
          </w:tcPr>
          <w:p>
            <w:pPr>
              <w:ind w:left="0" w:firstLine="412"/>
              <w:jc w:val="center"/>
              <w:rPr>
                <w:rFonts w:cs="宋体" w:asciiTheme="minorEastAsia" w:hAnsiTheme="minorEastAsia" w:eastAsiaTheme="minorEastAsia"/>
                <w:sz w:val="21"/>
                <w:szCs w:val="21"/>
                <w:lang w:eastAsia="en-US"/>
              </w:rPr>
            </w:pPr>
            <w:r>
              <w:rPr>
                <w:rFonts w:hint="eastAsia" w:cs="宋体" w:asciiTheme="minorEastAsia" w:hAnsiTheme="minorEastAsia" w:eastAsiaTheme="minorEastAsia"/>
                <w:spacing w:val="-2"/>
                <w:sz w:val="21"/>
                <w:szCs w:val="21"/>
                <w:lang w:eastAsia="en-US"/>
              </w:rPr>
              <w:t xml:space="preserve">标的物名称</w:t>
            </w:r>
            <w:r/>
          </w:p>
        </w:tc>
        <w:tc>
          <w:tcPr>
            <w:tcBorders>
              <w:top w:val="single" w:color="000000" w:sz="4" w:space="0"/>
              <w:left w:val="single" w:color="000000" w:sz="4" w:space="0"/>
              <w:bottom w:val="single" w:color="000000" w:sz="4" w:space="0"/>
              <w:right w:val="single" w:color="000000" w:sz="4" w:space="0"/>
            </w:tcBorders>
            <w:tcW w:w="1723" w:type="dxa"/>
            <w:textDirection w:val="lrTb"/>
            <w:noWrap w:val="false"/>
          </w:tcPr>
          <w:p>
            <w:pPr>
              <w:ind w:left="0" w:firstLine="456"/>
              <w:jc w:val="left"/>
              <w:rPr>
                <w:rFonts w:cs="宋体" w:asciiTheme="minorEastAsia" w:hAnsiTheme="minorEastAsia" w:eastAsiaTheme="minorEastAsia"/>
                <w:sz w:val="21"/>
                <w:szCs w:val="21"/>
                <w:lang w:eastAsia="en-US"/>
              </w:rPr>
            </w:pPr>
            <w:r>
              <w:rPr>
                <w:rFonts w:hint="eastAsia" w:cs="宋体" w:asciiTheme="minorEastAsia" w:hAnsiTheme="minorEastAsia" w:eastAsiaTheme="minorEastAsia"/>
                <w:spacing w:val="9"/>
                <w:sz w:val="21"/>
                <w:szCs w:val="21"/>
                <w:lang w:eastAsia="en-US"/>
              </w:rPr>
              <w:t xml:space="preserve">总价(元)</w:t>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ind w:left="0" w:firstLine="420"/>
              <w:jc w:val="left"/>
              <w:rPr>
                <w:rFonts w:cs="Arial" w:asciiTheme="minorEastAsia" w:hAnsiTheme="minorEastAsia" w:eastAsiaTheme="minorEastAsia"/>
                <w:sz w:val="21"/>
                <w:szCs w:val="21"/>
                <w:lang w:eastAsia="en-US"/>
              </w:rPr>
            </w:pPr>
            <w:r>
              <w:rPr>
                <w:rFonts w:cs="Arial" w:asciiTheme="minorEastAsia" w:hAnsiTheme="minorEastAsia" w:eastAsiaTheme="minorEastAsia"/>
                <w:sz w:val="21"/>
                <w:szCs w:val="21"/>
                <w:lang w:eastAsia="en-US"/>
              </w:rPr>
            </w:r>
            <w:r/>
          </w:p>
          <w:p>
            <w:pPr>
              <w:ind w:left="0" w:firstLine="420"/>
              <w:jc w:val="left"/>
              <w:rPr>
                <w:rFonts w:cs="宋体" w:asciiTheme="minorEastAsia" w:hAnsiTheme="minorEastAsia" w:eastAsiaTheme="minorEastAsia"/>
                <w:sz w:val="21"/>
                <w:szCs w:val="21"/>
                <w:lang w:eastAsia="en-US"/>
              </w:rPr>
            </w:pPr>
            <w:r>
              <w:rPr>
                <w:rFonts w:hint="eastAsia" w:cs="宋体" w:asciiTheme="minorEastAsia" w:hAnsiTheme="minorEastAsia" w:eastAsiaTheme="minorEastAsia"/>
                <w:sz w:val="21"/>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5903" w:type="dxa"/>
            <w:textDirection w:val="lrTb"/>
            <w:noWrap w:val="false"/>
          </w:tcPr>
          <w:p>
            <w:pPr>
              <w:ind w:left="0" w:firstLine="420"/>
              <w:jc w:val="left"/>
              <w:rPr>
                <w:rFonts w:cs="Arial" w:asciiTheme="minorEastAsia" w:hAnsiTheme="minorEastAsia" w:eastAsiaTheme="minorEastAsia"/>
                <w:sz w:val="21"/>
                <w:szCs w:val="21"/>
              </w:rPr>
            </w:pPr>
            <w:r>
              <w:rPr>
                <w:rFonts w:cs="Arial" w:asciiTheme="minorEastAsia" w:hAnsiTheme="minorEastAsia" w:eastAsiaTheme="minorEastAsia"/>
                <w:sz w:val="21"/>
                <w:szCs w:val="21"/>
              </w:rPr>
            </w:r>
            <w:r/>
          </w:p>
          <w:p>
            <w:pPr>
              <w:ind w:left="0" w:firstLine="452"/>
              <w:jc w:val="center"/>
              <w:rPr>
                <w:rFonts w:cs="宋体" w:asciiTheme="minorEastAsia" w:hAnsiTheme="minorEastAsia" w:eastAsiaTheme="minorEastAsia"/>
                <w:sz w:val="21"/>
                <w:szCs w:val="21"/>
              </w:rPr>
            </w:pPr>
            <w:r>
              <w:rPr>
                <w:rFonts w:cs="Arial" w:asciiTheme="minorEastAsia" w:hAnsiTheme="minorEastAsia" w:eastAsiaTheme="minorEastAsia"/>
                <w:spacing w:val="8"/>
                <w:sz w:val="21"/>
                <w:szCs w:val="21"/>
              </w:rPr>
              <w:t xml:space="preserve">2026年度古城区前端监控及后台运维项目</w:t>
            </w:r>
            <w:r/>
          </w:p>
        </w:tc>
        <w:tc>
          <w:tcPr>
            <w:tcBorders>
              <w:top w:val="single" w:color="000000" w:sz="4" w:space="0"/>
              <w:left w:val="single" w:color="000000" w:sz="4" w:space="0"/>
              <w:bottom w:val="single" w:color="000000" w:sz="4" w:space="0"/>
              <w:right w:val="single" w:color="000000" w:sz="4" w:space="0"/>
            </w:tcBorders>
            <w:tcW w:w="1723" w:type="dxa"/>
            <w:textDirection w:val="lrTb"/>
            <w:noWrap w:val="false"/>
          </w:tcPr>
          <w:p>
            <w:pPr>
              <w:ind w:left="0" w:firstLine="420"/>
              <w:jc w:val="left"/>
              <w:rPr>
                <w:rFonts w:cs="Arial" w:asciiTheme="minorEastAsia" w:hAnsiTheme="minorEastAsia" w:eastAsiaTheme="minorEastAsia"/>
                <w:sz w:val="21"/>
                <w:szCs w:val="21"/>
              </w:rPr>
            </w:pPr>
            <w:r>
              <w:rPr>
                <w:rFonts w:cs="Arial" w:asciiTheme="minorEastAsia" w:hAnsiTheme="minorEastAsia" w:eastAsiaTheme="minorEastAsia"/>
                <w:sz w:val="21"/>
                <w:szCs w:val="21"/>
              </w:rPr>
            </w:r>
            <w:r/>
          </w:p>
        </w:tc>
      </w:tr>
      <w:tr>
        <w:trPr>
          <w:jc w:val="center"/>
          <w:trHeight w:val="691"/>
        </w:trPr>
        <w:tc>
          <w:tcPr>
            <w:tcBorders>
              <w:top w:val="single" w:color="000000" w:sz="4" w:space="0"/>
              <w:left w:val="single" w:color="000000" w:sz="4" w:space="0"/>
              <w:bottom w:val="single" w:color="000000" w:sz="4" w:space="0"/>
              <w:right w:val="none" w:color="000000" w:sz="4" w:space="0"/>
            </w:tcBorders>
            <w:tcW w:w="1303" w:type="dxa"/>
            <w:textDirection w:val="lrTb"/>
            <w:noWrap w:val="false"/>
          </w:tcPr>
          <w:p>
            <w:pPr>
              <w:ind w:left="0" w:firstLine="420"/>
              <w:jc w:val="left"/>
              <w:rPr>
                <w:rFonts w:cs="Arial" w:asciiTheme="minorEastAsia" w:hAnsiTheme="minorEastAsia" w:eastAsiaTheme="minorEastAsia"/>
                <w:sz w:val="21"/>
                <w:szCs w:val="21"/>
              </w:rPr>
            </w:pPr>
            <w:r>
              <w:rPr>
                <w:rFonts w:cs="Arial" w:asciiTheme="minorEastAsia" w:hAnsiTheme="minorEastAsia" w:eastAsiaTheme="minorEastAsia"/>
                <w:sz w:val="21"/>
                <w:szCs w:val="21"/>
              </w:rPr>
            </w:r>
            <w:r/>
          </w:p>
          <w:p>
            <w:pPr>
              <w:ind w:left="0"/>
              <w:rPr>
                <w:rFonts w:cs="宋体" w:asciiTheme="minorEastAsia" w:hAnsiTheme="minorEastAsia" w:eastAsiaTheme="minorEastAsia"/>
                <w:sz w:val="21"/>
                <w:szCs w:val="21"/>
                <w:lang w:eastAsia="en-US"/>
              </w:rPr>
            </w:pPr>
            <w:r>
              <w:rPr>
                <w:rFonts w:hint="eastAsia" w:cs="宋体" w:asciiTheme="minorEastAsia" w:hAnsiTheme="minorEastAsia" w:eastAsiaTheme="minorEastAsia"/>
                <w:spacing w:val="2"/>
                <w:sz w:val="21"/>
                <w:szCs w:val="21"/>
                <w:lang w:eastAsia="en-US"/>
              </w:rPr>
              <w:t xml:space="preserve">合计金额(含</w:t>
            </w:r>
            <w:r/>
          </w:p>
        </w:tc>
        <w:tc>
          <w:tcPr>
            <w:tcBorders>
              <w:top w:val="single" w:color="000000" w:sz="4" w:space="0"/>
              <w:left w:val="none" w:color="000000" w:sz="4" w:space="0"/>
              <w:bottom w:val="single" w:color="000000" w:sz="4" w:space="0"/>
              <w:right w:val="none" w:color="000000" w:sz="4" w:space="0"/>
            </w:tcBorders>
            <w:tcW w:w="5903" w:type="dxa"/>
            <w:textDirection w:val="lrTb"/>
            <w:noWrap w:val="false"/>
          </w:tcPr>
          <w:p>
            <w:pPr>
              <w:ind w:left="0" w:firstLine="420"/>
              <w:jc w:val="left"/>
              <w:rPr>
                <w:rFonts w:cs="Arial" w:asciiTheme="minorEastAsia" w:hAnsiTheme="minorEastAsia" w:eastAsiaTheme="minorEastAsia"/>
                <w:sz w:val="21"/>
                <w:szCs w:val="21"/>
                <w:lang w:eastAsia="en-US"/>
              </w:rPr>
            </w:pPr>
            <w:r>
              <w:rPr>
                <w:rFonts w:cs="Arial" w:asciiTheme="minorEastAsia" w:hAnsiTheme="minorEastAsia" w:eastAsiaTheme="minorEastAsia"/>
                <w:sz w:val="21"/>
                <w:szCs w:val="21"/>
                <w:lang w:eastAsia="en-US"/>
              </w:rPr>
            </w:r>
            <w:r/>
          </w:p>
          <w:p>
            <w:pPr>
              <w:ind w:left="0" w:firstLine="404"/>
              <w:jc w:val="left"/>
              <w:rPr>
                <w:rFonts w:cs="宋体" w:asciiTheme="minorEastAsia" w:hAnsiTheme="minorEastAsia" w:eastAsiaTheme="minorEastAsia"/>
                <w:sz w:val="21"/>
                <w:szCs w:val="21"/>
                <w:lang w:eastAsia="en-US"/>
              </w:rPr>
            </w:pPr>
            <w:r>
              <w:rPr>
                <w:rFonts w:hint="eastAsia" w:cs="宋体" w:asciiTheme="minorEastAsia" w:hAnsiTheme="minorEastAsia" w:eastAsiaTheme="minorEastAsia"/>
                <w:spacing w:val="-4"/>
                <w:sz w:val="21"/>
                <w:szCs w:val="21"/>
                <w:lang w:eastAsia="en-US"/>
              </w:rPr>
              <w:t xml:space="preserve">税)大写：</w:t>
            </w:r>
            <w:r>
              <w:rPr>
                <w:rFonts w:hint="eastAsia" w:cs="宋体" w:asciiTheme="minorEastAsia" w:hAnsiTheme="minorEastAsia" w:eastAsiaTheme="minorEastAsia"/>
                <w:spacing w:val="3"/>
                <w:sz w:val="21"/>
                <w:szCs w:val="21"/>
                <w:lang w:eastAsia="en-US"/>
              </w:rPr>
              <w:t xml:space="preserve">                </w:t>
            </w:r>
            <w:r>
              <w:rPr>
                <w:rFonts w:hint="eastAsia" w:cs="宋体" w:asciiTheme="minorEastAsia" w:hAnsiTheme="minorEastAsia" w:eastAsiaTheme="minorEastAsia"/>
                <w:spacing w:val="-4"/>
                <w:sz w:val="21"/>
                <w:szCs w:val="21"/>
                <w:lang w:eastAsia="en-US"/>
              </w:rPr>
              <w:t xml:space="preserve">(¥:)</w:t>
            </w:r>
            <w:r/>
          </w:p>
        </w:tc>
        <w:tc>
          <w:tcPr>
            <w:tcBorders>
              <w:top w:val="single" w:color="000000" w:sz="4" w:space="0"/>
              <w:left w:val="none" w:color="000000" w:sz="4" w:space="0"/>
              <w:bottom w:val="single" w:color="000000" w:sz="4" w:space="0"/>
              <w:right w:val="single" w:color="000000" w:sz="4" w:space="0"/>
            </w:tcBorders>
            <w:tcW w:w="1723" w:type="dxa"/>
            <w:textDirection w:val="lrTb"/>
            <w:noWrap w:val="false"/>
          </w:tcPr>
          <w:p>
            <w:pPr>
              <w:ind w:left="0" w:firstLine="420"/>
              <w:jc w:val="left"/>
              <w:rPr>
                <w:rFonts w:cs="Arial" w:asciiTheme="minorEastAsia" w:hAnsiTheme="minorEastAsia" w:eastAsiaTheme="minorEastAsia"/>
                <w:sz w:val="21"/>
                <w:szCs w:val="21"/>
                <w:lang w:eastAsia="en-US"/>
              </w:rPr>
            </w:pPr>
            <w:r>
              <w:rPr>
                <w:rFonts w:cs="Arial" w:asciiTheme="minorEastAsia" w:hAnsiTheme="minorEastAsia" w:eastAsiaTheme="minorEastAsia"/>
                <w:sz w:val="21"/>
                <w:szCs w:val="21"/>
                <w:lang w:eastAsia="en-US"/>
              </w:rPr>
            </w:r>
            <w:r/>
          </w:p>
        </w:tc>
      </w:tr>
    </w:tbl>
    <w:p>
      <w:pPr>
        <w:ind w:left="0" w:firstLine="422"/>
        <w:spacing w:line="360" w:lineRule="auto"/>
        <w:rPr>
          <w:rFonts w:asciiTheme="minorEastAsia" w:hAnsiTheme="minorEastAsia" w:eastAsiaTheme="minorEastAsia"/>
          <w:sz w:val="21"/>
          <w:szCs w:val="21"/>
          <w:lang w:eastAsia="en-US"/>
        </w:rPr>
      </w:pPr>
      <w:r>
        <w:rPr>
          <w:rFonts w:hint="eastAsia" w:asciiTheme="minorEastAsia" w:hAnsiTheme="minorEastAsia" w:eastAsiaTheme="minorEastAsia"/>
          <w:b/>
          <w:bCs/>
          <w:sz w:val="21"/>
          <w:szCs w:val="21"/>
          <w:lang w:eastAsia="en-US"/>
        </w:rPr>
        <w:t xml:space="preserve">二、建设内容</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1.具体服务内容：详见附件清单。</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2.服务期限：自本合同签订生效之日起，服务期12个月（具体起止时间以甲方实际需求为准）。</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3.服务地点：甲方指定地点。</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4.服务期限内，乙方服务人员应服从甲方的一切规章制度及安排。</w:t>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三、质量及验收</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1.乙方为甲方提供的服务质量不得低于双方约定的标准，且不得低于相关国家标</w:t>
      </w:r>
      <w:r>
        <w:rPr>
          <w:rFonts w:hint="eastAsia" w:asciiTheme="minorEastAsia" w:hAnsiTheme="minorEastAsia" w:eastAsiaTheme="minorEastAsia"/>
          <w:spacing w:val="-3"/>
          <w:sz w:val="21"/>
          <w:szCs w:val="21"/>
        </w:rPr>
        <w:t xml:space="preserve">准，若</w:t>
      </w:r>
      <w:r>
        <w:rPr>
          <w:rFonts w:hint="eastAsia" w:asciiTheme="minorEastAsia" w:hAnsiTheme="minorEastAsia" w:eastAsiaTheme="minorEastAsia"/>
          <w:spacing w:val="-2"/>
          <w:sz w:val="21"/>
          <w:szCs w:val="21"/>
        </w:rPr>
        <w:t xml:space="preserve">无国家标准，则不得低于相关的行业标准或国际标准；甲方及相关部门将根据</w:t>
      </w:r>
      <w:r>
        <w:rPr>
          <w:rFonts w:hint="eastAsia" w:asciiTheme="minorEastAsia" w:hAnsiTheme="minorEastAsia" w:eastAsiaTheme="minorEastAsia"/>
          <w:spacing w:val="-3"/>
          <w:sz w:val="21"/>
          <w:szCs w:val="21"/>
        </w:rPr>
        <w:t xml:space="preserve">招标文件、乙</w:t>
      </w:r>
      <w:r>
        <w:rPr>
          <w:rFonts w:hint="eastAsia" w:asciiTheme="minorEastAsia" w:hAnsiTheme="minorEastAsia" w:eastAsiaTheme="minorEastAsia"/>
          <w:sz w:val="21"/>
          <w:szCs w:val="21"/>
        </w:rPr>
        <w:t xml:space="preserve">方的投标文件、双方签订的合同文件及其附件到</w:t>
      </w:r>
      <w:r>
        <w:rPr>
          <w:rFonts w:hint="eastAsia" w:asciiTheme="minorEastAsia" w:hAnsiTheme="minorEastAsia" w:eastAsiaTheme="minorEastAsia"/>
          <w:spacing w:val="-1"/>
          <w:sz w:val="21"/>
          <w:szCs w:val="21"/>
        </w:rPr>
        <w:t xml:space="preserve">场进行验收。</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2.本项目任一项验收不合格的，乙方应在甲方限定的期限内完成整改，因整改而导致的</w:t>
      </w:r>
      <w:r>
        <w:rPr>
          <w:rFonts w:hint="eastAsia" w:asciiTheme="minorEastAsia" w:hAnsiTheme="minorEastAsia" w:eastAsiaTheme="minorEastAsia"/>
          <w:sz w:val="21"/>
          <w:szCs w:val="21"/>
        </w:rPr>
        <w:t xml:space="preserve">费用和损失由乙方自行承担，若因此导致项目逾期交</w:t>
      </w:r>
      <w:r>
        <w:rPr>
          <w:rFonts w:hint="eastAsia" w:asciiTheme="minorEastAsia" w:hAnsiTheme="minorEastAsia" w:eastAsiaTheme="minorEastAsia"/>
          <w:spacing w:val="-1"/>
          <w:sz w:val="21"/>
          <w:szCs w:val="21"/>
        </w:rPr>
        <w:t xml:space="preserve">付的，乙方应承担逾期交付违约责任。</w:t>
      </w:r>
      <w:r>
        <w:rPr>
          <w:rFonts w:hint="eastAsia" w:asciiTheme="minorEastAsia" w:hAnsiTheme="minorEastAsia" w:eastAsiaTheme="minorEastAsia"/>
          <w:spacing w:val="-2"/>
          <w:sz w:val="21"/>
          <w:szCs w:val="21"/>
        </w:rPr>
        <w:t xml:space="preserve">乙方未按甲方要求进行整改或经整改仍不合格的，视为乙方违</w:t>
      </w:r>
      <w:r>
        <w:rPr>
          <w:rFonts w:hint="eastAsia" w:asciiTheme="minorEastAsia" w:hAnsiTheme="minorEastAsia" w:eastAsiaTheme="minorEastAsia"/>
          <w:spacing w:val="-3"/>
          <w:sz w:val="21"/>
          <w:szCs w:val="21"/>
        </w:rPr>
        <w:t xml:space="preserve">约，甲方有权解除本合同，给</w:t>
      </w:r>
      <w:r>
        <w:rPr>
          <w:rFonts w:hint="eastAsia" w:asciiTheme="minorEastAsia" w:hAnsiTheme="minorEastAsia" w:eastAsiaTheme="minorEastAsia"/>
          <w:spacing w:val="-2"/>
          <w:sz w:val="21"/>
          <w:szCs w:val="21"/>
        </w:rPr>
        <w:t xml:space="preserve">甲方造成损失的，乙方应赔偿一切直接、间接损失。</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3.甲方所有验收意见均以书面形式作出并加盖甲方公章，因此除非甲方书面明</w:t>
      </w:r>
      <w:r>
        <w:rPr>
          <w:rFonts w:hint="eastAsia" w:asciiTheme="minorEastAsia" w:hAnsiTheme="minorEastAsia" w:eastAsiaTheme="minorEastAsia"/>
          <w:spacing w:val="-3"/>
          <w:sz w:val="21"/>
          <w:szCs w:val="21"/>
        </w:rPr>
        <w:t xml:space="preserve">示通过验</w:t>
      </w:r>
      <w:r>
        <w:rPr>
          <w:rFonts w:hint="eastAsia" w:asciiTheme="minorEastAsia" w:hAnsiTheme="minorEastAsia" w:eastAsiaTheme="minorEastAsia"/>
          <w:spacing w:val="-2"/>
          <w:sz w:val="21"/>
          <w:szCs w:val="21"/>
        </w:rPr>
        <w:t xml:space="preserve">收，否则任何其他行为(包括但不限于甲方对单个</w:t>
      </w:r>
      <w:r>
        <w:rPr>
          <w:rFonts w:hint="eastAsia" w:asciiTheme="minorEastAsia" w:hAnsiTheme="minorEastAsia" w:eastAsiaTheme="minorEastAsia"/>
          <w:spacing w:val="-3"/>
          <w:sz w:val="21"/>
          <w:szCs w:val="21"/>
        </w:rPr>
        <w:t xml:space="preserve">、多个模块或整个系统接收、发布、上线、</w:t>
      </w:r>
      <w:r>
        <w:rPr>
          <w:rFonts w:hint="eastAsia" w:asciiTheme="minorEastAsia" w:hAnsiTheme="minorEastAsia" w:eastAsiaTheme="minorEastAsia"/>
          <w:spacing w:val="3"/>
          <w:sz w:val="21"/>
          <w:szCs w:val="21"/>
        </w:rPr>
        <w:t xml:space="preserve">使用、测试、付款等行为)均不代表甲方已验收</w:t>
      </w:r>
      <w:r>
        <w:rPr>
          <w:rFonts w:hint="eastAsia" w:asciiTheme="minorEastAsia" w:hAnsiTheme="minorEastAsia" w:eastAsiaTheme="minorEastAsia"/>
          <w:spacing w:val="2"/>
          <w:sz w:val="21"/>
          <w:szCs w:val="21"/>
        </w:rPr>
        <w:t xml:space="preserve">合格。</w:t>
      </w:r>
      <w:r/>
    </w:p>
    <w:p>
      <w:pPr>
        <w:ind w:left="0" w:firstLine="424"/>
        <w:spacing w:line="360" w:lineRule="auto"/>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4.本项目经甲方验收合格后，甲乙双方签署《政府</w:t>
      </w:r>
      <w:r>
        <w:rPr>
          <w:rFonts w:hint="eastAsia" w:asciiTheme="minorEastAsia" w:hAnsiTheme="minorEastAsia" w:eastAsiaTheme="minorEastAsia"/>
          <w:sz w:val="21"/>
          <w:szCs w:val="21"/>
        </w:rPr>
        <w:t xml:space="preserve">采购合同履行验收报告》,甲方将验</w:t>
      </w:r>
      <w:r>
        <w:rPr>
          <w:rFonts w:hint="eastAsia" w:asciiTheme="minorEastAsia" w:hAnsiTheme="minorEastAsia" w:eastAsiaTheme="minorEastAsia"/>
          <w:spacing w:val="-2"/>
          <w:sz w:val="21"/>
          <w:szCs w:val="21"/>
        </w:rPr>
        <w:t xml:space="preserve">收单上交中国共产党苏州市姑苏区委员会政法委员会财务部门，连同发票一起入账，作为甲</w:t>
      </w:r>
      <w:r>
        <w:rPr>
          <w:rFonts w:hint="eastAsia" w:asciiTheme="minorEastAsia" w:hAnsiTheme="minorEastAsia" w:eastAsiaTheme="minorEastAsia"/>
          <w:spacing w:val="-1"/>
          <w:sz w:val="21"/>
          <w:szCs w:val="21"/>
        </w:rPr>
        <w:t xml:space="preserve">方完成了本次政府采购的凭证。</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5.验收方案应当包括项目所有功能的实现情况、密码应用和安全审查情况、</w:t>
      </w:r>
      <w:r>
        <w:rPr>
          <w:rFonts w:hint="eastAsia" w:asciiTheme="minorEastAsia" w:hAnsiTheme="minorEastAsia" w:eastAsiaTheme="minorEastAsia"/>
          <w:spacing w:val="-3"/>
          <w:sz w:val="21"/>
          <w:szCs w:val="21"/>
        </w:rPr>
        <w:t xml:space="preserve">信息系统共</w:t>
      </w:r>
      <w:r>
        <w:rPr>
          <w:rFonts w:hint="eastAsia" w:asciiTheme="minorEastAsia" w:hAnsiTheme="minorEastAsia" w:eastAsiaTheme="minorEastAsia"/>
          <w:spacing w:val="-2"/>
          <w:sz w:val="21"/>
          <w:szCs w:val="21"/>
        </w:rPr>
        <w:t xml:space="preserve">享情况、维保服务等采购文件和采购合同规定的内容，必要时</w:t>
      </w:r>
      <w:r>
        <w:rPr>
          <w:rFonts w:hint="eastAsia" w:asciiTheme="minorEastAsia" w:hAnsiTheme="minorEastAsia" w:eastAsiaTheme="minorEastAsia"/>
          <w:spacing w:val="-3"/>
          <w:sz w:val="21"/>
          <w:szCs w:val="21"/>
        </w:rPr>
        <w:t xml:space="preserve">可以邀请行业专家、第三</w:t>
      </w:r>
      <w:r>
        <w:rPr>
          <w:rFonts w:hint="eastAsia" w:asciiTheme="minorEastAsia" w:hAnsiTheme="minorEastAsia" w:eastAsiaTheme="minorEastAsia"/>
          <w:spacing w:val="-2"/>
          <w:sz w:val="21"/>
          <w:szCs w:val="21"/>
        </w:rPr>
        <w:t xml:space="preserve">方机构或相关主管部门参与验收，验收产生的相关费用由乙方承担。</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6.验收时间：项目完成后【30】个工作日内。</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7.验收范围包括但不限于：服务质量；技术资料；功能、服务标准等指标。</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8.验收合格的确认：经甲方书面确认通过验收，视为验收合格。</w:t>
      </w:r>
      <w:r/>
    </w:p>
    <w:p>
      <w:pPr>
        <w:ind w:left="0" w:firstLine="414"/>
        <w:spacing w:line="360" w:lineRule="auto"/>
        <w:rPr>
          <w:rFonts w:asciiTheme="minorEastAsia" w:hAnsiTheme="minorEastAsia" w:eastAsiaTheme="minorEastAsia"/>
          <w:b/>
          <w:bCs/>
          <w:spacing w:val="-2"/>
          <w:sz w:val="21"/>
          <w:szCs w:val="21"/>
        </w:rPr>
      </w:pPr>
      <w:r>
        <w:rPr>
          <w:rFonts w:hint="eastAsia" w:asciiTheme="minorEastAsia" w:hAnsiTheme="minorEastAsia" w:eastAsiaTheme="minorEastAsia"/>
          <w:b/>
          <w:bCs/>
          <w:spacing w:val="-2"/>
          <w:sz w:val="21"/>
          <w:szCs w:val="21"/>
        </w:rPr>
        <w:t xml:space="preserve">四 、双方权利义务</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1.乙方应当根据甲方要求安排项目建设人员，乙方应当确保其安排的项目人员充足和合格，并具有提供服务的必要能力。若乙方需要变更项目团队人员，则应提前【15】日以书面形式向甲方提出申请，得到甲方许可后方可变更。若甲方认为乙方所指派人员不合格的，有权要求乙方更换，乙方应在【2】个工作日内更换完毕，否则应按照2000元/人次向甲方支付违约金，并赔偿甲方一切直接、间接损失。</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2.在甲方要求现场工作的，乙方项目人员应当遵守甲方的一般工作规范和安全要求。乙方项目人员在项目实施过程中发生任何意外事故、重大疾病、猝死等均应由乙方自行处理并承担所有责任，与甲方无关。</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3.乙方应当指定【   】为联系人，授权其代表乙方处理与本合同中有关的各事项。乙方联系人变更的，应提前【5】日以书面形式通知甲方，经甲方书面同意后方可变更。</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4.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要求乙方支付本合同总金额的5%/ 次作为违约金。</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5.乙方承诺如下：</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(1)按时提供符合本合同所规定的全部要求的各项服务和产品(若各项要求之间存在冲突的，由甲方决定适用何种要求);</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(2)乙方提供的服务和产品不会侵犯任何第三方知识产权和其他合法权益，不会对甲 方造成任何损害。本项目中乙方提供的所有软件，应保证是合法的商品软件，如包含第三方软件或数据等必要工具，乙方应其保证是合法可用的，甲方无需为使用该第三方软件或数据 等必要工具支付任何其他费用。如因此产生相关法律责任，由乙方承担；</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(3)本项目系统运行过程中不会出现任何重大故障(该等重大故障包括但不限于发生 全部或部分系统瘫痪、出现系统错误、出现系统漏洞、某项功能失灵等);</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(4)乙方保证甲方可以长期、独立、不受任何干扰地使用项目系统。</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(5)乙方保证软件开发使用符合国家标准和公共需求的通用接口及协议。接口和协议需遵循标准化、互通性、可拓展性和安全性等规范，禁止使用私有或其他不合法公共利益的协议。</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6.乙方违反上述承诺的，乙方应自行承担所有责任，并向甲方支付本合同总金额5%的违约金，若造成甲方或第三方损失的，乙方应赔偿甲方及第三方的一切直接、间接损失。乙方本款承诺不受本合同效力之影响而继续有效。</w:t>
      </w:r>
      <w:r/>
    </w:p>
    <w:p>
      <w:pPr>
        <w:ind w:left="0" w:firstLine="412"/>
        <w:spacing w:line="360" w:lineRule="auto"/>
        <w:rPr>
          <w:rFonts w:asciiTheme="minorEastAsia" w:hAnsiTheme="minorEastAsia" w:eastAsiaTheme="minorEastAsia"/>
          <w:spacing w:val="-2"/>
          <w:sz w:val="21"/>
          <w:szCs w:val="21"/>
        </w:rPr>
      </w:pPr>
      <w:r>
        <w:rPr>
          <w:rFonts w:hint="eastAsia" w:asciiTheme="minorEastAsia" w:hAnsiTheme="minorEastAsia" w:eastAsiaTheme="minorEastAsia"/>
          <w:spacing w:val="-2"/>
          <w:sz w:val="21"/>
          <w:szCs w:val="21"/>
        </w:rPr>
        <w:t xml:space="preserve">7.甲方有权监督本项目进度，对乙方按照合同约定完成的工作内容予以监督。乙方应定期向甲方汇报项目进展情况。</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8.乙方因履行本合同所产生的软件源代码、技术方案、设计图纸、数据挖掘结果、汇总报表等相关产出物的所有权、</w:t>
      </w:r>
      <w:r>
        <w:rPr>
          <w:rFonts w:hint="eastAsia" w:asciiTheme="minorEastAsia" w:hAnsiTheme="minorEastAsia" w:eastAsiaTheme="minorEastAsia"/>
          <w:spacing w:val="8"/>
          <w:sz w:val="21"/>
          <w:szCs w:val="21"/>
        </w:rPr>
        <w:t xml:space="preserve">知识产权均归甲方享有。未经甲方书</w:t>
      </w:r>
      <w:r>
        <w:rPr>
          <w:rFonts w:hint="eastAsia" w:asciiTheme="minorEastAsia" w:hAnsiTheme="minorEastAsia" w:eastAsiaTheme="minorEastAsia"/>
          <w:spacing w:val="7"/>
          <w:sz w:val="21"/>
          <w:szCs w:val="21"/>
        </w:rPr>
        <w:t xml:space="preserve">面同意，乙方不得擅自使</w:t>
      </w:r>
      <w:r>
        <w:rPr>
          <w:rFonts w:hint="eastAsia" w:asciiTheme="minorEastAsia" w:hAnsiTheme="minorEastAsia" w:eastAsiaTheme="minorEastAsia"/>
          <w:spacing w:val="8"/>
          <w:sz w:val="21"/>
          <w:szCs w:val="21"/>
        </w:rPr>
        <w:t xml:space="preserve">用或者授权他人使用，其他任何人不得将成果的全部或部分</w:t>
      </w:r>
      <w:r>
        <w:rPr>
          <w:rFonts w:hint="eastAsia" w:asciiTheme="minorEastAsia" w:hAnsiTheme="minorEastAsia" w:eastAsiaTheme="minorEastAsia"/>
          <w:spacing w:val="7"/>
          <w:sz w:val="21"/>
          <w:szCs w:val="21"/>
        </w:rPr>
        <w:t xml:space="preserve">披露或提供给第三方。乙方违反</w:t>
      </w:r>
      <w:r>
        <w:rPr>
          <w:rFonts w:hint="eastAsia" w:asciiTheme="minorEastAsia" w:hAnsiTheme="minorEastAsia" w:eastAsiaTheme="minorEastAsia"/>
          <w:spacing w:val="10"/>
          <w:sz w:val="21"/>
          <w:szCs w:val="21"/>
        </w:rPr>
        <w:t xml:space="preserve">前述约定的，应向甲方支付本合同总金额10%的违约金，违约金不足以弥补甲方损失的，乙</w:t>
      </w:r>
      <w:r>
        <w:rPr>
          <w:rFonts w:hint="eastAsia" w:asciiTheme="minorEastAsia" w:hAnsiTheme="minorEastAsia" w:eastAsiaTheme="minorEastAsia"/>
          <w:spacing w:val="8"/>
          <w:sz w:val="21"/>
          <w:szCs w:val="21"/>
        </w:rPr>
        <w:t xml:space="preserve">方应赔偿甲方一切直接、间接损失。</w:t>
      </w:r>
      <w:r/>
    </w:p>
    <w:p>
      <w:pPr>
        <w:ind w:left="0" w:firstLine="454"/>
        <w:spacing w:line="360" w:lineRule="auto"/>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rPr>
        <w:t xml:space="preserve">五 、价格与支付</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1.合同价格按此次成交价格执行，本合同总金额(含税)为人民币</w:t>
      </w:r>
      <w:r>
        <w:rPr>
          <w:rFonts w:hint="eastAsia" w:asciiTheme="minorEastAsia" w:hAnsiTheme="minorEastAsia" w:eastAsiaTheme="minorEastAsia"/>
          <w:spacing w:val="8"/>
          <w:sz w:val="21"/>
          <w:szCs w:val="21"/>
          <w:u w:val="single"/>
        </w:rPr>
        <w:t xml:space="preserve">(大写)         </w:t>
      </w:r>
      <w:r>
        <w:rPr>
          <w:rFonts w:hint="eastAsia" w:asciiTheme="minorEastAsia" w:hAnsiTheme="minorEastAsia" w:eastAsiaTheme="minorEastAsia"/>
          <w:spacing w:val="8"/>
          <w:sz w:val="21"/>
          <w:szCs w:val="21"/>
        </w:rPr>
        <w:t xml:space="preserve">本合同总金额为固定价款。包括服务、售后、人工、保险、质保、差旅费及其他辅助费用管理、维护、保险、利润、税金、政策性文件规定及本合同包含的所有风险、责任等各项应有费用等本项目所需一切费用。除非因特殊原因并经双方协商一致，甲方不再另行向乙方支付其他任何费用。对于甲方要求的及乙方所承诺提供的功能，乙方应无条件提供，由于设计及其他原因所产生的额外费用由乙方自行承担。</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2.付款方式：项目实施共4个周期，3个月为1个周期。</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本合同签订生效后，服务周期开始后7天内，采购人向中标供应商支付合同中合同总金额的30%作为预付款。</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费用分4次支付（每三个月为1个支付周期）每次支付按维护设备实际工作量由甲方根据周期内的考核标准评分情况支付（考核标准详见附件），按维护设备实际工作量支付，第一周期支付费用总额从预付款中扣除，前两期支付总金额累计不超过合同总金额的50%，第三周期支付费用总额不超过本项目合同总金额的 25%，第四周期支付费用需通过最终验收后进行支付，每个实施周期结束后30日内支付该周期维护部分的支付费用（项目实施过程中，采购人根据实际维护工作量计算费用，并于次月计算上月的维护费用）。</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3.付款方式：数字人民币支付。</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乙方账户信息如下：</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开户行：</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账户名：</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数字人民币账号(数币钱包 ID):</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4.乙方按照本合同要求履行相应义务后向甲方结算款项时应提供下列单据：</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(1)合法有效且符合甲方要求的发票；</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(2)由甲乙双方签章的《政府采购合同履行验收报告》。</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若乙方未按甲方要求提供上述单据的，甲方有权迟延付款，且不承担逾期付款的违约责任 。</w:t>
      </w:r>
      <w:r/>
    </w:p>
    <w:p>
      <w:pPr>
        <w:ind w:left="0" w:firstLine="45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8"/>
          <w:sz w:val="21"/>
          <w:szCs w:val="21"/>
        </w:rPr>
        <w:t xml:space="preserve">5.根据现行税法对甲方征收的与本合同有关的一切税费均由甲方承担；根据现行税法对乙方征收的与本合同有关的一切税费均由乙方承担。</w:t>
      </w:r>
      <w:r/>
    </w:p>
    <w:p>
      <w:pPr>
        <w:ind w:left="0" w:firstLine="454"/>
        <w:spacing w:line="360" w:lineRule="auto"/>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rPr>
        <w:t xml:space="preserve">六 、培 训</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1.乙方应针对本项目应用平台及采用的相关技术等提出全面培训计划和培训方案，并征得甲方的书面同意后实施。</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2.培训对象主要分为涉及该项目的各类人员，乙方必须针对不同的对象制定不同的培训计划，并分别培训。培训内容将涵盖各类用户业务、系统操作、技术框架使用培训。</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3.乙方应对所有被培训人员进行现场培训，提供文字资料、讲义等相关用品。所有的资料必须是中文书写。</w:t>
      </w:r>
      <w:r/>
    </w:p>
    <w:p>
      <w:pPr>
        <w:ind w:left="0" w:firstLine="45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8"/>
          <w:sz w:val="21"/>
          <w:szCs w:val="21"/>
        </w:rPr>
        <w:t xml:space="preserve">4.所有的培训费用包括差旅、食宿、教材、资料等由乙方负责，不得另外收取相关费用。</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七、后续服务</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1.本项目免费维护服务期不少于【1】年，自项目最终验收合格之日起计算。</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在免费维护服务期内，对系统的自身故障、外部原因(操作系统故障或系统配置故障或对应用软件某些错误操作等)导致系统出现故障的解决以及对系统的合理优化修改等一切维护费用均由乙方承担，并免费提供软件升级、软件故障排除、补丁安装、软件重装等技术支持及维护服务。</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3.在免费维护服务期内，乙方应为本项目成立专门的维护服务和技术支持小组，根据甲方要求免费提供维护服务和技术支持。</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4.乙方应根据不同情况设定不同的故障级别，并就不同故障级别提出对应的故障响应方案。在免费维护服务期内，乙方应提供每周7×24小时服务专线和技术支持，在甲方提出服务要求后，乙方需在【1】小时内响应，【4】小时内到达现场并提出解决方案，【12】小时内处理完毕。</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5.知识产权要求：乙方应能保证所提供服务涉及到的知识产权是合法取得，并享有完整的知识产权，不会因为甲方的使用而被责令停止使用、追偿或要求赔偿损失，如出现此情况，一切经济和法律责任均由乙方承担。</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6.乙方未能按前述约定及时响应并解决问题的，甲方有权自行聘请第三方提供服务，因此产生的费用由乙方承担。同时，甲方有权责令乙方于3日内予以改正，乙方逾期不改正的或者甲方责令改正后仍未按约履行的，乙方应向甲方支付合同总金额10%/次的违约金，违约金不足以补偿损失的甲方有权要求乙方补足。</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八 、合同的变更、中止</w:t>
      </w:r>
      <w:r/>
    </w:p>
    <w:p>
      <w:pPr>
        <w:ind w:left="0" w:firstLine="452"/>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spacing w:val="8"/>
          <w:sz w:val="21"/>
          <w:szCs w:val="21"/>
        </w:rPr>
        <w:t xml:space="preserve">除《政府采购法》第49条、第50条第二款规定的情形及本合同约定的情形外，本合同签订后，甲乙双方不得擅自变更、解除或终止本合同。</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九、违约责任</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合同一方不履行合同义务或者履行合同义务不符合规定的，应当承担继续履行、采取补救措施或者赔偿损失等违约责任。</w:t>
      </w:r>
      <w:r/>
    </w:p>
    <w:p>
      <w:pPr>
        <w:ind w:left="0" w:firstLine="468"/>
        <w:spacing w:line="360" w:lineRule="auto"/>
        <w:rPr>
          <w:rFonts w:asciiTheme="minorEastAsia" w:hAnsiTheme="minorEastAsia" w:eastAsiaTheme="minorEastAsia"/>
          <w:sz w:val="21"/>
          <w:szCs w:val="21"/>
        </w:rPr>
      </w:pPr>
      <w:r>
        <w:rPr>
          <w:rFonts w:hint="eastAsia" w:asciiTheme="minorEastAsia" w:hAnsiTheme="minorEastAsia" w:eastAsiaTheme="minorEastAsia"/>
          <w:spacing w:val="12"/>
          <w:sz w:val="21"/>
          <w:szCs w:val="21"/>
        </w:rPr>
        <w:t xml:space="preserve">(一)甲方违约责任</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1.在合同生效后，甲方无正当理由要求终止服务的，应向乙方支付本合同总金额5%的违约金，违约金不足以弥补损失的，乙方有权要求甲方补足。</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2.甲方逾期付款的，应按照逾期付款金额的每天万分之四支付逾期付款违约金，但甲方因此支付的违约金总额以逾期付款金额的5%为限。</w:t>
      </w:r>
      <w:r/>
    </w:p>
    <w:p>
      <w:pPr>
        <w:ind w:left="0" w:firstLine="47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13"/>
          <w:sz w:val="21"/>
          <w:szCs w:val="21"/>
        </w:rPr>
        <w:t xml:space="preserve">(二)乙方违约责任</w:t>
      </w:r>
      <w:r/>
    </w:p>
    <w:p>
      <w:pPr>
        <w:ind w:left="0" w:firstLine="444"/>
        <w:spacing w:line="360" w:lineRule="auto"/>
        <w:rPr>
          <w:rFonts w:asciiTheme="minorEastAsia" w:hAnsiTheme="minorEastAsia" w:eastAsiaTheme="minorEastAsia"/>
          <w:sz w:val="21"/>
          <w:szCs w:val="21"/>
        </w:rPr>
      </w:pPr>
      <w:r>
        <w:rPr>
          <w:rFonts w:hint="eastAsia" w:asciiTheme="minorEastAsia" w:hAnsiTheme="minorEastAsia" w:eastAsiaTheme="minorEastAsia"/>
          <w:spacing w:val="6"/>
          <w:sz w:val="21"/>
          <w:szCs w:val="21"/>
        </w:rPr>
        <w:t xml:space="preserve">1.乙方不能交付(逾期超过十五日视为不能交付),或交付不合格从而影响甲方正常使</w:t>
      </w:r>
      <w:r>
        <w:rPr>
          <w:rFonts w:hint="eastAsia" w:asciiTheme="minorEastAsia" w:hAnsiTheme="minorEastAsia" w:eastAsiaTheme="minorEastAsia"/>
          <w:spacing w:val="2"/>
          <w:sz w:val="21"/>
          <w:szCs w:val="21"/>
        </w:rPr>
        <w:t xml:space="preserve">用的，甲方有权单方解除本合同，乙方应向甲方支付本合同总金额5%的违约金，违约金不</w:t>
      </w:r>
      <w:r>
        <w:rPr>
          <w:rFonts w:hint="eastAsia" w:asciiTheme="minorEastAsia" w:hAnsiTheme="minorEastAsia" w:eastAsiaTheme="minorEastAsia"/>
          <w:sz w:val="21"/>
          <w:szCs w:val="21"/>
        </w:rPr>
        <w:t xml:space="preserve">足以弥补损失的，甲方有权要求乙方赔偿一切直接、间</w:t>
      </w:r>
      <w:r>
        <w:rPr>
          <w:rFonts w:hint="eastAsia" w:asciiTheme="minorEastAsia" w:hAnsiTheme="minorEastAsia" w:eastAsiaTheme="minorEastAsia"/>
          <w:spacing w:val="-1"/>
          <w:sz w:val="21"/>
          <w:szCs w:val="21"/>
        </w:rPr>
        <w:t xml:space="preserve">接损失。</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2.乙方逾期交付的，应在交付前与甲方协商，甲方仍要求乙方交付的，乙方应立即交付并应按照逾期交付部分金额的每天千分之四支付逾期交付违约金，给甲方造成损失的，应赔</w:t>
      </w:r>
      <w:r>
        <w:rPr>
          <w:rFonts w:hint="eastAsia" w:asciiTheme="minorEastAsia" w:hAnsiTheme="minorEastAsia" w:eastAsiaTheme="minorEastAsia"/>
          <w:spacing w:val="-3"/>
          <w:sz w:val="21"/>
          <w:szCs w:val="21"/>
        </w:rPr>
        <w:t xml:space="preserve">偿甲方一切直接、间接损失。</w:t>
      </w:r>
      <w:r/>
    </w:p>
    <w:p>
      <w:pPr>
        <w:ind w:left="0" w:firstLine="424"/>
        <w:spacing w:line="360" w:lineRule="auto"/>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 xml:space="preserve">3.乙方未能按照本合同约定提供服务的，甲方有权责令乙方于3日内予</w:t>
      </w:r>
      <w:r>
        <w:rPr>
          <w:rFonts w:hint="eastAsia" w:asciiTheme="minorEastAsia" w:hAnsiTheme="minorEastAsia" w:eastAsiaTheme="minorEastAsia"/>
          <w:sz w:val="21"/>
          <w:szCs w:val="21"/>
        </w:rPr>
        <w:t xml:space="preserve">以整改，乙方逾</w:t>
      </w:r>
      <w:r>
        <w:rPr>
          <w:rFonts w:hint="eastAsia" w:asciiTheme="minorEastAsia" w:hAnsiTheme="minorEastAsia" w:eastAsiaTheme="minorEastAsia"/>
          <w:spacing w:val="-2"/>
          <w:sz w:val="21"/>
          <w:szCs w:val="21"/>
        </w:rPr>
        <w:t xml:space="preserve">期不整改的或者整改后仍不符合要求的，视为乙方违约，乙方应当向甲方支付本合同总金额</w:t>
      </w:r>
      <w:r>
        <w:rPr>
          <w:rFonts w:hint="eastAsia" w:asciiTheme="minorEastAsia" w:hAnsiTheme="minorEastAsia" w:eastAsiaTheme="minorEastAsia"/>
          <w:sz w:val="21"/>
          <w:szCs w:val="21"/>
        </w:rPr>
        <w:t xml:space="preserve">5%的违约金并赔偿甲方因此产生的一切直接、间</w:t>
      </w:r>
      <w:r>
        <w:rPr>
          <w:rFonts w:hint="eastAsia" w:asciiTheme="minorEastAsia" w:hAnsiTheme="minorEastAsia" w:eastAsiaTheme="minorEastAsia"/>
          <w:spacing w:val="-1"/>
          <w:sz w:val="21"/>
          <w:szCs w:val="21"/>
        </w:rPr>
        <w:t xml:space="preserve">接损失。</w:t>
      </w:r>
      <w:r/>
    </w:p>
    <w:p>
      <w:pPr>
        <w:ind w:left="0" w:firstLine="412"/>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4.若因乙方设计、建设等原因，导致系统程序上线使用过程中，系统操作错误、出现漏洞，给甲方造成损失及社会影响的，乙方应全额退还甲方已经支付的服务费用，向甲方支付</w:t>
      </w:r>
      <w:r>
        <w:rPr>
          <w:rFonts w:hint="eastAsia" w:asciiTheme="minorEastAsia" w:hAnsiTheme="minorEastAsia" w:eastAsiaTheme="minorEastAsia"/>
          <w:spacing w:val="1"/>
          <w:sz w:val="21"/>
          <w:szCs w:val="21"/>
        </w:rPr>
        <w:t xml:space="preserve">本合同总金额30%的违约金，并赔偿甲方因处理后续事宜而产生的费用及甲方</w:t>
      </w:r>
      <w:r>
        <w:rPr>
          <w:rFonts w:hint="eastAsia" w:asciiTheme="minorEastAsia" w:hAnsiTheme="minorEastAsia" w:eastAsiaTheme="minorEastAsia"/>
          <w:sz w:val="21"/>
          <w:szCs w:val="21"/>
        </w:rPr>
        <w:t xml:space="preserve">因此产生的一 </w:t>
      </w:r>
      <w:r>
        <w:rPr>
          <w:rFonts w:hint="eastAsia" w:asciiTheme="minorEastAsia" w:hAnsiTheme="minorEastAsia" w:eastAsiaTheme="minorEastAsia"/>
          <w:spacing w:val="9"/>
          <w:sz w:val="21"/>
          <w:szCs w:val="21"/>
        </w:rPr>
        <w:t xml:space="preserve">切直接、间接损失(包括诉讼费、律师费等)。</w:t>
      </w:r>
      <w:r/>
    </w:p>
    <w:p>
      <w:pPr>
        <w:ind w:left="0" w:firstLine="428"/>
        <w:spacing w:line="360" w:lineRule="auto"/>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5.乙方有其他违反本合同约定的行为的，乙方应当向甲方支付本合同总金额5%的违约</w:t>
      </w:r>
      <w:r>
        <w:rPr>
          <w:rFonts w:hint="eastAsia" w:asciiTheme="minorEastAsia" w:hAnsiTheme="minorEastAsia" w:eastAsiaTheme="minorEastAsia"/>
          <w:sz w:val="21"/>
          <w:szCs w:val="21"/>
        </w:rPr>
        <w:t xml:space="preserve">金，给甲方造成损失的，还应赔偿甲方一切直接、间</w:t>
      </w:r>
      <w:r>
        <w:rPr>
          <w:rFonts w:hint="eastAsia" w:asciiTheme="minorEastAsia" w:hAnsiTheme="minorEastAsia" w:eastAsiaTheme="minorEastAsia"/>
          <w:spacing w:val="-1"/>
          <w:sz w:val="21"/>
          <w:szCs w:val="21"/>
        </w:rPr>
        <w:t xml:space="preserve">接损失。</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6.乙方应赔偿甲方的损失、支付给甲方的违约金以及其他依据本合同应支付给甲方的费用，甲方有权直接从未支付款项中予以扣除，不足部分有权要求乙方予以补足。</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十 、不可抗力</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1.合同一方因不可抗力不能履行合同的，根据不可抗力的影响，部分或者全部免除责任。但合同一方迟延履行后发生不可抗力的，不能免除责任。</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2.合同一方因不可抗力不能履行合同的，应当自不可抗力发生之日起【5】日内通知对方，以减轻可能给对方造成的损失，并应当在发出不可抗力通知后的【7】日内提供书面证明。</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3.不可抗力事由消除后，合同继续履行等相关事宜，由合同双方协商解决。</w:t>
      </w:r>
      <w:r/>
    </w:p>
    <w:p>
      <w:pPr>
        <w:ind w:left="0" w:firstLine="454"/>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b/>
          <w:bCs/>
          <w:spacing w:val="8"/>
          <w:sz w:val="21"/>
          <w:szCs w:val="21"/>
        </w:rPr>
        <w:t xml:space="preserve">十一、合同的解除和转让</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1.有下列情形之一，合同一方可以解除合同：</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①因不可抗力或上级主管部门相关规定致使不能实现合同目的的，未受影响的一方有权解除合同；</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②因合同一方违约导致合同不能履行，另一方有权解除合同。</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2.有权解除合同的一方，应当在违约事实或不可抗力发生之后【30】天内书面通知对方，合同在书面通知到达对方时解除。</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3.未经甲方书面同意，乙方不得将本合同的部分和全部转让给任何第三人。</w:t>
      </w:r>
      <w:r/>
    </w:p>
    <w:p>
      <w:pPr>
        <w:ind w:left="0" w:firstLine="454"/>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b/>
          <w:bCs/>
          <w:spacing w:val="8"/>
          <w:sz w:val="21"/>
          <w:szCs w:val="21"/>
        </w:rPr>
        <w:t xml:space="preserve">十二、争议解决</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十三、重大事项的通知</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在本合同履行过程中，双方一切联系均以书面通知为准。双方所确认的联系人、联系方式及法律文书送达地址(本合同首部所载明的地址),如发生变更的，应当提前【3】日内书面通知另一方，未通知的自行承担送达不能等不利后果。</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十四、保密</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2.无论本合同是否变更、解除或终止，合同的保密条款不受其限制而继续有效，双方都应继续承担保密条款约定的保密义务。保密义务的期限为永久。</w:t>
      </w:r>
      <w:r/>
    </w:p>
    <w:p>
      <w:pPr>
        <w:ind w:left="0" w:firstLine="454"/>
        <w:spacing w:line="360" w:lineRule="auto"/>
        <w:rPr>
          <w:rFonts w:asciiTheme="minorEastAsia" w:hAnsiTheme="minorEastAsia" w:eastAsiaTheme="minorEastAsia"/>
          <w:b/>
          <w:bCs/>
          <w:spacing w:val="8"/>
          <w:sz w:val="21"/>
          <w:szCs w:val="21"/>
        </w:rPr>
      </w:pPr>
      <w:r>
        <w:rPr>
          <w:rFonts w:hint="eastAsia" w:asciiTheme="minorEastAsia" w:hAnsiTheme="minorEastAsia" w:eastAsiaTheme="minorEastAsia"/>
          <w:b/>
          <w:bCs/>
          <w:spacing w:val="8"/>
          <w:sz w:val="21"/>
          <w:szCs w:val="21"/>
        </w:rPr>
        <w:t xml:space="preserve">十五、合同生效及其他</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1.本合同经甲乙双方法定代表人或授权代表人签字并加盖公章(或合同章)后生效。</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2.本合同在履行过程中出现的未尽事宜，双方在不违背本合同和询价文件的原则下协商解决，协商结果以书面形式盖章记录在案，作为本合同的附件，与本合同具有同等法律效力。</w:t>
      </w:r>
      <w:r/>
    </w:p>
    <w:p>
      <w:pPr>
        <w:ind w:left="0" w:firstLine="452"/>
        <w:spacing w:line="360" w:lineRule="auto"/>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 xml:space="preserve">3.本合同一式【肆】份，甲方执【叁】份，乙方执【壹】份，肆份具有同等法律效力。 (以下无正文)</w:t>
      </w:r>
      <w:r/>
    </w:p>
    <w:p>
      <w:pPr>
        <w:ind w:left="0"/>
        <w:spacing w:line="252" w:lineRule="auto"/>
        <w:rPr>
          <w:rFonts w:cs="Arial" w:asciiTheme="minorEastAsia" w:hAnsiTheme="minorEastAsia" w:eastAsiaTheme="minorEastAsia"/>
          <w:sz w:val="21"/>
          <w:szCs w:val="21"/>
        </w:rPr>
      </w:pPr>
      <w:r>
        <w:rPr>
          <w:rFonts w:cs="Arial" w:asciiTheme="minorEastAsia" w:hAnsiTheme="minorEastAsia" w:eastAsiaTheme="minorEastAsia"/>
          <w:sz w:val="21"/>
          <w:szCs w:val="21"/>
        </w:rPr>
      </w:r>
      <w:r/>
    </w:p>
    <w:p>
      <w:pPr>
        <w:ind w:left="0"/>
        <w:spacing w:line="218" w:lineRule="auto"/>
        <w:rPr>
          <w:rFonts w:asciiTheme="minorEastAsia" w:hAnsiTheme="minorEastAsia" w:eastAsiaTheme="minorEastAsia"/>
          <w:sz w:val="21"/>
          <w:szCs w:val="21"/>
        </w:rPr>
      </w:pPr>
      <w:r>
        <w:rPr>
          <w:rFonts w:hint="eastAsia" w:asciiTheme="minorEastAsia" w:hAnsiTheme="minorEastAsia" w:eastAsiaTheme="minorEastAsia"/>
          <w:spacing w:val="20"/>
          <w:sz w:val="21"/>
          <w:szCs w:val="21"/>
        </w:rPr>
        <w:t xml:space="preserve">甲方：(盖章)</w:t>
      </w:r>
      <w:r>
        <w:rPr>
          <w:rFonts w:asciiTheme="minorEastAsia" w:hAnsiTheme="minorEastAsia" w:eastAsiaTheme="minorEastAsia"/>
          <w:spacing w:val="20"/>
          <w:sz w:val="21"/>
          <w:szCs w:val="21"/>
        </w:rPr>
        <w:t xml:space="preserve">                        </w:t>
      </w:r>
      <w:r>
        <w:rPr>
          <w:rFonts w:hint="eastAsia" w:asciiTheme="minorEastAsia" w:hAnsiTheme="minorEastAsia" w:eastAsiaTheme="minorEastAsia"/>
          <w:spacing w:val="20"/>
          <w:sz w:val="21"/>
          <w:szCs w:val="21"/>
        </w:rPr>
        <w:t xml:space="preserve">乙方：(盖章)</w:t>
      </w:r>
      <w:r/>
    </w:p>
    <w:p>
      <w:pPr>
        <w:ind w:left="0"/>
        <w:spacing w:before="69" w:line="218" w:lineRule="auto"/>
        <w:rPr>
          <w:rFonts w:asciiTheme="minorEastAsia" w:hAnsiTheme="minorEastAsia" w:eastAsiaTheme="minorEastAsia"/>
          <w:sz w:val="21"/>
          <w:szCs w:val="21"/>
        </w:rPr>
      </w:pPr>
      <w:r>
        <w:rPr>
          <w:rFonts w:hint="eastAsia" w:asciiTheme="minorEastAsia" w:hAnsiTheme="minorEastAsia" w:eastAsiaTheme="minorEastAsia"/>
          <w:spacing w:val="14"/>
          <w:sz w:val="21"/>
          <w:szCs w:val="21"/>
        </w:rPr>
        <w:t xml:space="preserve">法定(授权)代表人签字： </w:t>
      </w:r>
      <w:r>
        <w:rPr>
          <w:rFonts w:asciiTheme="minorEastAsia" w:hAnsiTheme="minorEastAsia" w:eastAsiaTheme="minorEastAsia"/>
          <w:spacing w:val="14"/>
          <w:sz w:val="21"/>
          <w:szCs w:val="21"/>
        </w:rPr>
        <w:t xml:space="preserve">                 </w:t>
      </w:r>
      <w:r>
        <w:rPr>
          <w:rFonts w:hint="eastAsia" w:asciiTheme="minorEastAsia" w:hAnsiTheme="minorEastAsia" w:eastAsiaTheme="minorEastAsia"/>
          <w:spacing w:val="14"/>
          <w:sz w:val="21"/>
          <w:szCs w:val="21"/>
        </w:rPr>
        <w:t xml:space="preserve">法定(授权)代表人签字：</w:t>
      </w:r>
      <w:r/>
    </w:p>
    <w:p>
      <w:pPr>
        <w:ind w:left="0"/>
        <w:spacing w:before="60" w:line="225" w:lineRule="auto"/>
        <w:rPr>
          <w:rFonts w:asciiTheme="minorEastAsia" w:hAnsiTheme="minorEastAsia" w:eastAsiaTheme="minorEastAsia"/>
          <w:sz w:val="21"/>
          <w:szCs w:val="21"/>
        </w:rPr>
      </w:pPr>
      <w:r>
        <w:rPr>
          <w:rFonts w:hint="eastAsia" w:asciiTheme="minorEastAsia" w:hAnsiTheme="minorEastAsia" w:eastAsiaTheme="minorEastAsia"/>
          <w:spacing w:val="-13"/>
          <w:sz w:val="21"/>
          <w:szCs w:val="21"/>
        </w:rPr>
        <w:t xml:space="preserve">日 期</w:t>
      </w:r>
      <w:r>
        <w:rPr>
          <w:rFonts w:hint="eastAsia" w:asciiTheme="minorEastAsia" w:hAnsiTheme="minorEastAsia" w:eastAsiaTheme="minorEastAsia"/>
          <w:spacing w:val="14"/>
          <w:sz w:val="21"/>
          <w:szCs w:val="21"/>
        </w:rPr>
        <w:t xml:space="preserve"> </w:t>
      </w:r>
      <w:r>
        <w:rPr>
          <w:rFonts w:hint="eastAsia" w:asciiTheme="minorEastAsia" w:hAnsiTheme="minorEastAsia" w:eastAsiaTheme="minorEastAsia"/>
          <w:spacing w:val="-13"/>
          <w:sz w:val="21"/>
          <w:szCs w:val="21"/>
        </w:rPr>
        <w:t xml:space="preserve">：</w:t>
      </w:r>
      <w:r>
        <w:rPr>
          <w:rFonts w:hint="eastAsia" w:asciiTheme="minorEastAsia" w:hAnsiTheme="minorEastAsia" w:eastAsiaTheme="minorEastAsia"/>
          <w:spacing w:val="3"/>
          <w:sz w:val="21"/>
          <w:szCs w:val="21"/>
        </w:rPr>
        <w:t xml:space="preserve">         </w:t>
      </w:r>
      <w:r>
        <w:rPr>
          <w:rFonts w:hint="eastAsia" w:asciiTheme="minorEastAsia" w:hAnsiTheme="minorEastAsia" w:eastAsiaTheme="minorEastAsia"/>
          <w:spacing w:val="-13"/>
          <w:sz w:val="21"/>
          <w:szCs w:val="21"/>
        </w:rPr>
        <w:t xml:space="preserve">年</w:t>
      </w:r>
      <w:r>
        <w:rPr>
          <w:rFonts w:hint="eastAsia" w:asciiTheme="minorEastAsia" w:hAnsiTheme="minorEastAsia" w:eastAsiaTheme="minorEastAsia"/>
          <w:spacing w:val="6"/>
          <w:sz w:val="21"/>
          <w:szCs w:val="21"/>
        </w:rPr>
        <w:t xml:space="preserve">   </w:t>
      </w:r>
      <w:r>
        <w:rPr>
          <w:rFonts w:hint="eastAsia" w:asciiTheme="minorEastAsia" w:hAnsiTheme="minorEastAsia" w:eastAsiaTheme="minorEastAsia"/>
          <w:spacing w:val="-13"/>
          <w:sz w:val="21"/>
          <w:szCs w:val="21"/>
        </w:rPr>
        <w:t xml:space="preserve">月</w:t>
      </w:r>
      <w:r>
        <w:rPr>
          <w:rFonts w:hint="eastAsia" w:asciiTheme="minorEastAsia" w:hAnsiTheme="minorEastAsia" w:eastAsiaTheme="minorEastAsia"/>
          <w:spacing w:val="13"/>
          <w:sz w:val="21"/>
          <w:szCs w:val="21"/>
        </w:rPr>
        <w:t xml:space="preserve">   </w:t>
      </w:r>
      <w:r>
        <w:rPr>
          <w:rFonts w:hint="eastAsia" w:asciiTheme="minorEastAsia" w:hAnsiTheme="minorEastAsia" w:eastAsiaTheme="minorEastAsia"/>
          <w:spacing w:val="-13"/>
          <w:sz w:val="21"/>
          <w:szCs w:val="21"/>
        </w:rPr>
        <w:t xml:space="preserve">日 </w:t>
      </w:r>
      <w:r>
        <w:rPr>
          <w:rFonts w:asciiTheme="minorEastAsia" w:hAnsiTheme="minorEastAsia" w:eastAsiaTheme="minorEastAsia"/>
          <w:spacing w:val="-13"/>
          <w:sz w:val="21"/>
          <w:szCs w:val="21"/>
        </w:rPr>
        <w:t xml:space="preserve">                        </w:t>
      </w:r>
      <w:r>
        <w:rPr>
          <w:rFonts w:hint="eastAsia" w:asciiTheme="minorEastAsia" w:hAnsiTheme="minorEastAsia" w:eastAsiaTheme="minorEastAsia"/>
          <w:spacing w:val="-13"/>
          <w:sz w:val="21"/>
          <w:szCs w:val="21"/>
        </w:rPr>
        <w:t xml:space="preserve">日 期</w:t>
      </w:r>
      <w:r>
        <w:rPr>
          <w:rFonts w:hint="eastAsia" w:asciiTheme="minorEastAsia" w:hAnsiTheme="minorEastAsia" w:eastAsiaTheme="minorEastAsia"/>
          <w:spacing w:val="14"/>
          <w:sz w:val="21"/>
          <w:szCs w:val="21"/>
        </w:rPr>
        <w:t xml:space="preserve"> </w:t>
      </w:r>
      <w:r>
        <w:rPr>
          <w:rFonts w:hint="eastAsia" w:asciiTheme="minorEastAsia" w:hAnsiTheme="minorEastAsia" w:eastAsiaTheme="minorEastAsia"/>
          <w:spacing w:val="-13"/>
          <w:sz w:val="21"/>
          <w:szCs w:val="21"/>
        </w:rPr>
        <w:t xml:space="preserve">：</w:t>
      </w:r>
      <w:r>
        <w:rPr>
          <w:rFonts w:hint="eastAsia" w:asciiTheme="minorEastAsia" w:hAnsiTheme="minorEastAsia" w:eastAsiaTheme="minorEastAsia"/>
          <w:spacing w:val="3"/>
          <w:sz w:val="21"/>
          <w:szCs w:val="21"/>
        </w:rPr>
        <w:t xml:space="preserve">         </w:t>
      </w:r>
      <w:r>
        <w:rPr>
          <w:rFonts w:hint="eastAsia" w:asciiTheme="minorEastAsia" w:hAnsiTheme="minorEastAsia" w:eastAsiaTheme="minorEastAsia"/>
          <w:spacing w:val="-13"/>
          <w:sz w:val="21"/>
          <w:szCs w:val="21"/>
        </w:rPr>
        <w:t xml:space="preserve">年</w:t>
      </w:r>
      <w:r>
        <w:rPr>
          <w:rFonts w:hint="eastAsia" w:asciiTheme="minorEastAsia" w:hAnsiTheme="minorEastAsia" w:eastAsiaTheme="minorEastAsia"/>
          <w:spacing w:val="6"/>
          <w:sz w:val="21"/>
          <w:szCs w:val="21"/>
        </w:rPr>
        <w:t xml:space="preserve">   </w:t>
      </w:r>
      <w:r>
        <w:rPr>
          <w:rFonts w:hint="eastAsia" w:asciiTheme="minorEastAsia" w:hAnsiTheme="minorEastAsia" w:eastAsiaTheme="minorEastAsia"/>
          <w:spacing w:val="-13"/>
          <w:sz w:val="21"/>
          <w:szCs w:val="21"/>
        </w:rPr>
        <w:t xml:space="preserve">月</w:t>
      </w:r>
      <w:r>
        <w:rPr>
          <w:rFonts w:hint="eastAsia" w:asciiTheme="minorEastAsia" w:hAnsiTheme="minorEastAsia" w:eastAsiaTheme="minorEastAsia"/>
          <w:spacing w:val="13"/>
          <w:sz w:val="21"/>
          <w:szCs w:val="21"/>
        </w:rPr>
        <w:t xml:space="preserve">   </w:t>
      </w:r>
      <w:r>
        <w:rPr>
          <w:rFonts w:hint="eastAsia" w:asciiTheme="minorEastAsia" w:hAnsiTheme="minorEastAsia" w:eastAsiaTheme="minorEastAsia"/>
          <w:spacing w:val="-13"/>
          <w:sz w:val="21"/>
          <w:szCs w:val="21"/>
        </w:rPr>
        <w:t xml:space="preserve">日</w:t>
      </w:r>
      <w:r/>
    </w:p>
    <w:p>
      <w:pPr>
        <w:ind w:left="0"/>
        <w:jc w:val="left"/>
        <w:spacing w:line="360" w:lineRule="auto"/>
        <w:rPr>
          <w:rFonts w:asciiTheme="minorEastAsia" w:hAnsiTheme="minorEastAsia" w:eastAsiaTheme="minorEastAsia"/>
          <w:spacing w:val="8"/>
          <w:sz w:val="21"/>
          <w:szCs w:val="21"/>
        </w:rPr>
      </w:pPr>
      <w:r>
        <w:rPr>
          <w:rFonts w:asciiTheme="minorEastAsia" w:hAnsiTheme="minorEastAsia" w:eastAsiaTheme="minorEastAsia"/>
          <w:spacing w:val="8"/>
          <w:sz w:val="21"/>
          <w:szCs w:val="21"/>
        </w:rPr>
      </w:r>
      <w:r/>
    </w:p>
    <w:p>
      <w:pPr>
        <w:ind w:left="0"/>
        <w:jc w:val="left"/>
        <w:rPr>
          <w:rFonts w:cs="Arial" w:asciiTheme="minorEastAsia" w:hAnsiTheme="minorEastAsia" w:eastAsiaTheme="minorEastAsia"/>
          <w:sz w:val="21"/>
          <w:szCs w:val="21"/>
        </w:rPr>
      </w:pPr>
      <w:r>
        <w:rPr>
          <w:rFonts w:cs="Arial" w:asciiTheme="minorEastAsia" w:hAnsiTheme="minorEastAsia" w:eastAsiaTheme="minorEastAsia"/>
          <w:sz w:val="21"/>
          <w:szCs w:val="21"/>
        </w:rPr>
      </w:r>
      <w:r/>
    </w:p>
    <w:p>
      <w:pPr>
        <w:ind w:left="400"/>
        <w:jc w:val="left"/>
        <w:spacing w:after="120"/>
        <w:rPr>
          <w:rFonts w:cs="Arial" w:asciiTheme="minorEastAsia" w:hAnsiTheme="minorEastAsia" w:eastAsiaTheme="minorEastAsia"/>
          <w:sz w:val="21"/>
          <w:szCs w:val="21"/>
        </w:rPr>
      </w:pPr>
      <w:r>
        <w:rPr>
          <w:rFonts w:cs="Arial" w:asciiTheme="minorEastAsia" w:hAnsiTheme="minorEastAsia" w:eastAsiaTheme="minorEastAsia"/>
          <w:sz w:val="21"/>
          <w:szCs w:val="21"/>
        </w:rPr>
      </w:r>
      <w:r/>
    </w:p>
    <w:p>
      <w:pPr>
        <w:ind w:left="53"/>
        <w:jc w:val="left"/>
        <w:spacing w:before="68" w:line="218" w:lineRule="auto"/>
        <w:rPr>
          <w:rFonts w:asciiTheme="minorEastAsia" w:hAnsiTheme="minorEastAsia" w:eastAsiaTheme="minorEastAsia"/>
          <w:sz w:val="21"/>
          <w:szCs w:val="21"/>
        </w:rPr>
      </w:pPr>
      <w:r>
        <w:rPr>
          <w:rFonts w:hint="eastAsia" w:asciiTheme="minorEastAsia" w:hAnsiTheme="minorEastAsia" w:eastAsiaTheme="minorEastAsia"/>
          <w:spacing w:val="6"/>
          <w:sz w:val="21"/>
          <w:szCs w:val="21"/>
        </w:rPr>
        <w:t xml:space="preserve">采购单位(公章):                                   </w:t>
      </w:r>
      <w:r>
        <w:rPr>
          <w:rFonts w:hint="eastAsia" w:asciiTheme="minorEastAsia" w:hAnsiTheme="minorEastAsia" w:eastAsiaTheme="minorEastAsia"/>
          <w:spacing w:val="6"/>
          <w:position w:val="3"/>
          <w:sz w:val="21"/>
          <w:szCs w:val="21"/>
        </w:rPr>
        <w:t xml:space="preserve">日 期</w:t>
      </w:r>
      <w:r>
        <w:rPr>
          <w:rFonts w:hint="eastAsia" w:asciiTheme="minorEastAsia" w:hAnsiTheme="minorEastAsia" w:eastAsiaTheme="minorEastAsia"/>
          <w:position w:val="3"/>
          <w:sz w:val="21"/>
          <w:szCs w:val="21"/>
        </w:rPr>
        <w:t xml:space="preserve"> </w:t>
      </w:r>
      <w:r>
        <w:rPr>
          <w:rFonts w:hint="eastAsia" w:asciiTheme="minorEastAsia" w:hAnsiTheme="minorEastAsia" w:eastAsiaTheme="minorEastAsia"/>
          <w:spacing w:val="6"/>
          <w:position w:val="3"/>
          <w:sz w:val="21"/>
          <w:szCs w:val="21"/>
        </w:rPr>
        <w:t xml:space="preserve">：</w:t>
      </w:r>
      <w:r/>
    </w:p>
    <w:p>
      <w:pPr>
        <w:ind w:left="0"/>
        <w:jc w:val="left"/>
        <w:spacing w:line="304"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left"/>
        <w:spacing w:line="304"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left"/>
        <w:spacing w:line="304"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83"/>
        <w:jc w:val="left"/>
        <w:spacing w:before="69" w:line="218" w:lineRule="auto"/>
        <w:rPr>
          <w:rFonts w:asciiTheme="minorEastAsia" w:hAnsiTheme="minorEastAsia" w:eastAsiaTheme="minorEastAsia"/>
          <w:spacing w:val="8"/>
          <w:position w:val="2"/>
          <w:sz w:val="21"/>
          <w:szCs w:val="21"/>
        </w:rPr>
      </w:pPr>
      <w:r>
        <w:rPr>
          <w:rFonts w:hint="eastAsia" w:asciiTheme="minorEastAsia" w:hAnsiTheme="minorEastAsia" w:eastAsiaTheme="minorEastAsia"/>
          <w:spacing w:val="9"/>
          <w:sz w:val="21"/>
          <w:szCs w:val="21"/>
        </w:rPr>
        <w:t xml:space="preserve">主管预算单位(公章):                        </w:t>
      </w:r>
      <w:r>
        <w:rPr>
          <w:rFonts w:hint="eastAsia" w:asciiTheme="minorEastAsia" w:hAnsiTheme="minorEastAsia" w:eastAsiaTheme="minorEastAsia"/>
          <w:spacing w:val="8"/>
          <w:sz w:val="21"/>
          <w:szCs w:val="21"/>
        </w:rPr>
        <w:t xml:space="preserve">      </w:t>
      </w:r>
      <w:r>
        <w:rPr>
          <w:rFonts w:hint="eastAsia" w:asciiTheme="minorEastAsia" w:hAnsiTheme="minorEastAsia" w:eastAsiaTheme="minorEastAsia"/>
          <w:spacing w:val="8"/>
          <w:position w:val="2"/>
          <w:sz w:val="21"/>
          <w:szCs w:val="21"/>
        </w:rPr>
        <w:t xml:space="preserve">日</w:t>
      </w:r>
      <w:r>
        <w:rPr>
          <w:rFonts w:hint="eastAsia" w:asciiTheme="minorEastAsia" w:hAnsiTheme="minorEastAsia" w:eastAsiaTheme="minorEastAsia"/>
          <w:spacing w:val="-9"/>
          <w:position w:val="2"/>
          <w:sz w:val="21"/>
          <w:szCs w:val="21"/>
        </w:rPr>
        <w:t xml:space="preserve"> </w:t>
      </w:r>
      <w:r>
        <w:rPr>
          <w:rFonts w:hint="eastAsia" w:asciiTheme="minorEastAsia" w:hAnsiTheme="minorEastAsia" w:eastAsiaTheme="minorEastAsia"/>
          <w:spacing w:val="8"/>
          <w:position w:val="2"/>
          <w:sz w:val="21"/>
          <w:szCs w:val="21"/>
        </w:rPr>
        <w:t xml:space="preserve">期</w:t>
      </w:r>
      <w:r>
        <w:rPr>
          <w:rFonts w:hint="eastAsia" w:asciiTheme="minorEastAsia" w:hAnsiTheme="minorEastAsia" w:eastAsiaTheme="minorEastAsia"/>
          <w:spacing w:val="-15"/>
          <w:position w:val="2"/>
          <w:sz w:val="21"/>
          <w:szCs w:val="21"/>
        </w:rPr>
        <w:t xml:space="preserve"> </w:t>
      </w:r>
      <w:r>
        <w:rPr>
          <w:rFonts w:hint="eastAsia" w:asciiTheme="minorEastAsia" w:hAnsiTheme="minorEastAsia" w:eastAsiaTheme="minorEastAsia"/>
          <w:spacing w:val="8"/>
          <w:position w:val="2"/>
          <w:sz w:val="21"/>
          <w:szCs w:val="21"/>
        </w:rPr>
        <w:t xml:space="preserve">：</w:t>
      </w:r>
      <w:r/>
    </w:p>
    <w:p>
      <w:pPr>
        <w:pStyle w:val="861"/>
      </w:pPr>
      <w:r/>
      <w:r/>
    </w:p>
    <w:p>
      <w:pPr>
        <w:ind w:left="0"/>
        <w:jc w:val="left"/>
        <w:spacing w:line="360" w:lineRule="auto"/>
        <w:rPr>
          <w:rFonts w:cs="Arial" w:asciiTheme="minorEastAsia" w:hAnsiTheme="minorEastAsia" w:eastAsiaTheme="minorEastAsia"/>
          <w:b/>
          <w:sz w:val="21"/>
          <w:szCs w:val="21"/>
        </w:rPr>
        <w:outlineLvl w:val="0"/>
      </w:pPr>
      <w:r/>
      <w:bookmarkStart w:id="120" w:name="_Hlk86235869"/>
      <w:r>
        <w:rPr>
          <w:rFonts w:hint="eastAsia" w:cs="Arial" w:asciiTheme="minorEastAsia" w:hAnsiTheme="minorEastAsia" w:eastAsiaTheme="minorEastAsia"/>
          <w:b/>
          <w:sz w:val="21"/>
          <w:szCs w:val="21"/>
        </w:rPr>
        <w:t xml:space="preserve">附件：</w:t>
      </w:r>
      <w:r/>
    </w:p>
    <w:p>
      <w:pPr>
        <w:ind w:left="0"/>
        <w:jc w:val="center"/>
        <w:spacing w:line="360" w:lineRule="auto"/>
        <w:rPr>
          <w:rFonts w:cs="Arial" w:asciiTheme="minorEastAsia" w:hAnsiTheme="minorEastAsia" w:eastAsiaTheme="minorEastAsia"/>
          <w:b/>
          <w:sz w:val="21"/>
          <w:szCs w:val="21"/>
        </w:rPr>
        <w:outlineLvl w:val="0"/>
      </w:pPr>
      <w:r>
        <w:rPr>
          <w:rFonts w:hint="eastAsia" w:cs="微软雅黑" w:asciiTheme="minorEastAsia" w:hAnsiTheme="minorEastAsia" w:eastAsiaTheme="minorEastAsia"/>
          <w:b/>
          <w:sz w:val="21"/>
          <w:szCs w:val="21"/>
        </w:rPr>
        <w:t xml:space="preserve">考</w:t>
      </w:r>
      <w:r>
        <w:rPr>
          <w:rFonts w:asciiTheme="minorEastAsia" w:hAnsiTheme="minorEastAsia" w:eastAsiaTheme="minorEastAsia"/>
          <w:b/>
          <w:sz w:val="21"/>
          <w:szCs w:val="21"/>
        </w:rPr>
        <w:t xml:space="preserve">核</w:t>
      </w:r>
      <w:bookmarkEnd w:id="120"/>
      <w:r>
        <w:rPr>
          <w:rFonts w:hint="eastAsia" w:cs="微软雅黑" w:asciiTheme="minorEastAsia" w:hAnsiTheme="minorEastAsia" w:eastAsiaTheme="minorEastAsia"/>
          <w:b/>
          <w:sz w:val="21"/>
          <w:szCs w:val="21"/>
        </w:rPr>
        <w:t xml:space="preserve">标</w:t>
      </w:r>
      <w:r>
        <w:rPr>
          <w:rFonts w:asciiTheme="minorEastAsia" w:hAnsiTheme="minorEastAsia" w:eastAsiaTheme="minorEastAsia"/>
          <w:b/>
          <w:sz w:val="21"/>
          <w:szCs w:val="21"/>
        </w:rPr>
        <w:t xml:space="preserve">准</w:t>
      </w:r>
      <w:r/>
    </w:p>
    <w:p>
      <w:pPr>
        <w:ind w:left="0" w:firstLine="422"/>
        <w:jc w:val="left"/>
        <w:spacing w:line="360" w:lineRule="auto"/>
        <w:tabs>
          <w:tab w:val="left" w:pos="420" w:leader="none"/>
        </w:tabs>
        <w:rPr>
          <w:rFonts w:cs="Arial" w:asciiTheme="minorEastAsia" w:hAnsiTheme="minorEastAsia" w:eastAsiaTheme="minorEastAsia"/>
          <w:b/>
          <w:sz w:val="21"/>
          <w:szCs w:val="21"/>
        </w:rPr>
      </w:pPr>
      <w:r>
        <w:rPr>
          <w:rFonts w:hint="eastAsia" w:asciiTheme="minorEastAsia" w:hAnsiTheme="minorEastAsia" w:eastAsiaTheme="minorEastAsia"/>
          <w:b/>
          <w:sz w:val="21"/>
          <w:szCs w:val="21"/>
        </w:rPr>
        <w:t xml:space="preserve">一、维护质态考</w:t>
      </w:r>
      <w:r>
        <w:rPr>
          <w:rFonts w:asciiTheme="minorEastAsia" w:hAnsiTheme="minorEastAsia" w:eastAsiaTheme="minorEastAsia"/>
          <w:b/>
          <w:sz w:val="21"/>
          <w:szCs w:val="21"/>
        </w:rPr>
        <w:t xml:space="preserve">评</w:t>
      </w:r>
      <w:r/>
    </w:p>
    <w:p>
      <w:pPr>
        <w:ind w:left="0" w:firstLine="420"/>
        <w:jc w:val="left"/>
        <w:spacing w:line="360" w:lineRule="auto"/>
        <w:tabs>
          <w:tab w:val="left" w:pos="420" w:leader="none"/>
        </w:tabs>
        <w:rPr>
          <w:rFonts w:cs="Arial" w:asciiTheme="minorEastAsia" w:hAnsiTheme="minorEastAsia" w:eastAsiaTheme="minorEastAsia"/>
          <w:sz w:val="21"/>
          <w:szCs w:val="21"/>
        </w:rPr>
      </w:pPr>
      <w:r/>
      <w:bookmarkStart w:id="121" w:name="_Hlk68766032"/>
      <w:r/>
      <w:bookmarkStart w:id="122" w:name="_Toc71379059"/>
      <w:r>
        <w:rPr>
          <w:rFonts w:cs="Arial" w:asciiTheme="minorEastAsia" w:hAnsiTheme="minorEastAsia" w:eastAsiaTheme="minorEastAsia"/>
          <w:sz w:val="21"/>
          <w:szCs w:val="21"/>
        </w:rPr>
        <w:t xml:space="preserve">维护单位应认真履行维护义务，未按要求完成维护工作的，姑苏分局将对以下具体事项进行扣分（该扣分项对应维护考核得分中的“通用扣分值”），具体如下：</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、维护单位应及时完善设备基础信息台账并提供有效设备统计数据，经省厅、市局通报未及时完善设备信息的，每套设备扣</w:t>
      </w:r>
      <w:r>
        <w:rPr>
          <w:rFonts w:hint="eastAsia" w:cs="Arial" w:asciiTheme="minorEastAsia" w:hAnsiTheme="minorEastAsia" w:eastAsiaTheme="minorEastAsia"/>
          <w:sz w:val="21"/>
          <w:szCs w:val="21"/>
        </w:rPr>
        <w:t xml:space="preserve">0.01</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、维护单位因施工不规范或未及时报备等情况，导致维护车辆、维护工具、证件等被相关单位扣留，致使设备未及时修复的，每发生一起扣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、因维护质量、效率等引起的民意，维护单位应对民意内容进行核实。如确认有效但未及时处理的，每发生一起扣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、维护单位需提供维护工作人员的考勤和请销假记录表，并加盖维护单位公章。如未提供或发现无故缺勤的，每次扣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5</w:t>
      </w:r>
      <w:r>
        <w:rPr>
          <w:rFonts w:cs="Arial" w:asciiTheme="minorEastAsia" w:hAnsiTheme="minorEastAsia" w:eastAsiaTheme="minorEastAsia"/>
          <w:sz w:val="21"/>
          <w:szCs w:val="21"/>
        </w:rPr>
        <w:t xml:space="preserve">、维护工作人员和需连入视频网的维护电脑及移动存储设备需按规定进行报备。未按规定进行报备备案的，每发现一起扣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6</w:t>
      </w:r>
      <w:r>
        <w:rPr>
          <w:rFonts w:cs="Arial" w:asciiTheme="minorEastAsia" w:hAnsiTheme="minorEastAsia" w:eastAsiaTheme="minorEastAsia"/>
          <w:sz w:val="21"/>
          <w:szCs w:val="21"/>
        </w:rPr>
        <w:t xml:space="preserve">、设备维护响应率应高于</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≤维修响应率＜</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0.1</w:t>
      </w:r>
      <w:r>
        <w:rPr>
          <w:rFonts w:cs="Arial" w:asciiTheme="minorEastAsia" w:hAnsiTheme="minorEastAsia" w:eastAsiaTheme="minorEastAsia"/>
          <w:sz w:val="21"/>
          <w:szCs w:val="21"/>
        </w:rPr>
        <w:t xml:space="preserve">分；</w:t>
      </w: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≤维修响应率＜</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0.3</w:t>
      </w:r>
      <w:r>
        <w:rPr>
          <w:rFonts w:cs="Arial" w:asciiTheme="minorEastAsia" w:hAnsiTheme="minorEastAsia" w:eastAsiaTheme="minorEastAsia"/>
          <w:sz w:val="21"/>
          <w:szCs w:val="21"/>
        </w:rPr>
        <w:t xml:space="preserve">分；维修响应率＜</w:t>
      </w: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分。（维护响应率</w:t>
      </w:r>
      <w:r>
        <w:rPr>
          <w:rFonts w:hint="eastAsia" w:cs="Arial" w:asciiTheme="minorEastAsia" w:hAnsiTheme="minorEastAsia" w:eastAsiaTheme="minorEastAsia"/>
          <w:sz w:val="21"/>
          <w:szCs w:val="21"/>
        </w:rPr>
        <w:t xml:space="preserve">= </w:t>
      </w:r>
      <w:r>
        <w:rPr>
          <w:rFonts w:cs="Arial" w:asciiTheme="minorEastAsia" w:hAnsiTheme="minorEastAsia" w:eastAsiaTheme="minorEastAsia"/>
          <w:sz w:val="21"/>
          <w:szCs w:val="21"/>
        </w:rPr>
        <w:t xml:space="preserve">报修响应数量</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故障报修总量</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7</w:t>
      </w:r>
      <w:r>
        <w:rPr>
          <w:rFonts w:cs="Arial" w:asciiTheme="minorEastAsia" w:hAnsiTheme="minorEastAsia" w:eastAsiaTheme="minorEastAsia"/>
          <w:sz w:val="21"/>
          <w:szCs w:val="21"/>
        </w:rPr>
        <w:t xml:space="preserve">、设备重复故障率应不超过</w:t>
      </w: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＜重复故障率≤</w:t>
      </w:r>
      <w:r>
        <w:rPr>
          <w:rFonts w:hint="eastAsia" w:cs="Arial" w:asciiTheme="minorEastAsia" w:hAnsiTheme="minorEastAsia" w:eastAsiaTheme="minorEastAsia"/>
          <w:sz w:val="21"/>
          <w:szCs w:val="21"/>
        </w:rPr>
        <w:t xml:space="preserve">20%</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0.1</w:t>
      </w:r>
      <w:r>
        <w:rPr>
          <w:rFonts w:cs="Arial" w:asciiTheme="minorEastAsia" w:hAnsiTheme="minorEastAsia" w:eastAsiaTheme="minorEastAsia"/>
          <w:sz w:val="21"/>
          <w:szCs w:val="21"/>
        </w:rPr>
        <w:t xml:space="preserve">分；</w:t>
      </w:r>
      <w:r>
        <w:rPr>
          <w:rFonts w:hint="eastAsia" w:cs="Arial" w:asciiTheme="minorEastAsia" w:hAnsiTheme="minorEastAsia" w:eastAsiaTheme="minorEastAsia"/>
          <w:sz w:val="21"/>
          <w:szCs w:val="21"/>
        </w:rPr>
        <w:t xml:space="preserve">20%</w:t>
      </w:r>
      <w:r>
        <w:rPr>
          <w:rFonts w:cs="Arial" w:asciiTheme="minorEastAsia" w:hAnsiTheme="minorEastAsia" w:eastAsiaTheme="minorEastAsia"/>
          <w:sz w:val="21"/>
          <w:szCs w:val="21"/>
        </w:rPr>
        <w:t xml:space="preserve">＜重复故障率≤</w:t>
      </w:r>
      <w:r>
        <w:rPr>
          <w:rFonts w:hint="eastAsia" w:cs="Arial" w:asciiTheme="minorEastAsia" w:hAnsiTheme="minorEastAsia" w:eastAsiaTheme="minorEastAsia"/>
          <w:sz w:val="21"/>
          <w:szCs w:val="21"/>
        </w:rPr>
        <w:t xml:space="preserve">30%</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0.3</w:t>
      </w:r>
      <w:r>
        <w:rPr>
          <w:rFonts w:cs="Arial" w:asciiTheme="minorEastAsia" w:hAnsiTheme="minorEastAsia" w:eastAsiaTheme="minorEastAsia"/>
          <w:sz w:val="21"/>
          <w:szCs w:val="21"/>
        </w:rPr>
        <w:t xml:space="preserve">分；重复故障率＞</w:t>
      </w:r>
      <w:r>
        <w:rPr>
          <w:rFonts w:hint="eastAsia" w:cs="Arial" w:asciiTheme="minorEastAsia" w:hAnsiTheme="minorEastAsia" w:eastAsiaTheme="minorEastAsia"/>
          <w:sz w:val="21"/>
          <w:szCs w:val="21"/>
        </w:rPr>
        <w:t xml:space="preserve">30%</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重复故障率</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当月出现同类型故障（大于</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次）的设备数量</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故障设备数量</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（因平台故障、运营商网络不稳定等非设备本身原因导致的多次误报的，不计算在内）。</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8</w:t>
      </w:r>
      <w:r>
        <w:rPr>
          <w:rFonts w:cs="Arial" w:asciiTheme="minorEastAsia" w:hAnsiTheme="minorEastAsia" w:eastAsiaTheme="minorEastAsia"/>
          <w:sz w:val="21"/>
          <w:szCs w:val="21"/>
        </w:rPr>
        <w:t xml:space="preserve">、因道路施工、市政工程造成的设备拆除，在具备恢复条件后，应在接到姑苏分局通知后</w:t>
      </w:r>
      <w:r>
        <w:rPr>
          <w:rFonts w:hint="eastAsia" w:cs="Arial" w:asciiTheme="minorEastAsia" w:hAnsiTheme="minorEastAsia" w:eastAsiaTheme="minorEastAsia"/>
          <w:sz w:val="21"/>
          <w:szCs w:val="21"/>
        </w:rPr>
        <w:t xml:space="preserve">15</w:t>
      </w:r>
      <w:r>
        <w:rPr>
          <w:rFonts w:cs="Arial" w:asciiTheme="minorEastAsia" w:hAnsiTheme="minorEastAsia" w:eastAsiaTheme="minorEastAsia"/>
          <w:sz w:val="21"/>
          <w:szCs w:val="21"/>
        </w:rPr>
        <w:t xml:space="preserve">日内恢复安装，未在规定时间内恢复安装的，每发现一起扣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w:t>
      </w:r>
      <w:r>
        <w:rPr>
          <w:rFonts w:cs="Arial" w:asciiTheme="minorEastAsia" w:hAnsiTheme="minorEastAsia" w:eastAsiaTheme="minorEastAsia"/>
          <w:sz w:val="21"/>
          <w:szCs w:val="21"/>
        </w:rPr>
        <w:t xml:space="preserve">、维护单位对暂停可恢复设备存在看管责任，设备因看管不当而丢失的，每丢失</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套设备扣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发生安全生产和网络信息安全事故，被上级单位通报的，每发生一</w:t>
      </w:r>
      <w:r>
        <w:rPr>
          <w:rFonts w:asciiTheme="minorEastAsia" w:hAnsiTheme="minorEastAsia" w:eastAsiaTheme="minorEastAsia"/>
          <w:b/>
          <w:sz w:val="21"/>
          <w:szCs w:val="21"/>
        </w:rPr>
        <w:t xml:space="preserve">次扣</w:t>
      </w:r>
      <w:r>
        <w:rPr>
          <w:rFonts w:hint="eastAsia" w:cs="Arial" w:asciiTheme="minorEastAsia" w:hAnsiTheme="minorEastAsia" w:eastAsiaTheme="minorEastAsia"/>
          <w:b/>
          <w:sz w:val="21"/>
          <w:szCs w:val="21"/>
        </w:rPr>
        <w:t xml:space="preserve">20</w:t>
      </w:r>
      <w:r>
        <w:rPr>
          <w:rFonts w:asciiTheme="minorEastAsia" w:hAnsiTheme="minorEastAsia" w:eastAsiaTheme="minorEastAsia"/>
          <w:b/>
          <w:sz w:val="21"/>
          <w:szCs w:val="21"/>
        </w:rPr>
        <w:t xml:space="preserve">分；</w:t>
      </w:r>
      <w:r>
        <w:rPr>
          <w:rFonts w:cs="Arial" w:asciiTheme="minorEastAsia" w:hAnsiTheme="minorEastAsia" w:eastAsiaTheme="minorEastAsia"/>
          <w:sz w:val="21"/>
          <w:szCs w:val="21"/>
        </w:rPr>
        <w:t xml:space="preserve">造成严重后果及恶劣影响的，当月考核得分清零，并追究维护单位和相关人员责任。</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11</w:t>
      </w:r>
      <w:r>
        <w:rPr>
          <w:rFonts w:cs="Arial" w:asciiTheme="minorEastAsia" w:hAnsiTheme="minorEastAsia" w:eastAsiaTheme="minorEastAsia"/>
          <w:sz w:val="21"/>
          <w:szCs w:val="21"/>
        </w:rPr>
        <w:t xml:space="preserve">、前端治安监控项目质保期到期后，提交资料及设备功能经姑苏分局确认后，维护单位仍不予接收的，每个项目扣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12</w:t>
      </w:r>
      <w:r>
        <w:rPr>
          <w:rFonts w:cs="Arial" w:asciiTheme="minorEastAsia" w:hAnsiTheme="minorEastAsia" w:eastAsiaTheme="minorEastAsia"/>
          <w:sz w:val="21"/>
          <w:szCs w:val="21"/>
        </w:rPr>
        <w:t xml:space="preserve">、维护单位有义务维护合同内前端监控设备的基础信息，确保设备编号（</w:t>
      </w:r>
      <w:r>
        <w:rPr>
          <w:rFonts w:hint="eastAsia" w:cs="Arial" w:asciiTheme="minorEastAsia" w:hAnsiTheme="minorEastAsia" w:eastAsiaTheme="minorEastAsia"/>
          <w:sz w:val="21"/>
          <w:szCs w:val="21"/>
        </w:rPr>
        <w:t xml:space="preserve">18 </w:t>
      </w:r>
      <w:r>
        <w:rPr>
          <w:rFonts w:cs="Arial" w:asciiTheme="minorEastAsia" w:hAnsiTheme="minorEastAsia" w:eastAsiaTheme="minorEastAsia"/>
          <w:sz w:val="21"/>
          <w:szCs w:val="21"/>
        </w:rPr>
        <w:t xml:space="preserve">位）及设备名称等关键信息与报备案表一致，并与苏州市感知网资产信息管理系统（一机一档）内编号（</w:t>
      </w:r>
      <w:r>
        <w:rPr>
          <w:rFonts w:hint="eastAsia" w:cs="Arial" w:asciiTheme="minorEastAsia" w:hAnsiTheme="minorEastAsia" w:eastAsiaTheme="minorEastAsia"/>
          <w:sz w:val="21"/>
          <w:szCs w:val="21"/>
        </w:rPr>
        <w:t xml:space="preserve">20 </w:t>
      </w:r>
      <w:r>
        <w:rPr>
          <w:rFonts w:cs="Arial" w:asciiTheme="minorEastAsia" w:hAnsiTheme="minorEastAsia" w:eastAsiaTheme="minorEastAsia"/>
          <w:sz w:val="21"/>
          <w:szCs w:val="21"/>
        </w:rPr>
        <w:t xml:space="preserve">位）及经纬度等关键信息相一致。分局每月至少一次抽查，信息准确率需达到</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以上，每低于一个百分点扣</w:t>
      </w:r>
      <w:r>
        <w:rPr>
          <w:rFonts w:hint="eastAsia" w:cs="Arial" w:asciiTheme="minorEastAsia" w:hAnsiTheme="minorEastAsia" w:eastAsiaTheme="minorEastAsia"/>
          <w:sz w:val="21"/>
          <w:szCs w:val="21"/>
        </w:rPr>
        <w:t xml:space="preserve">0.5 </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13</w:t>
      </w:r>
      <w:r>
        <w:rPr>
          <w:rFonts w:cs="Arial" w:asciiTheme="minorEastAsia" w:hAnsiTheme="minorEastAsia" w:eastAsiaTheme="minorEastAsia"/>
          <w:sz w:val="21"/>
          <w:szCs w:val="21"/>
        </w:rPr>
        <w:t xml:space="preserve">、维护单位应全面掌握姑苏区全量监控点位情况，每月至少更新一次台账资料。资料不清、掌握不全的，每发现一次扣</w:t>
      </w:r>
      <w:r>
        <w:rPr>
          <w:rFonts w:hint="eastAsia" w:cs="Arial" w:asciiTheme="minorEastAsia" w:hAnsiTheme="minorEastAsia" w:eastAsiaTheme="minorEastAsia"/>
          <w:sz w:val="21"/>
          <w:szCs w:val="21"/>
        </w:rPr>
        <w:t xml:space="preserve">0.5 </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维护单位应安排不少于</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名工程师，在工作日、节假日</w:t>
      </w:r>
      <w:r>
        <w:rPr>
          <w:rFonts w:hint="eastAsia" w:cs="Arial" w:asciiTheme="minorEastAsia" w:hAnsiTheme="minorEastAsia" w:eastAsiaTheme="minorEastAsia"/>
          <w:sz w:val="21"/>
          <w:szCs w:val="21"/>
        </w:rPr>
        <w:t xml:space="preserve"> 7:00-20:00</w:t>
      </w:r>
      <w:r>
        <w:rPr>
          <w:rFonts w:cs="Arial" w:asciiTheme="minorEastAsia" w:hAnsiTheme="minorEastAsia" w:eastAsiaTheme="minorEastAsia"/>
          <w:sz w:val="21"/>
          <w:szCs w:val="21"/>
        </w:rPr>
        <w:t xml:space="preserve">、周末</w:t>
      </w:r>
      <w:r>
        <w:rPr>
          <w:rFonts w:hint="eastAsia" w:cs="Arial" w:asciiTheme="minorEastAsia" w:hAnsiTheme="minorEastAsia" w:eastAsiaTheme="minorEastAsia"/>
          <w:sz w:val="21"/>
          <w:szCs w:val="21"/>
        </w:rPr>
        <w:t xml:space="preserve"> 8:00-20:00 </w:t>
      </w:r>
      <w:r>
        <w:rPr>
          <w:rFonts w:cs="Arial" w:asciiTheme="minorEastAsia" w:hAnsiTheme="minorEastAsia" w:eastAsiaTheme="minorEastAsia"/>
          <w:sz w:val="21"/>
          <w:szCs w:val="21"/>
        </w:rPr>
        <w:t xml:space="preserve">配合分局指挥中心监测设备运行，形成日报、月报。工作敷衍、脱岗、不执行增派人员或延长服务要求的，每发现一次扣</w:t>
      </w:r>
      <w:r>
        <w:rPr>
          <w:rFonts w:hint="eastAsia" w:cs="Arial" w:asciiTheme="minorEastAsia" w:hAnsiTheme="minorEastAsia" w:eastAsiaTheme="minorEastAsia"/>
          <w:sz w:val="21"/>
          <w:szCs w:val="21"/>
        </w:rPr>
        <w:t xml:space="preserve">1 </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14</w:t>
      </w:r>
      <w:r>
        <w:rPr>
          <w:rFonts w:cs="Arial" w:asciiTheme="minorEastAsia" w:hAnsiTheme="minorEastAsia" w:eastAsiaTheme="minorEastAsia"/>
          <w:sz w:val="21"/>
          <w:szCs w:val="21"/>
        </w:rPr>
        <w:t xml:space="preserve">、维护单位应配合分局对新建</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改造监控工程项目进行方案、图纸核对，按“四同步一统一”</w:t>
      </w:r>
      <w:r>
        <w:rPr>
          <w:rFonts w:hint="eastAsia" w:cs="Arial" w:asciiTheme="minorEastAsia" w:hAnsiTheme="minorEastAsia" w:eastAsiaTheme="minorEastAsia"/>
          <w:sz w:val="21"/>
          <w:szCs w:val="21"/>
        </w:rPr>
        <w:t xml:space="preserve"> </w:t>
      </w:r>
      <w:r>
        <w:rPr>
          <w:rFonts w:cs="Arial" w:asciiTheme="minorEastAsia" w:hAnsiTheme="minorEastAsia" w:eastAsiaTheme="minorEastAsia"/>
          <w:sz w:val="21"/>
          <w:szCs w:val="21"/>
        </w:rPr>
        <w:t xml:space="preserve">要求，</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个工作日内完成图纸审核，每逾期</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日扣</w:t>
      </w:r>
      <w:r>
        <w:rPr>
          <w:rFonts w:hint="eastAsia" w:cs="Arial" w:asciiTheme="minorEastAsia" w:hAnsiTheme="minorEastAsia" w:eastAsiaTheme="minorEastAsia"/>
          <w:sz w:val="21"/>
          <w:szCs w:val="21"/>
        </w:rPr>
        <w:t xml:space="preserve">0.5 </w:t>
      </w:r>
      <w:r>
        <w:rPr>
          <w:rFonts w:cs="Arial" w:asciiTheme="minorEastAsia" w:hAnsiTheme="minorEastAsia" w:eastAsiaTheme="minorEastAsia"/>
          <w:sz w:val="21"/>
          <w:szCs w:val="21"/>
        </w:rPr>
        <w:t xml:space="preserve">分；设计要求与现行公安要求明显冲突未审核出的，每发现一次扣</w:t>
      </w:r>
      <w:r>
        <w:rPr>
          <w:rFonts w:hint="eastAsia" w:cs="Arial" w:asciiTheme="minorEastAsia" w:hAnsiTheme="minorEastAsia" w:eastAsiaTheme="minorEastAsia"/>
          <w:sz w:val="21"/>
          <w:szCs w:val="21"/>
        </w:rPr>
        <w:t xml:space="preserve">0.5 </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15</w:t>
      </w:r>
      <w:r>
        <w:rPr>
          <w:rFonts w:cs="Arial" w:asciiTheme="minorEastAsia" w:hAnsiTheme="minorEastAsia" w:eastAsiaTheme="minorEastAsia"/>
          <w:sz w:val="21"/>
          <w:szCs w:val="21"/>
        </w:rPr>
        <w:t xml:space="preserve">、维护单位应保证设备报备及时性，在对接单位提交后</w:t>
      </w:r>
      <w:r>
        <w:rPr>
          <w:rFonts w:hint="eastAsia" w:cs="Arial" w:asciiTheme="minorEastAsia" w:hAnsiTheme="minorEastAsia" w:eastAsiaTheme="minorEastAsia"/>
          <w:sz w:val="21"/>
          <w:szCs w:val="21"/>
        </w:rPr>
        <w:t xml:space="preserve">3 </w:t>
      </w:r>
      <w:r>
        <w:rPr>
          <w:rFonts w:cs="Arial" w:asciiTheme="minorEastAsia" w:hAnsiTheme="minorEastAsia" w:eastAsiaTheme="minorEastAsia"/>
          <w:sz w:val="21"/>
          <w:szCs w:val="21"/>
        </w:rPr>
        <w:t xml:space="preserve">个工作日内完成报备，每延迟</w:t>
      </w:r>
      <w:r>
        <w:rPr>
          <w:rFonts w:hint="eastAsia" w:cs="Arial" w:asciiTheme="minorEastAsia" w:hAnsiTheme="minorEastAsia" w:eastAsiaTheme="minorEastAsia"/>
          <w:sz w:val="21"/>
          <w:szCs w:val="21"/>
        </w:rPr>
        <w:t xml:space="preserve"> 1 </w:t>
      </w:r>
      <w:r>
        <w:rPr>
          <w:rFonts w:cs="Arial" w:asciiTheme="minorEastAsia" w:hAnsiTheme="minorEastAsia" w:eastAsiaTheme="minorEastAsia"/>
          <w:sz w:val="21"/>
          <w:szCs w:val="21"/>
        </w:rPr>
        <w:t xml:space="preserve">个工作日扣</w:t>
      </w:r>
      <w:r>
        <w:rPr>
          <w:rFonts w:hint="eastAsia" w:cs="Arial" w:asciiTheme="minorEastAsia" w:hAnsiTheme="minorEastAsia" w:eastAsiaTheme="minorEastAsia"/>
          <w:sz w:val="21"/>
          <w:szCs w:val="21"/>
        </w:rPr>
        <w:t xml:space="preserve"> 0.5 </w:t>
      </w:r>
      <w:r>
        <w:rPr>
          <w:rFonts w:cs="Arial" w:asciiTheme="minorEastAsia" w:hAnsiTheme="minorEastAsia" w:eastAsiaTheme="minorEastAsia"/>
          <w:sz w:val="21"/>
          <w:szCs w:val="21"/>
        </w:rPr>
        <w:t xml:space="preserve">分；设备报备及接入平台信息错误的，每有一套扣</w:t>
      </w:r>
      <w:r>
        <w:rPr>
          <w:rFonts w:hint="eastAsia" w:cs="Arial" w:asciiTheme="minorEastAsia" w:hAnsiTheme="minorEastAsia" w:eastAsiaTheme="minorEastAsia"/>
          <w:sz w:val="21"/>
          <w:szCs w:val="21"/>
        </w:rPr>
        <w:t xml:space="preserve">0.2 </w:t>
      </w:r>
      <w:r>
        <w:rPr>
          <w:rFonts w:cs="Arial" w:asciiTheme="minorEastAsia" w:hAnsiTheme="minorEastAsia" w:eastAsiaTheme="minorEastAsia"/>
          <w:sz w:val="21"/>
          <w:szCs w:val="21"/>
        </w:rPr>
        <w:t xml:space="preserve">分。</w:t>
      </w:r>
      <w:r/>
    </w:p>
    <w:p>
      <w:pPr>
        <w:ind w:left="0" w:firstLine="422"/>
        <w:jc w:val="left"/>
        <w:spacing w:line="360" w:lineRule="auto"/>
        <w:tabs>
          <w:tab w:val="left" w:pos="420" w:leader="none"/>
        </w:tabs>
        <w:rPr>
          <w:rFonts w:cs="Arial" w:asciiTheme="minorEastAsia" w:hAnsiTheme="minorEastAsia" w:eastAsiaTheme="minorEastAsia"/>
          <w:b/>
          <w:sz w:val="21"/>
          <w:szCs w:val="21"/>
        </w:rPr>
      </w:pPr>
      <w:r>
        <w:rPr>
          <w:rFonts w:hint="eastAsia" w:asciiTheme="minorEastAsia" w:hAnsiTheme="minorEastAsia" w:eastAsiaTheme="minorEastAsia"/>
          <w:b/>
          <w:sz w:val="21"/>
          <w:szCs w:val="21"/>
        </w:rPr>
        <w:t xml:space="preserve">二</w:t>
      </w:r>
      <w:r>
        <w:rPr>
          <w:rFonts w:asciiTheme="minorEastAsia" w:hAnsiTheme="minorEastAsia" w:eastAsiaTheme="minorEastAsia"/>
          <w:b/>
          <w:sz w:val="21"/>
          <w:szCs w:val="21"/>
        </w:rPr>
        <w:t xml:space="preserve">、</w:t>
      </w:r>
      <w:bookmarkEnd w:id="121"/>
      <w:r/>
      <w:bookmarkEnd w:id="122"/>
      <w:r>
        <w:rPr>
          <w:rFonts w:hint="eastAsia" w:asciiTheme="minorEastAsia" w:hAnsiTheme="minorEastAsia" w:eastAsiaTheme="minorEastAsia"/>
          <w:b/>
          <w:sz w:val="21"/>
          <w:szCs w:val="21"/>
        </w:rPr>
        <w:t xml:space="preserve">维护预算及考核制</w:t>
      </w:r>
      <w:r>
        <w:rPr>
          <w:rFonts w:asciiTheme="minorEastAsia" w:hAnsiTheme="minorEastAsia" w:eastAsiaTheme="minorEastAsia"/>
          <w:b/>
          <w:sz w:val="21"/>
          <w:szCs w:val="21"/>
        </w:rPr>
        <w:t xml:space="preserve">度</w:t>
      </w:r>
      <w:r/>
    </w:p>
    <w:p>
      <w:pPr>
        <w:ind w:left="0" w:firstLine="422"/>
        <w:jc w:val="left"/>
        <w:spacing w:line="360" w:lineRule="auto"/>
        <w:tabs>
          <w:tab w:val="left" w:pos="420" w:leader="none"/>
        </w:tabs>
        <w:rPr>
          <w:rFonts w:cs="Arial" w:asciiTheme="minorEastAsia" w:hAnsiTheme="minorEastAsia" w:eastAsiaTheme="minorEastAsia"/>
          <w:b/>
          <w:sz w:val="21"/>
          <w:szCs w:val="21"/>
        </w:rPr>
      </w:pPr>
      <w:r/>
      <w:bookmarkStart w:id="123" w:name="_Toc112884553"/>
      <w:r>
        <w:rPr>
          <w:rFonts w:hint="eastAsia" w:cs="Arial" w:asciiTheme="minorEastAsia" w:hAnsiTheme="minorEastAsia" w:eastAsiaTheme="minorEastAsia"/>
          <w:b/>
          <w:sz w:val="21"/>
          <w:szCs w:val="21"/>
        </w:rPr>
        <w:t xml:space="preserve">2.1</w:t>
      </w:r>
      <w:r>
        <w:rPr>
          <w:rFonts w:hint="eastAsia" w:asciiTheme="minorEastAsia" w:hAnsiTheme="minorEastAsia" w:eastAsiaTheme="minorEastAsia"/>
          <w:b/>
          <w:sz w:val="21"/>
          <w:szCs w:val="21"/>
        </w:rPr>
        <w:t xml:space="preserve">考核方</w:t>
      </w:r>
      <w:r>
        <w:rPr>
          <w:rFonts w:asciiTheme="minorEastAsia" w:hAnsiTheme="minorEastAsia" w:eastAsiaTheme="minorEastAsia"/>
          <w:b/>
          <w:sz w:val="21"/>
          <w:szCs w:val="21"/>
        </w:rPr>
        <w:t xml:space="preserve">式</w:t>
      </w:r>
      <w:bookmarkEnd w:id="123"/>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项目中视频前端设备、前端杆件、后端平台等设备的维护工作采用达标制考核，每月度进行考核，以达到每类型设备设定的设备完好率作为基础得分（</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分），并对各类型设备的维护工作质态进行扣分，最终形成本类型设备的综合得分。扣分项包含</w:t>
      </w:r>
      <w:r>
        <w:rPr>
          <w:rFonts w:hint="eastAsia" w:cs="Arial" w:asciiTheme="minorEastAsia" w:hAnsiTheme="minorEastAsia" w:eastAsiaTheme="minorEastAsia"/>
          <w:sz w:val="21"/>
          <w:szCs w:val="21"/>
        </w:rPr>
        <w:t xml:space="preserve"> </w:t>
      </w:r>
      <w:r>
        <w:rPr>
          <w:rFonts w:cs="Arial" w:asciiTheme="minorEastAsia" w:hAnsiTheme="minorEastAsia" w:eastAsiaTheme="minorEastAsia"/>
          <w:sz w:val="21"/>
          <w:szCs w:val="21"/>
        </w:rPr>
        <w:t xml:space="preserve">“通用扣分值”和以下章节中的“特定扣分值”。通用扣分值</w:t>
      </w:r>
      <w:r>
        <w:rPr>
          <w:rFonts w:hint="eastAsia" w:cs="Arial" w:asciiTheme="minorEastAsia" w:hAnsiTheme="minorEastAsia" w:eastAsiaTheme="minorEastAsia"/>
          <w:sz w:val="21"/>
          <w:szCs w:val="21"/>
        </w:rPr>
        <w:t xml:space="preserve">K</w:t>
      </w:r>
      <w:r>
        <w:rPr>
          <w:rFonts w:cs="Arial" w:asciiTheme="minorEastAsia" w:hAnsiTheme="minorEastAsia" w:eastAsiaTheme="minorEastAsia"/>
          <w:sz w:val="21"/>
          <w:szCs w:val="21"/>
        </w:rPr>
        <w:t xml:space="preserve">与整体设备维护费用相挂钩，在用设备特定扣分值</w:t>
      </w:r>
      <w:r>
        <w:rPr>
          <w:rFonts w:hint="eastAsia" w:cs="Arial" w:asciiTheme="minorEastAsia" w:hAnsiTheme="minorEastAsia" w:eastAsiaTheme="minorEastAsia"/>
          <w:sz w:val="21"/>
          <w:szCs w:val="21"/>
        </w:rPr>
        <w:t xml:space="preserve">D</w:t>
      </w:r>
      <w:r>
        <w:rPr>
          <w:rFonts w:cs="Arial" w:asciiTheme="minorEastAsia" w:hAnsiTheme="minorEastAsia" w:eastAsiaTheme="minorEastAsia"/>
          <w:sz w:val="21"/>
          <w:szCs w:val="21"/>
        </w:rPr>
        <w:t xml:space="preserve">和暂停可恢复设备特定扣分值</w:t>
      </w:r>
      <w:r>
        <w:rPr>
          <w:rFonts w:hint="eastAsia" w:cs="Arial" w:asciiTheme="minorEastAsia" w:hAnsiTheme="minorEastAsia" w:eastAsiaTheme="minorEastAsia"/>
          <w:sz w:val="21"/>
          <w:szCs w:val="21"/>
        </w:rPr>
        <w:t xml:space="preserve">G</w:t>
      </w:r>
      <w:r>
        <w:rPr>
          <w:rFonts w:cs="Arial" w:asciiTheme="minorEastAsia" w:hAnsiTheme="minorEastAsia" w:eastAsiaTheme="minorEastAsia"/>
          <w:sz w:val="21"/>
          <w:szCs w:val="21"/>
        </w:rPr>
        <w:t xml:space="preserve">与对应设备维护费用相挂钩。</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本项目中视频前端设备、前端杆件、后端平台等设备的维护工作采用服务费用包干制，每月度进行考核。</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项目实施过程中维护设备被拆除的，可用未在合同清单内的同类型需维护设备，经变更流程确认后，予以替换并结算费用；在用设备停用或拆除后，不根据合同内停用设备结算方式结算费用，也不再产生相应维护费用；本合同内的停用设备，在结算费用时，维护单位需提供相关维护记录，未提供的，则不结算对应的维护费用；由于道路施工等原因造成设备需要拆除的，经姑苏分局确认后，维护单位应当配合相关单位予以拆除。</w:t>
      </w:r>
      <w:r/>
    </w:p>
    <w:p>
      <w:pPr>
        <w:ind w:left="0" w:firstLine="422"/>
        <w:jc w:val="left"/>
        <w:spacing w:line="360" w:lineRule="auto"/>
        <w:tabs>
          <w:tab w:val="left" w:pos="420" w:leader="none"/>
        </w:tabs>
        <w:rPr>
          <w:rFonts w:cs="Arial" w:asciiTheme="minorEastAsia" w:hAnsiTheme="minorEastAsia" w:eastAsiaTheme="minorEastAsia"/>
          <w:b/>
          <w:sz w:val="21"/>
          <w:szCs w:val="21"/>
        </w:rPr>
      </w:pPr>
      <w:r/>
      <w:bookmarkStart w:id="124" w:name="_Toc112884554"/>
      <w:r>
        <w:rPr>
          <w:rFonts w:hint="eastAsia" w:cs="Arial" w:asciiTheme="minorEastAsia" w:hAnsiTheme="minorEastAsia" w:eastAsiaTheme="minorEastAsia"/>
          <w:b/>
          <w:sz w:val="21"/>
          <w:szCs w:val="21"/>
        </w:rPr>
        <w:t xml:space="preserve">2.2</w:t>
      </w:r>
      <w:r>
        <w:rPr>
          <w:rFonts w:hint="eastAsia" w:asciiTheme="minorEastAsia" w:hAnsiTheme="minorEastAsia" w:eastAsiaTheme="minorEastAsia"/>
          <w:b/>
          <w:sz w:val="21"/>
          <w:szCs w:val="21"/>
        </w:rPr>
        <w:t xml:space="preserve">维护结算方</w:t>
      </w:r>
      <w:r>
        <w:rPr>
          <w:rFonts w:asciiTheme="minorEastAsia" w:hAnsiTheme="minorEastAsia" w:eastAsiaTheme="minorEastAsia"/>
          <w:b/>
          <w:sz w:val="21"/>
          <w:szCs w:val="21"/>
        </w:rPr>
        <w:t xml:space="preserve">式</w:t>
      </w:r>
      <w:bookmarkEnd w:id="124"/>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项目按照设备类型划分，按类型进行项目预算，由视频前端设备、前端杆件、后端平台组成，各部分费用由在用设备维护费用和停用设备维护费用两块组成。</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维护费用每月进行结算（拆除、未移交及合同内新增加的停用设备均不计入维护费用计算范围内），维护费用全年分四次支付，每</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个月的最后</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个月支付季度结算费用总和。</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lang w:eastAsia="en-US"/>
        </w:rPr>
        <w:t xml:space="preserve">C=(C1+C2+C3+C4+C5) *</w:t>
      </w:r>
      <w:r>
        <w:rPr>
          <w:rFonts w:cs="Arial" w:asciiTheme="minorEastAsia" w:hAnsiTheme="minorEastAsia" w:eastAsiaTheme="minorEastAsia"/>
          <w:sz w:val="21"/>
          <w:szCs w:val="21"/>
          <w:lang w:eastAsia="en-US"/>
        </w:rPr>
        <w:t xml:space="preserve">【（</w:t>
      </w:r>
      <w:r>
        <w:rPr>
          <w:rFonts w:hint="eastAsia" w:cs="Arial" w:asciiTheme="minorEastAsia" w:hAnsiTheme="minorEastAsia" w:eastAsiaTheme="minorEastAsia"/>
          <w:sz w:val="21"/>
          <w:szCs w:val="21"/>
          <w:lang w:eastAsia="en-US"/>
        </w:rPr>
        <w:t xml:space="preserve">100-K</w:t>
      </w:r>
      <w:r>
        <w:rPr>
          <w:rFonts w:cs="Arial" w:asciiTheme="minorEastAsia" w:hAnsiTheme="minorEastAsia" w:eastAsiaTheme="minorEastAsia"/>
          <w:sz w:val="21"/>
          <w:szCs w:val="21"/>
          <w:lang w:eastAsia="en-US"/>
        </w:rPr>
        <w:t xml:space="preserve">）</w:t>
      </w:r>
      <w:r>
        <w:rPr>
          <w:rFonts w:hint="eastAsia" w:cs="Arial" w:asciiTheme="minorEastAsia" w:hAnsiTheme="minorEastAsia" w:eastAsiaTheme="minorEastAsia"/>
          <w:sz w:val="21"/>
          <w:szCs w:val="21"/>
          <w:lang w:eastAsia="en-US"/>
        </w:rPr>
        <w:t xml:space="preserve">/100</w:t>
      </w:r>
      <w:r>
        <w:rPr>
          <w:rFonts w:cs="Arial" w:asciiTheme="minorEastAsia" w:hAnsiTheme="minorEastAsia" w:eastAsiaTheme="minorEastAsia"/>
          <w:sz w:val="21"/>
          <w:szCs w:val="21"/>
          <w:lang w:eastAsia="en-US"/>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w:t>
      </w:r>
      <w:r>
        <w:rPr>
          <w:rFonts w:cs="Arial" w:asciiTheme="minorEastAsia" w:hAnsiTheme="minorEastAsia" w:eastAsiaTheme="minorEastAsia"/>
          <w:sz w:val="21"/>
          <w:szCs w:val="21"/>
        </w:rPr>
        <w:t xml:space="preserve">：每月总维护费用</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w:t>
      </w:r>
      <w:r>
        <w:rPr>
          <w:rFonts w:cs="Arial" w:asciiTheme="minorEastAsia" w:hAnsiTheme="minorEastAsia" w:eastAsiaTheme="minorEastAsia"/>
          <w:sz w:val="21"/>
          <w:szCs w:val="21"/>
        </w:rPr>
        <w:t xml:space="preserve">：视频前端设备每月实际维护费用</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C4</w:t>
      </w:r>
      <w:r>
        <w:rPr>
          <w:rFonts w:cs="Arial" w:asciiTheme="minorEastAsia" w:hAnsiTheme="minorEastAsia" w:eastAsiaTheme="minorEastAsia"/>
          <w:sz w:val="21"/>
          <w:szCs w:val="21"/>
        </w:rPr>
        <w:t xml:space="preserve">：前端杆件每月实际维护费用</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C5</w:t>
      </w:r>
      <w:r>
        <w:rPr>
          <w:rFonts w:cs="Arial" w:asciiTheme="minorEastAsia" w:hAnsiTheme="minorEastAsia" w:eastAsiaTheme="minorEastAsia"/>
          <w:sz w:val="21"/>
          <w:szCs w:val="21"/>
        </w:rPr>
        <w:t xml:space="preserve">：后端平台设备每月实际维护费用</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K</w:t>
      </w:r>
      <w:r>
        <w:rPr>
          <w:rFonts w:cs="Arial" w:asciiTheme="minorEastAsia" w:hAnsiTheme="minorEastAsia" w:eastAsiaTheme="minorEastAsia"/>
          <w:sz w:val="21"/>
          <w:szCs w:val="21"/>
        </w:rPr>
        <w:t xml:space="preserve">：通用扣分值</w:t>
      </w:r>
      <w:r/>
    </w:p>
    <w:p>
      <w:pPr>
        <w:ind w:left="0" w:firstLine="422"/>
        <w:jc w:val="left"/>
        <w:spacing w:line="360" w:lineRule="auto"/>
        <w:tabs>
          <w:tab w:val="left" w:pos="420" w:leader="none"/>
        </w:tabs>
        <w:rPr>
          <w:rFonts w:cs="Arial" w:asciiTheme="minorEastAsia" w:hAnsiTheme="minorEastAsia" w:eastAsiaTheme="minorEastAsia"/>
          <w:b/>
          <w:sz w:val="21"/>
          <w:szCs w:val="21"/>
        </w:rPr>
      </w:pPr>
      <w:r/>
      <w:bookmarkStart w:id="125" w:name="_Toc112884555"/>
      <w:r>
        <w:rPr>
          <w:rFonts w:hint="eastAsia" w:cs="Arial" w:asciiTheme="minorEastAsia" w:hAnsiTheme="minorEastAsia" w:eastAsiaTheme="minorEastAsia"/>
          <w:b/>
          <w:sz w:val="21"/>
          <w:szCs w:val="21"/>
        </w:rPr>
        <w:t xml:space="preserve">2.2.1</w:t>
      </w:r>
      <w:bookmarkEnd w:id="125"/>
      <w:r>
        <w:rPr>
          <w:rFonts w:hint="eastAsia" w:asciiTheme="minorEastAsia" w:hAnsiTheme="minorEastAsia" w:eastAsiaTheme="minorEastAsia"/>
          <w:b/>
          <w:sz w:val="21"/>
          <w:szCs w:val="21"/>
        </w:rPr>
        <w:t xml:space="preserve">视频前端设备考核达标制</w:t>
      </w:r>
      <w:r>
        <w:rPr>
          <w:rFonts w:asciiTheme="minorEastAsia" w:hAnsiTheme="minorEastAsia" w:eastAsiaTheme="minorEastAsia"/>
          <w:b/>
          <w:sz w:val="21"/>
          <w:szCs w:val="21"/>
        </w:rPr>
        <w:t xml:space="preserve">度</w:t>
      </w:r>
      <w:r/>
    </w:p>
    <w:p>
      <w:pPr>
        <w:ind w:left="0" w:firstLine="420"/>
        <w:jc w:val="left"/>
        <w:spacing w:line="360" w:lineRule="auto"/>
        <w:tabs>
          <w:tab w:val="left" w:pos="420" w:leader="none"/>
        </w:tabs>
        <w:rPr>
          <w:rFonts w:cs="Arial" w:asciiTheme="minorEastAsia" w:hAnsiTheme="minorEastAsia" w:eastAsiaTheme="minorEastAsia"/>
          <w:sz w:val="21"/>
          <w:szCs w:val="21"/>
        </w:rPr>
      </w:pPr>
      <w:r/>
      <w:bookmarkStart w:id="126" w:name="_Hlk118299877"/>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w:t>
      </w:r>
      <w:bookmarkStart w:id="127" w:name="_Hlk118299931"/>
      <w:r>
        <w:rPr>
          <w:rFonts w:cs="Arial" w:asciiTheme="minorEastAsia" w:hAnsiTheme="minorEastAsia" w:eastAsiaTheme="minorEastAsia"/>
          <w:sz w:val="21"/>
          <w:szCs w:val="21"/>
        </w:rPr>
        <w:t xml:space="preserve">本类型设备维护工作，完好率达标值为</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w:t>
      </w:r>
      <w:bookmarkEnd w:id="127"/>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、本类型设备完好率计算方式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）视频前端：统计出每月在平台中正常使用超过</w:t>
      </w:r>
      <w:r>
        <w:rPr>
          <w:rFonts w:hint="eastAsia" w:cs="Arial" w:asciiTheme="minorEastAsia" w:hAnsiTheme="minorEastAsia" w:eastAsiaTheme="minorEastAsia"/>
          <w:sz w:val="21"/>
          <w:szCs w:val="21"/>
        </w:rPr>
        <w:t xml:space="preserve">20</w:t>
      </w:r>
      <w:r>
        <w:rPr>
          <w:rFonts w:cs="Arial" w:asciiTheme="minorEastAsia" w:hAnsiTheme="minorEastAsia" w:eastAsiaTheme="minorEastAsia"/>
          <w:sz w:val="21"/>
          <w:szCs w:val="21"/>
        </w:rPr>
        <w:t xml:space="preserve">天（包含节假日）以上且按合同规定时间内修复的视频前端设备清单，视为当月完好视频前端设备（</w:t>
      </w:r>
      <w:r>
        <w:rPr>
          <w:rFonts w:hint="eastAsia" w:cs="Arial" w:asciiTheme="minorEastAsia" w:hAnsiTheme="minorEastAsia" w:eastAsiaTheme="minorEastAsia"/>
          <w:sz w:val="21"/>
          <w:szCs w:val="21"/>
        </w:rPr>
        <w:t xml:space="preserve">P1</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计算公式：</w:t>
      </w:r>
      <w:r>
        <w:rPr>
          <w:rFonts w:hint="eastAsia" w:cs="Arial" w:asciiTheme="minorEastAsia" w:hAnsiTheme="minorEastAsia" w:eastAsiaTheme="minorEastAsia"/>
          <w:sz w:val="21"/>
          <w:szCs w:val="21"/>
        </w:rPr>
        <w:t xml:space="preserve">I1=P1/(N1-M1)*100%</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I1</w:t>
      </w:r>
      <w:r>
        <w:rPr>
          <w:rFonts w:cs="Arial" w:asciiTheme="minorEastAsia" w:hAnsiTheme="minorEastAsia" w:eastAsiaTheme="minorEastAsia"/>
          <w:sz w:val="21"/>
          <w:szCs w:val="21"/>
        </w:rPr>
        <w:t xml:space="preserve">：本类型设备完好率</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P1</w:t>
      </w:r>
      <w:r>
        <w:rPr>
          <w:rFonts w:cs="Arial" w:asciiTheme="minorEastAsia" w:hAnsiTheme="minorEastAsia" w:eastAsiaTheme="minorEastAsia"/>
          <w:sz w:val="21"/>
          <w:szCs w:val="21"/>
        </w:rPr>
        <w:t xml:space="preserve">：本类型完好设备数量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N1</w:t>
      </w:r>
      <w:r>
        <w:rPr>
          <w:rFonts w:cs="Arial" w:asciiTheme="minorEastAsia" w:hAnsiTheme="minorEastAsia" w:eastAsiaTheme="minorEastAsia"/>
          <w:sz w:val="21"/>
          <w:szCs w:val="21"/>
        </w:rPr>
        <w:t xml:space="preserve">：本类型设备合同数量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M1</w:t>
      </w:r>
      <w:r>
        <w:rPr>
          <w:rFonts w:cs="Arial" w:asciiTheme="minorEastAsia" w:hAnsiTheme="minorEastAsia" w:eastAsiaTheme="minorEastAsia"/>
          <w:sz w:val="21"/>
          <w:szCs w:val="21"/>
        </w:rPr>
        <w:t xml:space="preserve">：本类型设备拆除、未移交和合同内新增停用设备数量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、本类型设备特定扣分项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本类型设备根据在用设备完好率专门设置在用设备特定扣分值</w:t>
      </w:r>
      <w:r>
        <w:rPr>
          <w:rFonts w:hint="eastAsia" w:cs="Arial" w:asciiTheme="minorEastAsia" w:hAnsiTheme="minorEastAsia" w:eastAsiaTheme="minorEastAsia"/>
          <w:sz w:val="21"/>
          <w:szCs w:val="21"/>
        </w:rPr>
        <w:t xml:space="preserve">D1</w:t>
      </w:r>
      <w:r>
        <w:rPr>
          <w:rFonts w:cs="Arial" w:asciiTheme="minorEastAsia" w:hAnsiTheme="minorEastAsia" w:eastAsiaTheme="minorEastAsia"/>
          <w:sz w:val="21"/>
          <w:szCs w:val="21"/>
        </w:rPr>
        <w:t xml:space="preserve">；根据停用设备巡检率专门设置停用设备特定扣分值</w:t>
      </w:r>
      <w:r>
        <w:rPr>
          <w:rFonts w:hint="eastAsia" w:cs="Arial" w:asciiTheme="minorEastAsia" w:hAnsiTheme="minorEastAsia" w:eastAsiaTheme="minorEastAsia"/>
          <w:sz w:val="21"/>
          <w:szCs w:val="21"/>
        </w:rPr>
        <w:t xml:space="preserve">G1</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3.1</w:t>
      </w:r>
      <w:r>
        <w:rPr>
          <w:rFonts w:cs="Arial" w:asciiTheme="minorEastAsia" w:hAnsiTheme="minorEastAsia" w:eastAsiaTheme="minorEastAsia"/>
          <w:sz w:val="21"/>
          <w:szCs w:val="21"/>
        </w:rPr>
        <w:t xml:space="preserve">在用设备特定扣分值</w:t>
      </w:r>
      <w:r>
        <w:rPr>
          <w:rFonts w:hint="eastAsia" w:cs="Arial" w:asciiTheme="minorEastAsia" w:hAnsiTheme="minorEastAsia" w:eastAsiaTheme="minorEastAsia"/>
          <w:sz w:val="21"/>
          <w:szCs w:val="21"/>
        </w:rPr>
        <w:t xml:space="preserve">D1</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≤当月完好率＜</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分；完好率＜</w:t>
      </w:r>
      <w:r>
        <w:rPr>
          <w:rFonts w:hint="eastAsia" w:cs="Arial" w:asciiTheme="minorEastAsia" w:hAnsiTheme="minorEastAsia" w:eastAsiaTheme="minorEastAsia"/>
          <w:sz w:val="21"/>
          <w:szCs w:val="21"/>
        </w:rPr>
        <w:t xml:space="preserve">90% </w:t>
      </w:r>
      <w:r>
        <w:rPr>
          <w:rFonts w:cs="Arial" w:asciiTheme="minorEastAsia" w:hAnsiTheme="minorEastAsia" w:eastAsiaTheme="minorEastAsia"/>
          <w:sz w:val="21"/>
          <w:szCs w:val="21"/>
        </w:rPr>
        <w:t xml:space="preserve">，扣本类型设备当月维护费；完好率连续</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个月低于</w:t>
      </w: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，姑苏分局有权解除维护合同。</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3.2</w:t>
      </w:r>
      <w:r>
        <w:rPr>
          <w:rFonts w:cs="Arial" w:asciiTheme="minorEastAsia" w:hAnsiTheme="minorEastAsia" w:eastAsiaTheme="minorEastAsia"/>
          <w:sz w:val="21"/>
          <w:szCs w:val="21"/>
        </w:rPr>
        <w:t xml:space="preserve">停用设备特定扣分值</w:t>
      </w:r>
      <w:r>
        <w:rPr>
          <w:rFonts w:hint="eastAsia" w:cs="Arial" w:asciiTheme="minorEastAsia" w:hAnsiTheme="minorEastAsia" w:eastAsiaTheme="minorEastAsia"/>
          <w:sz w:val="21"/>
          <w:szCs w:val="21"/>
        </w:rPr>
        <w:t xml:space="preserve">G1</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每月巡检停用设备数量不低于合同中总停用设备数量的</w:t>
      </w:r>
      <w:r>
        <w:rPr>
          <w:rFonts w:hint="eastAsia" w:cs="Arial" w:asciiTheme="minorEastAsia" w:hAnsiTheme="minorEastAsia" w:eastAsiaTheme="minorEastAsia"/>
          <w:sz w:val="21"/>
          <w:szCs w:val="21"/>
        </w:rPr>
        <w:t xml:space="preserve">30%</w:t>
      </w:r>
      <w:r>
        <w:rPr>
          <w:rFonts w:cs="Arial" w:asciiTheme="minorEastAsia" w:hAnsiTheme="minorEastAsia" w:eastAsiaTheme="minorEastAsia"/>
          <w:sz w:val="21"/>
          <w:szCs w:val="21"/>
        </w:rPr>
        <w:t xml:space="preserve">，每低于一个百分点扣</w:t>
      </w: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分（扣完为止）。</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、本类型设备维护费结算方式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C1=C1A+C1B</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w:t>
      </w:r>
      <w:r>
        <w:rPr>
          <w:rFonts w:cs="Arial" w:asciiTheme="minorEastAsia" w:hAnsiTheme="minorEastAsia" w:eastAsiaTheme="minorEastAsia"/>
          <w:sz w:val="21"/>
          <w:szCs w:val="21"/>
        </w:rPr>
        <w:t xml:space="preserve">：本类型设备月实际维护费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C1A</w:t>
      </w:r>
      <w:r>
        <w:rPr>
          <w:rFonts w:cs="Arial" w:asciiTheme="minorEastAsia" w:hAnsiTheme="minorEastAsia" w:eastAsiaTheme="minorEastAsia"/>
          <w:sz w:val="21"/>
          <w:szCs w:val="21"/>
        </w:rPr>
        <w:t xml:space="preserve">：在用设备月实际维护费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C1B</w:t>
      </w:r>
      <w:r>
        <w:rPr>
          <w:rFonts w:cs="Arial" w:asciiTheme="minorEastAsia" w:hAnsiTheme="minorEastAsia" w:eastAsiaTheme="minorEastAsia"/>
          <w:sz w:val="21"/>
          <w:szCs w:val="21"/>
        </w:rPr>
        <w:t xml:space="preserve">：停用设备月实际维护费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）在用设备：</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C1A=Y1A*(N1-M1)*I1*</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100-D1</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 </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Y1A</w:t>
      </w:r>
      <w:r>
        <w:rPr>
          <w:rFonts w:cs="Arial" w:asciiTheme="minorEastAsia" w:hAnsiTheme="minorEastAsia" w:eastAsiaTheme="minorEastAsia"/>
          <w:sz w:val="21"/>
          <w:szCs w:val="21"/>
        </w:rPr>
        <w:t xml:space="preserve">：在用设备月维护单价</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D1</w:t>
      </w:r>
      <w:r>
        <w:rPr>
          <w:rFonts w:cs="Arial" w:asciiTheme="minorEastAsia" w:hAnsiTheme="minorEastAsia" w:eastAsiaTheme="minorEastAsia"/>
          <w:sz w:val="21"/>
          <w:szCs w:val="21"/>
        </w:rPr>
        <w:t xml:space="preserve">：在用设备特定扣分值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）停用设备（以招标文件中停用设备数量为基数）：</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C1B=Y1B*T1*</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100-G1</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Y1B</w:t>
      </w:r>
      <w:r>
        <w:rPr>
          <w:rFonts w:cs="Arial" w:asciiTheme="minorEastAsia" w:hAnsiTheme="minorEastAsia" w:eastAsiaTheme="minorEastAsia"/>
          <w:sz w:val="21"/>
          <w:szCs w:val="21"/>
        </w:rPr>
        <w:t xml:space="preserve">：停用设备月维护单价</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G1:</w:t>
      </w:r>
      <w:r>
        <w:rPr>
          <w:rFonts w:cs="Arial" w:asciiTheme="minorEastAsia" w:hAnsiTheme="minorEastAsia" w:eastAsiaTheme="minorEastAsia"/>
          <w:sz w:val="21"/>
          <w:szCs w:val="21"/>
        </w:rPr>
        <w:t xml:space="preserve">停用设备特定扣分值</w:t>
      </w:r>
      <w:bookmarkEnd w:id="126"/>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T1:</w:t>
      </w:r>
      <w:r>
        <w:rPr>
          <w:rFonts w:cs="Arial" w:asciiTheme="minorEastAsia" w:hAnsiTheme="minorEastAsia" w:eastAsiaTheme="minorEastAsia"/>
          <w:sz w:val="21"/>
          <w:szCs w:val="21"/>
        </w:rPr>
        <w:t xml:space="preserve">停用设备数量</w:t>
      </w:r>
      <w:r/>
    </w:p>
    <w:p>
      <w:pPr>
        <w:ind w:left="0" w:firstLine="422"/>
        <w:jc w:val="left"/>
        <w:spacing w:line="360" w:lineRule="auto"/>
        <w:tabs>
          <w:tab w:val="left" w:pos="420" w:leader="none"/>
        </w:tabs>
        <w:rPr>
          <w:rFonts w:cs="Arial" w:asciiTheme="minorEastAsia" w:hAnsiTheme="minorEastAsia" w:eastAsiaTheme="minorEastAsia"/>
          <w:b/>
          <w:sz w:val="21"/>
          <w:szCs w:val="21"/>
        </w:rPr>
      </w:pPr>
      <w:r>
        <w:rPr>
          <w:rFonts w:hint="eastAsia" w:cs="Arial" w:asciiTheme="minorEastAsia" w:hAnsiTheme="minorEastAsia" w:eastAsiaTheme="minorEastAsia"/>
          <w:b/>
          <w:sz w:val="21"/>
          <w:szCs w:val="21"/>
        </w:rPr>
        <w:t xml:space="preserve">2.2.2 </w:t>
      </w:r>
      <w:r>
        <w:rPr>
          <w:rFonts w:hint="eastAsia" w:asciiTheme="minorEastAsia" w:hAnsiTheme="minorEastAsia" w:eastAsiaTheme="minorEastAsia"/>
          <w:b/>
          <w:sz w:val="21"/>
          <w:szCs w:val="21"/>
        </w:rPr>
        <w:t xml:space="preserve">前端杆件考核达标制</w:t>
      </w:r>
      <w:r>
        <w:rPr>
          <w:rFonts w:asciiTheme="minorEastAsia" w:hAnsiTheme="minorEastAsia" w:eastAsiaTheme="minorEastAsia"/>
          <w:b/>
          <w:sz w:val="21"/>
          <w:szCs w:val="21"/>
        </w:rPr>
        <w:t xml:space="preserve">度</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、本类型设备维护工作达标要求</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前端杆件（含立杆、横臂、基础、连接件等）维护工作，完好率达标值为</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；无重大安全隐患（如杆件倾斜、锈蚀断裂、基础松动等），重大安全隐患发生率需为</w:t>
      </w:r>
      <w:r>
        <w:rPr>
          <w:rFonts w:hint="eastAsia" w:cs="Arial" w:asciiTheme="minorEastAsia" w:hAnsiTheme="minorEastAsia" w:eastAsiaTheme="minorEastAsia"/>
          <w:sz w:val="21"/>
          <w:szCs w:val="21"/>
        </w:rPr>
        <w:t xml:space="preserve">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、本类型设备完好率计算方式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）完好设备认定</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以前端杆件设备台账为基础，每月对所有杆件进行全面巡检，满足以下条件的视为当月完好前端杆件（</w:t>
      </w:r>
      <w:r>
        <w:rPr>
          <w:rFonts w:hint="eastAsia" w:cs="Arial" w:asciiTheme="minorEastAsia" w:hAnsiTheme="minorEastAsia" w:eastAsiaTheme="minorEastAsia"/>
          <w:sz w:val="21"/>
          <w:szCs w:val="21"/>
        </w:rPr>
        <w:t xml:space="preserve">P2</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杆件主体无明显锈蚀、变形、断裂，表面涂层完好，无大面积脱落；</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立杆垂直、横臂水平，倾斜角度不超过</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，连接件（法兰、螺栓等）齐全、紧固，无松动、缺失；</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基础牢固，无沉降、开裂，周边无遮挡、障碍物，排水通畅；</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存在故障的杆件，能在合同规定时间内完成修复，恢复正常使用状态。</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cs="Arial" w:asciiTheme="minorEastAsia" w:hAnsiTheme="minorEastAsia" w:eastAsiaTheme="minorEastAsia"/>
          <w:sz w:val="21"/>
          <w:szCs w:val="21"/>
          <w:lang w:eastAsia="en-US"/>
        </w:rPr>
        <w:t xml:space="preserve">（</w:t>
      </w:r>
      <w:r>
        <w:rPr>
          <w:rFonts w:hint="eastAsia" w:cs="Arial" w:asciiTheme="minorEastAsia" w:hAnsiTheme="minorEastAsia" w:eastAsiaTheme="minorEastAsia"/>
          <w:sz w:val="21"/>
          <w:szCs w:val="21"/>
          <w:lang w:eastAsia="en-US"/>
        </w:rPr>
        <w:t xml:space="preserve">2</w:t>
      </w:r>
      <w:r>
        <w:rPr>
          <w:rFonts w:cs="Arial" w:asciiTheme="minorEastAsia" w:hAnsiTheme="minorEastAsia" w:eastAsiaTheme="minorEastAsia"/>
          <w:sz w:val="21"/>
          <w:szCs w:val="21"/>
          <w:lang w:eastAsia="en-US"/>
        </w:rPr>
        <w:t xml:space="preserve">）计算公式</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I2=P2/(N2-M2)*100%</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I2</w:t>
      </w:r>
      <w:r>
        <w:rPr>
          <w:rFonts w:cs="Arial" w:asciiTheme="minorEastAsia" w:hAnsiTheme="minorEastAsia" w:eastAsiaTheme="minorEastAsia"/>
          <w:sz w:val="21"/>
          <w:szCs w:val="21"/>
        </w:rPr>
        <w:t xml:space="preserve">：前端杆件完好率</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P2</w:t>
      </w:r>
      <w:r>
        <w:rPr>
          <w:rFonts w:cs="Arial" w:asciiTheme="minorEastAsia" w:hAnsiTheme="minorEastAsia" w:eastAsiaTheme="minorEastAsia"/>
          <w:sz w:val="21"/>
          <w:szCs w:val="21"/>
        </w:rPr>
        <w:t xml:space="preserve">：前端杆件当月完好设备数量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N2</w:t>
      </w:r>
      <w:r>
        <w:rPr>
          <w:rFonts w:cs="Arial" w:asciiTheme="minorEastAsia" w:hAnsiTheme="minorEastAsia" w:eastAsiaTheme="minorEastAsia"/>
          <w:sz w:val="21"/>
          <w:szCs w:val="21"/>
        </w:rPr>
        <w:t xml:space="preserve">：前端杆件数量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M2</w:t>
      </w:r>
      <w:r>
        <w:rPr>
          <w:rFonts w:cs="Arial" w:asciiTheme="minorEastAsia" w:hAnsiTheme="minorEastAsia" w:eastAsiaTheme="minorEastAsia"/>
          <w:sz w:val="21"/>
          <w:szCs w:val="21"/>
        </w:rPr>
        <w:t xml:space="preserve">：前端杆件拆除、未移交和新增停用设备数量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、本类型设备特定扣分项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本类型设备根据在用杆件完好率设置在用设备特定扣分值</w:t>
      </w:r>
      <w:r>
        <w:rPr>
          <w:rFonts w:hint="eastAsia" w:cs="Arial" w:asciiTheme="minorEastAsia" w:hAnsiTheme="minorEastAsia" w:eastAsiaTheme="minorEastAsia"/>
          <w:sz w:val="21"/>
          <w:szCs w:val="21"/>
        </w:rPr>
        <w:t xml:space="preserve">D2</w:t>
      </w:r>
      <w:r>
        <w:rPr>
          <w:rFonts w:cs="Arial" w:asciiTheme="minorEastAsia" w:hAnsiTheme="minorEastAsia" w:eastAsiaTheme="minorEastAsia"/>
          <w:sz w:val="21"/>
          <w:szCs w:val="21"/>
        </w:rPr>
        <w:t xml:space="preserve">；根据安全隐患整改率设置安全隐患扣分值</w:t>
      </w:r>
      <w:r>
        <w:rPr>
          <w:rFonts w:hint="eastAsia" w:cs="Arial" w:asciiTheme="minorEastAsia" w:hAnsiTheme="minorEastAsia" w:eastAsiaTheme="minorEastAsia"/>
          <w:sz w:val="21"/>
          <w:szCs w:val="21"/>
        </w:rPr>
        <w:t xml:space="preserve">G2</w:t>
      </w:r>
      <w:r>
        <w:rPr>
          <w:rFonts w:cs="Arial" w:asciiTheme="minorEastAsia" w:hAnsiTheme="minorEastAsia" w:eastAsiaTheme="minorEastAsia"/>
          <w:sz w:val="21"/>
          <w:szCs w:val="21"/>
        </w:rPr>
        <w:t xml:space="preserve">；根据巡检覆盖率设置巡检扣分值</w:t>
      </w:r>
      <w:r>
        <w:rPr>
          <w:rFonts w:hint="eastAsia" w:cs="Arial" w:asciiTheme="minorEastAsia" w:hAnsiTheme="minorEastAsia" w:eastAsiaTheme="minorEastAsia"/>
          <w:sz w:val="21"/>
          <w:szCs w:val="21"/>
        </w:rPr>
        <w:t xml:space="preserve">H2</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3.1 </w:t>
      </w:r>
      <w:r>
        <w:rPr>
          <w:rFonts w:cs="Arial" w:asciiTheme="minorEastAsia" w:hAnsiTheme="minorEastAsia" w:eastAsiaTheme="minorEastAsia"/>
          <w:sz w:val="21"/>
          <w:szCs w:val="21"/>
        </w:rPr>
        <w:t xml:space="preserve">在用设备特定扣分值</w:t>
      </w:r>
      <w:r>
        <w:rPr>
          <w:rFonts w:hint="eastAsia" w:cs="Arial" w:asciiTheme="minorEastAsia" w:hAnsiTheme="minorEastAsia" w:eastAsiaTheme="minorEastAsia"/>
          <w:sz w:val="21"/>
          <w:szCs w:val="21"/>
        </w:rPr>
        <w:t xml:space="preserve">D2</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当月完好率＜</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0.8</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当月完好率＜</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分，同时扣除本类型设备当月维护费的</w:t>
      </w: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完好率＜</w:t>
      </w:r>
      <w:r>
        <w:rPr>
          <w:rFonts w:hint="eastAsia" w:cs="Arial" w:asciiTheme="minorEastAsia" w:hAnsiTheme="minorEastAsia" w:eastAsiaTheme="minorEastAsia"/>
          <w:sz w:val="21"/>
          <w:szCs w:val="21"/>
        </w:rPr>
        <w:t xml:space="preserve">90%</w:t>
      </w:r>
      <w:r>
        <w:rPr>
          <w:rFonts w:cs="Arial" w:asciiTheme="minorEastAsia" w:hAnsiTheme="minorEastAsia" w:eastAsiaTheme="minorEastAsia"/>
          <w:sz w:val="21"/>
          <w:szCs w:val="21"/>
        </w:rPr>
        <w:t xml:space="preserve">，扣除本类型设备当月全部维护费；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完好率连续</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个月低于</w:t>
      </w:r>
      <w:r>
        <w:rPr>
          <w:rFonts w:hint="eastAsia" w:cs="Arial" w:asciiTheme="minorEastAsia" w:hAnsiTheme="minorEastAsia" w:eastAsiaTheme="minorEastAsia"/>
          <w:sz w:val="21"/>
          <w:szCs w:val="21"/>
        </w:rPr>
        <w:t xml:space="preserve">95%</w:t>
      </w:r>
      <w:r>
        <w:rPr>
          <w:rFonts w:cs="Arial" w:asciiTheme="minorEastAsia" w:hAnsiTheme="minorEastAsia" w:eastAsiaTheme="minorEastAsia"/>
          <w:sz w:val="21"/>
          <w:szCs w:val="21"/>
        </w:rPr>
        <w:t xml:space="preserve">，或出现</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次重大安全隐患未及时整改，姑苏分局有权解除维护合同。</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3.2 </w:t>
      </w:r>
      <w:r>
        <w:rPr>
          <w:rFonts w:cs="Arial" w:asciiTheme="minorEastAsia" w:hAnsiTheme="minorEastAsia" w:eastAsiaTheme="minorEastAsia"/>
          <w:sz w:val="21"/>
          <w:szCs w:val="21"/>
        </w:rPr>
        <w:t xml:space="preserve">安全隐患扣分值</w:t>
      </w:r>
      <w:r>
        <w:rPr>
          <w:rFonts w:hint="eastAsia" w:cs="Arial" w:asciiTheme="minorEastAsia" w:hAnsiTheme="minorEastAsia" w:eastAsiaTheme="minorEastAsia"/>
          <w:sz w:val="21"/>
          <w:szCs w:val="21"/>
        </w:rPr>
        <w:t xml:space="preserve">G2</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发现重大安全隐患，未在</w:t>
      </w:r>
      <w:r>
        <w:rPr>
          <w:rFonts w:hint="eastAsia" w:cs="Arial" w:asciiTheme="minorEastAsia" w:hAnsiTheme="minorEastAsia" w:eastAsiaTheme="minorEastAsia"/>
          <w:sz w:val="21"/>
          <w:szCs w:val="21"/>
        </w:rPr>
        <w:t xml:space="preserve">24</w:t>
      </w:r>
      <w:r>
        <w:rPr>
          <w:rFonts w:cs="Arial" w:asciiTheme="minorEastAsia" w:hAnsiTheme="minorEastAsia" w:eastAsiaTheme="minorEastAsia"/>
          <w:sz w:val="21"/>
          <w:szCs w:val="21"/>
        </w:rPr>
        <w:t xml:space="preserve">小时内启动整改的，每次扣</w:t>
      </w:r>
      <w:r>
        <w:rPr>
          <w:rFonts w:hint="eastAsia" w:cs="Arial" w:asciiTheme="minorEastAsia" w:hAnsiTheme="minorEastAsia" w:eastAsiaTheme="minorEastAsia"/>
          <w:sz w:val="21"/>
          <w:szCs w:val="21"/>
        </w:rPr>
        <w:t xml:space="preserve">5</w:t>
      </w:r>
      <w:r>
        <w:rPr>
          <w:rFonts w:cs="Arial" w:asciiTheme="minorEastAsia" w:hAnsiTheme="minorEastAsia" w:eastAsiaTheme="minorEastAsia"/>
          <w:sz w:val="21"/>
          <w:szCs w:val="21"/>
        </w:rPr>
        <w:t xml:space="preserve">分；未在合同规定时间内完成整改的，每次扣</w:t>
      </w: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分，同时扣除当月维护费的</w:t>
      </w:r>
      <w:r>
        <w:rPr>
          <w:rFonts w:hint="eastAsia" w:cs="Arial" w:asciiTheme="minorEastAsia" w:hAnsiTheme="minorEastAsia" w:eastAsiaTheme="minorEastAsia"/>
          <w:sz w:val="21"/>
          <w:szCs w:val="21"/>
        </w:rPr>
        <w:t xml:space="preserve">20%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一般安全隐患（如轻微锈蚀、螺栓轻微松动），未在</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个工作日内完成整改的，每处扣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分，累计扣完为止。</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3.3 </w:t>
      </w:r>
      <w:r>
        <w:rPr>
          <w:rFonts w:cs="Arial" w:asciiTheme="minorEastAsia" w:hAnsiTheme="minorEastAsia" w:eastAsiaTheme="minorEastAsia"/>
          <w:sz w:val="21"/>
          <w:szCs w:val="21"/>
        </w:rPr>
        <w:t xml:space="preserve">巡检扣分值</w:t>
      </w:r>
      <w:r>
        <w:rPr>
          <w:rFonts w:hint="eastAsia" w:cs="Arial" w:asciiTheme="minorEastAsia" w:hAnsiTheme="minorEastAsia" w:eastAsiaTheme="minorEastAsia"/>
          <w:sz w:val="21"/>
          <w:szCs w:val="21"/>
        </w:rPr>
        <w:t xml:space="preserve">H2</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每月巡检覆盖率需达到</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，每低于一个百分点扣</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分，累计扣完为止；巡检记录不完整、不规范的，每次扣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、本类型设备维护费结算方式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C2=C2A+C2B</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C2</w:t>
      </w:r>
      <w:r>
        <w:rPr>
          <w:rFonts w:cs="Arial" w:asciiTheme="minorEastAsia" w:hAnsiTheme="minorEastAsia" w:eastAsiaTheme="minorEastAsia"/>
          <w:sz w:val="21"/>
          <w:szCs w:val="21"/>
        </w:rPr>
        <w:t xml:space="preserve">：前端杆件月实际维护费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C2A</w:t>
      </w:r>
      <w:r>
        <w:rPr>
          <w:rFonts w:cs="Arial" w:asciiTheme="minorEastAsia" w:hAnsiTheme="minorEastAsia" w:eastAsiaTheme="minorEastAsia"/>
          <w:sz w:val="21"/>
          <w:szCs w:val="21"/>
        </w:rPr>
        <w:t xml:space="preserve">：在用杆件月实际维护费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C2B</w:t>
      </w:r>
      <w:r>
        <w:rPr>
          <w:rFonts w:cs="Arial" w:asciiTheme="minorEastAsia" w:hAnsiTheme="minorEastAsia" w:eastAsiaTheme="minorEastAsia"/>
          <w:sz w:val="21"/>
          <w:szCs w:val="21"/>
        </w:rPr>
        <w:t xml:space="preserve">：停用杆件月实际维护费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cs="Arial" w:asciiTheme="minorEastAsia" w:hAnsiTheme="minorEastAsia" w:eastAsiaTheme="minorEastAsia"/>
          <w:sz w:val="21"/>
          <w:szCs w:val="21"/>
          <w:lang w:eastAsia="en-US"/>
        </w:rPr>
        <w:t xml:space="preserve">（</w:t>
      </w:r>
      <w:r>
        <w:rPr>
          <w:rFonts w:hint="eastAsia" w:cs="Arial" w:asciiTheme="minorEastAsia" w:hAnsiTheme="minorEastAsia" w:eastAsiaTheme="minorEastAsia"/>
          <w:sz w:val="21"/>
          <w:szCs w:val="21"/>
          <w:lang w:eastAsia="en-US"/>
        </w:rPr>
        <w:t xml:space="preserve">1</w:t>
      </w:r>
      <w:r>
        <w:rPr>
          <w:rFonts w:cs="Arial" w:asciiTheme="minorEastAsia" w:hAnsiTheme="minorEastAsia" w:eastAsiaTheme="minorEastAsia"/>
          <w:sz w:val="21"/>
          <w:szCs w:val="21"/>
          <w:lang w:eastAsia="en-US"/>
        </w:rPr>
        <w:t xml:space="preserve">）在用杆件</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C2A=Y2A*(N2-M2)*I2*</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100-D2-G2-H2</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Y2A</w:t>
      </w:r>
      <w:r>
        <w:rPr>
          <w:rFonts w:cs="Arial" w:asciiTheme="minorEastAsia" w:hAnsiTheme="minorEastAsia" w:eastAsiaTheme="minorEastAsia"/>
          <w:sz w:val="21"/>
          <w:szCs w:val="21"/>
        </w:rPr>
        <w:t xml:space="preserve">：在用前端杆件月维护单价</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D2</w:t>
      </w:r>
      <w:r>
        <w:rPr>
          <w:rFonts w:cs="Arial" w:asciiTheme="minorEastAsia" w:hAnsiTheme="minorEastAsia" w:eastAsiaTheme="minorEastAsia"/>
          <w:sz w:val="21"/>
          <w:szCs w:val="21"/>
        </w:rPr>
        <w:t xml:space="preserve">：在用杆件特定扣分值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G2</w:t>
      </w:r>
      <w:r>
        <w:rPr>
          <w:rFonts w:cs="Arial" w:asciiTheme="minorEastAsia" w:hAnsiTheme="minorEastAsia" w:eastAsiaTheme="minorEastAsia"/>
          <w:sz w:val="21"/>
          <w:szCs w:val="21"/>
        </w:rPr>
        <w:t xml:space="preserve">：安全隐患扣分值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H2</w:t>
      </w:r>
      <w:r>
        <w:rPr>
          <w:rFonts w:cs="Arial" w:asciiTheme="minorEastAsia" w:hAnsiTheme="minorEastAsia" w:eastAsiaTheme="minorEastAsia"/>
          <w:sz w:val="21"/>
          <w:szCs w:val="21"/>
        </w:rPr>
        <w:t xml:space="preserve">：巡检扣分值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）停用杆件（以招标文件中停用杆件数量为基数）</w:t>
      </w:r>
      <w:r/>
    </w:p>
    <w:p>
      <w:pPr>
        <w:ind w:left="0" w:firstLine="420"/>
        <w:jc w:val="left"/>
        <w:spacing w:line="360" w:lineRule="auto"/>
        <w:tabs>
          <w:tab w:val="left" w:pos="420" w:leader="none"/>
        </w:tabs>
        <w:rPr>
          <w:rFonts w:cs="Arial" w:asciiTheme="minorEastAsia" w:hAnsiTheme="minorEastAsia" w:eastAsiaTheme="minorEastAsia"/>
          <w:sz w:val="21"/>
          <w:szCs w:val="21"/>
          <w:lang w:eastAsia="en-US"/>
        </w:rPr>
      </w:pPr>
      <w:r>
        <w:rPr>
          <w:rFonts w:hint="eastAsia" w:cs="Arial" w:asciiTheme="minorEastAsia" w:hAnsiTheme="minorEastAsia" w:eastAsiaTheme="minorEastAsia"/>
          <w:sz w:val="21"/>
          <w:szCs w:val="21"/>
        </w:rPr>
        <w:t xml:space="preserve">C2B=Y2B*T2*</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100-H2</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Y2B</w:t>
      </w:r>
      <w:r>
        <w:rPr>
          <w:rFonts w:cs="Arial" w:asciiTheme="minorEastAsia" w:hAnsiTheme="minorEastAsia" w:eastAsiaTheme="minorEastAsia"/>
          <w:sz w:val="21"/>
          <w:szCs w:val="21"/>
        </w:rPr>
        <w:t xml:space="preserve">：停用前端杆件月维护单价</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H2</w:t>
      </w:r>
      <w:r>
        <w:rPr>
          <w:rFonts w:cs="Arial" w:asciiTheme="minorEastAsia" w:hAnsiTheme="minorEastAsia" w:eastAsiaTheme="minorEastAsia"/>
          <w:sz w:val="21"/>
          <w:szCs w:val="21"/>
        </w:rPr>
        <w:t xml:space="preserve">：巡检扣分值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T2</w:t>
      </w:r>
      <w:r>
        <w:rPr>
          <w:rFonts w:cs="Arial" w:asciiTheme="minorEastAsia" w:hAnsiTheme="minorEastAsia" w:eastAsiaTheme="minorEastAsia"/>
          <w:sz w:val="21"/>
          <w:szCs w:val="21"/>
        </w:rPr>
        <w:t xml:space="preserve">：停用杆件数量</w:t>
      </w:r>
      <w:r/>
    </w:p>
    <w:p>
      <w:pPr>
        <w:ind w:left="0" w:firstLine="422"/>
        <w:jc w:val="left"/>
        <w:spacing w:line="360" w:lineRule="auto"/>
        <w:tabs>
          <w:tab w:val="left" w:pos="420" w:leader="none"/>
        </w:tabs>
        <w:rPr>
          <w:rFonts w:cs="Arial" w:asciiTheme="minorEastAsia" w:hAnsiTheme="minorEastAsia" w:eastAsiaTheme="minorEastAsia"/>
          <w:b/>
          <w:sz w:val="21"/>
          <w:szCs w:val="21"/>
        </w:rPr>
      </w:pPr>
      <w:r>
        <w:rPr>
          <w:rFonts w:hint="eastAsia" w:cs="Arial" w:asciiTheme="minorEastAsia" w:hAnsiTheme="minorEastAsia" w:eastAsiaTheme="minorEastAsia"/>
          <w:b/>
          <w:sz w:val="21"/>
          <w:szCs w:val="21"/>
        </w:rPr>
        <w:t xml:space="preserve">2.2.3 </w:t>
      </w:r>
      <w:r>
        <w:rPr>
          <w:rFonts w:hint="eastAsia" w:asciiTheme="minorEastAsia" w:hAnsiTheme="minorEastAsia" w:eastAsiaTheme="minorEastAsia"/>
          <w:b/>
          <w:sz w:val="21"/>
          <w:szCs w:val="21"/>
        </w:rPr>
        <w:t xml:space="preserve">后端硬件设施考核达标制</w:t>
      </w:r>
      <w:r>
        <w:rPr>
          <w:rFonts w:asciiTheme="minorEastAsia" w:hAnsiTheme="minorEastAsia" w:eastAsiaTheme="minorEastAsia"/>
          <w:b/>
          <w:sz w:val="21"/>
          <w:szCs w:val="21"/>
        </w:rPr>
        <w:t xml:space="preserve">度</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、本类型设备维护工作达标要求</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后端硬件设施（含服务器、交换机、路由器、存储设备、</w:t>
      </w:r>
      <w:r>
        <w:rPr>
          <w:rFonts w:hint="eastAsia" w:cs="Arial" w:asciiTheme="minorEastAsia" w:hAnsiTheme="minorEastAsia" w:eastAsiaTheme="minorEastAsia"/>
          <w:sz w:val="21"/>
          <w:szCs w:val="21"/>
        </w:rPr>
        <w:t xml:space="preserve">UPS</w:t>
      </w:r>
      <w:r>
        <w:rPr>
          <w:rFonts w:cs="Arial" w:asciiTheme="minorEastAsia" w:hAnsiTheme="minorEastAsia" w:eastAsiaTheme="minorEastAsia"/>
          <w:sz w:val="21"/>
          <w:szCs w:val="21"/>
        </w:rPr>
        <w:t xml:space="preserve">电源、机房配套设施等）维护工作，运行稳定率达标值为</w:t>
      </w:r>
      <w:r>
        <w:rPr>
          <w:rFonts w:hint="eastAsia" w:cs="Arial" w:asciiTheme="minorEastAsia" w:hAnsiTheme="minorEastAsia" w:eastAsiaTheme="minorEastAsia"/>
          <w:sz w:val="21"/>
          <w:szCs w:val="21"/>
        </w:rPr>
        <w:t xml:space="preserve">99.5%</w:t>
      </w:r>
      <w:r>
        <w:rPr>
          <w:rFonts w:cs="Arial" w:asciiTheme="minorEastAsia" w:hAnsiTheme="minorEastAsia" w:eastAsiaTheme="minorEastAsia"/>
          <w:sz w:val="21"/>
          <w:szCs w:val="21"/>
        </w:rPr>
        <w:t xml:space="preserve">；硬件无故障运行率达标值为</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；故障响应及时率达标值为</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、本类型设备运行指标计算方式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）核心指标认定</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运行稳定率（</w:t>
      </w:r>
      <w:r>
        <w:rPr>
          <w:rFonts w:hint="eastAsia" w:cs="Arial" w:asciiTheme="minorEastAsia" w:hAnsiTheme="minorEastAsia" w:eastAsiaTheme="minorEastAsia"/>
          <w:sz w:val="21"/>
          <w:szCs w:val="21"/>
        </w:rPr>
        <w:t xml:space="preserve">I3</w:t>
      </w:r>
      <w:r>
        <w:rPr>
          <w:rFonts w:cs="Arial" w:asciiTheme="minorEastAsia" w:hAnsiTheme="minorEastAsia" w:eastAsiaTheme="minorEastAsia"/>
          <w:sz w:val="21"/>
          <w:szCs w:val="21"/>
        </w:rPr>
        <w:t xml:space="preserve">）：当月后端硬件设施正常运行时间（小时）</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当月总小时数</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；正常运行定义为硬件无宕机、无异常报错，可正常承载前端设备数据接入、存储、转发等核心功能，设备运行温度、电压等参数符合规范。</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硬件无故障运行率（</w:t>
      </w:r>
      <w:r>
        <w:rPr>
          <w:rFonts w:hint="eastAsia" w:cs="Arial" w:asciiTheme="minorEastAsia" w:hAnsiTheme="minorEastAsia" w:eastAsiaTheme="minorEastAsia"/>
          <w:sz w:val="21"/>
          <w:szCs w:val="21"/>
        </w:rPr>
        <w:t xml:space="preserve">I4</w:t>
      </w:r>
      <w:r>
        <w:rPr>
          <w:rFonts w:cs="Arial" w:asciiTheme="minorEastAsia" w:hAnsiTheme="minorEastAsia" w:eastAsiaTheme="minorEastAsia"/>
          <w:sz w:val="21"/>
          <w:szCs w:val="21"/>
        </w:rPr>
        <w:t xml:space="preserve">）：当月无故障运行的硬件设备台数</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后端硬件设施总台数</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；无故障定义为硬件无损坏、无性能异常，无需维修即可正常运行，轻微故障（不影响整体功能）且在</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小时内修复的不计入故障统计。</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故障响应及时率（</w:t>
      </w:r>
      <w:r>
        <w:rPr>
          <w:rFonts w:hint="eastAsia" w:cs="Arial" w:asciiTheme="minorEastAsia" w:hAnsiTheme="minorEastAsia" w:eastAsiaTheme="minorEastAsia"/>
          <w:sz w:val="21"/>
          <w:szCs w:val="21"/>
        </w:rPr>
        <w:t xml:space="preserve">I5</w:t>
      </w:r>
      <w:r>
        <w:rPr>
          <w:rFonts w:cs="Arial" w:asciiTheme="minorEastAsia" w:hAnsiTheme="minorEastAsia" w:eastAsiaTheme="minorEastAsia"/>
          <w:sz w:val="21"/>
          <w:szCs w:val="21"/>
        </w:rPr>
        <w:t xml:space="preserve">）：当月及时响应的硬件故障数量</w:t>
      </w:r>
      <w:r>
        <w:rPr>
          <w:rFonts w:hint="eastAsia" w:cs="Arial" w:asciiTheme="minorEastAsia" w:hAnsiTheme="minorEastAsia" w:eastAsiaTheme="minorEastAsia"/>
          <w:sz w:val="21"/>
          <w:szCs w:val="21"/>
        </w:rPr>
        <w:t xml:space="preserve">÷</w:t>
      </w:r>
      <w:r>
        <w:rPr>
          <w:rFonts w:cs="Arial" w:asciiTheme="minorEastAsia" w:hAnsiTheme="minorEastAsia" w:eastAsiaTheme="minorEastAsia"/>
          <w:sz w:val="21"/>
          <w:szCs w:val="21"/>
        </w:rPr>
        <w:t xml:space="preserve">当月总硬件故障数量</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；及时响应定义为接到故障通知后，</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小时内启动排查，按合同规定时间内完成故障修复（含硬件更换、调试）。</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）补充说明</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硬件故障分为一般故障（单台非核心硬件故障，不影响整体系统运行）和重大故障（核心服务器、交换机等故障，导致系统宕机、数据无法传输，影响整体运维工作），均纳入统计范围；不可抗力（如停电、网络中断非运维方原因、硬件自然损耗超出运维责任范围）导致的硬件异常，不计入故障统计。</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、本类型设备特定扣分项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本类型设备根据运行稳定率设置稳定率扣分值</w:t>
      </w:r>
      <w:r>
        <w:rPr>
          <w:rFonts w:hint="eastAsia" w:cs="Arial" w:asciiTheme="minorEastAsia" w:hAnsiTheme="minorEastAsia" w:eastAsiaTheme="minorEastAsia"/>
          <w:sz w:val="21"/>
          <w:szCs w:val="21"/>
        </w:rPr>
        <w:t xml:space="preserve">D3</w:t>
      </w:r>
      <w:r>
        <w:rPr>
          <w:rFonts w:cs="Arial" w:asciiTheme="minorEastAsia" w:hAnsiTheme="minorEastAsia" w:eastAsiaTheme="minorEastAsia"/>
          <w:sz w:val="21"/>
          <w:szCs w:val="21"/>
        </w:rPr>
        <w:t xml:space="preserve">；根据硬件无故障运行率设置无故障扣分值</w:t>
      </w:r>
      <w:r>
        <w:rPr>
          <w:rFonts w:hint="eastAsia" w:cs="Arial" w:asciiTheme="minorEastAsia" w:hAnsiTheme="minorEastAsia" w:eastAsiaTheme="minorEastAsia"/>
          <w:sz w:val="21"/>
          <w:szCs w:val="21"/>
        </w:rPr>
        <w:t xml:space="preserve">G3</w:t>
      </w:r>
      <w:r>
        <w:rPr>
          <w:rFonts w:cs="Arial" w:asciiTheme="minorEastAsia" w:hAnsiTheme="minorEastAsia" w:eastAsiaTheme="minorEastAsia"/>
          <w:sz w:val="21"/>
          <w:szCs w:val="21"/>
        </w:rPr>
        <w:t xml:space="preserve">；根据故障响应及修复情况设置故障处理扣分值</w:t>
      </w:r>
      <w:r>
        <w:rPr>
          <w:rFonts w:hint="eastAsia" w:cs="Arial" w:asciiTheme="minorEastAsia" w:hAnsiTheme="minorEastAsia" w:eastAsiaTheme="minorEastAsia"/>
          <w:sz w:val="21"/>
          <w:szCs w:val="21"/>
        </w:rPr>
        <w:t xml:space="preserve">H3</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3.1 </w:t>
      </w:r>
      <w:r>
        <w:rPr>
          <w:rFonts w:cs="Arial" w:asciiTheme="minorEastAsia" w:hAnsiTheme="minorEastAsia" w:eastAsiaTheme="minorEastAsia"/>
          <w:sz w:val="21"/>
          <w:szCs w:val="21"/>
        </w:rPr>
        <w:t xml:space="preserve">稳定率扣分值</w:t>
      </w:r>
      <w:r>
        <w:rPr>
          <w:rFonts w:hint="eastAsia" w:cs="Arial" w:asciiTheme="minorEastAsia" w:hAnsiTheme="minorEastAsia" w:eastAsiaTheme="minorEastAsia"/>
          <w:sz w:val="21"/>
          <w:szCs w:val="21"/>
        </w:rPr>
        <w:t xml:space="preserve">D3</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当月运行稳定率＜</w:t>
      </w:r>
      <w:r>
        <w:rPr>
          <w:rFonts w:hint="eastAsia" w:cs="Arial" w:asciiTheme="minorEastAsia" w:hAnsiTheme="minorEastAsia" w:eastAsiaTheme="minorEastAsia"/>
          <w:sz w:val="21"/>
          <w:szCs w:val="21"/>
        </w:rPr>
        <w:t xml:space="preserve">99.5%</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99.5%</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当月运行稳定率＜</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99.5%</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分，同时扣除当月维护费的</w:t>
      </w:r>
      <w:r>
        <w:rPr>
          <w:rFonts w:hint="eastAsia" w:cs="Arial" w:asciiTheme="minorEastAsia" w:hAnsiTheme="minorEastAsia" w:eastAsiaTheme="minorEastAsia"/>
          <w:sz w:val="21"/>
          <w:szCs w:val="21"/>
        </w:rPr>
        <w:t xml:space="preserve">15%</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运行稳定率＜</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，扣除当月全部维护费；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运行稳定率连续</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个月低于</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，或出现</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次重大故障（故障持续时间超过</w:t>
      </w: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小时）未及时修复，姑苏分局有权解除维护合同。</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3.2 </w:t>
      </w:r>
      <w:r>
        <w:rPr>
          <w:rFonts w:cs="Arial" w:asciiTheme="minorEastAsia" w:hAnsiTheme="minorEastAsia" w:eastAsiaTheme="minorEastAsia"/>
          <w:sz w:val="21"/>
          <w:szCs w:val="21"/>
        </w:rPr>
        <w:t xml:space="preserve">无故障扣分值</w:t>
      </w:r>
      <w:r>
        <w:rPr>
          <w:rFonts w:hint="eastAsia" w:cs="Arial" w:asciiTheme="minorEastAsia" w:hAnsiTheme="minorEastAsia" w:eastAsiaTheme="minorEastAsia"/>
          <w:sz w:val="21"/>
          <w:szCs w:val="21"/>
        </w:rPr>
        <w:t xml:space="preserve">G3</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当月硬件无故障运行率＜</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0.5</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97%≤</w:t>
      </w:r>
      <w:r>
        <w:rPr>
          <w:rFonts w:cs="Arial" w:asciiTheme="minorEastAsia" w:hAnsiTheme="minorEastAsia" w:eastAsiaTheme="minorEastAsia"/>
          <w:sz w:val="21"/>
          <w:szCs w:val="21"/>
        </w:rPr>
        <w:t xml:space="preserve">当月硬件无故障运行率＜</w:t>
      </w:r>
      <w:r>
        <w:rPr>
          <w:rFonts w:hint="eastAsia" w:cs="Arial" w:asciiTheme="minorEastAsia" w:hAnsiTheme="minorEastAsia" w:eastAsiaTheme="minorEastAsia"/>
          <w:sz w:val="21"/>
          <w:szCs w:val="21"/>
        </w:rPr>
        <w:t xml:space="preserve">98%</w:t>
      </w:r>
      <w:r>
        <w:rPr>
          <w:rFonts w:cs="Arial" w:asciiTheme="minorEastAsia" w:hAnsiTheme="minorEastAsia" w:eastAsiaTheme="minorEastAsia"/>
          <w:sz w:val="21"/>
          <w:szCs w:val="21"/>
        </w:rPr>
        <w:t xml:space="preserve">，每低于</w:t>
      </w:r>
      <w:r>
        <w:rPr>
          <w:rFonts w:hint="eastAsia" w:cs="Arial" w:asciiTheme="minorEastAsia" w:hAnsiTheme="minorEastAsia" w:eastAsiaTheme="minorEastAsia"/>
          <w:sz w:val="21"/>
          <w:szCs w:val="21"/>
        </w:rPr>
        <w:t xml:space="preserve">99%</w:t>
      </w:r>
      <w:r>
        <w:rPr>
          <w:rFonts w:cs="Arial" w:asciiTheme="minorEastAsia" w:hAnsiTheme="minorEastAsia" w:eastAsiaTheme="minorEastAsia"/>
          <w:sz w:val="21"/>
          <w:szCs w:val="21"/>
        </w:rPr>
        <w:t xml:space="preserve">一个百分点扣</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硬件无故障运行率＜</w:t>
      </w:r>
      <w:r>
        <w:rPr>
          <w:rFonts w:hint="eastAsia" w:cs="Arial" w:asciiTheme="minorEastAsia" w:hAnsiTheme="minorEastAsia" w:eastAsiaTheme="minorEastAsia"/>
          <w:sz w:val="21"/>
          <w:szCs w:val="21"/>
        </w:rPr>
        <w:t xml:space="preserve">97%</w:t>
      </w:r>
      <w:r>
        <w:rPr>
          <w:rFonts w:cs="Arial" w:asciiTheme="minorEastAsia" w:hAnsiTheme="minorEastAsia" w:eastAsiaTheme="minorEastAsia"/>
          <w:sz w:val="21"/>
          <w:szCs w:val="21"/>
        </w:rPr>
        <w:t xml:space="preserve">，扣</w:t>
      </w:r>
      <w:r>
        <w:rPr>
          <w:rFonts w:hint="eastAsia" w:cs="Arial" w:asciiTheme="minorEastAsia" w:hAnsiTheme="minorEastAsia" w:eastAsiaTheme="minorEastAsia"/>
          <w:sz w:val="21"/>
          <w:szCs w:val="21"/>
        </w:rPr>
        <w:t xml:space="preserve">5</w:t>
      </w:r>
      <w:r>
        <w:rPr>
          <w:rFonts w:cs="Arial" w:asciiTheme="minorEastAsia" w:hAnsiTheme="minorEastAsia" w:eastAsiaTheme="minorEastAsia"/>
          <w:sz w:val="21"/>
          <w:szCs w:val="21"/>
        </w:rPr>
        <w:t xml:space="preserve">分，同时扣除当月维护费的</w:t>
      </w:r>
      <w:r>
        <w:rPr>
          <w:rFonts w:hint="eastAsia" w:cs="Arial" w:asciiTheme="minorEastAsia" w:hAnsiTheme="minorEastAsia" w:eastAsiaTheme="minorEastAsia"/>
          <w:sz w:val="21"/>
          <w:szCs w:val="21"/>
        </w:rPr>
        <w:t xml:space="preserve">10%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3.3 </w:t>
      </w:r>
      <w:r>
        <w:rPr>
          <w:rFonts w:cs="Arial" w:asciiTheme="minorEastAsia" w:hAnsiTheme="minorEastAsia" w:eastAsiaTheme="minorEastAsia"/>
          <w:sz w:val="21"/>
          <w:szCs w:val="21"/>
        </w:rPr>
        <w:t xml:space="preserve">故障处理扣分值</w:t>
      </w:r>
      <w:r>
        <w:rPr>
          <w:rFonts w:hint="eastAsia" w:cs="Arial" w:asciiTheme="minorEastAsia" w:hAnsiTheme="minorEastAsia" w:eastAsiaTheme="minorEastAsia"/>
          <w:sz w:val="21"/>
          <w:szCs w:val="21"/>
        </w:rPr>
        <w:t xml:space="preserve">H3</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故障响应不及时（超过</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小时未启动排查），每次扣</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一般故障未在合同规定时间内修复，每次扣</w:t>
      </w:r>
      <w:r>
        <w:rPr>
          <w:rFonts w:hint="eastAsia" w:cs="Arial" w:asciiTheme="minorEastAsia" w:hAnsiTheme="minorEastAsia" w:eastAsiaTheme="minorEastAsia"/>
          <w:sz w:val="21"/>
          <w:szCs w:val="21"/>
        </w:rPr>
        <w:t xml:space="preserve">3</w:t>
      </w:r>
      <w:r>
        <w:rPr>
          <w:rFonts w:cs="Arial" w:asciiTheme="minorEastAsia" w:hAnsiTheme="minorEastAsia" w:eastAsiaTheme="minorEastAsia"/>
          <w:sz w:val="21"/>
          <w:szCs w:val="21"/>
        </w:rPr>
        <w:t xml:space="preserve">分；重大故障未在合同规定时间内修复，每次扣</w:t>
      </w:r>
      <w:r>
        <w:rPr>
          <w:rFonts w:hint="eastAsia" w:cs="Arial" w:asciiTheme="minorEastAsia" w:hAnsiTheme="minorEastAsia" w:eastAsiaTheme="minorEastAsia"/>
          <w:sz w:val="21"/>
          <w:szCs w:val="21"/>
        </w:rPr>
        <w:t xml:space="preserve">8</w:t>
      </w:r>
      <w:r>
        <w:rPr>
          <w:rFonts w:cs="Arial" w:asciiTheme="minorEastAsia" w:hAnsiTheme="minorEastAsia" w:eastAsiaTheme="minorEastAsia"/>
          <w:sz w:val="21"/>
          <w:szCs w:val="21"/>
        </w:rPr>
        <w:t xml:space="preserve">分，同时扣除当月维护费的</w:t>
      </w:r>
      <w:r>
        <w:rPr>
          <w:rFonts w:hint="eastAsia" w:cs="Arial" w:asciiTheme="minorEastAsia" w:hAnsiTheme="minorEastAsia" w:eastAsiaTheme="minorEastAsia"/>
          <w:sz w:val="21"/>
          <w:szCs w:val="21"/>
        </w:rPr>
        <w:t xml:space="preserve">25%</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cs="Arial" w:asciiTheme="minorEastAsia" w:hAnsiTheme="minorEastAsia" w:eastAsiaTheme="minorEastAsia"/>
          <w:sz w:val="21"/>
          <w:szCs w:val="21"/>
        </w:rPr>
        <w:t xml:space="preserve">故障修复后，</w:t>
      </w:r>
      <w:r>
        <w:rPr>
          <w:rFonts w:hint="eastAsia" w:cs="Arial" w:asciiTheme="minorEastAsia" w:hAnsiTheme="minorEastAsia" w:eastAsiaTheme="minorEastAsia"/>
          <w:sz w:val="21"/>
          <w:szCs w:val="21"/>
        </w:rPr>
        <w:t xml:space="preserve">1</w:t>
      </w:r>
      <w:r>
        <w:rPr>
          <w:rFonts w:cs="Arial" w:asciiTheme="minorEastAsia" w:hAnsiTheme="minorEastAsia" w:eastAsiaTheme="minorEastAsia"/>
          <w:sz w:val="21"/>
          <w:szCs w:val="21"/>
        </w:rPr>
        <w:t xml:space="preserve">周内再次出现同一硬件故障（非硬件质量问题），每次扣</w:t>
      </w: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分。</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4</w:t>
      </w:r>
      <w:r>
        <w:rPr>
          <w:rFonts w:cs="Arial" w:asciiTheme="minorEastAsia" w:hAnsiTheme="minorEastAsia" w:eastAsiaTheme="minorEastAsia"/>
          <w:sz w:val="21"/>
          <w:szCs w:val="21"/>
        </w:rPr>
        <w:t xml:space="preserve">、本类型设备维护费结算方式</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C3=Y3*(I3*0.5 + I4*0.3 + I5*0.2)*</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100-D3-G3-H3</w:t>
      </w: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/100</w:t>
      </w:r>
      <w:r>
        <w:rPr>
          <w:rFonts w:cs="Arial" w:asciiTheme="minorEastAsia" w:hAnsiTheme="minorEastAsia" w:eastAsiaTheme="minorEastAsia"/>
          <w:sz w:val="21"/>
          <w:szCs w:val="21"/>
        </w:rPr>
        <w:t xml:space="preserve">】</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C3</w:t>
      </w:r>
      <w:r>
        <w:rPr>
          <w:rFonts w:cs="Arial" w:asciiTheme="minorEastAsia" w:hAnsiTheme="minorEastAsia" w:eastAsiaTheme="minorEastAsia"/>
          <w:sz w:val="21"/>
          <w:szCs w:val="21"/>
        </w:rPr>
        <w:t xml:space="preserve">：后端硬件设施月实际维护费</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Y3</w:t>
      </w:r>
      <w:r>
        <w:rPr>
          <w:rFonts w:cs="Arial" w:asciiTheme="minorEastAsia" w:hAnsiTheme="minorEastAsia" w:eastAsiaTheme="minorEastAsia"/>
          <w:sz w:val="21"/>
          <w:szCs w:val="21"/>
        </w:rPr>
        <w:t xml:space="preserve">：后端硬件设施月维护基价（按合同约定执行）</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I3</w:t>
      </w:r>
      <w:r>
        <w:rPr>
          <w:rFonts w:cs="Arial" w:asciiTheme="minorEastAsia" w:hAnsiTheme="minorEastAsia" w:eastAsiaTheme="minorEastAsia"/>
          <w:sz w:val="21"/>
          <w:szCs w:val="21"/>
        </w:rPr>
        <w:t xml:space="preserve">：运行稳定率</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I4</w:t>
      </w:r>
      <w:r>
        <w:rPr>
          <w:rFonts w:cs="Arial" w:asciiTheme="minorEastAsia" w:hAnsiTheme="minorEastAsia" w:eastAsiaTheme="minorEastAsia"/>
          <w:sz w:val="21"/>
          <w:szCs w:val="21"/>
        </w:rPr>
        <w:t xml:space="preserve">：硬件无故障运行率</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I5</w:t>
      </w:r>
      <w:r>
        <w:rPr>
          <w:rFonts w:cs="Arial" w:asciiTheme="minorEastAsia" w:hAnsiTheme="minorEastAsia" w:eastAsiaTheme="minorEastAsia"/>
          <w:sz w:val="21"/>
          <w:szCs w:val="21"/>
        </w:rPr>
        <w:t xml:space="preserve">：故障响应及时率</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D3</w:t>
      </w:r>
      <w:r>
        <w:rPr>
          <w:rFonts w:cs="Arial" w:asciiTheme="minorEastAsia" w:hAnsiTheme="minorEastAsia" w:eastAsiaTheme="minorEastAsia"/>
          <w:sz w:val="21"/>
          <w:szCs w:val="21"/>
        </w:rPr>
        <w:t xml:space="preserve">：稳定率扣分值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G3</w:t>
      </w:r>
      <w:r>
        <w:rPr>
          <w:rFonts w:cs="Arial" w:asciiTheme="minorEastAsia" w:hAnsiTheme="minorEastAsia" w:eastAsiaTheme="minorEastAsia"/>
          <w:sz w:val="21"/>
          <w:szCs w:val="21"/>
        </w:rPr>
        <w:t xml:space="preserve">：无故障扣分值</w:t>
      </w:r>
      <w:r/>
    </w:p>
    <w:p>
      <w:pPr>
        <w:ind w:left="0" w:firstLine="420"/>
        <w:jc w:val="left"/>
        <w:spacing w:line="360" w:lineRule="auto"/>
        <w:tabs>
          <w:tab w:val="left" w:pos="420" w:leader="none"/>
        </w:tabs>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 xml:space="preserve">H3</w:t>
      </w:r>
      <w:r>
        <w:rPr>
          <w:rFonts w:cs="Arial" w:asciiTheme="minorEastAsia" w:hAnsiTheme="minorEastAsia" w:eastAsiaTheme="minorEastAsia"/>
          <w:sz w:val="21"/>
          <w:szCs w:val="21"/>
        </w:rPr>
        <w:t xml:space="preserve">：故障处理扣分值</w:t>
      </w:r>
      <w:r/>
    </w:p>
    <w:p>
      <w:pPr>
        <w:ind w:left="0" w:firstLine="422"/>
        <w:jc w:val="left"/>
        <w:spacing w:line="360" w:lineRule="auto"/>
        <w:tabs>
          <w:tab w:val="left" w:pos="420" w:leader="none"/>
        </w:tabs>
        <w:rPr>
          <w:rFonts w:cs="Arial" w:asciiTheme="minorEastAsia" w:hAnsiTheme="minorEastAsia" w:eastAsiaTheme="minorEastAsia"/>
          <w:b/>
          <w:sz w:val="21"/>
          <w:szCs w:val="21"/>
        </w:rPr>
      </w:pPr>
      <w:r>
        <w:rPr>
          <w:rFonts w:hint="eastAsia" w:cs="Arial" w:asciiTheme="minorEastAsia" w:hAnsiTheme="minorEastAsia" w:eastAsiaTheme="minorEastAsia"/>
          <w:b/>
          <w:sz w:val="21"/>
          <w:szCs w:val="21"/>
        </w:rPr>
        <w:t xml:space="preserve">2.2.4 </w:t>
      </w:r>
      <w:r>
        <w:rPr>
          <w:rFonts w:hint="eastAsia" w:asciiTheme="minorEastAsia" w:hAnsiTheme="minorEastAsia" w:eastAsiaTheme="minorEastAsia"/>
          <w:b/>
          <w:sz w:val="21"/>
          <w:szCs w:val="21"/>
        </w:rPr>
        <w:t xml:space="preserve">本考核管理办法会因政策要求或管理需求的变化而变更，具体以姑苏公安分局最新要求为准</w:t>
      </w:r>
      <w:r>
        <w:rPr>
          <w:rFonts w:asciiTheme="minorEastAsia" w:hAnsiTheme="minorEastAsia" w:eastAsiaTheme="minorEastAsia"/>
          <w:b/>
          <w:sz w:val="21"/>
          <w:szCs w:val="21"/>
        </w:rPr>
        <w:t xml:space="preserve">。</w:t>
      </w:r>
      <w:r/>
    </w:p>
    <w:p>
      <w:pPr>
        <w:ind w:left="0" w:firstLine="420"/>
        <w:spacing w:line="48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bookmarkEnd w:id="115"/>
      <w:r/>
    </w:p>
    <w:p>
      <w:pPr>
        <w:pStyle w:val="908"/>
        <w:ind w:left="400" w:firstLine="883"/>
        <w:rPr>
          <w:rFonts w:ascii="宋体" w:hAnsi="宋体"/>
          <w:b/>
          <w:sz w:val="44"/>
          <w:szCs w:val="22"/>
        </w:rPr>
      </w:pPr>
      <w:r>
        <w:rPr>
          <w:rFonts w:hint="eastAsia" w:ascii="宋体" w:hAnsi="宋体"/>
          <w:b/>
          <w:sz w:val="44"/>
          <w:szCs w:val="22"/>
        </w:rPr>
        <w:br w:type="page" w:clear="all"/>
      </w:r>
      <w:r/>
    </w:p>
    <w:p>
      <w:pPr>
        <w:pStyle w:val="849"/>
        <w:ind w:left="0" w:firstLine="0"/>
        <w:jc w:val="center"/>
        <w:rPr>
          <w:rFonts w:ascii="宋体" w:hAnsi="宋体"/>
          <w:b/>
          <w:sz w:val="44"/>
          <w:szCs w:val="22"/>
        </w:rPr>
      </w:pPr>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 评标办法和评分标准</w:t>
      </w:r>
      <w:bookmarkEnd w:id="116"/>
      <w:r/>
      <w:bookmarkEnd w:id="117"/>
      <w:r/>
      <w:bookmarkEnd w:id="118"/>
      <w:r/>
      <w:bookmarkEnd w:id="119"/>
      <w:r/>
      <w:r/>
    </w:p>
    <w:p>
      <w:pPr>
        <w:ind w:left="0" w:firstLine="422"/>
        <w:spacing w:line="360" w:lineRule="auto"/>
        <w:rPr>
          <w:rFonts w:ascii="宋体" w:hAnsi="宋体"/>
          <w:b/>
          <w:sz w:val="21"/>
          <w:szCs w:val="21"/>
        </w:rPr>
      </w:pPr>
      <w:r/>
      <w:bookmarkStart w:id="129" w:name="_Toc16264"/>
      <w:r/>
      <w:bookmarkStart w:id="130" w:name="_Toc698"/>
      <w:r/>
      <w:bookmarkStart w:id="131" w:name="_Toc17476"/>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1"/>
      </w:pPr>
      <w:r/>
      <w:r/>
    </w:p>
    <w:p>
      <w:pPr>
        <w:pStyle w:val="86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1</w:t>
            </w:r>
            <w:r>
              <w:rPr>
                <w:rFonts w:ascii="宋体" w:hAnsi="宋体"/>
                <w:sz w:val="21"/>
                <w:szCs w:val="21"/>
                <w:lang w:bidi="ar"/>
              </w:rPr>
              <w:t xml:space="preserve">0</w:t>
            </w:r>
            <w:r>
              <w:rPr>
                <w:rFonts w:hint="eastAsia" w:ascii="宋体" w:hAnsi="宋体"/>
                <w:sz w:val="21"/>
                <w:szCs w:val="21"/>
                <w:lang w:bidi="ar"/>
              </w:rPr>
              <w:t xml:space="preserve">％×100</w:t>
            </w:r>
            <w:r/>
          </w:p>
          <w:p>
            <w:pPr>
              <w:pStyle w:val="861"/>
              <w:ind w:left="0" w:firstLine="0"/>
              <w:rPr>
                <w:b/>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cs="Tahoma"/>
                <w:sz w:val="21"/>
                <w:szCs w:val="21"/>
              </w:rPr>
              <w:t xml:space="preserve">1</w:t>
            </w:r>
            <w:r>
              <w:rPr>
                <w:rFonts w:ascii="宋体" w:hAnsi="宋体" w:cs="Tahoma"/>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rPr>
              <w:t xml:space="preserve">日常巡检、维修和设备保养方案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单位根据本项目实际提出日常巡检、维修和设备保养方案，包括但不限于：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1）前端设备；</w:t>
            </w:r>
            <w:r/>
          </w:p>
          <w:p>
            <w:pPr>
              <w:ind w:left="0"/>
              <w:widowControl w:val="off"/>
              <w:rPr>
                <w:rFonts w:ascii="宋体" w:hAnsi="宋体"/>
                <w:sz w:val="21"/>
                <w:szCs w:val="21"/>
                <w:lang w:bidi="ar"/>
              </w:rPr>
            </w:pPr>
            <w:r>
              <w:rPr>
                <w:rFonts w:hint="eastAsia" w:ascii="宋体" w:hAnsi="宋体"/>
                <w:sz w:val="21"/>
                <w:szCs w:val="21"/>
                <w:lang w:bidi="ar"/>
              </w:rPr>
              <w:t xml:space="preserve">2）网络设备；</w:t>
            </w:r>
            <w:r/>
          </w:p>
          <w:p>
            <w:pPr>
              <w:ind w:left="0"/>
              <w:widowControl w:val="off"/>
              <w:rPr>
                <w:rFonts w:ascii="宋体" w:hAnsi="宋体"/>
                <w:sz w:val="21"/>
                <w:szCs w:val="21"/>
                <w:lang w:bidi="ar"/>
              </w:rPr>
            </w:pPr>
            <w:r>
              <w:rPr>
                <w:rFonts w:hint="eastAsia" w:ascii="宋体" w:hAnsi="宋体"/>
                <w:sz w:val="21"/>
                <w:szCs w:val="21"/>
                <w:lang w:bidi="ar"/>
              </w:rPr>
              <w:t xml:space="preserve">3）服务器；</w:t>
            </w:r>
            <w:r/>
          </w:p>
          <w:p>
            <w:pPr>
              <w:ind w:left="0"/>
              <w:widowControl w:val="off"/>
              <w:rPr>
                <w:rFonts w:ascii="宋体" w:hAnsi="宋体"/>
                <w:sz w:val="21"/>
                <w:szCs w:val="21"/>
                <w:lang w:bidi="ar"/>
              </w:rPr>
            </w:pPr>
            <w:r>
              <w:rPr>
                <w:rFonts w:hint="eastAsia" w:ascii="宋体" w:hAnsi="宋体"/>
                <w:sz w:val="21"/>
                <w:szCs w:val="21"/>
                <w:lang w:bidi="ar"/>
              </w:rPr>
              <w:t xml:space="preserve">4）安全设备。</w:t>
            </w:r>
            <w:r/>
          </w:p>
          <w:p>
            <w:pPr>
              <w:ind w:left="0"/>
              <w:widowControl w:val="off"/>
              <w:rPr>
                <w:lang w:bidi="ar"/>
              </w:rPr>
            </w:pPr>
            <w:r>
              <w:rPr>
                <w:rFonts w:hint="eastAsia" w:ascii="宋体" w:hAnsi="宋体"/>
                <w:sz w:val="21"/>
                <w:szCs w:val="21"/>
                <w:lang w:bidi="ar"/>
              </w:rPr>
              <w:t xml:space="preserve">上述每项应逐条叙述，内容完整，条理清晰的得1</w:t>
            </w:r>
            <w:r>
              <w:rPr>
                <w:rFonts w:ascii="宋体" w:hAnsi="宋体"/>
                <w:sz w:val="21"/>
                <w:szCs w:val="21"/>
                <w:lang w:bidi="ar"/>
              </w:rPr>
              <w:t xml:space="preserve">.5</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b/>
                <w:bCs/>
              </w:rPr>
              <w:t xml:space="preserve">安全生产方案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单位根据本项目实际提出安全生产方案，包括但不限于：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1）安全措施计划；</w:t>
            </w:r>
            <w:r/>
          </w:p>
          <w:p>
            <w:pPr>
              <w:ind w:left="0"/>
              <w:widowControl w:val="off"/>
              <w:rPr>
                <w:rFonts w:ascii="宋体" w:hAnsi="宋体"/>
                <w:sz w:val="21"/>
                <w:szCs w:val="21"/>
                <w:lang w:bidi="ar"/>
              </w:rPr>
            </w:pPr>
            <w:r>
              <w:rPr>
                <w:rFonts w:hint="eastAsia" w:ascii="宋体" w:hAnsi="宋体"/>
                <w:sz w:val="21"/>
                <w:szCs w:val="21"/>
                <w:lang w:bidi="ar"/>
              </w:rPr>
              <w:t xml:space="preserve">2）质量保证措施；</w:t>
            </w:r>
            <w:r/>
          </w:p>
          <w:p>
            <w:pPr>
              <w:ind w:left="0"/>
              <w:widowControl w:val="off"/>
              <w:rPr>
                <w:rFonts w:ascii="宋体" w:hAnsi="宋体"/>
                <w:sz w:val="21"/>
                <w:szCs w:val="21"/>
                <w:lang w:bidi="ar"/>
              </w:rPr>
            </w:pPr>
            <w:r>
              <w:rPr>
                <w:rFonts w:hint="eastAsia" w:ascii="宋体" w:hAnsi="宋体"/>
                <w:sz w:val="21"/>
                <w:szCs w:val="21"/>
                <w:lang w:bidi="ar"/>
              </w:rPr>
              <w:t xml:space="preserve">3）安全防范措施。</w:t>
            </w:r>
            <w:r/>
          </w:p>
          <w:p>
            <w:pPr>
              <w:pStyle w:val="861"/>
              <w:ind w:left="0" w:firstLine="0"/>
              <w:rPr>
                <w:lang w:bidi="ar"/>
              </w:rPr>
            </w:pPr>
            <w:r/>
            <w:bookmarkStart w:id="132" w:name="OLE_LINK77"/>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32"/>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b/>
                <w:bCs/>
              </w:rPr>
              <w:t xml:space="preserve">制定项目管理制度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单位根据本项目实际提出日常巡检、维修和设备保养方案，包括但不限于：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1）项目实施的日常管理；</w:t>
            </w:r>
            <w:r/>
          </w:p>
          <w:p>
            <w:pPr>
              <w:ind w:left="0"/>
              <w:widowControl w:val="off"/>
              <w:rPr>
                <w:rFonts w:ascii="宋体" w:hAnsi="宋体"/>
                <w:sz w:val="21"/>
                <w:szCs w:val="21"/>
                <w:lang w:bidi="ar"/>
              </w:rPr>
            </w:pPr>
            <w:r>
              <w:rPr>
                <w:rFonts w:hint="eastAsia" w:ascii="宋体" w:hAnsi="宋体"/>
                <w:sz w:val="21"/>
                <w:szCs w:val="21"/>
                <w:lang w:bidi="ar"/>
              </w:rPr>
              <w:t xml:space="preserve">2）行政制度；</w:t>
            </w:r>
            <w:r/>
          </w:p>
          <w:p>
            <w:pPr>
              <w:ind w:left="0"/>
              <w:widowControl w:val="off"/>
              <w:rPr>
                <w:rFonts w:ascii="宋体" w:hAnsi="宋体"/>
                <w:sz w:val="21"/>
                <w:szCs w:val="21"/>
                <w:lang w:bidi="ar"/>
              </w:rPr>
            </w:pPr>
            <w:r>
              <w:rPr>
                <w:rFonts w:hint="eastAsia" w:ascii="宋体" w:hAnsi="宋体"/>
                <w:sz w:val="21"/>
                <w:szCs w:val="21"/>
                <w:lang w:bidi="ar"/>
              </w:rPr>
              <w:t xml:space="preserve">3）人员岗位职责及考核。</w:t>
            </w:r>
            <w:r/>
          </w:p>
          <w:p>
            <w:pPr>
              <w:pStyle w:val="861"/>
              <w:ind w:left="0" w:firstLine="0"/>
              <w:rPr>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w:t>
            </w:r>
            <w:r>
              <w:rPr>
                <w:rFonts w:hint="eastAsia" w:ascii="宋体" w:hAnsi="宋体"/>
                <w:sz w:val="21"/>
                <w:szCs w:val="21"/>
                <w:lang w:bidi="ar"/>
              </w:rPr>
              <w:t xml:space="preserve">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b/>
                <w:spacing w:val="1"/>
                <w:sz w:val="21"/>
                <w:szCs w:val="21"/>
              </w:rPr>
              <w:t xml:space="preserve">姑苏区外围区界卡口及购买服务项目运维方案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单位根据本项目实际提出姑苏区外围区界卡口及购买服务项目运维方案，包括但不限于：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1）前端设备（外围区界卡口、人员复杂场所前端设备2个点位）；</w:t>
            </w:r>
            <w:r/>
          </w:p>
          <w:p>
            <w:pPr>
              <w:ind w:left="0"/>
              <w:widowControl w:val="off"/>
              <w:rPr>
                <w:rFonts w:ascii="宋体" w:hAnsi="宋体"/>
                <w:sz w:val="21"/>
                <w:szCs w:val="21"/>
                <w:lang w:bidi="ar"/>
              </w:rPr>
            </w:pPr>
            <w:r>
              <w:rPr>
                <w:rFonts w:hint="eastAsia" w:ascii="宋体" w:hAnsi="宋体"/>
                <w:sz w:val="21"/>
                <w:szCs w:val="21"/>
                <w:lang w:bidi="ar"/>
              </w:rPr>
              <w:t xml:space="preserve">2）中心设备；</w:t>
            </w:r>
            <w:r/>
          </w:p>
          <w:p>
            <w:pPr>
              <w:ind w:left="0"/>
              <w:widowControl w:val="off"/>
              <w:rPr>
                <w:rFonts w:ascii="宋体" w:hAnsi="宋体"/>
                <w:sz w:val="21"/>
                <w:szCs w:val="21"/>
                <w:lang w:bidi="ar"/>
              </w:rPr>
            </w:pPr>
            <w:r>
              <w:rPr>
                <w:rFonts w:hint="eastAsia" w:ascii="宋体" w:hAnsi="宋体"/>
                <w:sz w:val="21"/>
                <w:szCs w:val="21"/>
                <w:lang w:bidi="ar"/>
              </w:rPr>
              <w:t xml:space="preserve">3）网络传输；</w:t>
            </w:r>
            <w:r/>
          </w:p>
          <w:p>
            <w:pPr>
              <w:ind w:left="0"/>
              <w:widowControl w:val="off"/>
              <w:rPr>
                <w:rFonts w:ascii="宋体" w:hAnsi="宋体"/>
                <w:sz w:val="21"/>
                <w:szCs w:val="21"/>
                <w:lang w:bidi="ar"/>
              </w:rPr>
            </w:pPr>
            <w:r>
              <w:rPr>
                <w:rFonts w:hint="eastAsia" w:ascii="宋体" w:hAnsi="宋体"/>
                <w:sz w:val="21"/>
                <w:szCs w:val="21"/>
                <w:lang w:bidi="ar"/>
              </w:rPr>
              <w:t xml:space="preserve">4）数据购买服务。</w:t>
            </w:r>
            <w:r/>
          </w:p>
          <w:p>
            <w:pPr>
              <w:pStyle w:val="861"/>
              <w:ind w:left="0" w:firstLine="0"/>
              <w:rPr>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w:t>
            </w:r>
            <w:r>
              <w:rPr>
                <w:rFonts w:hint="eastAsia" w:ascii="宋体" w:hAnsi="宋体"/>
                <w:sz w:val="21"/>
                <w:szCs w:val="21"/>
                <w:lang w:bidi="ar"/>
              </w:rPr>
              <w:t xml:space="preserve">分；内容基本完整，条理较为清晰的得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b/>
                <w:spacing w:val="1"/>
                <w:sz w:val="21"/>
                <w:szCs w:val="21"/>
              </w:rPr>
              <w:t xml:space="preserve">姑苏区疫情防控监控项目运维方案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单位根据本项目实际提出姑苏区疫情防控监控项目运维方案，包括但不限于：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1）前端设备（姑苏区查封点、卫生服务中心核酸采样点、小区、超市、农贸市场、公厕、火车站7个点位）；</w:t>
            </w:r>
            <w:r/>
          </w:p>
          <w:p>
            <w:pPr>
              <w:ind w:left="0"/>
              <w:widowControl w:val="off"/>
              <w:rPr>
                <w:rFonts w:ascii="宋体" w:hAnsi="宋体"/>
                <w:sz w:val="21"/>
                <w:szCs w:val="21"/>
                <w:lang w:bidi="ar"/>
              </w:rPr>
            </w:pPr>
            <w:r>
              <w:rPr>
                <w:rFonts w:hint="eastAsia" w:ascii="宋体" w:hAnsi="宋体"/>
                <w:sz w:val="21"/>
                <w:szCs w:val="21"/>
                <w:lang w:bidi="ar"/>
              </w:rPr>
              <w:t xml:space="preserve">2）中心设备和移动设备；</w:t>
            </w:r>
            <w:r/>
          </w:p>
          <w:p>
            <w:pPr>
              <w:ind w:left="0"/>
              <w:widowControl w:val="off"/>
              <w:rPr>
                <w:rFonts w:ascii="宋体" w:hAnsi="宋体"/>
                <w:sz w:val="21"/>
                <w:szCs w:val="21"/>
                <w:lang w:bidi="ar"/>
              </w:rPr>
            </w:pPr>
            <w:r>
              <w:rPr>
                <w:rFonts w:hint="eastAsia" w:ascii="宋体" w:hAnsi="宋体"/>
                <w:sz w:val="21"/>
                <w:szCs w:val="21"/>
                <w:lang w:bidi="ar"/>
              </w:rPr>
              <w:t xml:space="preserve">3）传输链路；</w:t>
            </w:r>
            <w:r/>
          </w:p>
          <w:p>
            <w:pPr>
              <w:ind w:left="0"/>
              <w:widowControl w:val="off"/>
              <w:rPr>
                <w:rFonts w:ascii="宋体" w:hAnsi="宋体"/>
                <w:sz w:val="21"/>
                <w:szCs w:val="21"/>
                <w:lang w:bidi="ar"/>
              </w:rPr>
            </w:pPr>
            <w:r>
              <w:rPr>
                <w:rFonts w:hint="eastAsia" w:ascii="宋体" w:hAnsi="宋体"/>
                <w:sz w:val="21"/>
                <w:szCs w:val="21"/>
                <w:lang w:bidi="ar"/>
              </w:rPr>
              <w:t xml:space="preserve">4）场所建设。</w:t>
            </w:r>
            <w:r/>
          </w:p>
          <w:p>
            <w:pPr>
              <w:pStyle w:val="861"/>
              <w:ind w:left="0" w:firstLine="0"/>
              <w:rPr>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w:t>
            </w:r>
            <w:r>
              <w:rPr>
                <w:rFonts w:hint="eastAsia" w:ascii="宋体" w:hAnsi="宋体"/>
                <w:sz w:val="21"/>
                <w:szCs w:val="21"/>
                <w:lang w:bidi="ar"/>
              </w:rPr>
              <w:t xml:space="preserve">分；内容基本完整，条理较为清晰的得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b/>
                <w:spacing w:val="1"/>
                <w:sz w:val="21"/>
                <w:szCs w:val="21"/>
              </w:rPr>
              <w:t xml:space="preserve">姑苏区疫情防控小区监控安装工程运维方案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w:t>
            </w:r>
            <w:r>
              <w:rPr>
                <w:rFonts w:hint="eastAsia" w:ascii="宋体" w:hAnsi="宋体"/>
                <w:sz w:val="21"/>
                <w:szCs w:val="21"/>
                <w:lang w:bidi="ar"/>
              </w:rPr>
              <w:t xml:space="preserve">单位根据本项目实际提出姑苏区疫情防控小区监控安装工程运维方案，包括但不限于：</w:t>
            </w:r>
            <w:r/>
          </w:p>
          <w:p>
            <w:pPr>
              <w:ind w:left="0"/>
              <w:widowControl w:val="off"/>
              <w:rPr>
                <w:rFonts w:ascii="宋体" w:hAnsi="宋体"/>
                <w:sz w:val="21"/>
                <w:szCs w:val="21"/>
                <w:lang w:bidi="ar"/>
              </w:rPr>
            </w:pPr>
            <w:r>
              <w:rPr>
                <w:rFonts w:hint="eastAsia" w:ascii="宋体" w:hAnsi="宋体"/>
                <w:sz w:val="21"/>
                <w:szCs w:val="21"/>
                <w:lang w:bidi="ar"/>
              </w:rPr>
              <w:t xml:space="preserve">1）车辆卡口摄像机；</w:t>
            </w:r>
            <w:r/>
          </w:p>
          <w:p>
            <w:pPr>
              <w:ind w:left="0"/>
              <w:widowControl w:val="off"/>
              <w:rPr>
                <w:rFonts w:ascii="宋体" w:hAnsi="宋体"/>
                <w:sz w:val="21"/>
                <w:szCs w:val="21"/>
                <w:lang w:bidi="ar"/>
              </w:rPr>
            </w:pPr>
            <w:r>
              <w:rPr>
                <w:rFonts w:hint="eastAsia" w:ascii="宋体" w:hAnsi="宋体"/>
                <w:sz w:val="21"/>
                <w:szCs w:val="21"/>
                <w:lang w:bidi="ar"/>
              </w:rPr>
              <w:t xml:space="preserve">2）人员卡口摄像机；</w:t>
            </w:r>
            <w:r/>
          </w:p>
          <w:p>
            <w:pPr>
              <w:ind w:left="0"/>
              <w:widowControl w:val="off"/>
              <w:rPr>
                <w:rFonts w:ascii="宋体" w:hAnsi="宋体"/>
                <w:sz w:val="21"/>
                <w:szCs w:val="21"/>
                <w:lang w:bidi="ar"/>
              </w:rPr>
            </w:pPr>
            <w:r>
              <w:rPr>
                <w:rFonts w:hint="eastAsia" w:ascii="宋体" w:hAnsi="宋体"/>
                <w:sz w:val="21"/>
                <w:szCs w:val="21"/>
                <w:lang w:bidi="ar"/>
              </w:rPr>
              <w:t xml:space="preserve">3）制高点监控。</w:t>
            </w:r>
            <w:r/>
          </w:p>
          <w:p>
            <w:pPr>
              <w:pStyle w:val="861"/>
              <w:ind w:left="0" w:firstLine="0"/>
              <w:rPr>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w:t>
            </w:r>
            <w:r>
              <w:rPr>
                <w:rFonts w:hint="eastAsia" w:ascii="宋体" w:hAnsi="宋体"/>
                <w:sz w:val="21"/>
                <w:szCs w:val="21"/>
                <w:lang w:bidi="ar"/>
              </w:rPr>
              <w:t xml:space="preserve">分；内容基本完整，条理较为清晰的得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b/>
                <w:spacing w:val="1"/>
                <w:sz w:val="21"/>
                <w:szCs w:val="21"/>
              </w:rPr>
              <w:t xml:space="preserve">姑苏老旧小区及人像识别建设项目运维方案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w:t>
            </w:r>
            <w:r>
              <w:rPr>
                <w:rFonts w:hint="eastAsia" w:ascii="宋体" w:hAnsi="宋体" w:cs="Times New Roman"/>
                <w:sz w:val="21"/>
                <w:szCs w:val="21"/>
              </w:rPr>
              <w:t xml:space="preserve">单位根据本项目实际提出姑苏老旧小区及人像识别建设项目运维方案，包括但不限于：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1）人像抓拍摄像机；</w:t>
            </w:r>
            <w:r/>
          </w:p>
          <w:p>
            <w:pPr>
              <w:ind w:left="0"/>
              <w:widowControl w:val="off"/>
              <w:rPr>
                <w:rFonts w:ascii="宋体" w:hAnsi="宋体" w:cs="Times New Roman"/>
                <w:sz w:val="21"/>
                <w:szCs w:val="21"/>
              </w:rPr>
            </w:pPr>
            <w:r>
              <w:rPr>
                <w:rFonts w:hint="eastAsia" w:ascii="宋体" w:hAnsi="宋体" w:cs="Times New Roman"/>
                <w:sz w:val="21"/>
                <w:szCs w:val="21"/>
              </w:rPr>
              <w:t xml:space="preserve">2）交换机；</w:t>
            </w:r>
            <w:r/>
          </w:p>
          <w:p>
            <w:pPr>
              <w:ind w:left="0"/>
              <w:widowControl w:val="off"/>
              <w:rPr>
                <w:rFonts w:ascii="宋体" w:hAnsi="宋体" w:cs="Times New Roman"/>
                <w:sz w:val="21"/>
                <w:szCs w:val="21"/>
              </w:rPr>
            </w:pPr>
            <w:r>
              <w:rPr>
                <w:rFonts w:hint="eastAsia" w:ascii="宋体" w:hAnsi="宋体" w:cs="Times New Roman"/>
                <w:sz w:val="21"/>
                <w:szCs w:val="21"/>
              </w:rPr>
              <w:t xml:space="preserve">3）设备箱。</w:t>
            </w:r>
            <w:r/>
          </w:p>
          <w:p>
            <w:pPr>
              <w:pStyle w:val="861"/>
              <w:ind w:left="0" w:firstLine="0"/>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w:t>
            </w:r>
            <w:r>
              <w:rPr>
                <w:rFonts w:hint="eastAsia" w:ascii="宋体" w:hAnsi="宋体"/>
                <w:sz w:val="21"/>
                <w:szCs w:val="21"/>
                <w:lang w:bidi="ar"/>
              </w:rPr>
              <w:t xml:space="preserve">分；内容基本完整，条理较为清晰的得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b/>
                <w:spacing w:val="1"/>
                <w:sz w:val="21"/>
                <w:szCs w:val="21"/>
              </w:rPr>
              <w:t xml:space="preserve">姑苏区臻迭平台运维方案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w:t>
            </w:r>
            <w:r>
              <w:rPr>
                <w:rFonts w:hint="eastAsia" w:ascii="宋体" w:hAnsi="宋体" w:cs="Times New Roman"/>
                <w:sz w:val="21"/>
                <w:szCs w:val="21"/>
              </w:rPr>
              <w:t xml:space="preserve">单位根据本项目实际提出日常巡检、维修和设备保养方案，包括但不限于：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1）基础数据支撑（人像卡口、车辆卡口、多目摄像机、高点摄像机）；</w:t>
            </w:r>
            <w:r/>
          </w:p>
          <w:p>
            <w:pPr>
              <w:ind w:left="0"/>
              <w:widowControl w:val="off"/>
              <w:rPr>
                <w:rFonts w:ascii="宋体" w:hAnsi="宋体" w:cs="Times New Roman"/>
                <w:sz w:val="21"/>
                <w:szCs w:val="21"/>
              </w:rPr>
            </w:pPr>
            <w:r>
              <w:rPr>
                <w:rFonts w:hint="eastAsia" w:ascii="宋体" w:hAnsi="宋体" w:cs="Times New Roman"/>
                <w:sz w:val="21"/>
                <w:szCs w:val="21"/>
              </w:rPr>
              <w:t xml:space="preserve">2）视频专网设备、云存储设备；</w:t>
            </w:r>
            <w:r/>
          </w:p>
          <w:p>
            <w:pPr>
              <w:ind w:left="0"/>
              <w:widowControl w:val="off"/>
              <w:rPr>
                <w:rFonts w:ascii="宋体" w:hAnsi="宋体" w:cs="Times New Roman"/>
                <w:sz w:val="21"/>
                <w:szCs w:val="21"/>
              </w:rPr>
            </w:pPr>
            <w:r>
              <w:rPr>
                <w:rFonts w:hint="eastAsia" w:ascii="宋体" w:hAnsi="宋体" w:cs="Times New Roman"/>
                <w:sz w:val="21"/>
                <w:szCs w:val="21"/>
              </w:rPr>
              <w:t xml:space="preserve">3）雪亮工程前端指挥部显示系统；</w:t>
            </w:r>
            <w:r/>
          </w:p>
          <w:p>
            <w:pPr>
              <w:ind w:left="0"/>
              <w:widowControl w:val="off"/>
              <w:rPr>
                <w:rFonts w:ascii="宋体" w:hAnsi="宋体" w:cs="Times New Roman"/>
                <w:sz w:val="21"/>
                <w:szCs w:val="21"/>
              </w:rPr>
            </w:pPr>
            <w:r>
              <w:rPr>
                <w:rFonts w:hint="eastAsia" w:ascii="宋体" w:hAnsi="宋体" w:cs="Times New Roman"/>
                <w:sz w:val="21"/>
                <w:szCs w:val="21"/>
              </w:rPr>
              <w:t xml:space="preserve">4）硬件资源中心。</w:t>
            </w:r>
            <w:r/>
          </w:p>
          <w:p>
            <w:pPr>
              <w:pStyle w:val="861"/>
              <w:ind w:left="0" w:firstLine="0"/>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w:t>
            </w:r>
            <w:r>
              <w:rPr>
                <w:rFonts w:hint="eastAsia" w:ascii="宋体" w:hAnsi="宋体"/>
                <w:sz w:val="21"/>
                <w:szCs w:val="21"/>
                <w:lang w:bidi="ar"/>
              </w:rPr>
              <w:t xml:space="preserve">分；内容基本完整，条理较为清晰的得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rPr>
              <w:t xml:space="preserve">维修备品、备件库能力方案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w:t>
            </w:r>
            <w:r>
              <w:rPr>
                <w:rFonts w:hint="eastAsia" w:ascii="宋体" w:hAnsi="宋体"/>
                <w:sz w:val="21"/>
                <w:szCs w:val="21"/>
              </w:rPr>
              <w:t xml:space="preserve">单位根据本项目实际提出维修备品、备件库能力方案，包括但不限于：</w:t>
            </w:r>
            <w:r/>
          </w:p>
          <w:p>
            <w:pPr>
              <w:ind w:left="0"/>
              <w:widowControl w:val="off"/>
              <w:rPr>
                <w:rFonts w:ascii="宋体" w:hAnsi="宋体"/>
                <w:sz w:val="21"/>
                <w:szCs w:val="21"/>
              </w:rPr>
            </w:pPr>
            <w:r>
              <w:rPr>
                <w:rFonts w:hint="eastAsia" w:ascii="宋体" w:hAnsi="宋体"/>
                <w:sz w:val="21"/>
                <w:szCs w:val="21"/>
              </w:rPr>
              <w:t xml:space="preserve">1）维修备品备件的清单；</w:t>
            </w:r>
            <w:r/>
          </w:p>
          <w:p>
            <w:pPr>
              <w:ind w:left="0"/>
              <w:widowControl w:val="off"/>
              <w:rPr>
                <w:rFonts w:ascii="宋体" w:hAnsi="宋体"/>
                <w:sz w:val="21"/>
                <w:szCs w:val="21"/>
              </w:rPr>
            </w:pPr>
            <w:r>
              <w:rPr>
                <w:rFonts w:hint="eastAsia" w:ascii="宋体" w:hAnsi="宋体"/>
                <w:sz w:val="21"/>
                <w:szCs w:val="21"/>
              </w:rPr>
              <w:t xml:space="preserve">2）选型类型；</w:t>
            </w:r>
            <w:r/>
          </w:p>
          <w:p>
            <w:pPr>
              <w:ind w:left="0"/>
              <w:widowControl w:val="off"/>
              <w:rPr>
                <w:rFonts w:ascii="宋体" w:hAnsi="宋体"/>
                <w:sz w:val="21"/>
                <w:szCs w:val="21"/>
              </w:rPr>
            </w:pPr>
            <w:r>
              <w:rPr>
                <w:rFonts w:hint="eastAsia" w:ascii="宋体" w:hAnsi="宋体"/>
                <w:sz w:val="21"/>
                <w:szCs w:val="21"/>
              </w:rPr>
              <w:t xml:space="preserve">3）分类配比；</w:t>
            </w:r>
            <w:r/>
          </w:p>
          <w:p>
            <w:pPr>
              <w:ind w:left="0"/>
              <w:widowControl w:val="off"/>
              <w:rPr>
                <w:rFonts w:ascii="宋体" w:hAnsi="宋体"/>
                <w:sz w:val="21"/>
                <w:szCs w:val="21"/>
              </w:rPr>
            </w:pPr>
            <w:r>
              <w:rPr>
                <w:rFonts w:hint="eastAsia" w:ascii="宋体" w:hAnsi="宋体"/>
                <w:sz w:val="21"/>
                <w:szCs w:val="21"/>
              </w:rPr>
              <w:t xml:space="preserve">4）备品备件日常管理方案。</w:t>
            </w:r>
            <w:r/>
          </w:p>
          <w:p>
            <w:pPr>
              <w:pStyle w:val="861"/>
              <w:ind w:left="0" w:firstLine="0"/>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1.5</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b/>
                <w:bCs/>
              </w:rPr>
              <w:t xml:space="preserve">重大活动保障方案</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bidi="ar"/>
              </w:rPr>
              <w:t xml:space="preserve">投标</w:t>
            </w:r>
            <w:r>
              <w:rPr>
                <w:rFonts w:hint="eastAsia" w:ascii="宋体" w:hAnsi="宋体"/>
                <w:sz w:val="21"/>
                <w:szCs w:val="21"/>
                <w:lang w:val="zh-CN" w:bidi="zh-CN"/>
              </w:rPr>
              <w:t xml:space="preserve">单位根据本项目实际提出日常巡检、维修和设备保养方案，包括但不限于：</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1）人员安排；</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2）响应时间；</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3）保障措施。</w:t>
            </w:r>
            <w:r/>
          </w:p>
          <w:p>
            <w:pPr>
              <w:pStyle w:val="861"/>
              <w:ind w:left="0" w:firstLine="0"/>
              <w:rPr>
                <w:lang w:val="zh-CN" w:bidi="zh-CN"/>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b/>
                <w:bCs/>
              </w:rPr>
              <w:t xml:space="preserve">信息安全保障方案</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bidi="ar"/>
              </w:rPr>
              <w:t xml:space="preserve">投标</w:t>
            </w:r>
            <w:r>
              <w:rPr>
                <w:rFonts w:hint="eastAsia" w:ascii="宋体" w:hAnsi="宋体"/>
                <w:sz w:val="21"/>
                <w:szCs w:val="21"/>
                <w:lang w:val="zh-CN" w:bidi="zh-CN"/>
              </w:rPr>
              <w:t xml:space="preserve">单位根据本项目实际提出信息安全保障方案，包括但不限于：</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1）保密措施；</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2）信息采集互联保障；</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3）数据存储安全；</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4）信息安全管理。</w:t>
            </w:r>
            <w:r/>
          </w:p>
          <w:p>
            <w:pPr>
              <w:pStyle w:val="861"/>
              <w:ind w:left="0" w:firstLine="0"/>
              <w:rPr>
                <w:lang w:val="zh-CN" w:bidi="zh-CN"/>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b/>
                <w:bCs/>
                <w:spacing w:val="1"/>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（1）具有信息系统项目管理师证书的得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（2）具有</w:t>
            </w:r>
            <w:bookmarkStart w:id="133" w:name="OLE_LINK80"/>
            <w:r/>
            <w:bookmarkStart w:id="134" w:name="OLE_LINK81"/>
            <w:r>
              <w:rPr>
                <w:rFonts w:hint="eastAsia" w:ascii="宋体" w:hAnsi="宋体"/>
                <w:sz w:val="21"/>
                <w:szCs w:val="21"/>
                <w:lang w:val="zh-CN" w:bidi="zh-CN"/>
              </w:rPr>
              <w:t xml:space="preserve">CISAW</w:t>
            </w:r>
            <w:bookmarkEnd w:id="133"/>
            <w:r/>
            <w:bookmarkEnd w:id="134"/>
            <w:r>
              <w:rPr>
                <w:rFonts w:hint="eastAsia" w:ascii="宋体" w:hAnsi="宋体"/>
                <w:sz w:val="21"/>
                <w:szCs w:val="21"/>
                <w:lang w:val="zh-CN" w:bidi="zh-CN"/>
              </w:rPr>
              <w:t xml:space="preserve">信息安全保障人员认证证书的得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（3）具有</w:t>
            </w:r>
            <w:bookmarkStart w:id="135" w:name="OLE_LINK82"/>
            <w:r/>
            <w:bookmarkStart w:id="136" w:name="OLE_LINK83"/>
            <w:r>
              <w:rPr>
                <w:rFonts w:ascii="宋体" w:hAnsi="宋体"/>
                <w:sz w:val="21"/>
                <w:szCs w:val="21"/>
                <w:lang w:val="zh-CN" w:bidi="zh-CN"/>
              </w:rPr>
              <w:t xml:space="preserve">系统集成项目管理</w:t>
            </w:r>
            <w:bookmarkEnd w:id="135"/>
            <w:r/>
            <w:bookmarkEnd w:id="136"/>
            <w:r>
              <w:rPr>
                <w:rFonts w:ascii="宋体" w:hAnsi="宋体"/>
                <w:sz w:val="21"/>
                <w:szCs w:val="21"/>
                <w:lang w:val="zh-CN" w:bidi="zh-CN"/>
              </w:rPr>
              <w:t xml:space="preserve">工程</w:t>
            </w:r>
            <w:r>
              <w:rPr>
                <w:rFonts w:hint="eastAsia" w:ascii="宋体" w:hAnsi="宋体"/>
                <w:sz w:val="21"/>
                <w:szCs w:val="21"/>
                <w:lang w:val="zh-CN" w:bidi="zh-CN"/>
              </w:rPr>
              <w:t xml:space="preserve">师证书的得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（4）具有高级职称证书（电子信息、通信、智能化相关）职称的得2分，中级及以下职称证书（电子信息、通信、智能化相关）职称的得1分；最高得2分。（仅取最高一项，不重复得分）</w:t>
            </w:r>
            <w:r/>
          </w:p>
          <w:p>
            <w:pPr>
              <w:pStyle w:val="861"/>
              <w:ind w:left="0" w:firstLine="0"/>
              <w:rPr>
                <w:lang w:val="zh-CN" w:bidi="zh-CN"/>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b/>
                <w:bCs/>
                <w:spacing w:val="1"/>
                <w:sz w:val="21"/>
                <w:szCs w:val="21"/>
              </w:rPr>
              <w:t xml:space="preserve">技术负责人</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（1）具有信息系统项目管理师证书的得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w:t>
            </w:r>
            <w:r>
              <w:rPr>
                <w:rFonts w:ascii="宋体" w:hAnsi="宋体"/>
                <w:sz w:val="21"/>
                <w:szCs w:val="21"/>
                <w:lang w:val="zh-CN" w:bidi="zh-CN"/>
              </w:rPr>
              <w:t xml:space="preserve">2</w:t>
            </w:r>
            <w:r>
              <w:rPr>
                <w:rFonts w:hint="eastAsia" w:ascii="宋体" w:hAnsi="宋体"/>
                <w:sz w:val="21"/>
                <w:szCs w:val="21"/>
                <w:lang w:val="zh-CN" w:bidi="zh-CN"/>
              </w:rPr>
              <w:t xml:space="preserve">）具有CISAW信息安全保障人员认证证书的得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w:t>
            </w:r>
            <w:r>
              <w:rPr>
                <w:rFonts w:ascii="宋体" w:hAnsi="宋体"/>
                <w:sz w:val="21"/>
                <w:szCs w:val="21"/>
                <w:lang w:val="zh-CN" w:bidi="zh-CN"/>
              </w:rPr>
              <w:t xml:space="preserve">3</w:t>
            </w:r>
            <w:r>
              <w:rPr>
                <w:rFonts w:hint="eastAsia" w:ascii="宋体" w:hAnsi="宋体"/>
                <w:sz w:val="21"/>
                <w:szCs w:val="21"/>
                <w:lang w:val="zh-CN" w:bidi="zh-CN"/>
              </w:rPr>
              <w:t xml:space="preserve">）</w:t>
            </w:r>
            <w:r>
              <w:rPr>
                <w:rFonts w:hint="eastAsia" w:ascii="宋体" w:hAnsi="宋体"/>
                <w:sz w:val="21"/>
                <w:szCs w:val="21"/>
                <w:lang w:val="zh-CN" w:bidi="zh-CN"/>
              </w:rPr>
              <w:t xml:space="preserve">具有高级职称证书（电子信息、通信、智能化相关）职称的得2分，中级及以下职称证书（电子信息、通信、智能化相关）职称的得1分，最高得2分。（仅取最高一项，不重复得分）</w:t>
            </w:r>
            <w:r/>
          </w:p>
          <w:p>
            <w:pPr>
              <w:pStyle w:val="861"/>
              <w:ind w:left="0" w:firstLine="0"/>
              <w:rPr>
                <w:lang w:val="zh-CN" w:bidi="zh-CN"/>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b/>
                <w:bCs/>
                <w:spacing w:val="1"/>
                <w:sz w:val="21"/>
                <w:szCs w:val="21"/>
              </w:rPr>
              <w:t xml:space="preserve">其他项目实施成员（除项目经理、技术负责人外）</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（1）每有一人具有高级职称证书（电子信息、通信、智能化相关）职称的得2分，中级及以下职称证书（电子信息、通信、智能化相关）职称的得1分；最高得4分。</w:t>
            </w:r>
            <w:r>
              <w:rPr>
                <w:rFonts w:hint="eastAsia" w:ascii="宋体" w:hAnsi="宋体"/>
                <w:sz w:val="21"/>
                <w:szCs w:val="21"/>
                <w:lang w:val="zh-CN" w:bidi="zh-CN"/>
              </w:rPr>
              <w:t xml:space="preserve">（每人仅取最高一项，不重复得分。）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（2）每有一人具有网络安全能力认证证书的，提供得1分，最高得3分。</w:t>
            </w:r>
            <w:r/>
          </w:p>
          <w:p>
            <w:pPr>
              <w:pStyle w:val="861"/>
              <w:ind w:left="0" w:firstLine="0"/>
              <w:rPr>
                <w:lang w:val="zh-CN" w:bidi="zh-CN"/>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
                <w:bCs/>
                <w:sz w:val="21"/>
                <w:szCs w:val="21"/>
              </w:rPr>
            </w:pPr>
            <w:r/>
            <w:bookmarkStart w:id="137" w:name="OLE_LINK68"/>
            <w:r/>
            <w:bookmarkStart w:id="138" w:name="OLE_LINK69"/>
            <w:r>
              <w:rPr>
                <w:rFonts w:hint="eastAsia" w:ascii="宋体" w:hAnsi="宋体" w:cs="Times New Roman"/>
                <w:sz w:val="21"/>
                <w:szCs w:val="21"/>
              </w:rPr>
              <w:t xml:space="preserve">▲</w:t>
            </w:r>
            <w:bookmarkEnd w:id="137"/>
            <w:r/>
            <w:bookmarkEnd w:id="138"/>
            <w:r>
              <w:rPr>
                <w:rFonts w:hint="eastAsia" w:ascii="宋体" w:hAnsi="宋体" w:cs="Times New Roman"/>
                <w:b/>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具有有效的质量管理体系认证证书、环境管理体系认证证书、职业健康安全管理体系认证证书，每提供一项得1分，最高得3分。</w:t>
            </w:r>
            <w:r/>
          </w:p>
          <w:p>
            <w:pPr>
              <w:pStyle w:val="861"/>
              <w:ind w:left="0" w:firstLine="0"/>
              <w:rPr>
                <w:lang w:val="zh-CN" w:bidi="zh-CN"/>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w:t>
            </w:r>
            <w:r>
              <w:rPr>
                <w:rFonts w:hint="eastAsia" w:ascii="宋体" w:hAnsi="宋体" w:cs="Times New Roman"/>
                <w:b/>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具有有效期内的信息安全管理体系认证证书、信息技术服务管理体系认证证书，每提供一个得2分，最高得4分。</w:t>
            </w:r>
            <w:r/>
          </w:p>
          <w:p>
            <w:pPr>
              <w:pStyle w:val="861"/>
              <w:ind w:left="0" w:firstLine="0"/>
              <w:rPr>
                <w:lang w:val="zh-CN" w:bidi="zh-CN"/>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sz w:val="21"/>
                <w:szCs w:val="21"/>
              </w:rPr>
              <w:t xml:space="preserve">▲</w:t>
            </w:r>
            <w:r>
              <w:rPr>
                <w:rFonts w:hint="eastAsia"/>
                <w:b/>
                <w:bCs/>
                <w:spacing w:val="1"/>
                <w:sz w:val="21"/>
                <w:szCs w:val="21"/>
              </w:rPr>
              <w:t xml:space="preserve">类似项目业绩</w:t>
            </w:r>
            <w:r/>
          </w:p>
        </w:tc>
        <w:tc>
          <w:tcPr>
            <w:tcW w:w="4678" w:type="dxa"/>
            <w:vAlign w:val="center"/>
            <w:textDirection w:val="lrTb"/>
            <w:noWrap w:val="false"/>
          </w:tcPr>
          <w:p>
            <w:pPr>
              <w:ind w:left="0"/>
              <w:widowControl w:val="off"/>
              <w:rPr>
                <w:spacing w:val="1"/>
                <w:sz w:val="21"/>
                <w:szCs w:val="21"/>
              </w:rPr>
            </w:pPr>
            <w:r>
              <w:rPr>
                <w:rFonts w:hint="eastAsia"/>
                <w:spacing w:val="1"/>
                <w:sz w:val="21"/>
                <w:szCs w:val="21"/>
              </w:rPr>
              <w:t xml:space="preserve">投标人提供自</w:t>
            </w:r>
            <w:r>
              <w:rPr>
                <w:rFonts w:hint="eastAsia"/>
                <w:spacing w:val="1"/>
                <w:sz w:val="21"/>
                <w:szCs w:val="21"/>
              </w:rPr>
              <w:t xml:space="preserve">2023</w:t>
            </w:r>
            <w:r>
              <w:rPr>
                <w:rFonts w:hint="eastAsia"/>
                <w:spacing w:val="1"/>
                <w:sz w:val="21"/>
                <w:szCs w:val="21"/>
              </w:rPr>
              <w:t xml:space="preserve">年</w:t>
            </w:r>
            <w:r>
              <w:rPr>
                <w:rFonts w:hint="eastAsia"/>
                <w:spacing w:val="1"/>
                <w:sz w:val="21"/>
                <w:szCs w:val="21"/>
              </w:rPr>
              <w:t xml:space="preserve">1</w:t>
            </w:r>
            <w:r>
              <w:rPr>
                <w:rFonts w:hint="eastAsia"/>
                <w:spacing w:val="1"/>
                <w:sz w:val="21"/>
                <w:szCs w:val="21"/>
              </w:rPr>
              <w:t xml:space="preserve">月</w:t>
            </w:r>
            <w:r>
              <w:rPr>
                <w:rFonts w:hint="eastAsia"/>
                <w:spacing w:val="1"/>
                <w:sz w:val="21"/>
                <w:szCs w:val="21"/>
              </w:rPr>
              <w:t xml:space="preserve">1</w:t>
            </w:r>
            <w:r>
              <w:rPr>
                <w:rFonts w:hint="eastAsia"/>
                <w:spacing w:val="1"/>
                <w:sz w:val="21"/>
                <w:szCs w:val="21"/>
              </w:rPr>
              <w:t xml:space="preserve">日（以合同签订日期为准）以来承担的类似项目业绩，每具备</w:t>
            </w:r>
            <w:r>
              <w:rPr>
                <w:rFonts w:hint="eastAsia"/>
                <w:spacing w:val="1"/>
                <w:sz w:val="21"/>
                <w:szCs w:val="21"/>
              </w:rPr>
              <w:t xml:space="preserve">1</w:t>
            </w:r>
            <w:r>
              <w:rPr>
                <w:rFonts w:hint="eastAsia"/>
                <w:spacing w:val="1"/>
                <w:sz w:val="21"/>
                <w:szCs w:val="21"/>
              </w:rPr>
              <w:t xml:space="preserve">项业绩得</w:t>
            </w:r>
            <w:r>
              <w:rPr>
                <w:spacing w:val="1"/>
                <w:sz w:val="21"/>
                <w:szCs w:val="21"/>
              </w:rPr>
              <w:t xml:space="preserve">2</w:t>
            </w:r>
            <w:r>
              <w:rPr>
                <w:rFonts w:hint="eastAsia"/>
                <w:spacing w:val="1"/>
                <w:sz w:val="21"/>
                <w:szCs w:val="21"/>
              </w:rPr>
              <w:t xml:space="preserve">分，最高得</w:t>
            </w:r>
            <w:r>
              <w:rPr>
                <w:spacing w:val="1"/>
                <w:sz w:val="21"/>
                <w:szCs w:val="21"/>
              </w:rPr>
              <w:t xml:space="preserve">6</w:t>
            </w:r>
            <w:r>
              <w:rPr>
                <w:rFonts w:hint="eastAsia"/>
                <w:spacing w:val="1"/>
                <w:sz w:val="21"/>
                <w:szCs w:val="21"/>
              </w:rPr>
              <w:t xml:space="preserve">分。</w:t>
            </w:r>
            <w:r/>
          </w:p>
          <w:p>
            <w:pPr>
              <w:ind w:left="0"/>
              <w:widowControl w:val="off"/>
              <w:rPr>
                <w:rFonts w:ascii="宋体" w:hAnsi="宋体"/>
                <w:b/>
                <w:sz w:val="21"/>
                <w:szCs w:val="21"/>
                <w:lang w:val="zh-CN" w:bidi="zh-CN"/>
              </w:rPr>
            </w:pPr>
            <w:r>
              <w:rPr>
                <w:rFonts w:hint="eastAsia"/>
                <w:b/>
                <w:spacing w:val="1"/>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2"/>
        <w:spacing w:line="360" w:lineRule="auto"/>
        <w:rPr>
          <w:rFonts w:ascii="宋体" w:hAnsi="宋体"/>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character" w:styleId="36">
    <w:name w:val="Subtitle Char"/>
    <w:basedOn w:val="858"/>
    <w:link w:val="895"/>
    <w:uiPriority w:val="11"/>
    <w:rPr>
      <w:sz w:val="24"/>
      <w:szCs w:val="24"/>
    </w:rPr>
  </w:style>
  <w:style w:type="character" w:styleId="38">
    <w:name w:val="Quote Char"/>
    <w:link w:val="1100"/>
    <w:uiPriority w:val="29"/>
    <w:rPr>
      <w:i/>
    </w:rPr>
  </w:style>
  <w:style w:type="character" w:styleId="40">
    <w:name w:val="Intense Quote Char"/>
    <w:link w:val="1226"/>
    <w:uiPriority w:val="30"/>
    <w:rPr>
      <w:i/>
    </w:rPr>
  </w:style>
  <w:style w:type="character" w:styleId="42">
    <w:name w:val="Header Char"/>
    <w:basedOn w:val="858"/>
    <w:link w:val="893"/>
    <w:uiPriority w:val="99"/>
  </w:style>
  <w:style w:type="character" w:styleId="44">
    <w:name w:val="Footer Char"/>
    <w:basedOn w:val="858"/>
    <w:link w:val="891"/>
    <w:uiPriority w:val="99"/>
  </w:style>
  <w:style w:type="character" w:styleId="46">
    <w:name w:val="Caption Char"/>
    <w:basedOn w:val="868"/>
    <w:link w:val="891"/>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8"/>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1"/>
    <w:qFormat/>
    <w:pPr>
      <w:ind w:left="1024"/>
      <w:jc w:val="both"/>
    </w:pPr>
    <w:rPr>
      <w:rFonts w:ascii="Calibri" w:hAnsi="Calibri"/>
    </w:rPr>
  </w:style>
  <w:style w:type="paragraph" w:styleId="849">
    <w:name w:val="Heading 1"/>
    <w:basedOn w:val="848"/>
    <w:next w:val="848"/>
    <w:qFormat/>
    <w:pPr>
      <w:ind w:left="432" w:firstLine="18"/>
      <w:spacing w:before="340" w:after="330" w:line="578" w:lineRule="auto"/>
      <w:outlineLvl w:val="0"/>
    </w:pPr>
  </w:style>
  <w:style w:type="paragraph" w:styleId="850">
    <w:name w:val="Heading 2"/>
    <w:basedOn w:val="848"/>
    <w:next w:val="848"/>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862"/>
    <w:qFormat/>
    <w:pPr>
      <w:ind w:left="720"/>
      <w:spacing w:before="260" w:after="260" w:line="416" w:lineRule="auto"/>
      <w:outlineLvl w:val="2"/>
    </w:pPr>
    <w:rPr>
      <w:rFonts w:ascii="Times New Roman" w:hAnsi="Times New Roman" w:cs="Times New Roman"/>
    </w:rPr>
  </w:style>
  <w:style w:type="paragraph" w:styleId="852">
    <w:name w:val="Heading 4"/>
    <w:basedOn w:val="849"/>
    <w:next w:val="848"/>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Body Text Indent"/>
    <w:basedOn w:val="848"/>
    <w:next w:val="848"/>
    <w:uiPriority w:val="99"/>
    <w:qFormat/>
    <w:pPr>
      <w:ind w:left="420" w:firstLine="1188"/>
      <w:spacing w:line="360" w:lineRule="exact"/>
    </w:pPr>
    <w:rPr>
      <w:rFonts w:ascii="Times New Roman" w:hAnsi="Times New Roman" w:cs="Times New Roman"/>
    </w:rPr>
  </w:style>
  <w:style w:type="paragraph" w:styleId="862" w:customStyle="1">
    <w:name w:val="正文2"/>
    <w:basedOn w:val="848"/>
    <w:next w:val="848"/>
    <w:qFormat/>
    <w:pPr>
      <w:ind w:left="0" w:hanging="2155"/>
      <w:spacing w:line="360" w:lineRule="auto"/>
      <w:shd w:val="clear" w:color="auto" w:fill="ffffff"/>
    </w:pPr>
    <w:rPr>
      <w:rFonts w:ascii="宋体" w:hAnsi="宋体"/>
    </w:rPr>
  </w:style>
  <w:style w:type="paragraph" w:styleId="863">
    <w:name w:val="toc 7"/>
    <w:basedOn w:val="849"/>
    <w:next w:val="848"/>
    <w:qFormat/>
    <w:pPr>
      <w:ind w:left="1640" w:firstLine="3784"/>
      <w:spacing w:before="0" w:after="0" w:line="360" w:lineRule="auto"/>
    </w:pPr>
    <w:rPr>
      <w:rFonts w:ascii="Times New Roman" w:hAnsi="Times New Roman" w:cs="Times New Roman"/>
    </w:rPr>
  </w:style>
  <w:style w:type="paragraph" w:styleId="864">
    <w:name w:val="List Bullet 4"/>
    <w:basedOn w:val="849"/>
    <w:next w:val="865"/>
    <w:qFormat/>
    <w:pPr>
      <w:ind w:left="1620" w:firstLine="2652"/>
      <w:spacing w:before="0" w:after="0" w:line="360" w:lineRule="auto"/>
    </w:pPr>
    <w:rPr>
      <w:rFonts w:ascii="Times New Roman" w:hAnsi="Times New Roman" w:cs="Times New Roman"/>
    </w:rPr>
  </w:style>
  <w:style w:type="paragraph" w:styleId="865">
    <w:name w:val="List Bullet 2"/>
    <w:basedOn w:val="849"/>
    <w:next w:val="848"/>
    <w:qFormat/>
    <w:pPr>
      <w:ind w:left="900" w:firstLine="2652"/>
      <w:spacing w:before="0" w:after="0" w:line="360" w:lineRule="auto"/>
    </w:pPr>
    <w:rPr>
      <w:rFonts w:ascii="Times New Roman" w:hAnsi="Times New Roman" w:cs="Times New Roman"/>
    </w:rPr>
  </w:style>
  <w:style w:type="paragraph" w:styleId="866">
    <w:name w:val="List Number"/>
    <w:basedOn w:val="849"/>
    <w:next w:val="848"/>
    <w:qFormat/>
    <w:pPr>
      <w:ind w:left="454" w:firstLine="2788"/>
      <w:spacing w:before="0" w:after="0" w:line="240" w:lineRule="auto"/>
    </w:pPr>
    <w:rPr>
      <w:rFonts w:ascii="Times New Roman" w:hAnsi="Times New Roman" w:cs="Times New Roman"/>
    </w:rPr>
  </w:style>
  <w:style w:type="paragraph" w:styleId="867">
    <w:name w:val="Normal Indent"/>
    <w:basedOn w:val="848"/>
    <w:next w:val="848"/>
    <w:link w:val="917"/>
    <w:qFormat/>
    <w:pPr>
      <w:ind w:left="420" w:firstLine="4772"/>
    </w:pPr>
  </w:style>
  <w:style w:type="paragraph" w:styleId="868">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869">
    <w:name w:val="List Bullet"/>
    <w:basedOn w:val="849"/>
    <w:next w:val="848"/>
    <w:qFormat/>
    <w:pPr>
      <w:ind w:left="900" w:firstLine="2652"/>
      <w:spacing w:before="0" w:after="0" w:line="360" w:lineRule="auto"/>
    </w:pPr>
    <w:rPr>
      <w:rFonts w:ascii="Times New Roman" w:hAnsi="Times New Roman" w:cs="Times New Roman"/>
    </w:rPr>
  </w:style>
  <w:style w:type="paragraph" w:styleId="870">
    <w:name w:val="Document Map"/>
    <w:basedOn w:val="849"/>
    <w:next w:val="871"/>
    <w:qFormat/>
    <w:pPr>
      <w:ind w:left="0" w:firstLine="4"/>
      <w:spacing w:before="0" w:after="0" w:line="240" w:lineRule="auto"/>
      <w:shd w:val="clear" w:color="000000" w:fill="000080"/>
    </w:pPr>
    <w:rPr>
      <w:rFonts w:ascii="Times New Roman" w:hAnsi="Times New Roman" w:cs="Times New Roman"/>
    </w:rPr>
  </w:style>
  <w:style w:type="paragraph" w:styleId="871">
    <w:name w:val="annotation subject"/>
    <w:next w:val="848"/>
    <w:qFormat/>
    <w:pPr>
      <w:ind w:firstLine="4608"/>
      <w:spacing w:line="360" w:lineRule="auto"/>
    </w:pPr>
    <w:rPr>
      <w:rFonts w:ascii="Calibri" w:hAnsi="Calibri"/>
    </w:rPr>
  </w:style>
  <w:style w:type="paragraph" w:styleId="872">
    <w:name w:val="annotation text"/>
    <w:basedOn w:val="849"/>
    <w:next w:val="848"/>
    <w:qFormat/>
    <w:pPr>
      <w:ind w:left="0" w:firstLine="3584"/>
      <w:spacing w:before="0" w:after="0" w:line="360" w:lineRule="auto"/>
    </w:pPr>
    <w:rPr>
      <w:rFonts w:ascii="Times New Roman" w:hAnsi="Times New Roman" w:cs="Times New Roman"/>
    </w:rPr>
  </w:style>
  <w:style w:type="paragraph" w:styleId="873">
    <w:name w:val="Body Text 3"/>
    <w:basedOn w:val="849"/>
    <w:next w:val="848"/>
    <w:qFormat/>
    <w:pPr>
      <w:ind w:left="0" w:firstLine="2048"/>
      <w:spacing w:before="0" w:after="0" w:line="500" w:lineRule="exact"/>
    </w:pPr>
    <w:rPr>
      <w:rFonts w:ascii="Times New Roman" w:hAnsi="Times New Roman" w:cs="Times New Roman"/>
    </w:rPr>
  </w:style>
  <w:style w:type="paragraph" w:styleId="874">
    <w:name w:val="List Bullet 3"/>
    <w:basedOn w:val="849"/>
    <w:next w:val="848"/>
    <w:qFormat/>
    <w:pPr>
      <w:ind w:left="900" w:firstLine="2652"/>
      <w:spacing w:before="0" w:after="0" w:line="360" w:lineRule="auto"/>
    </w:pPr>
    <w:rPr>
      <w:rFonts w:ascii="Times New Roman" w:hAnsi="Times New Roman" w:cs="Times New Roman"/>
    </w:rPr>
  </w:style>
  <w:style w:type="paragraph" w:styleId="875">
    <w:name w:val="Body Text"/>
    <w:basedOn w:val="848"/>
    <w:next w:val="848"/>
    <w:qFormat/>
    <w:pPr>
      <w:ind w:left="0" w:firstLine="2560"/>
    </w:pPr>
    <w:rPr>
      <w:rFonts w:ascii="Times New Roman" w:hAnsi="Times New Roman" w:cs="Times New Roman"/>
    </w:rPr>
  </w:style>
  <w:style w:type="paragraph" w:styleId="876">
    <w:name w:val="List Number 3"/>
    <w:basedOn w:val="849"/>
    <w:next w:val="848"/>
    <w:qFormat/>
    <w:pPr>
      <w:ind w:left="420" w:firstLine="3584"/>
      <w:spacing w:before="0" w:after="0" w:line="240" w:lineRule="auto"/>
    </w:pPr>
    <w:rPr>
      <w:rFonts w:ascii="Times New Roman" w:hAnsi="Times New Roman" w:cs="Times New Roman"/>
    </w:rPr>
  </w:style>
  <w:style w:type="paragraph" w:styleId="877">
    <w:name w:val="List 2"/>
    <w:basedOn w:val="849"/>
    <w:next w:val="863"/>
    <w:qFormat/>
    <w:pPr>
      <w:ind w:left="100" w:firstLine="3640"/>
      <w:spacing w:before="0" w:after="0" w:line="240" w:lineRule="auto"/>
    </w:pPr>
    <w:rPr>
      <w:rFonts w:ascii="Times New Roman" w:hAnsi="Times New Roman" w:cs="Times New Roman"/>
    </w:rPr>
  </w:style>
  <w:style w:type="paragraph" w:styleId="878">
    <w:name w:val="Block Text"/>
    <w:basedOn w:val="849"/>
    <w:next w:val="848"/>
    <w:qFormat/>
    <w:pPr>
      <w:ind w:left="420" w:right="33" w:firstLine="2560"/>
      <w:spacing w:before="0" w:after="0" w:line="240" w:lineRule="auto"/>
    </w:pPr>
    <w:rPr>
      <w:rFonts w:ascii="Times New Roman" w:hAnsi="Times New Roman" w:cs="Times New Roman"/>
    </w:rPr>
  </w:style>
  <w:style w:type="paragraph" w:styleId="879">
    <w:name w:val="toc 5"/>
    <w:basedOn w:val="849"/>
    <w:next w:val="848"/>
    <w:qFormat/>
    <w:pPr>
      <w:ind w:left="1160" w:firstLine="3784"/>
      <w:spacing w:before="0" w:after="0" w:line="360" w:lineRule="auto"/>
    </w:pPr>
    <w:rPr>
      <w:rFonts w:ascii="Times New Roman" w:hAnsi="Times New Roman" w:cs="Times New Roman"/>
    </w:rPr>
  </w:style>
  <w:style w:type="paragraph" w:styleId="880">
    <w:name w:val="toc 3"/>
    <w:basedOn w:val="849"/>
    <w:next w:val="848"/>
    <w:qFormat/>
    <w:pPr>
      <w:ind w:left="0" w:firstLine="1024"/>
      <w:spacing w:before="0" w:after="0" w:line="360" w:lineRule="auto"/>
    </w:pPr>
    <w:rPr>
      <w:rFonts w:ascii="Times New Roman" w:hAnsi="Times New Roman" w:cs="Times New Roman"/>
    </w:rPr>
  </w:style>
  <w:style w:type="paragraph" w:styleId="881">
    <w:name w:val="Plain Text"/>
    <w:basedOn w:val="849"/>
    <w:next w:val="882"/>
    <w:qFormat/>
    <w:pPr>
      <w:ind w:left="0" w:firstLine="2048"/>
      <w:spacing w:before="0" w:after="0" w:line="240" w:lineRule="auto"/>
    </w:pPr>
    <w:rPr>
      <w:rFonts w:ascii="Times New Roman" w:hAnsi="Times New Roman" w:cs="Times New Roman"/>
    </w:rPr>
  </w:style>
  <w:style w:type="paragraph" w:styleId="882">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883">
    <w:name w:val="List Bullet 5"/>
    <w:basedOn w:val="849"/>
    <w:next w:val="884"/>
    <w:qFormat/>
    <w:pPr>
      <w:ind w:left="2040" w:firstLine="2560"/>
      <w:spacing w:before="0" w:after="0" w:line="360" w:lineRule="auto"/>
    </w:pPr>
    <w:rPr>
      <w:rFonts w:ascii="Times New Roman" w:hAnsi="Times New Roman" w:cs="Times New Roman"/>
    </w:rPr>
  </w:style>
  <w:style w:type="paragraph" w:styleId="884" w:customStyle="1">
    <w:name w:val="正文首行缩进1"/>
    <w:next w:val="876"/>
    <w:qFormat/>
    <w:pPr>
      <w:ind w:left="420" w:firstLine="2724"/>
      <w:spacing w:after="120" w:line="360" w:lineRule="auto"/>
    </w:pPr>
    <w:rPr>
      <w:rFonts w:ascii="Calibri" w:hAnsi="Calibri"/>
    </w:rPr>
  </w:style>
  <w:style w:type="paragraph" w:styleId="885">
    <w:name w:val="toc 8"/>
    <w:basedOn w:val="849"/>
    <w:next w:val="848"/>
    <w:qFormat/>
    <w:pPr>
      <w:ind w:left="1880" w:firstLine="3784"/>
      <w:spacing w:before="0" w:after="0" w:line="360" w:lineRule="auto"/>
    </w:pPr>
    <w:rPr>
      <w:rFonts w:ascii="Times New Roman" w:hAnsi="Times New Roman" w:cs="Times New Roman"/>
    </w:rPr>
  </w:style>
  <w:style w:type="paragraph" w:styleId="886">
    <w:name w:val="Date"/>
    <w:basedOn w:val="849"/>
    <w:next w:val="848"/>
    <w:qFormat/>
    <w:pPr>
      <w:ind w:left="0" w:firstLine="2560"/>
      <w:spacing w:before="0" w:after="0" w:line="240" w:lineRule="auto"/>
    </w:pPr>
    <w:rPr>
      <w:rFonts w:ascii="Times New Roman" w:hAnsi="Times New Roman" w:cs="Times New Roman"/>
    </w:rPr>
  </w:style>
  <w:style w:type="paragraph" w:styleId="887">
    <w:name w:val="Body Text Indent 2"/>
    <w:basedOn w:val="849"/>
    <w:next w:val="861"/>
    <w:qFormat/>
    <w:pPr>
      <w:ind w:left="481" w:firstLine="2784"/>
      <w:spacing w:before="0" w:after="0" w:line="400" w:lineRule="exact"/>
    </w:pPr>
    <w:rPr>
      <w:rFonts w:ascii="Times New Roman" w:hAnsi="Times New Roman" w:cs="Times New Roman"/>
    </w:rPr>
  </w:style>
  <w:style w:type="paragraph" w:styleId="888">
    <w:name w:val="endnote text"/>
    <w:basedOn w:val="849"/>
    <w:next w:val="889"/>
    <w:qFormat/>
    <w:pPr>
      <w:ind w:left="0" w:firstLine="2560"/>
      <w:spacing w:before="0" w:after="0" w:line="360" w:lineRule="auto"/>
    </w:pPr>
    <w:rPr>
      <w:rFonts w:ascii="Times New Roman" w:hAnsi="Times New Roman" w:cs="Times New Roman"/>
    </w:rPr>
  </w:style>
  <w:style w:type="paragraph" w:styleId="889" w:customStyle="1">
    <w:name w:val="Char11"/>
    <w:basedOn w:val="849"/>
    <w:next w:val="848"/>
    <w:qFormat/>
    <w:pPr>
      <w:ind w:left="0" w:firstLine="3584"/>
      <w:spacing w:before="0" w:after="0" w:line="240" w:lineRule="auto"/>
    </w:pPr>
    <w:rPr>
      <w:rFonts w:ascii="Times New Roman" w:hAnsi="Times New Roman" w:cs="Times New Roman"/>
    </w:rPr>
  </w:style>
  <w:style w:type="paragraph" w:styleId="890">
    <w:name w:val="Balloon Text"/>
    <w:basedOn w:val="849"/>
    <w:next w:val="866"/>
    <w:qFormat/>
    <w:pPr>
      <w:ind w:left="0" w:firstLine="2048"/>
      <w:spacing w:before="0" w:after="0" w:line="240" w:lineRule="auto"/>
    </w:pPr>
    <w:rPr>
      <w:rFonts w:ascii="Times New Roman" w:hAnsi="Times New Roman" w:cs="Times New Roman"/>
    </w:rPr>
  </w:style>
  <w:style w:type="paragraph" w:styleId="891">
    <w:name w:val="Footer"/>
    <w:basedOn w:val="848"/>
    <w:next w:val="892"/>
    <w:link w:val="918"/>
    <w:qFormat/>
    <w:pPr>
      <w:ind w:left="0" w:firstLine="3584"/>
    </w:pPr>
  </w:style>
  <w:style w:type="paragraph" w:styleId="892"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893">
    <w:name w:val="Header"/>
    <w:basedOn w:val="849"/>
    <w:next w:val="886"/>
    <w:link w:val="919"/>
    <w:qFormat/>
    <w:pPr>
      <w:ind w:left="0" w:firstLine="3584"/>
      <w:jc w:val="center"/>
      <w:spacing w:before="0" w:after="0" w:line="240" w:lineRule="auto"/>
    </w:pPr>
  </w:style>
  <w:style w:type="paragraph" w:styleId="894">
    <w:name w:val="toc 4"/>
    <w:basedOn w:val="849"/>
    <w:next w:val="848"/>
    <w:qFormat/>
    <w:pPr>
      <w:ind w:left="1260" w:firstLine="1024"/>
      <w:spacing w:before="0" w:after="0" w:line="240" w:lineRule="auto"/>
    </w:pPr>
    <w:rPr>
      <w:rFonts w:ascii="Times New Roman" w:hAnsi="Times New Roman" w:cs="Times New Roman"/>
    </w:rPr>
  </w:style>
  <w:style w:type="paragraph" w:styleId="895">
    <w:name w:val="Subtitle"/>
    <w:next w:val="848"/>
    <w:qFormat/>
    <w:pPr>
      <w:ind w:left="1024"/>
      <w:jc w:val="center"/>
      <w:spacing w:after="60"/>
    </w:pPr>
    <w:rPr>
      <w:rFonts w:ascii="Calibri" w:hAnsi="Calibri"/>
    </w:rPr>
  </w:style>
  <w:style w:type="paragraph" w:styleId="896">
    <w:name w:val="List"/>
    <w:basedOn w:val="849"/>
    <w:next w:val="897"/>
    <w:qFormat/>
    <w:pPr>
      <w:ind w:left="200" w:firstLine="3640"/>
      <w:spacing w:before="0" w:after="0" w:line="240" w:lineRule="auto"/>
    </w:pPr>
    <w:rPr>
      <w:rFonts w:ascii="Times New Roman" w:hAnsi="Times New Roman" w:cs="Times New Roman"/>
    </w:rPr>
  </w:style>
  <w:style w:type="paragraph" w:styleId="897">
    <w:name w:val="Body Text First Indent"/>
    <w:next w:val="848"/>
    <w:qFormat/>
    <w:pPr>
      <w:ind w:left="420" w:firstLine="3748"/>
      <w:spacing w:after="120"/>
    </w:pPr>
    <w:rPr>
      <w:rFonts w:ascii="Calibri" w:hAnsi="Calibri"/>
    </w:rPr>
  </w:style>
  <w:style w:type="paragraph" w:styleId="898">
    <w:name w:val="footnote text"/>
    <w:basedOn w:val="849"/>
    <w:next w:val="878"/>
    <w:qFormat/>
    <w:pPr>
      <w:ind w:left="0" w:firstLine="3584"/>
      <w:spacing w:before="0" w:after="0" w:line="360" w:lineRule="auto"/>
    </w:pPr>
    <w:rPr>
      <w:rFonts w:ascii="Times New Roman" w:hAnsi="Times New Roman" w:cs="Times New Roman"/>
    </w:rPr>
  </w:style>
  <w:style w:type="paragraph" w:styleId="899">
    <w:name w:val="toc 6"/>
    <w:basedOn w:val="849"/>
    <w:next w:val="848"/>
    <w:qFormat/>
    <w:pPr>
      <w:ind w:left="1400" w:firstLine="3784"/>
      <w:spacing w:before="0" w:after="0" w:line="360" w:lineRule="auto"/>
    </w:pPr>
    <w:rPr>
      <w:rFonts w:ascii="Times New Roman" w:hAnsi="Times New Roman" w:cs="Times New Roman"/>
    </w:rPr>
  </w:style>
  <w:style w:type="paragraph" w:styleId="900">
    <w:name w:val="List 5"/>
    <w:basedOn w:val="849"/>
    <w:next w:val="875"/>
    <w:qFormat/>
    <w:pPr>
      <w:ind w:left="2100" w:firstLine="3676"/>
      <w:spacing w:before="0" w:after="0" w:line="240" w:lineRule="auto"/>
    </w:pPr>
    <w:rPr>
      <w:rFonts w:ascii="Times New Roman" w:hAnsi="Times New Roman" w:cs="Times New Roman"/>
    </w:rPr>
  </w:style>
  <w:style w:type="paragraph" w:styleId="901">
    <w:name w:val="Body Text Indent 3"/>
    <w:basedOn w:val="849"/>
    <w:next w:val="899"/>
    <w:qFormat/>
    <w:pPr>
      <w:ind w:left="480" w:firstLine="2784"/>
      <w:spacing w:before="0" w:after="0" w:line="400" w:lineRule="exact"/>
    </w:pPr>
    <w:rPr>
      <w:rFonts w:ascii="Times New Roman" w:hAnsi="Times New Roman" w:cs="Times New Roman"/>
    </w:rPr>
  </w:style>
  <w:style w:type="paragraph" w:styleId="902">
    <w:name w:val="toc 2"/>
    <w:basedOn w:val="849"/>
    <w:next w:val="848"/>
    <w:qFormat/>
    <w:pPr>
      <w:ind w:left="0" w:firstLine="1024"/>
      <w:spacing w:before="0" w:after="0" w:line="360" w:lineRule="auto"/>
    </w:pPr>
    <w:rPr>
      <w:rFonts w:ascii="Times New Roman" w:hAnsi="Times New Roman" w:cs="Times New Roman"/>
    </w:rPr>
  </w:style>
  <w:style w:type="paragraph" w:styleId="903">
    <w:name w:val="toc 9"/>
    <w:basedOn w:val="849"/>
    <w:next w:val="848"/>
    <w:qFormat/>
    <w:pPr>
      <w:ind w:left="2120" w:firstLine="3784"/>
      <w:spacing w:before="0" w:after="0" w:line="360" w:lineRule="auto"/>
    </w:pPr>
    <w:rPr>
      <w:rFonts w:ascii="Times New Roman" w:hAnsi="Times New Roman" w:cs="Times New Roman"/>
    </w:rPr>
  </w:style>
  <w:style w:type="paragraph" w:styleId="904">
    <w:name w:val="Body Text 2"/>
    <w:basedOn w:val="849"/>
    <w:next w:val="869"/>
    <w:qFormat/>
    <w:pPr>
      <w:ind w:left="0" w:firstLine="1024"/>
      <w:spacing w:before="0" w:after="120" w:line="480" w:lineRule="auto"/>
    </w:pPr>
    <w:rPr>
      <w:rFonts w:ascii="Times New Roman" w:hAnsi="Times New Roman" w:cs="Times New Roman"/>
    </w:rPr>
  </w:style>
  <w:style w:type="paragraph" w:styleId="905">
    <w:name w:val="HTML Preformatted"/>
    <w:basedOn w:val="849"/>
    <w:next w:val="868"/>
    <w:qFormat/>
    <w:pPr>
      <w:ind w:left="0" w:firstLine="2048"/>
      <w:spacing w:before="0" w:after="0" w:line="253" w:lineRule="atLeast"/>
    </w:pPr>
    <w:rPr>
      <w:rFonts w:ascii="Times New Roman" w:hAnsi="Times New Roman" w:cs="Times New Roman"/>
    </w:rPr>
  </w:style>
  <w:style w:type="paragraph" w:styleId="906">
    <w:name w:val="Normal (Web)"/>
    <w:basedOn w:val="848"/>
    <w:next w:val="877"/>
    <w:qFormat/>
    <w:pPr>
      <w:ind w:left="15" w:right="15" w:firstLine="4608"/>
      <w:spacing w:before="60" w:after="60" w:line="312" w:lineRule="auto"/>
    </w:pPr>
    <w:rPr>
      <w:rFonts w:ascii="Times New Roman" w:hAnsi="Times New Roman" w:cs="Times New Roman"/>
    </w:rPr>
  </w:style>
  <w:style w:type="paragraph" w:styleId="907">
    <w:name w:val="index 1"/>
    <w:basedOn w:val="849"/>
    <w:next w:val="848"/>
    <w:qFormat/>
    <w:pPr>
      <w:ind w:left="0" w:firstLine="3584"/>
      <w:spacing w:before="0" w:after="0" w:line="240" w:lineRule="auto"/>
    </w:pPr>
    <w:rPr>
      <w:rFonts w:ascii="Times New Roman" w:hAnsi="Times New Roman" w:cs="Times New Roman"/>
    </w:rPr>
  </w:style>
  <w:style w:type="paragraph" w:styleId="908">
    <w:name w:val="Body Text First Indent 2"/>
    <w:basedOn w:val="861"/>
    <w:link w:val="1267"/>
    <w:unhideWhenUsed/>
    <w:qFormat/>
    <w:pPr>
      <w:ind w:firstLine="420"/>
    </w:p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qFormat/>
    <w:rPr>
      <w:rFonts w:ascii="Times New Roman" w:hAnsi="Times New Roman" w:eastAsia="宋体" w:cs="Times New Roman"/>
      <w:b/>
      <w:sz w:val="20"/>
    </w:rPr>
  </w:style>
  <w:style w:type="character" w:styleId="911">
    <w:name w:val="page number"/>
    <w:qFormat/>
    <w:rPr>
      <w:rFonts w:ascii="Times New Roman" w:hAnsi="Times New Roman" w:eastAsia="宋体" w:cs="Times New Roman"/>
      <w:sz w:val="20"/>
    </w:rPr>
  </w:style>
  <w:style w:type="character" w:styleId="912">
    <w:name w:val="FollowedHyperlink"/>
    <w:qFormat/>
    <w:rPr>
      <w:rFonts w:ascii="Times New Roman" w:hAnsi="Times New Roman" w:eastAsia="宋体" w:cs="Times New Roman"/>
      <w:color w:val="800080"/>
      <w:sz w:val="20"/>
      <w:u w:val="single"/>
    </w:rPr>
  </w:style>
  <w:style w:type="character" w:styleId="913">
    <w:name w:val="Emphasis"/>
    <w:qFormat/>
    <w:rPr>
      <w:rFonts w:ascii="Times New Roman" w:hAnsi="Times New Roman" w:eastAsia="宋体" w:cs="Times New Roman"/>
      <w:i/>
      <w:sz w:val="21"/>
    </w:rPr>
  </w:style>
  <w:style w:type="character" w:styleId="914">
    <w:name w:val="Hyperlink"/>
    <w:uiPriority w:val="99"/>
    <w:qFormat/>
    <w:rPr>
      <w:rFonts w:ascii="Times New Roman" w:hAnsi="Times New Roman" w:eastAsia="宋体" w:cs="Times New Roman"/>
      <w:color w:val="0000ff"/>
      <w:sz w:val="20"/>
      <w:u w:val="single"/>
    </w:rPr>
  </w:style>
  <w:style w:type="character" w:styleId="915">
    <w:name w:val="annotation reference"/>
    <w:qFormat/>
    <w:rPr>
      <w:rFonts w:ascii="Times New Roman" w:hAnsi="Times New Roman" w:eastAsia="宋体" w:cs="Times New Roman"/>
      <w:sz w:val="20"/>
    </w:rPr>
  </w:style>
  <w:style w:type="character" w:styleId="916">
    <w:name w:val="footnote reference"/>
    <w:qFormat/>
    <w:rPr>
      <w:rFonts w:ascii="Times New Roman" w:hAnsi="Times New Roman" w:eastAsia="宋体" w:cs="Times New Roman"/>
      <w:vertAlign w:val="superscript"/>
    </w:rPr>
  </w:style>
  <w:style w:type="character" w:styleId="917" w:customStyle="1">
    <w:name w:val="正文缩进 Char1"/>
    <w:link w:val="867"/>
    <w:qFormat/>
    <w:rPr>
      <w:rFonts w:ascii="Calibri" w:hAnsi="Calibri" w:eastAsia="宋体" w:cs="Times New Roman"/>
    </w:rPr>
  </w:style>
  <w:style w:type="character" w:styleId="918" w:customStyle="1">
    <w:name w:val="页脚 Char2"/>
    <w:link w:val="891"/>
    <w:qFormat/>
    <w:rPr>
      <w:rFonts w:ascii="Calibri" w:hAnsi="Calibri" w:eastAsia="宋体" w:cs="Times New Roman"/>
    </w:rPr>
  </w:style>
  <w:style w:type="character" w:styleId="919" w:customStyle="1">
    <w:name w:val="页眉 Char2"/>
    <w:link w:val="893"/>
    <w:qFormat/>
    <w:rPr>
      <w:rFonts w:ascii="Calibri" w:hAnsi="Calibri" w:eastAsia="宋体" w:cs="Times New Roman"/>
    </w:rPr>
  </w:style>
  <w:style w:type="character" w:styleId="920" w:customStyle="1">
    <w:name w:val="日期 Char"/>
    <w:qFormat/>
    <w:rPr>
      <w:rFonts w:ascii="Times New Roman" w:hAnsi="Times New Roman" w:eastAsia="宋体" w:cs="Times New Roman"/>
      <w:sz w:val="20"/>
    </w:rPr>
  </w:style>
  <w:style w:type="character" w:styleId="921" w:customStyle="1">
    <w:name w:val="批注引用1"/>
    <w:qFormat/>
    <w:rPr>
      <w:rFonts w:ascii="Times New Roman" w:hAnsi="Times New Roman" w:eastAsia="宋体" w:cs="Times New Roman"/>
      <w:sz w:val="20"/>
    </w:rPr>
  </w:style>
  <w:style w:type="character" w:styleId="922" w:customStyle="1">
    <w:name w:val="应答文本 Char Char"/>
    <w:qFormat/>
    <w:rPr>
      <w:rFonts w:ascii="Times New Roman" w:hAnsi="Times New Roman" w:eastAsia="宋体" w:cs="Times New Roman"/>
      <w:sz w:val="20"/>
    </w:rPr>
  </w:style>
  <w:style w:type="character" w:styleId="923" w:customStyle="1">
    <w:name w:val="图片0 Char Char"/>
    <w:qFormat/>
    <w:rPr>
      <w:rFonts w:ascii="Times New Roman" w:hAnsi="Times New Roman" w:eastAsia="宋体" w:cs="Times New Roman"/>
      <w:sz w:val="20"/>
    </w:rPr>
  </w:style>
  <w:style w:type="character" w:styleId="924" w:customStyle="1">
    <w:name w:val="尾注文本 Char"/>
    <w:qFormat/>
    <w:rPr>
      <w:rFonts w:ascii="Times New Roman" w:hAnsi="Times New Roman" w:eastAsia="宋体" w:cs="Times New Roman"/>
      <w:sz w:val="20"/>
    </w:rPr>
  </w:style>
  <w:style w:type="character" w:styleId="925" w:customStyle="1">
    <w:name w:val="文档结构图 字符"/>
    <w:qFormat/>
    <w:rPr>
      <w:rFonts w:ascii="Microsoft YaHei UI" w:hAnsi="Times New Roman" w:eastAsia="Microsoft YaHei UI" w:cs="Times New Roman"/>
      <w:sz w:val="18"/>
      <w:szCs w:val="18"/>
    </w:rPr>
  </w:style>
  <w:style w:type="character" w:styleId="926" w:customStyle="1">
    <w:name w:val="_Style 337"/>
    <w:qFormat/>
    <w:rPr>
      <w:rFonts w:ascii="Times New Roman" w:hAnsi="Times New Roman" w:eastAsia="宋体" w:cs="Times New Roman"/>
      <w:color w:val="auto"/>
      <w:sz w:val="21"/>
    </w:rPr>
  </w:style>
  <w:style w:type="character" w:styleId="927" w:customStyle="1">
    <w:name w:val="正文文本 字符"/>
    <w:qFormat/>
    <w:rPr>
      <w:rFonts w:ascii="Times New Roman" w:hAnsi="Times New Roman" w:eastAsia="宋体" w:cs="Times New Roman"/>
      <w:sz w:val="21"/>
    </w:rPr>
  </w:style>
  <w:style w:type="character" w:styleId="928" w:customStyle="1">
    <w:name w:val="批注文字 字符"/>
    <w:qFormat/>
    <w:rPr>
      <w:rFonts w:ascii="Times New Roman" w:hAnsi="Times New Roman" w:eastAsia="宋体" w:cs="Times New Roman"/>
      <w:sz w:val="20"/>
    </w:rPr>
  </w:style>
  <w:style w:type="character" w:styleId="929" w:customStyle="1">
    <w:name w:val="批注文字 Char1"/>
    <w:qFormat/>
    <w:rPr>
      <w:rFonts w:ascii="Times New Roman" w:hAnsi="Times New Roman" w:eastAsia="宋体" w:cs="Times New Roman"/>
      <w:sz w:val="20"/>
    </w:rPr>
  </w:style>
  <w:style w:type="character" w:styleId="930" w:customStyle="1">
    <w:name w:val="txt"/>
    <w:qFormat/>
    <w:rPr>
      <w:rFonts w:ascii="Times New Roman" w:hAnsi="Times New Roman" w:eastAsia="宋体" w:cs="Times New Roman"/>
      <w:sz w:val="20"/>
    </w:rPr>
  </w:style>
  <w:style w:type="character" w:styleId="931" w:customStyle="1">
    <w:name w:val="标书正文 Char"/>
    <w:qFormat/>
    <w:rPr>
      <w:rFonts w:ascii="Times New Roman" w:hAnsi="Times New Roman" w:eastAsia="宋体" w:cs="Times New Roman"/>
      <w:sz w:val="20"/>
    </w:rPr>
  </w:style>
  <w:style w:type="character" w:styleId="932" w:customStyle="1">
    <w:name w:val="font21"/>
    <w:qFormat/>
    <w:rPr>
      <w:rFonts w:hint="eastAsia" w:ascii="宋体" w:hAnsi="宋体" w:eastAsia="宋体" w:cs="宋体"/>
      <w:color w:val="ff0000"/>
      <w:sz w:val="24"/>
      <w:szCs w:val="24"/>
      <w:u w:val="none"/>
    </w:rPr>
  </w:style>
  <w:style w:type="character" w:styleId="933" w:customStyle="1">
    <w:name w:val="apple-converted-space"/>
    <w:qFormat/>
    <w:rPr>
      <w:rFonts w:ascii="Times New Roman" w:hAnsi="Times New Roman" w:eastAsia="宋体" w:cs="Times New Roman"/>
      <w:sz w:val="20"/>
    </w:rPr>
  </w:style>
  <w:style w:type="character" w:styleId="934" w:customStyle="1">
    <w:name w:val="纯文本 Char1"/>
    <w:qFormat/>
    <w:rPr>
      <w:rFonts w:ascii="Times New Roman" w:hAnsi="Times New Roman" w:eastAsia="宋体" w:cs="Times New Roman"/>
      <w:sz w:val="20"/>
    </w:rPr>
  </w:style>
  <w:style w:type="character" w:styleId="935" w:customStyle="1">
    <w:name w:val="para1"/>
    <w:qFormat/>
    <w:rPr>
      <w:rFonts w:ascii="Times New Roman" w:hAnsi="Times New Roman" w:eastAsia="宋体" w:cs="Times New Roman"/>
      <w:sz w:val="20"/>
    </w:rPr>
  </w:style>
  <w:style w:type="character" w:styleId="936" w:customStyle="1">
    <w:name w:val="HTML 预设格式 Char1"/>
    <w:qFormat/>
    <w:rPr>
      <w:rFonts w:ascii="Times New Roman" w:hAnsi="Times New Roman" w:eastAsia="宋体" w:cs="Times New Roman"/>
      <w:sz w:val="20"/>
    </w:rPr>
  </w:style>
  <w:style w:type="character" w:styleId="937" w:customStyle="1">
    <w:name w:val="批注文字 Char"/>
    <w:qFormat/>
    <w:rPr>
      <w:rFonts w:ascii="Times New Roman" w:hAnsi="Times New Roman" w:eastAsia="宋体" w:cs="Times New Roman"/>
      <w:sz w:val="20"/>
    </w:rPr>
  </w:style>
  <w:style w:type="character" w:styleId="938" w:customStyle="1">
    <w:name w:val="文档结构图 Char"/>
    <w:qFormat/>
    <w:rPr>
      <w:rFonts w:ascii="Times New Roman" w:hAnsi="Times New Roman" w:eastAsia="宋体" w:cs="Times New Roman"/>
      <w:sz w:val="20"/>
    </w:rPr>
  </w:style>
  <w:style w:type="character" w:styleId="939" w:customStyle="1">
    <w:name w:val="超级链接"/>
    <w:qFormat/>
    <w:rPr>
      <w:rFonts w:ascii="Times New Roman" w:hAnsi="Times New Roman" w:eastAsia="宋体" w:cs="Times New Roman"/>
      <w:color w:val="0000ff"/>
      <w:sz w:val="20"/>
      <w:u w:val="single"/>
    </w:rPr>
  </w:style>
  <w:style w:type="character" w:styleId="940" w:customStyle="1">
    <w:name w:val="p141"/>
    <w:qFormat/>
    <w:rPr>
      <w:rFonts w:ascii="Times New Roman" w:hAnsi="Times New Roman" w:eastAsia="宋体" w:cs="Times New Roman"/>
      <w:color w:val="000000"/>
      <w:sz w:val="20"/>
      <w:u w:val="none"/>
    </w:rPr>
  </w:style>
  <w:style w:type="character" w:styleId="941" w:customStyle="1">
    <w:name w:val="宏文本 Char"/>
    <w:qFormat/>
    <w:rPr>
      <w:rFonts w:ascii="Times New Roman" w:hAnsi="Times New Roman" w:eastAsia="宋体" w:cs="Times New Roman"/>
      <w:sz w:val="20"/>
    </w:rPr>
  </w:style>
  <w:style w:type="character" w:styleId="942" w:customStyle="1">
    <w:name w:val="_Style 313"/>
    <w:qFormat/>
    <w:rPr>
      <w:rFonts w:ascii="Times New Roman" w:hAnsi="Times New Roman" w:eastAsia="宋体" w:cs="Times New Roman"/>
      <w:b/>
      <w:i/>
      <w:sz w:val="21"/>
    </w:rPr>
  </w:style>
  <w:style w:type="character" w:styleId="943" w:customStyle="1">
    <w:name w:val="页脚 Char1"/>
    <w:qFormat/>
    <w:rPr>
      <w:rFonts w:ascii="Times New Roman" w:hAnsi="Times New Roman" w:eastAsia="宋体" w:cs="Times New Roman"/>
      <w:sz w:val="20"/>
    </w:rPr>
  </w:style>
  <w:style w:type="character" w:styleId="944" w:customStyle="1">
    <w:name w:val="页眉 Char"/>
    <w:qFormat/>
    <w:rPr>
      <w:rFonts w:ascii="Times New Roman" w:hAnsi="Times New Roman" w:eastAsia="宋体" w:cs="Times New Roman"/>
      <w:sz w:val="20"/>
    </w:rPr>
  </w:style>
  <w:style w:type="character" w:styleId="945" w:customStyle="1">
    <w:name w:val="标题 7 Char"/>
    <w:qFormat/>
    <w:rPr>
      <w:rFonts w:ascii="Times New Roman" w:hAnsi="Times New Roman" w:eastAsia="宋体" w:cs="Times New Roman"/>
      <w:b/>
      <w:sz w:val="20"/>
    </w:rPr>
  </w:style>
  <w:style w:type="character" w:styleId="946" w:customStyle="1">
    <w:name w:val="Char Char12"/>
    <w:qFormat/>
    <w:rPr>
      <w:rFonts w:ascii="Times New Roman" w:hAnsi="Times New Roman" w:eastAsia="宋体" w:cs="Times New Roman"/>
      <w:sz w:val="20"/>
    </w:rPr>
  </w:style>
  <w:style w:type="character" w:styleId="947" w:customStyle="1">
    <w:name w:val="标题 3 Char"/>
    <w:qFormat/>
    <w:rPr>
      <w:rFonts w:ascii="Times New Roman" w:hAnsi="Times New Roman" w:eastAsia="宋体" w:cs="Times New Roman"/>
      <w:b/>
      <w:sz w:val="20"/>
    </w:rPr>
  </w:style>
  <w:style w:type="character" w:styleId="948" w:customStyle="1">
    <w:name w:val="正文（首行缩进 2 字符） Char Char"/>
    <w:qFormat/>
    <w:rPr>
      <w:rFonts w:ascii="Times New Roman" w:hAnsi="Times New Roman" w:eastAsia="宋体" w:cs="Times New Roman"/>
      <w:sz w:val="20"/>
    </w:rPr>
  </w:style>
  <w:style w:type="character" w:styleId="949" w:customStyle="1">
    <w:name w:val="表格用 Char Char"/>
    <w:qFormat/>
    <w:rPr>
      <w:rFonts w:ascii="Times New Roman" w:hAnsi="Times New Roman" w:eastAsia="宋体" w:cs="Times New Roman"/>
      <w:sz w:val="20"/>
    </w:rPr>
  </w:style>
  <w:style w:type="character" w:styleId="950" w:customStyle="1">
    <w:name w:val="正文文本缩进 3 Char1"/>
    <w:qFormat/>
    <w:rPr>
      <w:rFonts w:ascii="Times New Roman" w:hAnsi="Times New Roman" w:eastAsia="宋体" w:cs="Times New Roman"/>
      <w:sz w:val="20"/>
    </w:rPr>
  </w:style>
  <w:style w:type="character" w:styleId="951" w:customStyle="1">
    <w:name w:val="正文缩进 Char"/>
    <w:qFormat/>
    <w:rPr>
      <w:rFonts w:ascii="Times New Roman" w:hAnsi="Times New Roman" w:eastAsia="宋体" w:cs="Times New Roman"/>
      <w:sz w:val="20"/>
    </w:rPr>
  </w:style>
  <w:style w:type="character" w:styleId="952" w:customStyle="1">
    <w:name w:val="批注框文本 Char1"/>
    <w:qFormat/>
    <w:rPr>
      <w:rFonts w:ascii="Times New Roman" w:hAnsi="Times New Roman" w:eastAsia="宋体" w:cs="Times New Roman"/>
      <w:sz w:val="20"/>
    </w:rPr>
  </w:style>
  <w:style w:type="character" w:styleId="953" w:customStyle="1">
    <w:name w:val="Char Char13"/>
    <w:qFormat/>
    <w:rPr>
      <w:rFonts w:ascii="Times New Roman" w:hAnsi="Times New Roman" w:eastAsia="宋体" w:cs="Times New Roman"/>
      <w:sz w:val="20"/>
    </w:rPr>
  </w:style>
  <w:style w:type="character" w:styleId="954" w:customStyle="1">
    <w:name w:val="样式2 Char"/>
    <w:qFormat/>
    <w:rPr>
      <w:rFonts w:ascii="Times New Roman" w:hAnsi="Times New Roman" w:eastAsia="宋体" w:cs="Times New Roman"/>
      <w:b/>
      <w:sz w:val="20"/>
    </w:rPr>
  </w:style>
  <w:style w:type="character" w:styleId="955" w:customStyle="1">
    <w:name w:val="页脚 Char"/>
    <w:qFormat/>
    <w:rPr>
      <w:rFonts w:ascii="Times New Roman" w:hAnsi="Times New Roman" w:eastAsia="宋体" w:cs="Times New Roman"/>
      <w:sz w:val="20"/>
    </w:rPr>
  </w:style>
  <w:style w:type="character" w:styleId="956" w:customStyle="1">
    <w:name w:val="标准文本 Char"/>
    <w:qFormat/>
    <w:rPr>
      <w:rFonts w:ascii="Times New Roman" w:hAnsi="Times New Roman" w:eastAsia="宋体" w:cs="Times New Roman"/>
      <w:sz w:val="20"/>
    </w:rPr>
  </w:style>
  <w:style w:type="character" w:styleId="957" w:customStyle="1">
    <w:name w:val="font01"/>
    <w:qFormat/>
    <w:rPr>
      <w:rFonts w:hint="eastAsia" w:ascii="宋体" w:hAnsi="宋体" w:eastAsia="宋体" w:cs="宋体"/>
      <w:color w:val="000000"/>
      <w:sz w:val="24"/>
      <w:szCs w:val="24"/>
      <w:u w:val="none"/>
    </w:rPr>
  </w:style>
  <w:style w:type="character" w:styleId="958" w:customStyle="1">
    <w:name w:val="标题 3 Char1"/>
    <w:qFormat/>
    <w:rPr>
      <w:rFonts w:ascii="Times New Roman" w:hAnsi="Times New Roman" w:eastAsia="宋体" w:cs="Times New Roman"/>
      <w:b/>
      <w:sz w:val="20"/>
      <w:u w:val="single"/>
    </w:rPr>
  </w:style>
  <w:style w:type="character" w:styleId="959" w:customStyle="1">
    <w:name w:val="表格 Char Char"/>
    <w:qFormat/>
    <w:rPr>
      <w:rFonts w:ascii="Times New Roman" w:hAnsi="Times New Roman" w:eastAsia="宋体" w:cs="Times New Roman"/>
      <w:sz w:val="20"/>
    </w:rPr>
  </w:style>
  <w:style w:type="character" w:styleId="960" w:customStyle="1">
    <w:name w:val="正文首行缩进 Char"/>
    <w:qFormat/>
    <w:rPr>
      <w:rFonts w:ascii="Times New Roman" w:hAnsi="Times New Roman" w:eastAsia="宋体" w:cs="Times New Roman"/>
      <w:sz w:val="20"/>
    </w:rPr>
  </w:style>
  <w:style w:type="character" w:styleId="961" w:customStyle="1">
    <w:name w:val="标题 9 Char"/>
    <w:qFormat/>
    <w:rPr>
      <w:rFonts w:ascii="Times New Roman" w:hAnsi="Times New Roman" w:eastAsia="宋体" w:cs="Times New Roman"/>
      <w:sz w:val="20"/>
    </w:rPr>
  </w:style>
  <w:style w:type="character" w:styleId="962" w:customStyle="1">
    <w:name w:val="lh151"/>
    <w:qFormat/>
    <w:rPr>
      <w:rFonts w:ascii="Times New Roman" w:hAnsi="Times New Roman" w:eastAsia="宋体" w:cs="Times New Roman"/>
      <w:color w:val="666666"/>
      <w:sz w:val="20"/>
    </w:rPr>
  </w:style>
  <w:style w:type="character" w:styleId="963" w:customStyle="1">
    <w:name w:val="日期 Char1"/>
    <w:qFormat/>
    <w:rPr>
      <w:rFonts w:ascii="Times New Roman" w:hAnsi="Times New Roman" w:eastAsia="宋体" w:cs="Times New Roman"/>
      <w:sz w:val="20"/>
    </w:rPr>
  </w:style>
  <w:style w:type="character" w:styleId="964" w:customStyle="1">
    <w:name w:val="图片 Char Char"/>
    <w:qFormat/>
    <w:rPr>
      <w:rFonts w:ascii="Times New Roman" w:hAnsi="Times New Roman" w:eastAsia="宋体" w:cs="Times New Roman"/>
      <w:sz w:val="20"/>
    </w:rPr>
  </w:style>
  <w:style w:type="character" w:styleId="965" w:customStyle="1">
    <w:name w:val="批注框文本 字符"/>
    <w:qFormat/>
    <w:rPr>
      <w:rFonts w:ascii="Times New Roman" w:hAnsi="Times New Roman" w:eastAsia="宋体" w:cs="Times New Roman"/>
      <w:sz w:val="20"/>
    </w:rPr>
  </w:style>
  <w:style w:type="character" w:styleId="966" w:customStyle="1">
    <w:name w:val="HTML 预设格式 Char"/>
    <w:qFormat/>
    <w:rPr>
      <w:rFonts w:ascii="Times New Roman" w:hAnsi="Times New Roman" w:eastAsia="宋体" w:cs="Times New Roman"/>
      <w:sz w:val="20"/>
    </w:rPr>
  </w:style>
  <w:style w:type="character" w:styleId="967" w:customStyle="1">
    <w:name w:val="列出段落 Char"/>
    <w:qFormat/>
    <w:rPr>
      <w:rFonts w:ascii="Times New Roman" w:hAnsi="Times New Roman" w:eastAsia="宋体" w:cs="Times New Roman"/>
      <w:sz w:val="20"/>
    </w:rPr>
  </w:style>
  <w:style w:type="character" w:styleId="968" w:customStyle="1">
    <w:name w:val="标题 5 Char"/>
    <w:qFormat/>
    <w:rPr>
      <w:rFonts w:ascii="Times New Roman" w:hAnsi="Times New Roman" w:eastAsia="宋体" w:cs="Times New Roman"/>
      <w:b/>
      <w:sz w:val="20"/>
    </w:rPr>
  </w:style>
  <w:style w:type="character" w:styleId="969" w:customStyle="1">
    <w:name w:val="链接"/>
    <w:qFormat/>
    <w:rPr>
      <w:rFonts w:ascii="Times New Roman" w:hAnsi="Times New Roman" w:eastAsia="宋体" w:cs="Times New Roman"/>
      <w:color w:val="0000ff"/>
      <w:sz w:val="20"/>
      <w:u w:val="single"/>
    </w:rPr>
  </w:style>
  <w:style w:type="character" w:styleId="970" w:customStyle="1">
    <w:name w:val="18h1"/>
    <w:qFormat/>
    <w:rPr>
      <w:rFonts w:ascii="Times New Roman" w:hAnsi="Times New Roman" w:eastAsia="宋体" w:cs="Times New Roman"/>
      <w:color w:val="3b3b3b"/>
      <w:sz w:val="20"/>
    </w:rPr>
  </w:style>
  <w:style w:type="character" w:styleId="971" w:customStyle="1">
    <w:name w:val="表格文字（两侧对齐） Char Char"/>
    <w:qFormat/>
    <w:rPr>
      <w:rFonts w:ascii="Times New Roman" w:hAnsi="Times New Roman" w:eastAsia="宋体" w:cs="Times New Roman"/>
      <w:sz w:val="20"/>
    </w:rPr>
  </w:style>
  <w:style w:type="character" w:styleId="972" w:customStyle="1">
    <w:name w:val="正文文本缩进 2 Char"/>
    <w:qFormat/>
    <w:rPr>
      <w:rFonts w:ascii="Times New Roman" w:hAnsi="Times New Roman" w:eastAsia="宋体" w:cs="Times New Roman"/>
      <w:sz w:val="20"/>
    </w:rPr>
  </w:style>
  <w:style w:type="character" w:styleId="973" w:customStyle="1">
    <w:name w:val="Char Char14"/>
    <w:qFormat/>
    <w:rPr>
      <w:rFonts w:ascii="Times New Roman" w:hAnsi="Times New Roman" w:eastAsia="宋体" w:cs="Times New Roman"/>
      <w:sz w:val="20"/>
    </w:rPr>
  </w:style>
  <w:style w:type="character" w:styleId="974" w:customStyle="1">
    <w:name w:val="标题 1 Char1"/>
    <w:qFormat/>
    <w:rPr>
      <w:rFonts w:ascii="Times New Roman" w:hAnsi="Times New Roman" w:eastAsia="宋体" w:cs="Times New Roman"/>
      <w:b/>
      <w:sz w:val="20"/>
    </w:rPr>
  </w:style>
  <w:style w:type="character" w:styleId="975" w:customStyle="1">
    <w:name w:val="批注框文本 Char"/>
    <w:qFormat/>
    <w:rPr>
      <w:rFonts w:ascii="Times New Roman" w:hAnsi="Times New Roman" w:eastAsia="宋体" w:cs="Times New Roman"/>
      <w:sz w:val="20"/>
    </w:rPr>
  </w:style>
  <w:style w:type="character" w:styleId="976" w:customStyle="1">
    <w:name w:val="apple-style-span"/>
    <w:qFormat/>
    <w:rPr>
      <w:rFonts w:ascii="Times New Roman" w:hAnsi="Times New Roman" w:eastAsia="宋体" w:cs="Times New Roman"/>
      <w:sz w:val="20"/>
    </w:rPr>
  </w:style>
  <w:style w:type="character" w:styleId="977" w:customStyle="1">
    <w:name w:val="插图 Char Char"/>
    <w:qFormat/>
    <w:rPr>
      <w:rFonts w:ascii="Times New Roman" w:hAnsi="Times New Roman" w:eastAsia="宋体" w:cs="Times New Roman"/>
      <w:sz w:val="20"/>
    </w:rPr>
  </w:style>
  <w:style w:type="character" w:styleId="978" w:customStyle="1">
    <w:name w:val="标题 2 Char1"/>
    <w:qFormat/>
    <w:rPr>
      <w:rFonts w:ascii="Times New Roman" w:hAnsi="Times New Roman" w:eastAsia="宋体" w:cs="Times New Roman"/>
      <w:b/>
      <w:sz w:val="20"/>
    </w:rPr>
  </w:style>
  <w:style w:type="character" w:styleId="979" w:customStyle="1">
    <w:name w:val="_Style 332"/>
    <w:qFormat/>
    <w:rPr>
      <w:rFonts w:ascii="Times New Roman" w:hAnsi="Times New Roman" w:eastAsia="宋体" w:cs="Times New Roman"/>
      <w:i/>
      <w:color w:val="auto"/>
      <w:sz w:val="21"/>
    </w:rPr>
  </w:style>
  <w:style w:type="character" w:styleId="980" w:customStyle="1">
    <w:name w:val="正文文本 3 Char1"/>
    <w:qFormat/>
    <w:rPr>
      <w:rFonts w:ascii="Times New Roman" w:hAnsi="Times New Roman" w:eastAsia="宋体" w:cs="Times New Roman"/>
      <w:sz w:val="20"/>
    </w:rPr>
  </w:style>
  <w:style w:type="character" w:styleId="981" w:customStyle="1">
    <w:name w:val="标题 5 Char1"/>
    <w:qFormat/>
    <w:rPr>
      <w:rFonts w:ascii="Times New Roman" w:hAnsi="Times New Roman" w:eastAsia="宋体" w:cs="Times New Roman"/>
      <w:b/>
      <w:sz w:val="20"/>
    </w:rPr>
  </w:style>
  <w:style w:type="character" w:styleId="982" w:customStyle="1">
    <w:name w:val="批注主题 Char"/>
    <w:qFormat/>
    <w:rPr>
      <w:rFonts w:ascii="Times New Roman" w:hAnsi="Times New Roman" w:eastAsia="宋体" w:cs="Times New Roman"/>
      <w:b/>
      <w:sz w:val="20"/>
    </w:rPr>
  </w:style>
  <w:style w:type="character" w:styleId="983" w:customStyle="1">
    <w:name w:val="标题 1 Char"/>
    <w:qFormat/>
    <w:rPr>
      <w:rFonts w:ascii="Times New Roman" w:hAnsi="Times New Roman" w:eastAsia="宋体" w:cs="Times New Roman"/>
      <w:b/>
      <w:sz w:val="20"/>
    </w:rPr>
  </w:style>
  <w:style w:type="character" w:styleId="984" w:customStyle="1">
    <w:name w:val="正文文本 2 Char1"/>
    <w:qFormat/>
    <w:rPr>
      <w:rFonts w:ascii="Times New Roman" w:hAnsi="Times New Roman" w:eastAsia="宋体" w:cs="Times New Roman"/>
      <w:sz w:val="20"/>
    </w:rPr>
  </w:style>
  <w:style w:type="character" w:styleId="985" w:customStyle="1">
    <w:name w:val="标题 4 Char1"/>
    <w:qFormat/>
    <w:rPr>
      <w:rFonts w:ascii="Times New Roman" w:hAnsi="Times New Roman" w:eastAsia="宋体" w:cs="Times New Roman"/>
      <w:b/>
      <w:sz w:val="20"/>
    </w:rPr>
  </w:style>
  <w:style w:type="character" w:styleId="986" w:customStyle="1">
    <w:name w:val="正文文本 2 Char"/>
    <w:qFormat/>
    <w:rPr>
      <w:rFonts w:ascii="Times New Roman" w:hAnsi="Times New Roman" w:eastAsia="宋体" w:cs="Times New Roman"/>
      <w:sz w:val="20"/>
    </w:rPr>
  </w:style>
  <w:style w:type="character" w:styleId="987" w:customStyle="1">
    <w:name w:val="_Style 376"/>
    <w:qFormat/>
    <w:rPr>
      <w:rFonts w:ascii="Times New Roman" w:hAnsi="Times New Roman" w:eastAsia="宋体" w:cs="Times New Roman"/>
      <w:b/>
      <w:color w:val="auto"/>
      <w:sz w:val="21"/>
    </w:rPr>
  </w:style>
  <w:style w:type="character" w:styleId="988" w:customStyle="1">
    <w:name w:val="062"/>
    <w:qFormat/>
    <w:rPr>
      <w:rFonts w:ascii="Times New Roman" w:hAnsi="Times New Roman" w:eastAsia="宋体" w:cs="Times New Roman"/>
      <w:b/>
      <w:sz w:val="20"/>
    </w:rPr>
  </w:style>
  <w:style w:type="character" w:styleId="989" w:customStyle="1">
    <w:name w:val="正文文本 Char1"/>
    <w:qFormat/>
    <w:rPr>
      <w:rFonts w:ascii="Times New Roman" w:hAnsi="Times New Roman" w:eastAsia="宋体" w:cs="Times New Roman"/>
      <w:sz w:val="20"/>
    </w:rPr>
  </w:style>
  <w:style w:type="character" w:styleId="990" w:customStyle="1">
    <w:name w:val="题注 Char"/>
    <w:qFormat/>
    <w:rPr>
      <w:rFonts w:ascii="Times New Roman" w:hAnsi="Times New Roman" w:eastAsia="宋体" w:cs="Times New Roman"/>
      <w:sz w:val="20"/>
    </w:rPr>
  </w:style>
  <w:style w:type="character" w:styleId="991" w:customStyle="1">
    <w:name w:val="脚注文本 Char"/>
    <w:qFormat/>
    <w:rPr>
      <w:rFonts w:ascii="Times New Roman" w:hAnsi="Times New Roman" w:eastAsia="宋体" w:cs="Times New Roman"/>
      <w:sz w:val="20"/>
    </w:rPr>
  </w:style>
  <w:style w:type="character" w:styleId="992" w:customStyle="1">
    <w:name w:val="_Style 336"/>
    <w:qFormat/>
    <w:rPr>
      <w:rFonts w:ascii="Times New Roman" w:hAnsi="Times New Roman" w:eastAsia="宋体" w:cs="Times New Roman"/>
      <w:i/>
      <w:color w:val="auto"/>
      <w:sz w:val="21"/>
    </w:rPr>
  </w:style>
  <w:style w:type="character" w:styleId="993" w:customStyle="1">
    <w:name w:val="表格 Char"/>
    <w:qFormat/>
    <w:rPr>
      <w:rFonts w:ascii="Times New Roman" w:hAnsi="Times New Roman" w:eastAsia="宋体" w:cs="Times New Roman"/>
      <w:color w:val="000000"/>
      <w:sz w:val="20"/>
    </w:rPr>
  </w:style>
  <w:style w:type="character" w:styleId="994" w:customStyle="1">
    <w:name w:val="批注主题 字符"/>
    <w:qFormat/>
    <w:rPr>
      <w:rFonts w:ascii="Times New Roman" w:hAnsi="Times New Roman" w:eastAsia="宋体" w:cs="Times New Roman"/>
      <w:b/>
      <w:sz w:val="20"/>
    </w:rPr>
  </w:style>
  <w:style w:type="character" w:styleId="995" w:customStyle="1">
    <w:name w:val="图注 Char Char"/>
    <w:qFormat/>
    <w:rPr>
      <w:rFonts w:ascii="Times New Roman" w:hAnsi="Times New Roman" w:eastAsia="宋体" w:cs="Times New Roman"/>
      <w:sz w:val="20"/>
    </w:rPr>
  </w:style>
  <w:style w:type="character" w:styleId="996" w:customStyle="1">
    <w:name w:val="页码1"/>
    <w:qFormat/>
    <w:rPr>
      <w:rFonts w:ascii="Times New Roman" w:hAnsi="Times New Roman" w:eastAsia="宋体" w:cs="Times New Roman"/>
      <w:sz w:val="20"/>
    </w:rPr>
  </w:style>
  <w:style w:type="character" w:styleId="997" w:customStyle="1">
    <w:name w:val="列表框1 Char Char"/>
    <w:qFormat/>
    <w:rPr>
      <w:rFonts w:ascii="Times New Roman" w:hAnsi="Times New Roman" w:eastAsia="宋体" w:cs="Times New Roman"/>
      <w:sz w:val="20"/>
    </w:rPr>
  </w:style>
  <w:style w:type="character" w:styleId="998" w:customStyle="1">
    <w:name w:val="1ji Char"/>
    <w:qFormat/>
    <w:rPr>
      <w:rFonts w:ascii="Times New Roman" w:hAnsi="Times New Roman" w:eastAsia="宋体" w:cs="Times New Roman"/>
      <w:b/>
      <w:sz w:val="20"/>
    </w:rPr>
  </w:style>
  <w:style w:type="character" w:styleId="999" w:customStyle="1">
    <w:name w:val="正文文本缩进 Char"/>
    <w:uiPriority w:val="99"/>
    <w:qFormat/>
    <w:rPr>
      <w:rFonts w:ascii="Times New Roman" w:hAnsi="Times New Roman" w:eastAsia="宋体" w:cs="Times New Roman"/>
      <w:sz w:val="20"/>
    </w:rPr>
  </w:style>
  <w:style w:type="character" w:styleId="1000" w:customStyle="1">
    <w:name w:val="标准文本 Char Char"/>
    <w:qFormat/>
    <w:rPr>
      <w:rFonts w:ascii="Times New Roman" w:hAnsi="Times New Roman" w:eastAsia="宋体" w:cs="Times New Roman"/>
      <w:sz w:val="20"/>
    </w:rPr>
  </w:style>
  <w:style w:type="character" w:styleId="1001" w:customStyle="1">
    <w:name w:val="表格用 Char"/>
    <w:qFormat/>
    <w:rPr>
      <w:rFonts w:ascii="Times New Roman" w:hAnsi="Times New Roman" w:eastAsia="宋体" w:cs="Times New Roman"/>
      <w:color w:val="000000"/>
      <w:sz w:val="20"/>
    </w:rPr>
  </w:style>
  <w:style w:type="character" w:styleId="1002" w:customStyle="1">
    <w:name w:val="标题 7 Char1"/>
    <w:qFormat/>
    <w:rPr>
      <w:rFonts w:ascii="Times New Roman" w:hAnsi="Times New Roman" w:eastAsia="宋体" w:cs="Times New Roman"/>
      <w:b/>
      <w:sz w:val="20"/>
    </w:rPr>
  </w:style>
  <w:style w:type="character" w:styleId="1003" w:customStyle="1">
    <w:name w:val="H 3 Char"/>
    <w:qFormat/>
    <w:rPr>
      <w:rFonts w:ascii="Times New Roman" w:hAnsi="Times New Roman" w:eastAsia="宋体" w:cs="Times New Roman"/>
      <w:b/>
      <w:sz w:val="20"/>
    </w:rPr>
  </w:style>
  <w:style w:type="character" w:styleId="1004" w:customStyle="1">
    <w:name w:val="正文文本缩进 3 字符"/>
    <w:qFormat/>
    <w:rPr>
      <w:rFonts w:ascii="Times New Roman" w:hAnsi="Times New Roman" w:eastAsia="宋体" w:cs="Times New Roman"/>
      <w:sz w:val="16"/>
      <w:szCs w:val="16"/>
    </w:rPr>
  </w:style>
  <w:style w:type="character" w:styleId="1005" w:customStyle="1">
    <w:name w:val="标题 Char"/>
    <w:qFormat/>
    <w:rPr>
      <w:rFonts w:ascii="Times New Roman" w:hAnsi="Times New Roman" w:eastAsia="宋体" w:cs="Times New Roman"/>
      <w:b/>
      <w:sz w:val="20"/>
    </w:rPr>
  </w:style>
  <w:style w:type="character" w:styleId="1006" w:customStyle="1">
    <w:name w:val="H 4 Char"/>
    <w:qFormat/>
    <w:rPr>
      <w:rFonts w:ascii="Times New Roman" w:hAnsi="Times New Roman" w:eastAsia="宋体" w:cs="Times New Roman"/>
      <w:b/>
      <w:sz w:val="20"/>
    </w:rPr>
  </w:style>
  <w:style w:type="character" w:styleId="1007" w:customStyle="1">
    <w:name w:val="批注主题 Char1"/>
    <w:qFormat/>
    <w:rPr>
      <w:rFonts w:ascii="Times New Roman" w:hAnsi="Times New Roman" w:eastAsia="宋体" w:cs="Times New Roman"/>
      <w:b/>
      <w:sz w:val="20"/>
    </w:rPr>
  </w:style>
  <w:style w:type="character" w:styleId="1008" w:customStyle="1">
    <w:name w:val="正文文本缩进 Char1"/>
    <w:qFormat/>
    <w:rPr>
      <w:rFonts w:ascii="Times New Roman" w:hAnsi="Times New Roman" w:eastAsia="宋体" w:cs="Times New Roman"/>
      <w:sz w:val="20"/>
    </w:rPr>
  </w:style>
  <w:style w:type="character" w:styleId="1009" w:customStyle="1">
    <w:name w:val="正文文本 3 Char"/>
    <w:qFormat/>
    <w:rPr>
      <w:rFonts w:ascii="Times New Roman" w:hAnsi="Times New Roman" w:eastAsia="宋体" w:cs="Times New Roman"/>
      <w:sz w:val="20"/>
    </w:rPr>
  </w:style>
  <w:style w:type="character" w:styleId="1010" w:customStyle="1">
    <w:name w:val="正文首行缩进 2 Char"/>
    <w:qFormat/>
    <w:rPr>
      <w:rFonts w:ascii="Times New Roman" w:hAnsi="Times New Roman" w:eastAsia="宋体" w:cs="Times New Roman"/>
      <w:sz w:val="20"/>
    </w:rPr>
  </w:style>
  <w:style w:type="character" w:styleId="1011" w:customStyle="1">
    <w:name w:val="页眉 Char1"/>
    <w:qFormat/>
    <w:rPr>
      <w:rFonts w:ascii="Times New Roman" w:hAnsi="Times New Roman" w:eastAsia="宋体" w:cs="Times New Roman"/>
      <w:sz w:val="20"/>
    </w:rPr>
  </w:style>
  <w:style w:type="character" w:styleId="1012" w:customStyle="1">
    <w:name w:val="Char Char2"/>
    <w:qFormat/>
    <w:rPr>
      <w:rFonts w:ascii="Times New Roman" w:hAnsi="Times New Roman" w:eastAsia="宋体" w:cs="Times New Roman"/>
      <w:sz w:val="20"/>
    </w:rPr>
  </w:style>
  <w:style w:type="character" w:styleId="1013" w:customStyle="1">
    <w:name w:val="样式 首行缩进:  2 字符 Char1"/>
    <w:qFormat/>
    <w:rPr>
      <w:rFonts w:ascii="Times New Roman" w:hAnsi="Times New Roman" w:eastAsia="宋体" w:cs="Times New Roman"/>
      <w:sz w:val="20"/>
    </w:rPr>
  </w:style>
  <w:style w:type="character" w:styleId="1014" w:customStyle="1">
    <w:name w:val="标题 2 Char"/>
    <w:qFormat/>
    <w:rPr>
      <w:rFonts w:ascii="Times New Roman" w:hAnsi="Times New Roman" w:eastAsia="宋体" w:cs="Times New Roman"/>
      <w:b/>
      <w:sz w:val="20"/>
    </w:rPr>
  </w:style>
  <w:style w:type="character" w:styleId="1015" w:customStyle="1">
    <w:name w:val="表格文字图表文字 Char Char"/>
    <w:qFormat/>
    <w:rPr>
      <w:rFonts w:ascii="Times New Roman" w:hAnsi="Times New Roman" w:eastAsia="宋体" w:cs="Times New Roman"/>
      <w:sz w:val="20"/>
    </w:rPr>
  </w:style>
  <w:style w:type="character" w:styleId="1016" w:customStyle="1">
    <w:name w:val="图片 Char"/>
    <w:qFormat/>
    <w:rPr>
      <w:rFonts w:ascii="Times New Roman" w:hAnsi="Times New Roman" w:eastAsia="宋体" w:cs="Times New Roman"/>
      <w:sz w:val="20"/>
    </w:rPr>
  </w:style>
  <w:style w:type="character" w:styleId="1017" w:customStyle="1">
    <w:name w:val="标题 6 Char"/>
    <w:qFormat/>
    <w:rPr>
      <w:rFonts w:ascii="Times New Roman" w:hAnsi="Times New Roman" w:eastAsia="宋体" w:cs="Times New Roman"/>
      <w:b/>
      <w:sz w:val="20"/>
    </w:rPr>
  </w:style>
  <w:style w:type="character" w:styleId="1018" w:customStyle="1">
    <w:name w:val="标题 4 Char"/>
    <w:qFormat/>
    <w:rPr>
      <w:rFonts w:ascii="Times New Roman" w:hAnsi="Times New Roman" w:eastAsia="宋体" w:cs="Times New Roman"/>
      <w:b/>
      <w:sz w:val="20"/>
    </w:rPr>
  </w:style>
  <w:style w:type="character" w:styleId="1019" w:customStyle="1">
    <w:name w:val="文档结构图 Char1"/>
    <w:qFormat/>
    <w:rPr>
      <w:rFonts w:ascii="Times New Roman" w:hAnsi="Times New Roman" w:eastAsia="宋体" w:cs="Times New Roman"/>
      <w:sz w:val="20"/>
    </w:rPr>
  </w:style>
  <w:style w:type="character" w:styleId="1020" w:customStyle="1">
    <w:name w:val="项目符0 Char"/>
    <w:qFormat/>
    <w:rPr>
      <w:rFonts w:ascii="Times New Roman" w:hAnsi="Times New Roman" w:eastAsia="宋体" w:cs="Times New Roman"/>
      <w:sz w:val="20"/>
    </w:rPr>
  </w:style>
  <w:style w:type="character" w:styleId="1021" w:customStyle="1">
    <w:name w:val="正文文本缩进 3 Char"/>
    <w:qFormat/>
    <w:rPr>
      <w:rFonts w:ascii="Times New Roman" w:hAnsi="Times New Roman" w:eastAsia="宋体" w:cs="Times New Roman"/>
      <w:sz w:val="20"/>
    </w:rPr>
  </w:style>
  <w:style w:type="character" w:styleId="1022" w:customStyle="1">
    <w:name w:val="Char Char3"/>
    <w:qFormat/>
    <w:rPr>
      <w:rFonts w:ascii="Times New Roman" w:hAnsi="Times New Roman" w:eastAsia="宋体" w:cs="Times New Roman"/>
      <w:sz w:val="20"/>
    </w:rPr>
  </w:style>
  <w:style w:type="character" w:styleId="1023" w:customStyle="1">
    <w:name w:val="纯文本 Char"/>
    <w:qFormat/>
    <w:rPr>
      <w:rFonts w:ascii="Times New Roman" w:hAnsi="Times New Roman" w:eastAsia="宋体" w:cs="Times New Roman"/>
      <w:sz w:val="20"/>
    </w:rPr>
  </w:style>
  <w:style w:type="character" w:styleId="1024" w:customStyle="1">
    <w:name w:val="正文文本缩进 2 Char1"/>
    <w:qFormat/>
    <w:rPr>
      <w:rFonts w:ascii="Times New Roman" w:hAnsi="Times New Roman" w:eastAsia="宋体" w:cs="Times New Roman"/>
      <w:sz w:val="20"/>
    </w:rPr>
  </w:style>
  <w:style w:type="character" w:styleId="1025" w:customStyle="1">
    <w:name w:val="标题 8 Char"/>
    <w:qFormat/>
    <w:rPr>
      <w:rFonts w:ascii="Times New Roman" w:hAnsi="Times New Roman" w:eastAsia="宋体" w:cs="Times New Roman"/>
      <w:sz w:val="20"/>
    </w:rPr>
  </w:style>
  <w:style w:type="character" w:styleId="1026" w:customStyle="1">
    <w:name w:val="标题 6 Char1"/>
    <w:qFormat/>
    <w:rPr>
      <w:rFonts w:ascii="Times New Roman" w:hAnsi="Times New Roman" w:eastAsia="宋体" w:cs="Times New Roman"/>
      <w:b/>
      <w:sz w:val="20"/>
    </w:rPr>
  </w:style>
  <w:style w:type="character" w:styleId="1027" w:customStyle="1">
    <w:name w:val="case31"/>
    <w:qFormat/>
    <w:rPr>
      <w:rFonts w:ascii="Times New Roman" w:hAnsi="Times New Roman" w:eastAsia="宋体" w:cs="Times New Roman"/>
      <w:sz w:val="20"/>
    </w:rPr>
  </w:style>
  <w:style w:type="character" w:styleId="1028" w:customStyle="1">
    <w:name w:val="正文文本 Char"/>
    <w:qFormat/>
    <w:rPr>
      <w:rFonts w:ascii="Times New Roman" w:hAnsi="Times New Roman" w:eastAsia="宋体" w:cs="Times New Roman"/>
      <w:sz w:val="20"/>
    </w:rPr>
  </w:style>
  <w:style w:type="paragraph" w:styleId="1029" w:customStyle="1">
    <w:name w:val="节标题"/>
    <w:basedOn w:val="849"/>
    <w:next w:val="1030"/>
    <w:qFormat/>
    <w:pPr>
      <w:ind w:left="0" w:firstLine="5120"/>
      <w:jc w:val="center"/>
      <w:spacing w:before="0" w:after="0" w:line="289" w:lineRule="atLeast"/>
    </w:pPr>
    <w:rPr>
      <w:rFonts w:ascii="Times New Roman" w:hAnsi="Times New Roman" w:cs="Times New Roman"/>
    </w:rPr>
  </w:style>
  <w:style w:type="paragraph" w:styleId="1030" w:customStyle="1">
    <w:name w:val="文档标题6"/>
    <w:basedOn w:val="855"/>
    <w:next w:val="848"/>
    <w:qFormat/>
    <w:pPr>
      <w:ind w:left="1134" w:firstLine="20"/>
      <w:spacing w:before="280" w:after="280" w:line="360" w:lineRule="auto"/>
      <w:outlineLvl w:val="5"/>
    </w:pPr>
  </w:style>
  <w:style w:type="paragraph" w:styleId="1031" w:customStyle="1">
    <w:name w:val="正文段"/>
    <w:basedOn w:val="849"/>
    <w:next w:val="1032"/>
    <w:qFormat/>
    <w:pPr>
      <w:ind w:left="454" w:firstLine="1222"/>
      <w:spacing w:before="0" w:after="240" w:line="240" w:lineRule="atLeast"/>
    </w:pPr>
    <w:rPr>
      <w:rFonts w:ascii="Times New Roman" w:hAnsi="Times New Roman" w:cs="Times New Roman"/>
    </w:rPr>
  </w:style>
  <w:style w:type="paragraph" w:styleId="1032" w:customStyle="1">
    <w:name w:val="批注主题1"/>
    <w:next w:val="848"/>
    <w:qFormat/>
    <w:pPr>
      <w:ind w:left="200" w:firstLine="4808"/>
      <w:spacing w:line="360" w:lineRule="auto"/>
    </w:pPr>
    <w:rPr>
      <w:rFonts w:ascii="Calibri" w:hAnsi="Calibri"/>
    </w:rPr>
  </w:style>
  <w:style w:type="paragraph" w:styleId="1033" w:customStyle="1">
    <w:name w:val="_Style 224"/>
    <w:next w:val="1034"/>
    <w:qFormat/>
    <w:pPr>
      <w:ind w:firstLine="3584"/>
    </w:pPr>
    <w:rPr>
      <w:rFonts w:ascii="Calibri" w:hAnsi="Calibri"/>
    </w:rPr>
  </w:style>
  <w:style w:type="paragraph" w:styleId="1034" w:customStyle="1">
    <w:name w:val="编号1"/>
    <w:basedOn w:val="849"/>
    <w:next w:val="1035"/>
    <w:qFormat/>
    <w:pPr>
      <w:ind w:left="360" w:right="210" w:firstLine="2200"/>
      <w:spacing w:before="0" w:after="0" w:line="240" w:lineRule="auto"/>
    </w:pPr>
    <w:rPr>
      <w:rFonts w:ascii="Times New Roman" w:hAnsi="Times New Roman" w:cs="Times New Roman"/>
    </w:rPr>
  </w:style>
  <w:style w:type="paragraph" w:styleId="1035" w:customStyle="1">
    <w:name w:val="图片"/>
    <w:basedOn w:val="849"/>
    <w:next w:val="1036"/>
    <w:qFormat/>
    <w:pPr>
      <w:ind w:left="-283" w:firstLine="2674"/>
      <w:jc w:val="center"/>
      <w:spacing w:before="0" w:after="0" w:line="360" w:lineRule="auto"/>
    </w:pPr>
    <w:rPr>
      <w:rFonts w:ascii="Times New Roman" w:hAnsi="Times New Roman" w:cs="Times New Roman"/>
    </w:rPr>
  </w:style>
  <w:style w:type="paragraph" w:styleId="1036" w:customStyle="1">
    <w:name w:val="样式 目录 3 + 左侧:  2 字符"/>
    <w:next w:val="901"/>
    <w:qFormat/>
    <w:pPr>
      <w:ind w:left="400" w:firstLine="5120"/>
      <w:spacing w:line="360" w:lineRule="auto"/>
      <w:widowControl w:val="off"/>
    </w:pPr>
    <w:rPr>
      <w:rFonts w:ascii="Calibri" w:hAnsi="Calibri"/>
    </w:rPr>
  </w:style>
  <w:style w:type="paragraph" w:styleId="1037" w:customStyle="1">
    <w:name w:val="图注"/>
    <w:next w:val="1038"/>
    <w:qFormat/>
    <w:pPr>
      <w:ind w:left="360" w:firstLine="2152"/>
      <w:jc w:val="center"/>
    </w:pPr>
    <w:rPr>
      <w:rFonts w:ascii="Calibri" w:hAnsi="Calibri"/>
    </w:rPr>
  </w:style>
  <w:style w:type="paragraph" w:styleId="1038" w:customStyle="1">
    <w:name w:val="列表编号 41"/>
    <w:basedOn w:val="849"/>
    <w:next w:val="1039"/>
    <w:qFormat/>
    <w:pPr>
      <w:ind w:left="1620" w:firstLine="2712"/>
      <w:spacing w:before="0" w:after="0" w:line="360" w:lineRule="auto"/>
    </w:pPr>
    <w:rPr>
      <w:rFonts w:ascii="Times New Roman" w:hAnsi="Times New Roman" w:cs="Times New Roman"/>
    </w:rPr>
  </w:style>
  <w:style w:type="paragraph" w:styleId="1039" w:customStyle="1">
    <w:name w:val="项目符0"/>
    <w:basedOn w:val="849"/>
    <w:next w:val="1040"/>
    <w:qFormat/>
    <w:pPr>
      <w:ind w:left="300" w:right="57" w:firstLine="2760"/>
      <w:spacing w:before="0" w:after="0" w:line="300" w:lineRule="auto"/>
    </w:pPr>
    <w:rPr>
      <w:rFonts w:ascii="Times New Roman" w:hAnsi="Times New Roman" w:cs="Times New Roman"/>
    </w:rPr>
  </w:style>
  <w:style w:type="paragraph" w:styleId="1040" w:customStyle="1">
    <w:name w:val="宏文本1"/>
    <w:next w:val="1041"/>
    <w:qFormat/>
    <w:pPr>
      <w:ind w:firstLine="5632"/>
      <w:widowControl w:val="off"/>
    </w:pPr>
    <w:rPr>
      <w:rFonts w:ascii="Calibri" w:hAnsi="Calibri"/>
    </w:rPr>
  </w:style>
  <w:style w:type="paragraph" w:styleId="1041" w:customStyle="1">
    <w:name w:val="Item Step in Table"/>
    <w:next w:val="1042"/>
    <w:qFormat/>
    <w:pPr>
      <w:ind w:left="397" w:firstLine="3699"/>
      <w:jc w:val="both"/>
      <w:spacing w:before="40" w:after="40"/>
    </w:pPr>
    <w:rPr>
      <w:rFonts w:ascii="Calibri" w:hAnsi="Calibri"/>
    </w:rPr>
  </w:style>
  <w:style w:type="paragraph" w:styleId="1042" w:customStyle="1">
    <w:name w:val="Char Char Char Char Char Char1 Char Char Char Char Char Char"/>
    <w:basedOn w:val="849"/>
    <w:next w:val="1043"/>
    <w:qFormat/>
    <w:pPr>
      <w:ind w:left="0" w:firstLine="2560"/>
      <w:spacing w:before="0" w:after="0" w:line="240" w:lineRule="auto"/>
    </w:pPr>
    <w:rPr>
      <w:rFonts w:ascii="Times New Roman" w:hAnsi="Times New Roman" w:cs="Times New Roman"/>
    </w:rPr>
  </w:style>
  <w:style w:type="paragraph" w:styleId="1043" w:customStyle="1">
    <w:name w:val="Char Char1"/>
    <w:basedOn w:val="849"/>
    <w:next w:val="1044"/>
    <w:qFormat/>
    <w:pPr>
      <w:ind w:left="0" w:firstLine="3584"/>
      <w:spacing w:before="0" w:after="160" w:line="240" w:lineRule="exact"/>
    </w:pPr>
    <w:rPr>
      <w:rFonts w:ascii="Times New Roman" w:hAnsi="Times New Roman" w:cs="Times New Roman"/>
    </w:rPr>
  </w:style>
  <w:style w:type="paragraph" w:styleId="1044" w:customStyle="1">
    <w:name w:val="样式 标题 3 + 行距: 1.5 倍行距"/>
    <w:basedOn w:val="852"/>
    <w:next w:val="907"/>
    <w:qFormat/>
    <w:pPr>
      <w:ind w:left="200" w:firstLine="18"/>
      <w:spacing w:before="0" w:after="0" w:line="360" w:lineRule="auto"/>
      <w:outlineLvl w:val="2"/>
    </w:pPr>
  </w:style>
  <w:style w:type="paragraph" w:styleId="1045" w:customStyle="1">
    <w:name w:val="xl76"/>
    <w:basedOn w:val="849"/>
    <w:next w:val="904"/>
    <w:qFormat/>
    <w:pPr>
      <w:ind w:left="0" w:firstLine="3584"/>
      <w:jc w:val="center"/>
      <w:spacing w:before="280" w:after="280" w:line="240" w:lineRule="auto"/>
    </w:pPr>
    <w:rPr>
      <w:rFonts w:ascii="Times New Roman" w:hAnsi="Times New Roman" w:cs="Times New Roman"/>
    </w:rPr>
  </w:style>
  <w:style w:type="paragraph" w:styleId="1046" w:customStyle="1">
    <w:name w:val="xl26"/>
    <w:basedOn w:val="849"/>
    <w:next w:val="1047"/>
    <w:qFormat/>
    <w:pPr>
      <w:ind w:left="0" w:firstLine="20"/>
      <w:jc w:val="center"/>
      <w:spacing w:before="280" w:after="280" w:line="240" w:lineRule="auto"/>
      <w:shd w:val="clear" w:color="000000" w:fill="ffffff"/>
    </w:pPr>
    <w:rPr>
      <w:rFonts w:ascii="Times New Roman" w:hAnsi="Times New Roman" w:cs="Times New Roman"/>
    </w:rPr>
  </w:style>
  <w:style w:type="paragraph" w:styleId="1047" w:customStyle="1">
    <w:name w:val="Char1 Char Char"/>
    <w:basedOn w:val="849"/>
    <w:next w:val="887"/>
    <w:qFormat/>
    <w:pPr>
      <w:ind w:left="0" w:firstLine="2560"/>
      <w:spacing w:before="0" w:after="0" w:line="240" w:lineRule="auto"/>
    </w:pPr>
    <w:rPr>
      <w:rFonts w:ascii="Times New Roman" w:hAnsi="Times New Roman" w:cs="Times New Roman"/>
    </w:rPr>
  </w:style>
  <w:style w:type="paragraph" w:styleId="1048" w:customStyle="1">
    <w:name w:val="纯文本2"/>
    <w:basedOn w:val="849"/>
    <w:next w:val="1049"/>
    <w:qFormat/>
    <w:pPr>
      <w:ind w:left="0" w:firstLine="3584"/>
      <w:spacing w:before="0" w:after="0" w:line="240" w:lineRule="auto"/>
    </w:pPr>
    <w:rPr>
      <w:rFonts w:ascii="Times New Roman" w:hAnsi="Times New Roman" w:cs="Times New Roman"/>
    </w:rPr>
  </w:style>
  <w:style w:type="paragraph" w:styleId="1049" w:customStyle="1">
    <w:name w:val="xl69"/>
    <w:basedOn w:val="849"/>
    <w:next w:val="1050"/>
    <w:qFormat/>
    <w:pPr>
      <w:ind w:left="0" w:firstLine="3584"/>
      <w:spacing w:before="280" w:after="280" w:line="240" w:lineRule="auto"/>
    </w:pPr>
    <w:rPr>
      <w:rFonts w:ascii="Times New Roman" w:hAnsi="Times New Roman" w:cs="Times New Roman"/>
    </w:rPr>
  </w:style>
  <w:style w:type="paragraph" w:styleId="1050" w:customStyle="1">
    <w:name w:val="Char Char Char"/>
    <w:basedOn w:val="849"/>
    <w:next w:val="1051"/>
    <w:qFormat/>
    <w:pPr>
      <w:ind w:left="0" w:firstLine="2560"/>
      <w:spacing w:before="0" w:after="0" w:line="240" w:lineRule="auto"/>
    </w:pPr>
    <w:rPr>
      <w:rFonts w:ascii="Times New Roman" w:hAnsi="Times New Roman" w:cs="Times New Roman"/>
    </w:rPr>
  </w:style>
  <w:style w:type="paragraph" w:styleId="1051" w:customStyle="1">
    <w:name w:val="表格"/>
    <w:basedOn w:val="849"/>
    <w:next w:val="1046"/>
    <w:qFormat/>
    <w:pPr>
      <w:ind w:left="0" w:firstLine="2560"/>
      <w:spacing w:before="0" w:after="0" w:line="360" w:lineRule="auto"/>
    </w:pPr>
    <w:rPr>
      <w:rFonts w:ascii="Times New Roman" w:hAnsi="Times New Roman" w:cs="Times New Roman"/>
    </w:rPr>
  </w:style>
  <w:style w:type="paragraph" w:styleId="1052" w:customStyle="1">
    <w:name w:val="xl68"/>
    <w:basedOn w:val="849"/>
    <w:next w:val="1053"/>
    <w:qFormat/>
    <w:pPr>
      <w:ind w:left="100" w:firstLine="5220"/>
      <w:spacing w:before="280" w:after="280" w:line="240" w:lineRule="auto"/>
    </w:pPr>
    <w:rPr>
      <w:rFonts w:ascii="Times New Roman" w:hAnsi="Times New Roman" w:cs="Times New Roman"/>
    </w:rPr>
  </w:style>
  <w:style w:type="paragraph" w:styleId="1053" w:customStyle="1">
    <w:name w:val="Char1"/>
    <w:basedOn w:val="849"/>
    <w:next w:val="1054"/>
    <w:qFormat/>
    <w:pPr>
      <w:ind w:left="0" w:firstLine="2560"/>
      <w:spacing w:before="0" w:after="0" w:line="240" w:lineRule="auto"/>
    </w:pPr>
    <w:rPr>
      <w:rFonts w:ascii="Times New Roman" w:hAnsi="Times New Roman" w:cs="Times New Roman"/>
    </w:rPr>
  </w:style>
  <w:style w:type="paragraph" w:styleId="1054" w:customStyle="1">
    <w:name w:val="需求文档正文样式"/>
    <w:basedOn w:val="849"/>
    <w:next w:val="1055"/>
    <w:qFormat/>
    <w:pPr>
      <w:ind w:left="437" w:firstLine="2741"/>
      <w:spacing w:before="0" w:after="0" w:line="360" w:lineRule="auto"/>
    </w:pPr>
    <w:rPr>
      <w:rFonts w:ascii="Times New Roman" w:hAnsi="Times New Roman" w:cs="Times New Roman"/>
    </w:rPr>
  </w:style>
  <w:style w:type="paragraph" w:styleId="1055" w:customStyle="1">
    <w:name w:val="xl74"/>
    <w:basedOn w:val="849"/>
    <w:next w:val="1056"/>
    <w:qFormat/>
    <w:pPr>
      <w:ind w:left="0" w:firstLine="16"/>
      <w:jc w:val="center"/>
      <w:spacing w:before="280" w:after="280" w:line="240" w:lineRule="auto"/>
      <w:shd w:val="clear" w:color="000000" w:fill="538dd5"/>
    </w:pPr>
    <w:rPr>
      <w:rFonts w:ascii="Times New Roman" w:hAnsi="Times New Roman" w:cs="Times New Roman"/>
    </w:rPr>
  </w:style>
  <w:style w:type="paragraph" w:styleId="1056" w:customStyle="1">
    <w:name w:val="xl88"/>
    <w:basedOn w:val="849"/>
    <w:next w:val="1057"/>
    <w:qFormat/>
    <w:pPr>
      <w:ind w:left="0" w:firstLine="5120"/>
      <w:spacing w:before="280" w:after="280" w:line="240" w:lineRule="auto"/>
    </w:pPr>
    <w:rPr>
      <w:rFonts w:ascii="Times New Roman" w:hAnsi="Times New Roman" w:cs="Times New Roman"/>
    </w:rPr>
  </w:style>
  <w:style w:type="paragraph" w:styleId="1057" w:customStyle="1">
    <w:name w:val="xl70"/>
    <w:basedOn w:val="849"/>
    <w:next w:val="903"/>
    <w:qFormat/>
    <w:pPr>
      <w:ind w:left="0" w:firstLine="1024"/>
      <w:spacing w:before="280" w:after="280" w:line="240" w:lineRule="auto"/>
    </w:pPr>
    <w:rPr>
      <w:rFonts w:ascii="Times New Roman" w:hAnsi="Times New Roman" w:cs="Times New Roman"/>
    </w:rPr>
  </w:style>
  <w:style w:type="paragraph" w:styleId="1058" w:customStyle="1">
    <w:name w:val="文档标题5"/>
    <w:basedOn w:val="854"/>
    <w:next w:val="848"/>
    <w:qFormat/>
    <w:pPr>
      <w:ind w:left="992" w:firstLine="18"/>
      <w:spacing w:before="280" w:after="280" w:line="360" w:lineRule="auto"/>
      <w:outlineLvl w:val="4"/>
    </w:pPr>
  </w:style>
  <w:style w:type="paragraph" w:styleId="1059" w:customStyle="1">
    <w:name w:val="样式 加粗 居中"/>
    <w:basedOn w:val="849"/>
    <w:next w:val="1060"/>
    <w:qFormat/>
    <w:pPr>
      <w:ind w:left="0" w:firstLine="2560"/>
      <w:jc w:val="center"/>
      <w:spacing w:before="0" w:after="0" w:line="360" w:lineRule="auto"/>
    </w:pPr>
    <w:rPr>
      <w:rFonts w:ascii="Times New Roman" w:hAnsi="Times New Roman" w:cs="Times New Roman"/>
    </w:rPr>
  </w:style>
  <w:style w:type="paragraph" w:styleId="1060" w:customStyle="1">
    <w:name w:val="_Style 12"/>
    <w:next w:val="1061"/>
    <w:qFormat/>
    <w:pPr>
      <w:ind w:firstLine="14"/>
      <w:spacing w:line="360" w:lineRule="auto"/>
      <w:shd w:val="clear" w:color="000000" w:fill="000080"/>
    </w:pPr>
    <w:rPr>
      <w:rFonts w:ascii="Calibri" w:hAnsi="Calibri"/>
    </w:rPr>
  </w:style>
  <w:style w:type="paragraph" w:styleId="1061" w:customStyle="1">
    <w:name w:val="正文文本缩进1"/>
    <w:basedOn w:val="849"/>
    <w:next w:val="1062"/>
    <w:qFormat/>
    <w:pPr>
      <w:ind w:left="420" w:firstLine="3584"/>
      <w:spacing w:before="0" w:after="120" w:line="240" w:lineRule="auto"/>
    </w:pPr>
    <w:rPr>
      <w:rFonts w:ascii="Times New Roman" w:hAnsi="Times New Roman" w:cs="Times New Roman"/>
    </w:rPr>
  </w:style>
  <w:style w:type="paragraph" w:styleId="1062" w:customStyle="1">
    <w:name w:val="列表编号 31"/>
    <w:basedOn w:val="849"/>
    <w:next w:val="905"/>
    <w:qFormat/>
    <w:pPr>
      <w:ind w:left="1200" w:firstLine="2712"/>
      <w:spacing w:before="0" w:after="0" w:line="360" w:lineRule="auto"/>
    </w:pPr>
    <w:rPr>
      <w:rFonts w:ascii="Times New Roman" w:hAnsi="Times New Roman" w:cs="Times New Roman"/>
    </w:rPr>
  </w:style>
  <w:style w:type="paragraph" w:styleId="1063" w:customStyle="1">
    <w:name w:val="三号 居中"/>
    <w:basedOn w:val="849"/>
    <w:next w:val="1064"/>
    <w:qFormat/>
    <w:pPr>
      <w:ind w:left="0" w:firstLine="6144"/>
      <w:jc w:val="center"/>
      <w:spacing w:before="0" w:after="0" w:line="360" w:lineRule="auto"/>
    </w:pPr>
    <w:rPr>
      <w:rFonts w:ascii="Times New Roman" w:hAnsi="Times New Roman" w:cs="Times New Roman"/>
    </w:rPr>
  </w:style>
  <w:style w:type="paragraph" w:styleId="1064" w:customStyle="1">
    <w:name w:val="列出段落1"/>
    <w:basedOn w:val="849"/>
    <w:next w:val="1065"/>
    <w:qFormat/>
    <w:pPr>
      <w:ind w:left="420" w:firstLine="3748"/>
      <w:spacing w:before="0" w:after="0" w:line="240" w:lineRule="auto"/>
    </w:pPr>
    <w:rPr>
      <w:rFonts w:ascii="Times New Roman" w:hAnsi="Times New Roman" w:cs="Times New Roman"/>
    </w:rPr>
  </w:style>
  <w:style w:type="paragraph" w:styleId="1065" w:customStyle="1">
    <w:name w:val="Char Char Char Char Char Char1 Char Char Char1 Char Char Char"/>
    <w:basedOn w:val="849"/>
    <w:next w:val="1066"/>
    <w:qFormat/>
    <w:pPr>
      <w:ind w:left="0" w:firstLine="2560"/>
      <w:spacing w:before="0" w:after="0" w:line="240" w:lineRule="auto"/>
    </w:pPr>
    <w:rPr>
      <w:rFonts w:ascii="Times New Roman" w:hAnsi="Times New Roman" w:cs="Times New Roman"/>
    </w:rPr>
  </w:style>
  <w:style w:type="paragraph" w:styleId="1066" w:customStyle="1">
    <w:name w:val="Char Char Char Char Char Char1 Char Char Char1 Char"/>
    <w:basedOn w:val="849"/>
    <w:next w:val="1067"/>
    <w:qFormat/>
    <w:pPr>
      <w:ind w:left="0" w:firstLine="2560"/>
      <w:spacing w:before="0" w:after="0" w:line="240" w:lineRule="auto"/>
    </w:pPr>
    <w:rPr>
      <w:rFonts w:ascii="Times New Roman" w:hAnsi="Times New Roman" w:cs="Times New Roman"/>
    </w:rPr>
  </w:style>
  <w:style w:type="paragraph" w:styleId="1067" w:customStyle="1">
    <w:name w:val="正文符号4"/>
    <w:basedOn w:val="849"/>
    <w:next w:val="1059"/>
    <w:qFormat/>
    <w:pPr>
      <w:ind w:left="0" w:firstLine="5632"/>
      <w:spacing w:before="0" w:after="0" w:line="240" w:lineRule="auto"/>
    </w:pPr>
    <w:rPr>
      <w:rFonts w:ascii="Times New Roman" w:hAnsi="Times New Roman" w:cs="Times New Roman"/>
    </w:rPr>
  </w:style>
  <w:style w:type="paragraph" w:styleId="1068" w:customStyle="1">
    <w:name w:val="加粗（居中）"/>
    <w:next w:val="1069"/>
    <w:qFormat/>
    <w:pPr>
      <w:ind w:firstLine="2560"/>
    </w:pPr>
    <w:rPr>
      <w:rFonts w:ascii="Calibri" w:hAnsi="Calibri"/>
    </w:rPr>
  </w:style>
  <w:style w:type="paragraph" w:styleId="1069" w:customStyle="1">
    <w:name w:val="xl65"/>
    <w:basedOn w:val="849"/>
    <w:next w:val="1029"/>
    <w:qFormat/>
    <w:pPr>
      <w:ind w:left="0" w:firstLine="5120"/>
      <w:spacing w:before="280" w:after="280" w:line="240" w:lineRule="auto"/>
    </w:pPr>
    <w:rPr>
      <w:rFonts w:ascii="Times New Roman" w:hAnsi="Times New Roman" w:cs="Times New Roman"/>
    </w:rPr>
  </w:style>
  <w:style w:type="paragraph" w:styleId="1070" w:customStyle="1">
    <w:name w:val="WPSOffice手动目录 3"/>
    <w:qFormat/>
    <w:pPr>
      <w:ind w:left="400"/>
    </w:pPr>
  </w:style>
  <w:style w:type="paragraph" w:styleId="1071" w:customStyle="1">
    <w:name w:val="xl77"/>
    <w:basedOn w:val="849"/>
    <w:next w:val="1072"/>
    <w:qFormat/>
    <w:pPr>
      <w:ind w:left="0" w:firstLine="3584"/>
      <w:spacing w:before="280" w:after="280" w:line="240" w:lineRule="auto"/>
    </w:pPr>
    <w:rPr>
      <w:rFonts w:ascii="Times New Roman" w:hAnsi="Times New Roman" w:cs="Times New Roman"/>
    </w:rPr>
  </w:style>
  <w:style w:type="paragraph" w:styleId="1072" w:customStyle="1">
    <w:name w:val="Char Char Char1"/>
    <w:basedOn w:val="849"/>
    <w:next w:val="1073"/>
    <w:qFormat/>
    <w:pPr>
      <w:ind w:left="900" w:firstLine="2096"/>
      <w:spacing w:before="0" w:after="0" w:line="240" w:lineRule="auto"/>
    </w:pPr>
    <w:rPr>
      <w:rFonts w:ascii="Times New Roman" w:hAnsi="Times New Roman" w:cs="Times New Roman"/>
    </w:rPr>
  </w:style>
  <w:style w:type="paragraph" w:styleId="1073"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074" w:customStyle="1">
    <w:name w:val="正文（首行缩进 2 字符）"/>
    <w:next w:val="1075"/>
    <w:qFormat/>
    <w:pPr>
      <w:ind w:left="480" w:firstLine="2784"/>
      <w:jc w:val="center"/>
      <w:spacing w:line="300" w:lineRule="auto"/>
    </w:pPr>
    <w:rPr>
      <w:rFonts w:ascii="Calibri" w:hAnsi="Calibri"/>
    </w:rPr>
  </w:style>
  <w:style w:type="paragraph" w:styleId="1075" w:customStyle="1">
    <w:name w:val="xl28"/>
    <w:basedOn w:val="849"/>
    <w:next w:val="1076"/>
    <w:qFormat/>
    <w:pPr>
      <w:ind w:left="0" w:firstLine="20"/>
      <w:spacing w:before="280" w:after="280" w:line="240" w:lineRule="auto"/>
      <w:shd w:val="clear" w:color="000000" w:fill="ffffff"/>
    </w:pPr>
    <w:rPr>
      <w:rFonts w:ascii="Times New Roman" w:hAnsi="Times New Roman" w:cs="Times New Roman"/>
    </w:rPr>
  </w:style>
  <w:style w:type="paragraph" w:styleId="1076" w:customStyle="1">
    <w:name w:val="HTML 预设格式1"/>
    <w:basedOn w:val="849"/>
    <w:next w:val="1077"/>
    <w:qFormat/>
    <w:pPr>
      <w:ind w:left="0" w:firstLine="3584"/>
      <w:spacing w:before="0" w:after="0" w:line="253" w:lineRule="atLeast"/>
    </w:pPr>
    <w:rPr>
      <w:rFonts w:ascii="Times New Roman" w:hAnsi="Times New Roman" w:cs="Times New Roman"/>
    </w:rPr>
  </w:style>
  <w:style w:type="paragraph" w:styleId="1077"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078" w:customStyle="1">
    <w:name w:val="Default"/>
    <w:next w:val="883"/>
    <w:qFormat/>
    <w:pPr>
      <w:ind w:firstLine="5120"/>
      <w:widowControl w:val="off"/>
    </w:pPr>
    <w:rPr>
      <w:rFonts w:ascii="Calibri" w:hAnsi="Calibri"/>
    </w:rPr>
  </w:style>
  <w:style w:type="paragraph" w:styleId="1079" w:customStyle="1">
    <w:name w:val="xl84"/>
    <w:basedOn w:val="849"/>
    <w:next w:val="1080"/>
    <w:qFormat/>
    <w:pPr>
      <w:ind w:left="0" w:firstLine="2048"/>
      <w:jc w:val="center"/>
      <w:spacing w:before="280" w:after="280" w:line="240" w:lineRule="auto"/>
    </w:pPr>
    <w:rPr>
      <w:rFonts w:ascii="Times New Roman" w:hAnsi="Times New Roman" w:cs="Times New Roman"/>
    </w:rPr>
  </w:style>
  <w:style w:type="paragraph" w:styleId="1080" w:customStyle="1">
    <w:name w:val="2-2ji"/>
    <w:basedOn w:val="851"/>
    <w:next w:val="1081"/>
    <w:qFormat/>
    <w:pPr>
      <w:ind w:left="0" w:firstLine="24"/>
      <w:jc w:val="center"/>
      <w:spacing w:before="0" w:after="0" w:line="360" w:lineRule="auto"/>
      <w:outlineLvl w:val="1"/>
    </w:pPr>
  </w:style>
  <w:style w:type="paragraph" w:styleId="1081" w:customStyle="1">
    <w:name w:val="应答文本"/>
    <w:basedOn w:val="849"/>
    <w:next w:val="1082"/>
    <w:qFormat/>
    <w:pPr>
      <w:ind w:left="1296" w:firstLine="2112"/>
      <w:spacing w:before="0" w:after="0" w:line="460" w:lineRule="exact"/>
    </w:pPr>
    <w:rPr>
      <w:rFonts w:ascii="Times New Roman" w:hAnsi="Times New Roman" w:cs="Times New Roman"/>
    </w:rPr>
  </w:style>
  <w:style w:type="paragraph" w:styleId="1082"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083" w:customStyle="1">
    <w:name w:val="首行缩进"/>
    <w:basedOn w:val="848"/>
    <w:qFormat/>
    <w:pPr>
      <w:ind w:firstLine="480"/>
    </w:pPr>
    <w:rPr>
      <w:rFonts w:ascii="Times New Roman" w:hAnsi="Times New Roman" w:cs="Times New Roman"/>
      <w:lang w:val="zh-CN"/>
    </w:rPr>
  </w:style>
  <w:style w:type="paragraph" w:styleId="1084" w:customStyle="1">
    <w:name w:val="font9"/>
    <w:basedOn w:val="849"/>
    <w:next w:val="1085"/>
    <w:qFormat/>
    <w:pPr>
      <w:ind w:left="0" w:firstLine="7168"/>
      <w:spacing w:before="280" w:after="280" w:line="240" w:lineRule="auto"/>
    </w:pPr>
    <w:rPr>
      <w:rFonts w:ascii="Times New Roman" w:hAnsi="Times New Roman" w:cs="Times New Roman"/>
    </w:rPr>
  </w:style>
  <w:style w:type="paragraph" w:styleId="1085" w:customStyle="1">
    <w:name w:val="样式 标题 3 + (中文) 黑体 小四 非加粗 段前: 7.8 磅 段后: 0 磅 行距: 固定值 20 磅"/>
    <w:basedOn w:val="852"/>
    <w:next w:val="1086"/>
    <w:qFormat/>
    <w:pPr>
      <w:ind w:left="0"/>
      <w:spacing w:before="0" w:after="0" w:line="400" w:lineRule="exact"/>
      <w:outlineLvl w:val="2"/>
    </w:pPr>
  </w:style>
  <w:style w:type="paragraph" w:styleId="1086" w:customStyle="1">
    <w:name w:val="标书正文"/>
    <w:basedOn w:val="849"/>
    <w:next w:val="1087"/>
    <w:qFormat/>
    <w:pPr>
      <w:ind w:left="440" w:right="100" w:firstLine="2760"/>
      <w:spacing w:before="0" w:after="0" w:line="360" w:lineRule="auto"/>
    </w:pPr>
    <w:rPr>
      <w:rFonts w:ascii="Times New Roman" w:hAnsi="Times New Roman" w:cs="Times New Roman"/>
    </w:rPr>
  </w:style>
  <w:style w:type="paragraph" w:styleId="1087" w:customStyle="1">
    <w:name w:val="xl67"/>
    <w:basedOn w:val="849"/>
    <w:next w:val="1088"/>
    <w:qFormat/>
    <w:pPr>
      <w:ind w:left="0" w:firstLine="5120"/>
      <w:spacing w:before="280" w:after="280" w:line="240" w:lineRule="auto"/>
    </w:pPr>
    <w:rPr>
      <w:rFonts w:ascii="Times New Roman" w:hAnsi="Times New Roman" w:cs="Times New Roman"/>
    </w:rPr>
  </w:style>
  <w:style w:type="paragraph" w:styleId="1088"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089"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090" w:customStyle="1">
    <w:name w:val="xl90"/>
    <w:basedOn w:val="849"/>
    <w:next w:val="1091"/>
    <w:qFormat/>
    <w:pPr>
      <w:ind w:left="0" w:firstLine="3584"/>
      <w:spacing w:before="280" w:after="280" w:line="240" w:lineRule="auto"/>
    </w:pPr>
    <w:rPr>
      <w:rFonts w:ascii="Times New Roman" w:hAnsi="Times New Roman" w:cs="Times New Roman"/>
    </w:rPr>
  </w:style>
  <w:style w:type="paragraph" w:styleId="1091" w:customStyle="1">
    <w:name w:val="列表框1"/>
    <w:next w:val="1082"/>
    <w:qFormat/>
    <w:pPr>
      <w:ind w:firstLine="2048"/>
      <w:spacing w:line="460" w:lineRule="exact"/>
    </w:pPr>
    <w:rPr>
      <w:rFonts w:ascii="Calibri" w:hAnsi="Calibri"/>
    </w:rPr>
  </w:style>
  <w:style w:type="paragraph" w:styleId="1092" w:customStyle="1">
    <w:name w:val="1ji"/>
    <w:basedOn w:val="850"/>
    <w:next w:val="1071"/>
    <w:qFormat/>
    <w:pPr>
      <w:ind w:left="0" w:firstLine="18"/>
      <w:jc w:val="center"/>
      <w:spacing w:before="0" w:after="0" w:line="240" w:lineRule="auto"/>
      <w:outlineLvl w:val="0"/>
    </w:pPr>
  </w:style>
  <w:style w:type="paragraph" w:styleId="1093"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094" w:customStyle="1">
    <w:name w:val="正文1"/>
    <w:basedOn w:val="848"/>
    <w:next w:val="848"/>
    <w:qFormat/>
    <w:pPr>
      <w:spacing w:line="312" w:lineRule="atLeast"/>
    </w:pPr>
    <w:rPr>
      <w:rFonts w:ascii="楷体_GB2312" w:hAnsi="Times New Roman" w:eastAsia="楷体_GB2312" w:cs="Times New Roman"/>
      <w:sz w:val="24"/>
    </w:rPr>
  </w:style>
  <w:style w:type="paragraph" w:styleId="1095" w:customStyle="1">
    <w:name w:val="Char Char Char Char Char Char1 Char Char Char1 Char Char Char Char Char Char Char Char Char Char Char Char Char Char Char Char Char Char"/>
    <w:basedOn w:val="849"/>
    <w:next w:val="1096"/>
    <w:qFormat/>
    <w:pPr>
      <w:ind w:left="0" w:firstLine="2560"/>
      <w:spacing w:before="0" w:after="0" w:line="240" w:lineRule="auto"/>
    </w:pPr>
    <w:rPr>
      <w:rFonts w:ascii="Times New Roman" w:hAnsi="Times New Roman" w:cs="Times New Roman"/>
    </w:rPr>
  </w:style>
  <w:style w:type="paragraph" w:styleId="1096" w:customStyle="1">
    <w:name w:val="样式 加粗 居中11"/>
    <w:basedOn w:val="849"/>
    <w:next w:val="1097"/>
    <w:qFormat/>
    <w:pPr>
      <w:ind w:left="0" w:firstLine="2560"/>
      <w:jc w:val="center"/>
      <w:spacing w:before="0" w:after="0" w:line="360" w:lineRule="auto"/>
    </w:pPr>
    <w:rPr>
      <w:rFonts w:ascii="Times New Roman" w:hAnsi="Times New Roman" w:cs="Times New Roman"/>
    </w:rPr>
  </w:style>
  <w:style w:type="paragraph" w:styleId="1097" w:customStyle="1">
    <w:name w:val="xl89"/>
    <w:basedOn w:val="849"/>
    <w:next w:val="1098"/>
    <w:qFormat/>
    <w:pPr>
      <w:ind w:left="0" w:firstLine="3584"/>
      <w:spacing w:before="280" w:after="280" w:line="240" w:lineRule="auto"/>
    </w:pPr>
    <w:rPr>
      <w:rFonts w:ascii="Times New Roman" w:hAnsi="Times New Roman" w:cs="Times New Roman"/>
    </w:rPr>
  </w:style>
  <w:style w:type="paragraph" w:styleId="1098" w:customStyle="1">
    <w:name w:val="Char Char Char Char Char Char1 Char Char Char Char Char Char1 Char Char Char Char Char Char Char Char Char"/>
    <w:basedOn w:val="849"/>
    <w:next w:val="1099"/>
    <w:qFormat/>
    <w:pPr>
      <w:ind w:left="0" w:firstLine="2560"/>
      <w:spacing w:before="0" w:after="0" w:line="240" w:lineRule="auto"/>
    </w:pPr>
    <w:rPr>
      <w:rFonts w:ascii="Times New Roman" w:hAnsi="Times New Roman" w:cs="Times New Roman"/>
    </w:rPr>
  </w:style>
  <w:style w:type="paragraph" w:styleId="1099"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100">
    <w:name w:val="Quote"/>
    <w:next w:val="848"/>
    <w:qFormat/>
    <w:pPr>
      <w:ind w:left="3680" w:right="864"/>
      <w:jc w:val="center"/>
      <w:spacing w:before="200" w:after="160"/>
    </w:pPr>
    <w:rPr>
      <w:rFonts w:ascii="Calibri" w:hAnsi="Calibri"/>
      <w:i/>
    </w:rPr>
  </w:style>
  <w:style w:type="paragraph" w:styleId="1101" w:customStyle="1">
    <w:name w:val="Default Paragraph Font Para Char Char Char Char Char Char"/>
    <w:basedOn w:val="849"/>
    <w:next w:val="1102"/>
    <w:qFormat/>
    <w:pPr>
      <w:ind w:left="0" w:firstLine="3584"/>
      <w:spacing w:before="0" w:after="160" w:line="240" w:lineRule="exact"/>
    </w:pPr>
    <w:rPr>
      <w:rFonts w:ascii="Times New Roman" w:hAnsi="Times New Roman" w:cs="Times New Roman"/>
    </w:rPr>
  </w:style>
  <w:style w:type="paragraph" w:styleId="1102" w:customStyle="1">
    <w:name w:val="xl23"/>
    <w:basedOn w:val="849"/>
    <w:next w:val="885"/>
    <w:qFormat/>
    <w:pPr>
      <w:ind w:left="0" w:firstLine="20"/>
      <w:spacing w:before="280" w:after="280" w:line="240" w:lineRule="auto"/>
      <w:shd w:val="clear" w:color="000000" w:fill="ffffff"/>
    </w:pPr>
    <w:rPr>
      <w:rFonts w:ascii="Times New Roman" w:hAnsi="Times New Roman" w:cs="Times New Roman"/>
    </w:rPr>
  </w:style>
  <w:style w:type="paragraph" w:styleId="1103" w:customStyle="1">
    <w:name w:val="列出段落11"/>
    <w:basedOn w:val="849"/>
    <w:next w:val="1104"/>
    <w:qFormat/>
    <w:pPr>
      <w:ind w:left="420" w:firstLine="3748"/>
      <w:spacing w:before="0" w:after="0" w:line="240" w:lineRule="auto"/>
    </w:pPr>
    <w:rPr>
      <w:rFonts w:ascii="Times New Roman" w:hAnsi="Times New Roman" w:cs="Times New Roman"/>
    </w:rPr>
  </w:style>
  <w:style w:type="paragraph" w:styleId="1104" w:customStyle="1">
    <w:name w:val="样式 标题 2 + (西文) 宋体 非加粗 居中"/>
    <w:basedOn w:val="851"/>
    <w:next w:val="1105"/>
    <w:qFormat/>
    <w:pPr>
      <w:ind w:left="0" w:firstLine="24"/>
      <w:jc w:val="center"/>
      <w:spacing w:line="412" w:lineRule="auto"/>
      <w:outlineLvl w:val="1"/>
    </w:pPr>
  </w:style>
  <w:style w:type="paragraph" w:styleId="1105" w:customStyle="1">
    <w:name w:val="页脚 Char Char"/>
    <w:basedOn w:val="849"/>
    <w:next w:val="1106"/>
    <w:qFormat/>
    <w:pPr>
      <w:ind w:left="0" w:firstLine="5120"/>
      <w:spacing w:before="0" w:after="0" w:line="240" w:lineRule="auto"/>
    </w:pPr>
    <w:rPr>
      <w:rFonts w:ascii="Times New Roman" w:hAnsi="Times New Roman" w:cs="Times New Roman"/>
    </w:rPr>
  </w:style>
  <w:style w:type="paragraph" w:styleId="1106" w:customStyle="1">
    <w:name w:val="样式 标题 1 + 段前: 16 磅 段后: 16 磅"/>
    <w:basedOn w:val="850"/>
    <w:next w:val="1107"/>
    <w:qFormat/>
    <w:pPr>
      <w:ind w:left="0" w:firstLine="18"/>
      <w:jc w:val="center"/>
      <w:spacing w:before="120" w:after="0" w:line="360" w:lineRule="auto"/>
      <w:outlineLvl w:val="0"/>
    </w:pPr>
  </w:style>
  <w:style w:type="paragraph" w:styleId="1107" w:customStyle="1">
    <w:name w:val="Char1 Char Char Char Char Char Char"/>
    <w:basedOn w:val="849"/>
    <w:next w:val="1108"/>
    <w:qFormat/>
    <w:pPr>
      <w:ind w:left="0" w:firstLine="2560"/>
      <w:spacing w:before="0" w:after="0" w:line="240" w:lineRule="auto"/>
    </w:pPr>
    <w:rPr>
      <w:rFonts w:ascii="Times New Roman" w:hAnsi="Times New Roman" w:cs="Times New Roman"/>
    </w:rPr>
  </w:style>
  <w:style w:type="paragraph" w:styleId="1108" w:customStyle="1">
    <w:name w:val="文档标题4"/>
    <w:basedOn w:val="853"/>
    <w:next w:val="848"/>
    <w:qFormat/>
    <w:pPr>
      <w:ind w:left="851" w:firstLine="30"/>
      <w:spacing w:after="280" w:line="360" w:lineRule="auto"/>
      <w:outlineLvl w:val="3"/>
    </w:pPr>
  </w:style>
  <w:style w:type="paragraph" w:styleId="1109" w:customStyle="1">
    <w:name w:val="font0"/>
    <w:basedOn w:val="849"/>
    <w:next w:val="1084"/>
    <w:qFormat/>
    <w:pPr>
      <w:ind w:left="0" w:firstLine="1024"/>
      <w:spacing w:before="280" w:after="280" w:line="240" w:lineRule="auto"/>
    </w:pPr>
    <w:rPr>
      <w:rFonts w:ascii="Times New Roman" w:hAnsi="Times New Roman" w:cs="Times New Roman"/>
    </w:rPr>
  </w:style>
  <w:style w:type="paragraph" w:styleId="1110" w:customStyle="1">
    <w:name w:val="CM5"/>
    <w:basedOn w:val="849"/>
    <w:next w:val="848"/>
    <w:qFormat/>
    <w:pPr>
      <w:ind w:left="200" w:firstLine="2760"/>
      <w:spacing w:before="0" w:after="0" w:line="400" w:lineRule="atLeast"/>
    </w:pPr>
    <w:rPr>
      <w:rFonts w:ascii="Times New Roman" w:hAnsi="Times New Roman" w:cs="Times New Roman"/>
    </w:rPr>
  </w:style>
  <w:style w:type="paragraph" w:styleId="1111" w:customStyle="1">
    <w:name w:val="Pa0"/>
    <w:basedOn w:val="849"/>
    <w:next w:val="848"/>
    <w:qFormat/>
    <w:pPr>
      <w:ind w:left="0" w:firstLine="4608"/>
      <w:spacing w:before="0" w:after="0" w:line="241" w:lineRule="atLeast"/>
    </w:pPr>
    <w:rPr>
      <w:rFonts w:ascii="Times New Roman" w:hAnsi="Times New Roman" w:cs="Times New Roman"/>
    </w:rPr>
  </w:style>
  <w:style w:type="paragraph" w:styleId="1112" w:customStyle="1">
    <w:name w:val="招标文件》"/>
    <w:basedOn w:val="849"/>
    <w:next w:val="1048"/>
    <w:qFormat/>
    <w:pPr>
      <w:ind w:left="420" w:firstLine="2140"/>
      <w:spacing w:before="120" w:after="120" w:line="300" w:lineRule="auto"/>
    </w:pPr>
    <w:rPr>
      <w:rFonts w:ascii="Times New Roman" w:hAnsi="Times New Roman" w:cs="Times New Roman"/>
    </w:rPr>
  </w:style>
  <w:style w:type="paragraph" w:styleId="1113" w:customStyle="1">
    <w:name w:val="段"/>
    <w:next w:val="848"/>
    <w:qFormat/>
    <w:pPr>
      <w:ind w:firstLine="200"/>
      <w:jc w:val="both"/>
      <w:spacing w:line="360" w:lineRule="auto"/>
    </w:pPr>
    <w:rPr>
      <w:sz w:val="24"/>
      <w:szCs w:val="22"/>
    </w:rPr>
  </w:style>
  <w:style w:type="paragraph" w:styleId="1114" w:customStyle="1">
    <w:name w:val="标书_正文"/>
    <w:basedOn w:val="849"/>
    <w:next w:val="1115"/>
    <w:qFormat/>
    <w:pPr>
      <w:ind w:left="420" w:firstLine="1188"/>
      <w:spacing w:before="0" w:after="0" w:line="360" w:lineRule="auto"/>
    </w:pPr>
    <w:rPr>
      <w:rFonts w:ascii="Times New Roman" w:hAnsi="Times New Roman" w:cs="Times New Roman"/>
    </w:rPr>
  </w:style>
  <w:style w:type="paragraph" w:styleId="1115" w:customStyle="1">
    <w:name w:val="样式 标题 2 + Times New Roman 四号 非加粗 段前: 5 磅 段后: 0 磅 行距: 固定值 20..."/>
    <w:basedOn w:val="851"/>
    <w:next w:val="1063"/>
    <w:qFormat/>
    <w:pPr>
      <w:ind w:left="0" w:firstLine="24"/>
      <w:spacing w:before="100" w:after="0" w:line="400" w:lineRule="exact"/>
      <w:outlineLvl w:val="1"/>
    </w:pPr>
  </w:style>
  <w:style w:type="paragraph" w:styleId="1116" w:customStyle="1">
    <w:name w:val="图片0"/>
    <w:basedOn w:val="849"/>
    <w:next w:val="896"/>
    <w:qFormat/>
    <w:pPr>
      <w:ind w:left="-161" w:firstLine="1187"/>
      <w:spacing w:before="0" w:after="0" w:line="276" w:lineRule="auto"/>
    </w:pPr>
    <w:rPr>
      <w:rFonts w:ascii="Times New Roman" w:hAnsi="Times New Roman" w:cs="Times New Roman"/>
    </w:rPr>
  </w:style>
  <w:style w:type="paragraph" w:styleId="1117" w:customStyle="1">
    <w:name w:val="Char Char Char2 Char Char Char2 Char"/>
    <w:basedOn w:val="849"/>
    <w:next w:val="1089"/>
    <w:qFormat/>
    <w:pPr>
      <w:ind w:left="560" w:firstLine="3632"/>
      <w:spacing w:before="0" w:after="160" w:line="240" w:lineRule="exact"/>
    </w:pPr>
    <w:rPr>
      <w:rFonts w:ascii="Times New Roman" w:hAnsi="Times New Roman" w:cs="Times New Roman"/>
    </w:rPr>
  </w:style>
  <w:style w:type="paragraph" w:styleId="1118" w:customStyle="1">
    <w:name w:val="Char Char Char Char"/>
    <w:next w:val="1119"/>
    <w:qFormat/>
    <w:pPr>
      <w:ind w:firstLine="10"/>
      <w:spacing w:line="360" w:lineRule="auto"/>
      <w:shd w:val="clear" w:color="000000" w:fill="000080"/>
    </w:pPr>
    <w:rPr>
      <w:rFonts w:ascii="Calibri" w:hAnsi="Calibri"/>
    </w:rPr>
  </w:style>
  <w:style w:type="paragraph" w:styleId="1119" w:customStyle="1">
    <w:name w:val="杨昂超式样黑体主"/>
    <w:basedOn w:val="849"/>
    <w:next w:val="1120"/>
    <w:qFormat/>
    <w:pPr>
      <w:ind w:left="0" w:firstLine="4608"/>
      <w:spacing w:before="0" w:after="0" w:line="240" w:lineRule="auto"/>
    </w:pPr>
    <w:rPr>
      <w:rFonts w:ascii="Times New Roman" w:hAnsi="Times New Roman" w:cs="Times New Roman"/>
    </w:rPr>
  </w:style>
  <w:style w:type="paragraph" w:styleId="1120" w:customStyle="1">
    <w:name w:val="Char Char Char Char Char Char1 Char Char Char Char Char Char Char Char Char Char"/>
    <w:basedOn w:val="849"/>
    <w:next w:val="1121"/>
    <w:qFormat/>
    <w:pPr>
      <w:ind w:left="0" w:firstLine="2560"/>
      <w:spacing w:before="0" w:after="0" w:line="240" w:lineRule="auto"/>
    </w:pPr>
    <w:rPr>
      <w:rFonts w:ascii="Times New Roman" w:hAnsi="Times New Roman" w:cs="Times New Roman"/>
    </w:rPr>
  </w:style>
  <w:style w:type="paragraph" w:styleId="1121"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122" w:customStyle="1">
    <w:name w:val="文档结构图1"/>
    <w:basedOn w:val="849"/>
    <w:next w:val="1123"/>
    <w:qFormat/>
    <w:pPr>
      <w:ind w:left="200" w:firstLine="2248"/>
      <w:spacing w:before="0" w:after="0" w:line="360" w:lineRule="auto"/>
    </w:pPr>
    <w:rPr>
      <w:rFonts w:ascii="Times New Roman" w:hAnsi="Times New Roman" w:cs="Times New Roman"/>
    </w:rPr>
  </w:style>
  <w:style w:type="paragraph" w:styleId="1123" w:customStyle="1">
    <w:name w:val="2ji"/>
    <w:basedOn w:val="851"/>
    <w:next w:val="891"/>
    <w:qFormat/>
    <w:pPr>
      <w:ind w:left="0" w:firstLine="24"/>
      <w:spacing w:before="0" w:after="0" w:line="360" w:lineRule="auto"/>
      <w:outlineLvl w:val="1"/>
    </w:pPr>
  </w:style>
  <w:style w:type="paragraph" w:styleId="1124" w:customStyle="1">
    <w:name w:val="xl91"/>
    <w:basedOn w:val="849"/>
    <w:next w:val="1045"/>
    <w:qFormat/>
    <w:pPr>
      <w:ind w:left="0" w:firstLine="3584"/>
      <w:spacing w:before="280" w:after="280" w:line="240" w:lineRule="auto"/>
    </w:pPr>
    <w:rPr>
      <w:rFonts w:ascii="Times New Roman" w:hAnsi="Times New Roman" w:cs="Times New Roman"/>
    </w:rPr>
  </w:style>
  <w:style w:type="paragraph" w:styleId="1125" w:customStyle="1">
    <w:name w:val="Text Body"/>
    <w:basedOn w:val="849"/>
    <w:next w:val="1126"/>
    <w:qFormat/>
    <w:pPr>
      <w:ind w:left="0" w:firstLine="4096"/>
      <w:spacing w:before="0" w:after="120" w:line="240" w:lineRule="auto"/>
    </w:pPr>
    <w:rPr>
      <w:rFonts w:ascii="Times New Roman" w:hAnsi="Times New Roman" w:cs="Times New Roman"/>
    </w:rPr>
  </w:style>
  <w:style w:type="paragraph" w:styleId="1126" w:customStyle="1">
    <w:name w:val="项目符1"/>
    <w:basedOn w:val="849"/>
    <w:next w:val="1127"/>
    <w:qFormat/>
    <w:pPr>
      <w:ind w:left="1365" w:right="100" w:firstLine="2728"/>
      <w:spacing w:before="78" w:after="78" w:line="300" w:lineRule="auto"/>
    </w:pPr>
    <w:rPr>
      <w:rFonts w:ascii="Times New Roman" w:hAnsi="Times New Roman" w:cs="Times New Roman"/>
    </w:rPr>
  </w:style>
  <w:style w:type="paragraph" w:styleId="1127"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128" w:customStyle="1">
    <w:name w:val="样式 标题 3 + (西文) 黑体 (中文) 黑体 (符号) 宋体 小四 段前: 5 磅 段后: 5 磅 行距: 1..."/>
    <w:basedOn w:val="852"/>
    <w:next w:val="1129"/>
    <w:qFormat/>
    <w:pPr>
      <w:ind w:left="1429" w:firstLine="18"/>
      <w:spacing w:before="100" w:after="100" w:line="360" w:lineRule="auto"/>
      <w:outlineLvl w:val="2"/>
    </w:pPr>
  </w:style>
  <w:style w:type="paragraph" w:styleId="1129" w:customStyle="1">
    <w:name w:val="xl22"/>
    <w:basedOn w:val="849"/>
    <w:next w:val="1130"/>
    <w:qFormat/>
    <w:pPr>
      <w:ind w:left="0" w:firstLine="20"/>
      <w:jc w:val="right"/>
      <w:spacing w:before="280" w:after="280" w:line="240" w:lineRule="auto"/>
      <w:shd w:val="clear" w:color="000000" w:fill="ffffff"/>
    </w:pPr>
    <w:rPr>
      <w:rFonts w:ascii="Times New Roman" w:hAnsi="Times New Roman" w:cs="Times New Roman"/>
    </w:rPr>
  </w:style>
  <w:style w:type="paragraph" w:styleId="1130" w:customStyle="1">
    <w:name w:val="自定义一"/>
    <w:basedOn w:val="849"/>
    <w:next w:val="848"/>
    <w:qFormat/>
    <w:pPr>
      <w:ind w:left="0"/>
      <w:spacing w:before="0" w:after="0" w:line="360" w:lineRule="auto"/>
    </w:pPr>
    <w:rPr>
      <w:rFonts w:ascii="Times New Roman" w:hAnsi="Times New Roman" w:cs="Times New Roman"/>
    </w:rPr>
  </w:style>
  <w:style w:type="paragraph" w:styleId="1131" w:customStyle="1">
    <w:name w:val="xl78"/>
    <w:basedOn w:val="849"/>
    <w:next w:val="1132"/>
    <w:qFormat/>
    <w:pPr>
      <w:ind w:left="0" w:firstLine="3584"/>
      <w:jc w:val="center"/>
      <w:spacing w:before="280" w:after="280" w:line="240" w:lineRule="auto"/>
    </w:pPr>
    <w:rPr>
      <w:rFonts w:ascii="Times New Roman" w:hAnsi="Times New Roman" w:cs="Times New Roman"/>
    </w:rPr>
  </w:style>
  <w:style w:type="paragraph" w:styleId="1132" w:customStyle="1">
    <w:name w:val="段落正文"/>
    <w:next w:val="1074"/>
    <w:qFormat/>
    <w:pPr>
      <w:ind w:firstLine="4608"/>
      <w:jc w:val="center"/>
      <w:spacing w:line="360" w:lineRule="auto"/>
    </w:pPr>
    <w:rPr>
      <w:rFonts w:ascii="Calibri" w:hAnsi="Calibri"/>
    </w:rPr>
  </w:style>
  <w:style w:type="paragraph" w:styleId="1133" w:customStyle="1">
    <w:name w:val="_Style 169"/>
    <w:next w:val="848"/>
    <w:qFormat/>
    <w:pPr>
      <w:ind w:left="2560"/>
    </w:pPr>
    <w:rPr>
      <w:rFonts w:ascii="Calibri" w:hAnsi="Calibri"/>
    </w:rPr>
  </w:style>
  <w:style w:type="paragraph" w:styleId="1134" w:customStyle="1">
    <w:name w:val="样式 小四 行距: 1.5 倍行距 首行缩进:  2 字符"/>
    <w:basedOn w:val="849"/>
    <w:next w:val="1079"/>
    <w:qFormat/>
    <w:pPr>
      <w:ind w:left="480" w:firstLine="2784"/>
      <w:spacing w:before="0" w:after="0" w:line="360" w:lineRule="auto"/>
    </w:pPr>
    <w:rPr>
      <w:rFonts w:ascii="Times New Roman" w:hAnsi="Times New Roman" w:cs="Times New Roman"/>
    </w:rPr>
  </w:style>
  <w:style w:type="paragraph" w:styleId="1135"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136"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7" w:customStyle="1">
    <w:name w:val="表格文字（两侧对齐）"/>
    <w:basedOn w:val="849"/>
    <w:next w:val="1138"/>
    <w:qFormat/>
    <w:pPr>
      <w:ind w:left="0" w:firstLine="3584"/>
      <w:spacing w:before="0" w:after="0" w:line="240" w:lineRule="auto"/>
    </w:pPr>
    <w:rPr>
      <w:rFonts w:ascii="Times New Roman" w:hAnsi="Times New Roman" w:cs="Times New Roman"/>
    </w:rPr>
  </w:style>
  <w:style w:type="paragraph" w:styleId="1138" w:customStyle="1">
    <w:name w:val="Char"/>
    <w:basedOn w:val="849"/>
    <w:next w:val="1117"/>
    <w:qFormat/>
    <w:pPr>
      <w:ind w:left="900" w:firstLine="2608"/>
      <w:spacing w:before="0" w:after="0" w:line="240" w:lineRule="auto"/>
    </w:pPr>
    <w:rPr>
      <w:rFonts w:ascii="Times New Roman" w:hAnsi="Times New Roman" w:cs="Times New Roman"/>
    </w:rPr>
  </w:style>
  <w:style w:type="paragraph" w:styleId="1139" w:customStyle="1">
    <w:name w:val="xl86"/>
    <w:basedOn w:val="849"/>
    <w:next w:val="1140"/>
    <w:qFormat/>
    <w:pPr>
      <w:ind w:left="0" w:firstLine="5120"/>
      <w:spacing w:before="280" w:after="280" w:line="240" w:lineRule="auto"/>
    </w:pPr>
    <w:rPr>
      <w:rFonts w:ascii="Times New Roman" w:hAnsi="Times New Roman" w:cs="Times New Roman"/>
    </w:rPr>
  </w:style>
  <w:style w:type="paragraph" w:styleId="1140"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141" w:customStyle="1">
    <w:name w:val="111"/>
    <w:next w:val="1142"/>
    <w:qFormat/>
    <w:pPr>
      <w:ind w:left="480" w:firstLine="4320"/>
      <w:spacing w:line="440" w:lineRule="exact"/>
    </w:pPr>
    <w:rPr>
      <w:rFonts w:ascii="Calibri" w:hAnsi="Calibri"/>
    </w:rPr>
  </w:style>
  <w:style w:type="paragraph" w:styleId="1142" w:customStyle="1">
    <w:name w:val="4"/>
    <w:basedOn w:val="849"/>
    <w:next w:val="861"/>
    <w:qFormat/>
    <w:pPr>
      <w:ind w:left="409" w:firstLine="3737"/>
      <w:spacing w:before="0" w:after="0" w:line="420" w:lineRule="exact"/>
    </w:pPr>
    <w:rPr>
      <w:rFonts w:ascii="Times New Roman" w:hAnsi="Times New Roman" w:cs="Times New Roman"/>
    </w:rPr>
  </w:style>
  <w:style w:type="paragraph" w:styleId="1143" w:customStyle="1">
    <w:name w:val="Char Char Char Char Char Char1 Char Char Char1 Char Char Char Char Char Char"/>
    <w:basedOn w:val="849"/>
    <w:next w:val="1128"/>
    <w:qFormat/>
    <w:pPr>
      <w:ind w:left="0" w:firstLine="2560"/>
      <w:spacing w:before="0" w:after="0" w:line="240" w:lineRule="auto"/>
    </w:pPr>
    <w:rPr>
      <w:rFonts w:ascii="Times New Roman" w:hAnsi="Times New Roman" w:cs="Times New Roman"/>
    </w:rPr>
  </w:style>
  <w:style w:type="paragraph" w:styleId="1144" w:customStyle="1">
    <w:name w:val="Char Char Char Char Char Char1 Char Char Char Char Char Char1 Char Char Char"/>
    <w:basedOn w:val="849"/>
    <w:next w:val="1145"/>
    <w:qFormat/>
    <w:pPr>
      <w:ind w:left="0" w:firstLine="2560"/>
      <w:spacing w:before="0" w:after="0" w:line="240" w:lineRule="auto"/>
    </w:pPr>
    <w:rPr>
      <w:rFonts w:ascii="Times New Roman" w:hAnsi="Times New Roman" w:cs="Times New Roman"/>
    </w:rPr>
  </w:style>
  <w:style w:type="paragraph" w:styleId="1145" w:customStyle="1">
    <w:name w:val="正文符号1"/>
    <w:basedOn w:val="849"/>
    <w:next w:val="1146"/>
    <w:qFormat/>
    <w:pPr>
      <w:ind w:left="987" w:firstLine="5724"/>
      <w:spacing w:before="0" w:after="0" w:line="240" w:lineRule="auto"/>
    </w:pPr>
    <w:rPr>
      <w:rFonts w:ascii="Times New Roman" w:hAnsi="Times New Roman" w:cs="Times New Roman"/>
    </w:rPr>
  </w:style>
  <w:style w:type="paragraph" w:styleId="1146"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147"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148" w:customStyle="1">
    <w:name w:val="p15"/>
    <w:basedOn w:val="848"/>
    <w:qFormat/>
    <w:pPr>
      <w:ind w:left="0"/>
    </w:pPr>
    <w:rPr>
      <w:rFonts w:ascii="宋体" w:hAnsi="宋体"/>
      <w:sz w:val="28"/>
      <w:szCs w:val="28"/>
    </w:rPr>
  </w:style>
  <w:style w:type="paragraph" w:styleId="1149" w:customStyle="1">
    <w:name w:val="四号 居中"/>
    <w:basedOn w:val="849"/>
    <w:next w:val="1143"/>
    <w:qFormat/>
    <w:pPr>
      <w:ind w:left="0" w:firstLine="6144"/>
      <w:jc w:val="center"/>
      <w:spacing w:before="0" w:after="0" w:line="360" w:lineRule="auto"/>
    </w:pPr>
    <w:rPr>
      <w:rFonts w:ascii="Times New Roman" w:hAnsi="Times New Roman" w:cs="Times New Roman"/>
    </w:rPr>
  </w:style>
  <w:style w:type="paragraph" w:styleId="1150" w:customStyle="1">
    <w:name w:val="p0"/>
    <w:next w:val="848"/>
    <w:qFormat/>
    <w:pPr>
      <w:ind w:firstLine="2048"/>
      <w:spacing w:line="360" w:lineRule="auto"/>
    </w:pPr>
    <w:rPr>
      <w:rFonts w:ascii="Calibri" w:hAnsi="Calibri"/>
    </w:rPr>
  </w:style>
  <w:style w:type="paragraph" w:styleId="1151" w:customStyle="1">
    <w:name w:val="列表编号 21"/>
    <w:basedOn w:val="849"/>
    <w:next w:val="1152"/>
    <w:qFormat/>
    <w:pPr>
      <w:ind w:left="0" w:firstLine="2560"/>
      <w:spacing w:before="0" w:after="0" w:line="360" w:lineRule="auto"/>
    </w:pPr>
    <w:rPr>
      <w:rFonts w:ascii="Times New Roman" w:hAnsi="Times New Roman" w:cs="Times New Roman"/>
    </w:rPr>
  </w:style>
  <w:style w:type="paragraph" w:styleId="1152" w:customStyle="1">
    <w:name w:val="正文文本 21"/>
    <w:basedOn w:val="849"/>
    <w:next w:val="1033"/>
    <w:qFormat/>
    <w:pPr>
      <w:ind w:left="0" w:firstLine="2560"/>
      <w:jc w:val="center"/>
      <w:spacing w:before="0" w:after="120" w:line="480" w:lineRule="auto"/>
    </w:pPr>
    <w:rPr>
      <w:rFonts w:ascii="Times New Roman" w:hAnsi="Times New Roman" w:cs="Times New Roman"/>
    </w:rPr>
  </w:style>
  <w:style w:type="paragraph" w:styleId="1153" w:customStyle="1">
    <w:name w:val="a2"/>
    <w:basedOn w:val="849"/>
    <w:next w:val="888"/>
    <w:qFormat/>
    <w:pPr>
      <w:ind w:left="0" w:firstLine="1024"/>
      <w:spacing w:before="280" w:after="280" w:line="240" w:lineRule="auto"/>
    </w:pPr>
    <w:rPr>
      <w:rFonts w:ascii="Times New Roman" w:hAnsi="Times New Roman" w:cs="Times New Roman"/>
    </w:rPr>
  </w:style>
  <w:style w:type="paragraph" w:styleId="1154" w:customStyle="1">
    <w:name w:val="font8"/>
    <w:basedOn w:val="849"/>
    <w:next w:val="1078"/>
    <w:qFormat/>
    <w:pPr>
      <w:ind w:left="0" w:firstLine="2048"/>
      <w:spacing w:before="280" w:after="280" w:line="240" w:lineRule="auto"/>
    </w:pPr>
    <w:rPr>
      <w:rFonts w:ascii="Times New Roman" w:hAnsi="Times New Roman" w:cs="Times New Roman"/>
    </w:rPr>
  </w:style>
  <w:style w:type="paragraph" w:styleId="1155" w:customStyle="1">
    <w:name w:val="Char Char Char Char Char Char1 Char Char Char Char Char Char1 Char Char Char Char Char Char Char"/>
    <w:basedOn w:val="849"/>
    <w:next w:val="1156"/>
    <w:qFormat/>
    <w:pPr>
      <w:ind w:left="0" w:firstLine="2560"/>
      <w:spacing w:before="0" w:after="0" w:line="240" w:lineRule="auto"/>
    </w:pPr>
    <w:rPr>
      <w:rFonts w:ascii="Times New Roman" w:hAnsi="Times New Roman" w:cs="Times New Roman"/>
    </w:rPr>
  </w:style>
  <w:style w:type="paragraph" w:styleId="1156" w:customStyle="1">
    <w:name w:val="xl87"/>
    <w:basedOn w:val="849"/>
    <w:next w:val="1112"/>
    <w:qFormat/>
    <w:pPr>
      <w:ind w:left="0" w:firstLine="5120"/>
      <w:spacing w:before="280" w:after="280" w:line="240" w:lineRule="auto"/>
    </w:pPr>
    <w:rPr>
      <w:rFonts w:ascii="Times New Roman" w:hAnsi="Times New Roman" w:cs="Times New Roman"/>
    </w:rPr>
  </w:style>
  <w:style w:type="paragraph" w:styleId="1157" w:customStyle="1">
    <w:name w:val="444"/>
    <w:basedOn w:val="849"/>
    <w:next w:val="870"/>
    <w:qFormat/>
    <w:pPr>
      <w:ind w:left="0" w:firstLine="4608"/>
      <w:jc w:val="center"/>
      <w:spacing w:before="0" w:after="0" w:line="312" w:lineRule="atLeast"/>
    </w:pPr>
    <w:rPr>
      <w:rFonts w:ascii="Times New Roman" w:hAnsi="Times New Roman" w:cs="Times New Roman"/>
    </w:rPr>
  </w:style>
  <w:style w:type="paragraph" w:styleId="1158" w:customStyle="1">
    <w:name w:val="表格文字图表文字"/>
    <w:basedOn w:val="849"/>
    <w:next w:val="1159"/>
    <w:qFormat/>
    <w:pPr>
      <w:ind w:left="0" w:firstLine="3584"/>
      <w:jc w:val="center"/>
      <w:spacing w:before="0" w:after="0" w:line="240" w:lineRule="auto"/>
    </w:pPr>
    <w:rPr>
      <w:rFonts w:ascii="Times New Roman" w:hAnsi="Times New Roman" w:cs="Times New Roman"/>
    </w:rPr>
  </w:style>
  <w:style w:type="paragraph" w:styleId="1159" w:customStyle="1">
    <w:name w:val="样式 目录 3 + 左侧:  2 字符1"/>
    <w:next w:val="1160"/>
    <w:qFormat/>
    <w:pPr>
      <w:ind w:left="960" w:firstLine="5120"/>
      <w:spacing w:line="360" w:lineRule="auto"/>
      <w:widowControl w:val="off"/>
    </w:pPr>
    <w:rPr>
      <w:rFonts w:ascii="Calibri" w:hAnsi="Calibri"/>
    </w:rPr>
  </w:style>
  <w:style w:type="paragraph" w:styleId="1160" w:customStyle="1">
    <w:name w:val="文档正文"/>
    <w:basedOn w:val="849"/>
    <w:next w:val="1161"/>
    <w:qFormat/>
    <w:pPr>
      <w:ind w:left="567" w:firstLine="3639"/>
      <w:spacing w:before="0" w:after="0" w:line="480" w:lineRule="atLeast"/>
    </w:pPr>
    <w:rPr>
      <w:rFonts w:ascii="Times New Roman" w:hAnsi="Times New Roman" w:cs="Times New Roman"/>
    </w:rPr>
  </w:style>
  <w:style w:type="paragraph" w:styleId="1161" w:customStyle="1">
    <w:name w:val="列表框2"/>
    <w:next w:val="1162"/>
    <w:qFormat/>
    <w:pPr>
      <w:ind w:firstLine="2048"/>
      <w:spacing w:line="460" w:lineRule="exact"/>
    </w:pPr>
    <w:rPr>
      <w:rFonts w:ascii="Calibri" w:hAnsi="Calibri"/>
    </w:rPr>
  </w:style>
  <w:style w:type="paragraph" w:styleId="1162" w:customStyle="1">
    <w:name w:val="font10"/>
    <w:basedOn w:val="849"/>
    <w:next w:val="881"/>
    <w:qFormat/>
    <w:pPr>
      <w:ind w:left="0" w:firstLine="3584"/>
      <w:spacing w:before="280" w:after="280" w:line="240" w:lineRule="auto"/>
    </w:pPr>
    <w:rPr>
      <w:rFonts w:ascii="Times New Roman" w:hAnsi="Times New Roman" w:cs="Times New Roman"/>
    </w:rPr>
  </w:style>
  <w:style w:type="paragraph" w:styleId="1163" w:customStyle="1">
    <w:name w:val="纯文本1"/>
    <w:basedOn w:val="849"/>
    <w:next w:val="893"/>
    <w:qFormat/>
    <w:pPr>
      <w:ind w:left="0" w:firstLine="3584"/>
      <w:spacing w:before="0" w:after="0" w:line="240" w:lineRule="auto"/>
    </w:pPr>
    <w:rPr>
      <w:rFonts w:ascii="Times New Roman" w:hAnsi="Times New Roman" w:cs="Times New Roman"/>
    </w:rPr>
  </w:style>
  <w:style w:type="paragraph" w:styleId="1164"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165" w:customStyle="1">
    <w:name w:val="xl79"/>
    <w:basedOn w:val="849"/>
    <w:next w:val="1141"/>
    <w:qFormat/>
    <w:pPr>
      <w:ind w:left="0" w:firstLine="3584"/>
      <w:jc w:val="center"/>
      <w:spacing w:before="280" w:after="280" w:line="240" w:lineRule="auto"/>
    </w:pPr>
    <w:rPr>
      <w:rFonts w:ascii="Times New Roman" w:hAnsi="Times New Roman" w:cs="Times New Roman"/>
    </w:rPr>
  </w:style>
  <w:style w:type="paragraph" w:styleId="1166" w:customStyle="1">
    <w:name w:val="表格文字（4号居中）"/>
    <w:next w:val="1167"/>
    <w:qFormat/>
    <w:pPr>
      <w:ind w:firstLine="2560"/>
      <w:jc w:val="center"/>
    </w:pPr>
    <w:rPr>
      <w:rFonts w:ascii="Calibri" w:hAnsi="Calibri"/>
    </w:rPr>
  </w:style>
  <w:style w:type="paragraph" w:styleId="1167" w:customStyle="1">
    <w:name w:val="!方块加粗"/>
    <w:basedOn w:val="849"/>
    <w:next w:val="1134"/>
    <w:qFormat/>
    <w:pPr>
      <w:ind w:left="600" w:firstLine="5212"/>
      <w:spacing w:before="0" w:after="0" w:line="360" w:lineRule="auto"/>
    </w:pPr>
    <w:rPr>
      <w:rFonts w:ascii="Times New Roman" w:hAnsi="Times New Roman" w:cs="Times New Roman"/>
    </w:rPr>
  </w:style>
  <w:style w:type="paragraph" w:styleId="1168" w:customStyle="1">
    <w:name w:val="xl75"/>
    <w:basedOn w:val="849"/>
    <w:next w:val="894"/>
    <w:qFormat/>
    <w:pPr>
      <w:ind w:left="0" w:firstLine="3584"/>
      <w:jc w:val="center"/>
      <w:spacing w:before="280" w:after="280" w:line="240" w:lineRule="auto"/>
    </w:pPr>
    <w:rPr>
      <w:rFonts w:ascii="Times New Roman" w:hAnsi="Times New Roman" w:cs="Times New Roman"/>
    </w:rPr>
  </w:style>
  <w:style w:type="paragraph" w:styleId="1169" w:customStyle="1">
    <w:name w:val="xl81"/>
    <w:basedOn w:val="849"/>
    <w:next w:val="1170"/>
    <w:qFormat/>
    <w:pPr>
      <w:ind w:left="0" w:firstLine="5120"/>
      <w:spacing w:before="280" w:after="280" w:line="240" w:lineRule="auto"/>
    </w:pPr>
    <w:rPr>
      <w:rFonts w:ascii="Times New Roman" w:hAnsi="Times New Roman" w:cs="Times New Roman"/>
    </w:rPr>
  </w:style>
  <w:style w:type="paragraph" w:styleId="1170" w:customStyle="1">
    <w:name w:val="xl25"/>
    <w:basedOn w:val="849"/>
    <w:next w:val="1171"/>
    <w:qFormat/>
    <w:pPr>
      <w:ind w:left="0" w:firstLine="14"/>
      <w:spacing w:before="280" w:after="280" w:line="240" w:lineRule="auto"/>
      <w:shd w:val="clear" w:color="000000" w:fill="ffffff"/>
    </w:pPr>
    <w:rPr>
      <w:rFonts w:ascii="Times New Roman" w:hAnsi="Times New Roman" w:cs="Times New Roman"/>
    </w:rPr>
  </w:style>
  <w:style w:type="paragraph" w:styleId="1171" w:customStyle="1">
    <w:name w:val="普通(网站)1"/>
    <w:basedOn w:val="849"/>
    <w:next w:val="1172"/>
    <w:qFormat/>
    <w:pPr>
      <w:ind w:left="200" w:firstLine="1224"/>
      <w:spacing w:before="280" w:after="280" w:line="240" w:lineRule="auto"/>
    </w:pPr>
    <w:rPr>
      <w:rFonts w:ascii="Times New Roman" w:hAnsi="Times New Roman" w:cs="Times New Roman"/>
    </w:rPr>
  </w:style>
  <w:style w:type="paragraph" w:styleId="1172" w:customStyle="1">
    <w:name w:val="xl27"/>
    <w:basedOn w:val="849"/>
    <w:next w:val="1158"/>
    <w:qFormat/>
    <w:pPr>
      <w:ind w:left="0" w:firstLine="20"/>
      <w:spacing w:before="280" w:after="280" w:line="240" w:lineRule="auto"/>
      <w:shd w:val="clear" w:color="000000" w:fill="ffffff"/>
    </w:pPr>
    <w:rPr>
      <w:rFonts w:ascii="Times New Roman" w:hAnsi="Times New Roman" w:cs="Times New Roman"/>
    </w:rPr>
  </w:style>
  <w:style w:type="paragraph" w:styleId="1173" w:customStyle="1">
    <w:name w:val="H 4"/>
    <w:basedOn w:val="853"/>
    <w:next w:val="1174"/>
    <w:qFormat/>
    <w:pPr>
      <w:ind w:left="426" w:firstLine="24"/>
      <w:spacing w:before="0" w:after="0" w:line="360" w:lineRule="auto"/>
      <w:outlineLvl w:val="3"/>
    </w:pPr>
  </w:style>
  <w:style w:type="paragraph" w:styleId="1174" w:customStyle="1">
    <w:name w:val="xl82"/>
    <w:basedOn w:val="849"/>
    <w:next w:val="1169"/>
    <w:qFormat/>
    <w:pPr>
      <w:ind w:left="0" w:firstLine="5120"/>
      <w:spacing w:before="280" w:after="280" w:line="240" w:lineRule="auto"/>
    </w:pPr>
    <w:rPr>
      <w:rFonts w:ascii="Times New Roman" w:hAnsi="Times New Roman" w:cs="Times New Roman"/>
    </w:rPr>
  </w:style>
  <w:style w:type="paragraph" w:styleId="1175" w:customStyle="1">
    <w:name w:val="Char Char Char Char Char Char Char Char"/>
    <w:next w:val="1176"/>
    <w:qFormat/>
    <w:pPr>
      <w:ind w:firstLine="14"/>
      <w:jc w:val="both"/>
      <w:shd w:val="clear" w:color="000000" w:fill="000080"/>
      <w:widowControl w:val="off"/>
    </w:pPr>
    <w:rPr>
      <w:rFonts w:ascii="Calibri" w:hAnsi="Calibri"/>
    </w:rPr>
  </w:style>
  <w:style w:type="paragraph" w:styleId="1176" w:customStyle="1">
    <w:name w:val="Char Char Char Char Char Char1 Char Char Char1 Char Char Char Char Char Char Char Char Char Char Char Char Char Char Char"/>
    <w:basedOn w:val="849"/>
    <w:next w:val="1177"/>
    <w:qFormat/>
    <w:pPr>
      <w:ind w:left="0" w:firstLine="2560"/>
      <w:spacing w:before="0" w:after="0" w:line="240" w:lineRule="auto"/>
    </w:pPr>
    <w:rPr>
      <w:rFonts w:ascii="Times New Roman" w:hAnsi="Times New Roman" w:cs="Times New Roman"/>
    </w:rPr>
  </w:style>
  <w:style w:type="paragraph" w:styleId="1177" w:customStyle="1">
    <w:name w:val="样式1"/>
    <w:basedOn w:val="849"/>
    <w:next w:val="1178"/>
    <w:qFormat/>
    <w:pPr>
      <w:ind w:left="0" w:firstLine="1536"/>
      <w:spacing w:before="120" w:after="120" w:line="300" w:lineRule="auto"/>
    </w:pPr>
    <w:rPr>
      <w:rFonts w:ascii="Times New Roman" w:hAnsi="Times New Roman" w:cs="Times New Roman"/>
    </w:rPr>
  </w:style>
  <w:style w:type="paragraph" w:styleId="1178"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179"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180" w:customStyle="1">
    <w:name w:val="Bullet"/>
    <w:next w:val="1118"/>
    <w:qFormat/>
    <w:pPr>
      <w:ind w:left="567" w:right="2835" w:firstLine="3584"/>
      <w:spacing w:after="60"/>
    </w:pPr>
    <w:rPr>
      <w:rFonts w:ascii="Calibri" w:hAnsi="Calibri"/>
    </w:rPr>
  </w:style>
  <w:style w:type="paragraph" w:styleId="1181" w:customStyle="1">
    <w:name w:val="Char Char Char Char Char Char1"/>
    <w:basedOn w:val="849"/>
    <w:next w:val="1182"/>
    <w:qFormat/>
    <w:pPr>
      <w:ind w:left="0" w:firstLine="2560"/>
      <w:spacing w:before="0" w:after="0" w:line="240" w:lineRule="auto"/>
    </w:pPr>
    <w:rPr>
      <w:rFonts w:ascii="Times New Roman" w:hAnsi="Times New Roman" w:cs="Times New Roman"/>
    </w:rPr>
  </w:style>
  <w:style w:type="paragraph" w:styleId="1182" w:customStyle="1">
    <w:name w:val="正文缩进2"/>
    <w:basedOn w:val="849"/>
    <w:next w:val="1183"/>
    <w:qFormat/>
    <w:pPr>
      <w:ind w:left="420" w:firstLine="1188"/>
      <w:spacing w:before="0" w:after="0" w:line="240" w:lineRule="auto"/>
    </w:pPr>
    <w:rPr>
      <w:rFonts w:ascii="Times New Roman" w:hAnsi="Times New Roman" w:cs="Times New Roman"/>
    </w:rPr>
  </w:style>
  <w:style w:type="paragraph" w:styleId="1183" w:customStyle="1">
    <w:name w:val="列出段落2"/>
    <w:basedOn w:val="849"/>
    <w:next w:val="1184"/>
    <w:qFormat/>
    <w:pPr>
      <w:ind w:left="420" w:firstLine="3748"/>
      <w:spacing w:before="0" w:after="0" w:line="240" w:lineRule="auto"/>
    </w:pPr>
    <w:rPr>
      <w:rFonts w:ascii="Times New Roman" w:hAnsi="Times New Roman" w:cs="Times New Roman"/>
    </w:rPr>
  </w:style>
  <w:style w:type="paragraph" w:styleId="1184" w:customStyle="1">
    <w:name w:val="正文文本缩进 31"/>
    <w:basedOn w:val="849"/>
    <w:next w:val="1185"/>
    <w:qFormat/>
    <w:pPr>
      <w:ind w:left="1200" w:firstLine="1248"/>
      <w:spacing w:before="120" w:after="0" w:line="22" w:lineRule="atLeast"/>
    </w:pPr>
    <w:rPr>
      <w:rFonts w:ascii="Times New Roman" w:hAnsi="Times New Roman" w:cs="Times New Roman"/>
    </w:rPr>
  </w:style>
  <w:style w:type="paragraph" w:styleId="1185" w:customStyle="1">
    <w:name w:val="样式 正文首行缩进 + 首行缩进:  2 字符5"/>
    <w:next w:val="1186"/>
    <w:qFormat/>
    <w:pPr>
      <w:ind w:left="200" w:firstLine="3784"/>
      <w:spacing w:line="300" w:lineRule="auto"/>
    </w:pPr>
    <w:rPr>
      <w:rFonts w:ascii="Calibri" w:hAnsi="Calibri"/>
    </w:rPr>
  </w:style>
  <w:style w:type="paragraph" w:styleId="1186" w:customStyle="1">
    <w:name w:val="Char2"/>
    <w:basedOn w:val="849"/>
    <w:next w:val="1180"/>
    <w:qFormat/>
    <w:pPr>
      <w:ind w:left="0" w:firstLine="3584"/>
      <w:spacing w:before="0" w:after="160" w:line="240" w:lineRule="exact"/>
    </w:pPr>
    <w:rPr>
      <w:rFonts w:ascii="Times New Roman" w:hAnsi="Times New Roman" w:cs="Times New Roman"/>
    </w:rPr>
  </w:style>
  <w:style w:type="paragraph" w:styleId="1187" w:customStyle="1">
    <w:name w:val="WPSOffice手动目录 1"/>
    <w:qFormat/>
  </w:style>
  <w:style w:type="paragraph" w:styleId="1188" w:customStyle="1">
    <w:name w:val="纯文本4"/>
    <w:basedOn w:val="848"/>
    <w:qFormat/>
    <w:pPr>
      <w:ind w:left="0"/>
      <w:widowControl w:val="off"/>
    </w:pPr>
    <w:rPr>
      <w:rFonts w:ascii="宋体" w:hAnsi="Courier New" w:eastAsia="楷体_GB2312" w:cs="Times New Roman"/>
      <w:sz w:val="26"/>
    </w:rPr>
  </w:style>
  <w:style w:type="paragraph" w:styleId="1189" w:customStyle="1">
    <w:name w:val="Char Char Char Char Char Char Char Char Char Char Char Char Char Char Char Char"/>
    <w:basedOn w:val="849"/>
    <w:next w:val="1190"/>
    <w:qFormat/>
    <w:pPr>
      <w:ind w:left="682" w:firstLine="1224"/>
      <w:spacing w:before="0" w:after="0" w:line="360" w:lineRule="auto"/>
    </w:pPr>
    <w:rPr>
      <w:rFonts w:ascii="Times New Roman" w:hAnsi="Times New Roman" w:cs="Times New Roman"/>
    </w:rPr>
  </w:style>
  <w:style w:type="paragraph" w:styleId="1190" w:customStyle="1">
    <w:name w:val="列表编号 51"/>
    <w:basedOn w:val="849"/>
    <w:next w:val="1191"/>
    <w:qFormat/>
    <w:pPr>
      <w:ind w:left="900" w:firstLine="2652"/>
      <w:spacing w:before="0" w:after="0" w:line="360" w:lineRule="auto"/>
    </w:pPr>
    <w:rPr>
      <w:rFonts w:ascii="Times New Roman" w:hAnsi="Times New Roman" w:cs="Times New Roman"/>
    </w:rPr>
  </w:style>
  <w:style w:type="paragraph" w:styleId="1191" w:customStyle="1">
    <w:name w:val="样式 标题 1 + 黑体 (符号) 宋体 三号 段前: 7.8 磅 段后: 7.8 磅 行距: 1.5 倍行距"/>
    <w:basedOn w:val="850"/>
    <w:next w:val="1192"/>
    <w:qFormat/>
    <w:pPr>
      <w:ind w:left="432" w:firstLine="18"/>
      <w:spacing w:before="40" w:after="40" w:line="360" w:lineRule="auto"/>
      <w:outlineLvl w:val="0"/>
    </w:pPr>
  </w:style>
  <w:style w:type="paragraph" w:styleId="1192" w:customStyle="1">
    <w:name w:val="表格用"/>
    <w:basedOn w:val="849"/>
    <w:next w:val="1149"/>
    <w:qFormat/>
    <w:pPr>
      <w:ind w:left="0" w:firstLine="1024"/>
      <w:spacing w:before="0" w:after="0" w:line="360" w:lineRule="auto"/>
    </w:pPr>
    <w:rPr>
      <w:rFonts w:ascii="Times New Roman" w:hAnsi="Times New Roman" w:cs="Times New Roman"/>
    </w:rPr>
  </w:style>
  <w:style w:type="paragraph" w:styleId="1193" w:customStyle="1">
    <w:name w:val="xl71"/>
    <w:basedOn w:val="849"/>
    <w:next w:val="1194"/>
    <w:qFormat/>
    <w:pPr>
      <w:ind w:left="0" w:firstLine="1536"/>
      <w:spacing w:before="280" w:after="280" w:line="240" w:lineRule="auto"/>
    </w:pPr>
    <w:rPr>
      <w:rFonts w:ascii="Times New Roman" w:hAnsi="Times New Roman" w:cs="Times New Roman"/>
    </w:rPr>
  </w:style>
  <w:style w:type="paragraph" w:styleId="1194" w:customStyle="1">
    <w:name w:val="正文文本 31"/>
    <w:basedOn w:val="849"/>
    <w:next w:val="1195"/>
    <w:qFormat/>
    <w:pPr>
      <w:ind w:left="0" w:firstLine="3584"/>
      <w:jc w:val="center"/>
      <w:spacing w:before="0" w:after="120" w:line="360" w:lineRule="auto"/>
    </w:pPr>
    <w:rPr>
      <w:rFonts w:ascii="Times New Roman" w:hAnsi="Times New Roman" w:cs="Times New Roman"/>
    </w:rPr>
  </w:style>
  <w:style w:type="paragraph" w:styleId="1195" w:customStyle="1">
    <w:name w:val="列出段落111"/>
    <w:basedOn w:val="849"/>
    <w:next w:val="1131"/>
    <w:qFormat/>
    <w:pPr>
      <w:ind w:left="420" w:firstLine="3748"/>
      <w:spacing w:before="0" w:after="0" w:line="240" w:lineRule="auto"/>
    </w:pPr>
    <w:rPr>
      <w:rFonts w:ascii="Times New Roman" w:hAnsi="Times New Roman" w:cs="Times New Roman"/>
    </w:rPr>
  </w:style>
  <w:style w:type="paragraph" w:styleId="1196" w:customStyle="1">
    <w:name w:val="修订1"/>
    <w:qFormat/>
    <w:rPr>
      <w:rFonts w:ascii="Calibri" w:hAnsi="Calibri"/>
    </w:rPr>
  </w:style>
  <w:style w:type="paragraph" w:styleId="1197" w:customStyle="1">
    <w:name w:val="正文文本缩进 21"/>
    <w:basedOn w:val="849"/>
    <w:next w:val="1137"/>
    <w:qFormat/>
    <w:pPr>
      <w:ind w:left="480" w:firstLine="4832"/>
      <w:spacing w:before="0" w:after="0" w:line="240" w:lineRule="auto"/>
    </w:pPr>
    <w:rPr>
      <w:rFonts w:ascii="Times New Roman" w:hAnsi="Times New Roman" w:cs="Times New Roman"/>
    </w:rPr>
  </w:style>
  <w:style w:type="paragraph" w:styleId="1198" w:customStyle="1">
    <w:name w:val="Char Char4 Char Char"/>
    <w:basedOn w:val="849"/>
    <w:next w:val="1147"/>
    <w:qFormat/>
    <w:pPr>
      <w:ind w:left="0" w:firstLine="2560"/>
      <w:spacing w:before="0" w:after="0" w:line="240" w:lineRule="auto"/>
    </w:pPr>
    <w:rPr>
      <w:rFonts w:ascii="Times New Roman" w:hAnsi="Times New Roman" w:cs="Times New Roman"/>
    </w:rPr>
  </w:style>
  <w:style w:type="paragraph" w:styleId="1199" w:customStyle="1">
    <w:name w:val="样式"/>
    <w:next w:val="848"/>
    <w:qFormat/>
    <w:pPr>
      <w:ind w:firstLine="3584"/>
      <w:widowControl w:val="off"/>
    </w:pPr>
    <w:rPr>
      <w:rFonts w:ascii="Calibri" w:hAnsi="Calibri"/>
    </w:rPr>
  </w:style>
  <w:style w:type="paragraph" w:styleId="1200" w:customStyle="1">
    <w:name w:val="TOC 标题1"/>
    <w:basedOn w:val="850"/>
    <w:next w:val="848"/>
    <w:qFormat/>
    <w:pPr>
      <w:ind w:left="0" w:firstLine="6144"/>
      <w:spacing w:before="480" w:after="0" w:line="276" w:lineRule="auto"/>
    </w:pPr>
    <w:rPr>
      <w:b/>
      <w:sz w:val="30"/>
    </w:rPr>
  </w:style>
  <w:style w:type="paragraph" w:styleId="1201" w:customStyle="1">
    <w:name w:val="纯文本3"/>
    <w:basedOn w:val="848"/>
    <w:qFormat/>
    <w:rPr>
      <w:rFonts w:ascii="宋体" w:hAnsi="Courier New" w:cs="Times New Roman"/>
    </w:rPr>
  </w:style>
  <w:style w:type="paragraph" w:styleId="1202" w:customStyle="1">
    <w:name w:val="afont"/>
    <w:basedOn w:val="849"/>
    <w:next w:val="874"/>
    <w:qFormat/>
    <w:pPr>
      <w:ind w:left="0" w:firstLine="2048"/>
      <w:spacing w:before="100" w:after="100" w:line="285" w:lineRule="atLeast"/>
    </w:pPr>
    <w:rPr>
      <w:rFonts w:ascii="Times New Roman" w:hAnsi="Times New Roman" w:cs="Times New Roman"/>
    </w:rPr>
  </w:style>
  <w:style w:type="paragraph" w:styleId="1203" w:customStyle="1">
    <w:name w:val="xl85"/>
    <w:basedOn w:val="849"/>
    <w:next w:val="1204"/>
    <w:qFormat/>
    <w:pPr>
      <w:ind w:left="0" w:firstLine="2048"/>
      <w:jc w:val="center"/>
      <w:spacing w:before="280" w:after="280" w:line="240" w:lineRule="auto"/>
    </w:pPr>
    <w:rPr>
      <w:rFonts w:ascii="Times New Roman" w:hAnsi="Times New Roman" w:cs="Times New Roman"/>
    </w:rPr>
  </w:style>
  <w:style w:type="paragraph" w:styleId="1204" w:customStyle="1">
    <w:name w:val="文章总标题"/>
    <w:basedOn w:val="849"/>
    <w:next w:val="1205"/>
    <w:qFormat/>
    <w:pPr>
      <w:ind w:left="0" w:firstLine="7168"/>
      <w:jc w:val="center"/>
      <w:spacing w:before="566" w:after="544" w:line="566" w:lineRule="atLeast"/>
    </w:pPr>
    <w:rPr>
      <w:rFonts w:ascii="Times New Roman" w:hAnsi="Times New Roman" w:cs="Times New Roman"/>
    </w:rPr>
  </w:style>
  <w:style w:type="paragraph" w:styleId="1205" w:customStyle="1">
    <w:name w:val="样式 首行缩进:  2 字符"/>
    <w:basedOn w:val="849"/>
    <w:next w:val="1168"/>
    <w:qFormat/>
    <w:pPr>
      <w:ind w:left="200" w:firstLine="1224"/>
      <w:spacing w:before="0" w:after="0" w:line="400" w:lineRule="exact"/>
    </w:pPr>
    <w:rPr>
      <w:rFonts w:ascii="Times New Roman" w:hAnsi="Times New Roman" w:cs="Times New Roman"/>
    </w:rPr>
  </w:style>
  <w:style w:type="paragraph" w:styleId="1206"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207" w:customStyle="1">
    <w:name w:val="Plain Text*"/>
    <w:basedOn w:val="848"/>
    <w:qFormat/>
    <w:pPr>
      <w:ind w:left="0"/>
      <w:jc w:val="left"/>
    </w:pPr>
    <w:rPr>
      <w:rFonts w:ascii="宋体" w:hAnsi="宋体" w:eastAsia="楷体_GB2312" w:cs="Courier New"/>
      <w:sz w:val="26"/>
      <w:lang w:val="zh-CN"/>
    </w:rPr>
  </w:style>
  <w:style w:type="paragraph" w:styleId="1208" w:customStyle="1">
    <w:name w:val="样式 加粗 居中2"/>
    <w:basedOn w:val="849"/>
    <w:next w:val="1060"/>
    <w:qFormat/>
    <w:pPr>
      <w:ind w:left="0" w:firstLine="2560"/>
      <w:jc w:val="center"/>
      <w:spacing w:before="0" w:after="0" w:line="360" w:lineRule="auto"/>
    </w:pPr>
    <w:rPr>
      <w:rFonts w:ascii="Times New Roman" w:hAnsi="Times New Roman" w:cs="Times New Roman"/>
    </w:rPr>
  </w:style>
  <w:style w:type="paragraph" w:styleId="1209" w:customStyle="1">
    <w:name w:val="标准文本"/>
    <w:basedOn w:val="849"/>
    <w:next w:val="1163"/>
    <w:qFormat/>
    <w:pPr>
      <w:ind w:left="480" w:firstLine="2784"/>
      <w:spacing w:before="0" w:after="0" w:line="360" w:lineRule="auto"/>
    </w:pPr>
    <w:rPr>
      <w:rFonts w:ascii="Times New Roman" w:hAnsi="Times New Roman" w:cs="Times New Roman"/>
    </w:rPr>
  </w:style>
  <w:style w:type="paragraph" w:styleId="1210" w:customStyle="1">
    <w:name w:val="font5"/>
    <w:basedOn w:val="849"/>
    <w:next w:val="1211"/>
    <w:qFormat/>
    <w:pPr>
      <w:ind w:left="0" w:firstLine="5120"/>
      <w:spacing w:before="280" w:after="280" w:line="240" w:lineRule="auto"/>
    </w:pPr>
    <w:rPr>
      <w:rFonts w:ascii="Times New Roman" w:hAnsi="Times New Roman" w:cs="Times New Roman"/>
    </w:rPr>
  </w:style>
  <w:style w:type="paragraph" w:styleId="1211" w:customStyle="1">
    <w:name w:val="索引标题1"/>
    <w:basedOn w:val="849"/>
    <w:next w:val="1090"/>
    <w:qFormat/>
    <w:pPr>
      <w:ind w:left="0" w:firstLine="4608"/>
      <w:jc w:val="center"/>
      <w:spacing w:before="0" w:after="0" w:line="360" w:lineRule="auto"/>
    </w:pPr>
    <w:rPr>
      <w:rFonts w:ascii="Times New Roman" w:hAnsi="Times New Roman" w:cs="Times New Roman"/>
    </w:rPr>
  </w:style>
  <w:style w:type="paragraph" w:styleId="1212" w:customStyle="1">
    <w:name w:val="Char Char Char Char Char Char1 Char Char Char1 Char Char Char Char Char Char Char Char Char Char Char Char Char Char Char Char"/>
    <w:basedOn w:val="849"/>
    <w:next w:val="1213"/>
    <w:qFormat/>
    <w:pPr>
      <w:ind w:left="0" w:firstLine="2560"/>
      <w:spacing w:before="0" w:after="0" w:line="240" w:lineRule="auto"/>
    </w:pPr>
    <w:rPr>
      <w:rFonts w:ascii="Times New Roman" w:hAnsi="Times New Roman" w:cs="Times New Roman"/>
    </w:rPr>
  </w:style>
  <w:style w:type="paragraph" w:styleId="1213" w:customStyle="1">
    <w:name w:val="1正文"/>
    <w:basedOn w:val="849"/>
    <w:next w:val="1214"/>
    <w:qFormat/>
    <w:pPr>
      <w:ind w:left="480" w:firstLine="2784"/>
      <w:spacing w:before="0" w:after="0" w:line="300" w:lineRule="auto"/>
    </w:pPr>
    <w:rPr>
      <w:rFonts w:ascii="Times New Roman" w:hAnsi="Times New Roman" w:cs="Times New Roman"/>
    </w:rPr>
  </w:style>
  <w:style w:type="paragraph" w:styleId="1214"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215"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216" w:customStyle="1">
    <w:name w:val="xl63"/>
    <w:basedOn w:val="849"/>
    <w:next w:val="1166"/>
    <w:qFormat/>
    <w:pPr>
      <w:ind w:left="0" w:firstLine="5120"/>
      <w:spacing w:before="280" w:after="280" w:line="240" w:lineRule="auto"/>
    </w:pPr>
    <w:rPr>
      <w:rFonts w:ascii="Times New Roman" w:hAnsi="Times New Roman" w:cs="Times New Roman"/>
    </w:rPr>
  </w:style>
  <w:style w:type="paragraph" w:styleId="1217">
    <w:name w:val="List Paragraph"/>
    <w:basedOn w:val="848"/>
    <w:next w:val="1124"/>
    <w:qFormat/>
    <w:pPr>
      <w:ind w:left="420" w:firstLine="3748"/>
    </w:pPr>
    <w:rPr>
      <w:rFonts w:ascii="Times New Roman" w:hAnsi="Times New Roman" w:cs="Times New Roman"/>
    </w:rPr>
  </w:style>
  <w:style w:type="paragraph" w:styleId="1218" w:customStyle="1">
    <w:name w:val="xl73"/>
    <w:basedOn w:val="849"/>
    <w:next w:val="1219"/>
    <w:qFormat/>
    <w:pPr>
      <w:ind w:left="0" w:firstLine="3584"/>
      <w:spacing w:before="280" w:after="280" w:line="240" w:lineRule="auto"/>
    </w:pPr>
    <w:rPr>
      <w:rFonts w:ascii="Times New Roman" w:hAnsi="Times New Roman" w:cs="Times New Roman"/>
    </w:rPr>
  </w:style>
  <w:style w:type="paragraph" w:styleId="1219" w:customStyle="1">
    <w:name w:val="xl80"/>
    <w:basedOn w:val="849"/>
    <w:next w:val="1220"/>
    <w:qFormat/>
    <w:pPr>
      <w:ind w:left="0" w:firstLine="3584"/>
      <w:jc w:val="center"/>
      <w:spacing w:before="280" w:after="280" w:line="240" w:lineRule="auto"/>
    </w:pPr>
    <w:rPr>
      <w:rFonts w:ascii="Times New Roman" w:hAnsi="Times New Roman" w:cs="Times New Roman"/>
    </w:rPr>
  </w:style>
  <w:style w:type="paragraph" w:styleId="1220" w:customStyle="1">
    <w:name w:val="样式2"/>
    <w:basedOn w:val="854"/>
    <w:next w:val="1221"/>
    <w:qFormat/>
    <w:pPr>
      <w:ind w:left="1134" w:firstLine="18"/>
      <w:spacing w:before="0" w:after="0" w:line="360" w:lineRule="auto"/>
      <w:outlineLvl w:val="4"/>
    </w:pPr>
  </w:style>
  <w:style w:type="paragraph" w:styleId="1221"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222"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223" w:customStyle="1">
    <w:name w:val="Char Char Char Char Char Char1 Char Char Char1 Char Char Char Char Char Char Char Char Char Char Char Char"/>
    <w:basedOn w:val="849"/>
    <w:next w:val="1203"/>
    <w:qFormat/>
    <w:pPr>
      <w:ind w:left="0" w:firstLine="2560"/>
      <w:spacing w:before="0" w:after="0" w:line="240" w:lineRule="auto"/>
    </w:pPr>
    <w:rPr>
      <w:rFonts w:ascii="Times New Roman" w:hAnsi="Times New Roman" w:cs="Times New Roman"/>
    </w:rPr>
  </w:style>
  <w:style w:type="paragraph" w:styleId="1224" w:customStyle="1">
    <w:name w:val="Char Char Char Char Char Char Char"/>
    <w:basedOn w:val="849"/>
    <w:next w:val="1109"/>
    <w:qFormat/>
    <w:pPr>
      <w:ind w:left="200" w:firstLine="4808"/>
      <w:spacing w:before="0" w:after="0" w:line="360" w:lineRule="auto"/>
    </w:pPr>
    <w:rPr>
      <w:rFonts w:ascii="Times New Roman" w:hAnsi="Times New Roman" w:cs="Times New Roman"/>
    </w:rPr>
  </w:style>
  <w:style w:type="paragraph" w:styleId="1225" w:customStyle="1">
    <w:name w:val="Char Char Char Char Char Char Char Char Char Char Char Char Char Char Char"/>
    <w:basedOn w:val="849"/>
    <w:next w:val="1200"/>
    <w:qFormat/>
    <w:pPr>
      <w:ind w:left="0" w:firstLine="3584"/>
      <w:jc w:val="center"/>
      <w:spacing w:before="0" w:after="0" w:line="400" w:lineRule="exact"/>
    </w:pPr>
    <w:rPr>
      <w:rFonts w:ascii="Times New Roman" w:hAnsi="Times New Roman" w:cs="Times New Roman"/>
    </w:rPr>
  </w:style>
  <w:style w:type="paragraph" w:styleId="1226">
    <w:name w:val="Intense Quote"/>
    <w:next w:val="848"/>
    <w:qFormat/>
    <w:pPr>
      <w:ind w:left="3766" w:right="950"/>
      <w:jc w:val="center"/>
      <w:spacing w:before="360" w:after="360"/>
    </w:pPr>
    <w:rPr>
      <w:rFonts w:ascii="Calibri" w:hAnsi="Calibri"/>
      <w:i/>
    </w:rPr>
  </w:style>
  <w:style w:type="paragraph" w:styleId="1227"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228" w:customStyle="1">
    <w:name w:val="图表"/>
    <w:basedOn w:val="849"/>
    <w:next w:val="1229"/>
    <w:qFormat/>
    <w:pPr>
      <w:ind w:left="0" w:firstLine="2048"/>
      <w:jc w:val="center"/>
      <w:spacing w:before="0" w:after="0" w:line="240" w:lineRule="auto"/>
    </w:pPr>
    <w:rPr>
      <w:rFonts w:ascii="Times New Roman" w:hAnsi="Times New Roman" w:cs="Times New Roman"/>
    </w:rPr>
  </w:style>
  <w:style w:type="paragraph" w:styleId="1229" w:customStyle="1">
    <w:name w:val="reader-word-layer"/>
    <w:basedOn w:val="849"/>
    <w:next w:val="1230"/>
    <w:qFormat/>
    <w:pPr>
      <w:ind w:left="0" w:firstLine="1024"/>
      <w:spacing w:before="280" w:after="280" w:line="240" w:lineRule="auto"/>
    </w:pPr>
    <w:rPr>
      <w:rFonts w:ascii="Times New Roman" w:hAnsi="Times New Roman" w:cs="Times New Roman"/>
    </w:rPr>
  </w:style>
  <w:style w:type="paragraph" w:styleId="1230" w:customStyle="1">
    <w:name w:val="样式 加粗 居中1"/>
    <w:next w:val="1069"/>
    <w:qFormat/>
    <w:pPr>
      <w:ind w:firstLine="2560"/>
      <w:jc w:val="center"/>
    </w:pPr>
    <w:rPr>
      <w:rFonts w:ascii="Calibri" w:hAnsi="Calibri"/>
    </w:rPr>
  </w:style>
  <w:style w:type="paragraph" w:styleId="1231" w:customStyle="1">
    <w:name w:val="修订2"/>
    <w:qFormat/>
    <w:rPr>
      <w:rFonts w:ascii="Calibri" w:hAnsi="Calibri"/>
    </w:rPr>
  </w:style>
  <w:style w:type="paragraph" w:styleId="1232" w:customStyle="1">
    <w:name w:val="Body"/>
    <w:next w:val="1164"/>
    <w:qFormat/>
    <w:pPr>
      <w:ind w:left="567" w:right="2835" w:firstLine="3584"/>
      <w:spacing w:after="60"/>
    </w:pPr>
    <w:rPr>
      <w:rFonts w:ascii="Calibri" w:hAnsi="Calibri"/>
    </w:rPr>
  </w:style>
  <w:style w:type="paragraph" w:styleId="1233" w:customStyle="1">
    <w:name w:val="font6"/>
    <w:basedOn w:val="849"/>
    <w:next w:val="1234"/>
    <w:qFormat/>
    <w:pPr>
      <w:ind w:left="0" w:firstLine="5120"/>
      <w:spacing w:before="280" w:after="280" w:line="240" w:lineRule="auto"/>
    </w:pPr>
    <w:rPr>
      <w:rFonts w:ascii="Times New Roman" w:hAnsi="Times New Roman" w:cs="Times New Roman"/>
    </w:rPr>
  </w:style>
  <w:style w:type="paragraph" w:styleId="1234" w:customStyle="1">
    <w:name w:val="正文首行缩进 21"/>
    <w:basedOn w:val="861"/>
    <w:next w:val="1232"/>
    <w:qFormat/>
    <w:pPr>
      <w:ind w:left="200" w:firstLine="3784"/>
      <w:jc w:val="center"/>
      <w:spacing w:after="120" w:line="360" w:lineRule="auto"/>
    </w:pPr>
    <w:rPr>
      <w:rFonts w:ascii="Calibri" w:hAnsi="Calibri"/>
    </w:rPr>
  </w:style>
  <w:style w:type="paragraph" w:styleId="1235" w:customStyle="1">
    <w:name w:val="Char Char"/>
    <w:next w:val="1228"/>
    <w:qFormat/>
    <w:pPr>
      <w:ind w:firstLine="14"/>
      <w:spacing w:line="360" w:lineRule="auto"/>
      <w:shd w:val="clear" w:color="000000" w:fill="000080"/>
    </w:pPr>
    <w:rPr>
      <w:rFonts w:ascii="Calibri" w:hAnsi="Calibri"/>
    </w:rPr>
  </w:style>
  <w:style w:type="paragraph" w:styleId="1236" w:customStyle="1">
    <w:name w:val="正文_0_0"/>
    <w:next w:val="1068"/>
    <w:qFormat/>
    <w:pPr>
      <w:ind w:firstLine="3584"/>
      <w:jc w:val="both"/>
      <w:widowControl w:val="off"/>
    </w:pPr>
    <w:rPr>
      <w:rFonts w:ascii="Calibri" w:hAnsi="Calibri"/>
    </w:rPr>
  </w:style>
  <w:style w:type="paragraph" w:styleId="1237" w:customStyle="1">
    <w:name w:val="font7"/>
    <w:basedOn w:val="84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1"/>
    <w:basedOn w:val="849"/>
    <w:next w:val="1239"/>
    <w:qFormat/>
    <w:pPr>
      <w:ind w:left="0" w:firstLine="2560"/>
      <w:spacing w:before="0" w:after="0" w:line="240" w:lineRule="auto"/>
    </w:pPr>
    <w:rPr>
      <w:rFonts w:ascii="Times New Roman" w:hAnsi="Times New Roman" w:cs="Times New Roman"/>
    </w:rPr>
  </w:style>
  <w:style w:type="paragraph" w:styleId="1239" w:customStyle="1">
    <w:name w:val="xl64"/>
    <w:basedOn w:val="849"/>
    <w:next w:val="1206"/>
    <w:qFormat/>
    <w:pPr>
      <w:ind w:left="0" w:firstLine="3584"/>
      <w:spacing w:before="280" w:after="280" w:line="240" w:lineRule="auto"/>
    </w:pPr>
    <w:rPr>
      <w:rFonts w:ascii="Times New Roman" w:hAnsi="Times New Roman" w:cs="Times New Roman"/>
    </w:rPr>
  </w:style>
  <w:style w:type="paragraph" w:styleId="1240" w:customStyle="1">
    <w:name w:val="style16"/>
    <w:basedOn w:val="849"/>
    <w:next w:val="1233"/>
    <w:qFormat/>
    <w:pPr>
      <w:ind w:left="0" w:firstLine="2048"/>
      <w:spacing w:before="280" w:after="280" w:line="240" w:lineRule="auto"/>
    </w:pPr>
    <w:rPr>
      <w:rFonts w:ascii="Times New Roman" w:hAnsi="Times New Roman" w:cs="Times New Roman"/>
    </w:rPr>
  </w:style>
  <w:style w:type="paragraph" w:styleId="1241"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242" w:customStyle="1">
    <w:name w:val="H 3"/>
    <w:basedOn w:val="852"/>
    <w:next w:val="1243"/>
    <w:qFormat/>
    <w:pPr>
      <w:ind w:left="1429" w:firstLine="18"/>
      <w:spacing w:before="0" w:after="0" w:line="360" w:lineRule="auto"/>
      <w:outlineLvl w:val="2"/>
    </w:pPr>
  </w:style>
  <w:style w:type="paragraph" w:styleId="1243" w:customStyle="1">
    <w:name w:val="xl83"/>
    <w:basedOn w:val="849"/>
    <w:next w:val="1224"/>
    <w:qFormat/>
    <w:pPr>
      <w:ind w:left="0" w:firstLine="5120"/>
      <w:spacing w:before="280" w:after="280" w:line="240" w:lineRule="auto"/>
    </w:pPr>
    <w:rPr>
      <w:rFonts w:ascii="Times New Roman" w:hAnsi="Times New Roman" w:cs="Times New Roman"/>
    </w:rPr>
  </w:style>
  <w:style w:type="paragraph" w:styleId="1244" w:customStyle="1">
    <w:name w:val="表格文字（居中）"/>
    <w:basedOn w:val="849"/>
    <w:next w:val="1240"/>
    <w:qFormat/>
    <w:pPr>
      <w:ind w:left="0" w:firstLine="2560"/>
      <w:jc w:val="center"/>
      <w:spacing w:before="0" w:after="0" w:line="360" w:lineRule="auto"/>
    </w:pPr>
    <w:rPr>
      <w:rFonts w:ascii="Times New Roman" w:hAnsi="Times New Roman" w:cs="Times New Roman"/>
    </w:rPr>
  </w:style>
  <w:style w:type="paragraph" w:styleId="1245" w:customStyle="1">
    <w:name w:val="正文首行缩进两字符"/>
    <w:basedOn w:val="849"/>
    <w:next w:val="1227"/>
    <w:qFormat/>
    <w:pPr>
      <w:ind w:left="200" w:firstLine="3784"/>
      <w:spacing w:before="0" w:after="0" w:line="360" w:lineRule="auto"/>
    </w:pPr>
    <w:rPr>
      <w:rFonts w:ascii="Times New Roman" w:hAnsi="Times New Roman" w:cs="Times New Roman"/>
    </w:rPr>
  </w:style>
  <w:style w:type="paragraph" w:styleId="1246" w:customStyle="1">
    <w:name w:val="1"/>
    <w:basedOn w:val="849"/>
    <w:next w:val="882"/>
    <w:qFormat/>
    <w:pPr>
      <w:ind w:left="0" w:firstLine="2048"/>
      <w:spacing w:before="0" w:after="0" w:line="240" w:lineRule="auto"/>
    </w:pPr>
    <w:rPr>
      <w:rFonts w:ascii="Times New Roman" w:hAnsi="Times New Roman" w:cs="Times New Roman"/>
    </w:rPr>
  </w:style>
  <w:style w:type="paragraph" w:styleId="1247"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8" w:customStyle="1">
    <w:name w:val="Table Paragraph"/>
    <w:basedOn w:val="848"/>
    <w:uiPriority w:val="1"/>
    <w:qFormat/>
    <w:rPr>
      <w:rFonts w:ascii="宋体" w:hAnsi="宋体"/>
      <w:lang w:val="zh-CN" w:bidi="zh-CN"/>
    </w:rPr>
  </w:style>
  <w:style w:type="paragraph" w:styleId="1249" w:customStyle="1">
    <w:name w:val="_Style 400"/>
    <w:qFormat/>
    <w:rPr>
      <w:rFonts w:ascii="Calibri" w:hAnsi="Calibri"/>
    </w:rPr>
  </w:style>
  <w:style w:type="paragraph" w:styleId="1250"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251" w:customStyle="1">
    <w:name w:val="msolistparagraph"/>
    <w:basedOn w:val="849"/>
    <w:next w:val="1116"/>
    <w:qFormat/>
    <w:pPr>
      <w:ind w:left="420" w:firstLine="3748"/>
      <w:spacing w:before="0" w:after="0" w:line="240" w:lineRule="auto"/>
    </w:pPr>
    <w:rPr>
      <w:rFonts w:ascii="Times New Roman" w:hAnsi="Times New Roman" w:cs="Times New Roman"/>
    </w:rPr>
  </w:style>
  <w:style w:type="paragraph" w:styleId="1252" w:customStyle="1">
    <w:name w:val="Char1 Char Char Char"/>
    <w:basedOn w:val="849"/>
    <w:next w:val="1253"/>
    <w:qFormat/>
    <w:pPr>
      <w:ind w:left="0" w:firstLine="2560"/>
      <w:spacing w:before="0" w:after="0" w:line="240" w:lineRule="auto"/>
    </w:pPr>
    <w:rPr>
      <w:rFonts w:ascii="Times New Roman" w:hAnsi="Times New Roman" w:cs="Times New Roman"/>
    </w:rPr>
  </w:style>
  <w:style w:type="paragraph" w:styleId="1253" w:customStyle="1">
    <w:name w:val="xl24"/>
    <w:basedOn w:val="849"/>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254" w:customStyle="1">
    <w:name w:val="表格文字"/>
    <w:next w:val="1212"/>
    <w:qFormat/>
    <w:pPr>
      <w:ind w:firstLine="3584"/>
    </w:pPr>
    <w:rPr>
      <w:rFonts w:ascii="Calibri" w:hAnsi="Calibri"/>
    </w:rPr>
  </w:style>
  <w:style w:type="paragraph" w:styleId="1255" w:customStyle="1">
    <w:name w:val="xl72"/>
    <w:basedOn w:val="849"/>
    <w:next w:val="1111"/>
    <w:qFormat/>
    <w:pPr>
      <w:ind w:left="0" w:firstLine="3584"/>
      <w:spacing w:before="280" w:after="280" w:line="240" w:lineRule="auto"/>
    </w:pPr>
    <w:rPr>
      <w:rFonts w:ascii="Times New Roman" w:hAnsi="Times New Roman" w:cs="Times New Roman"/>
    </w:rPr>
  </w:style>
  <w:style w:type="paragraph" w:styleId="1256" w:customStyle="1">
    <w:name w:val="插图"/>
    <w:next w:val="848"/>
    <w:qFormat/>
    <w:pPr>
      <w:ind w:firstLine="4608"/>
      <w:jc w:val="center"/>
    </w:pPr>
    <w:rPr>
      <w:rFonts w:ascii="Calibri" w:hAnsi="Calibri"/>
    </w:rPr>
  </w:style>
  <w:style w:type="paragraph" w:styleId="1257" w:customStyle="1">
    <w:name w:val="列出段落3"/>
    <w:basedOn w:val="849"/>
    <w:next w:val="1151"/>
    <w:qFormat/>
    <w:pPr>
      <w:ind w:left="420" w:firstLine="3748"/>
      <w:spacing w:before="0" w:after="0" w:line="240" w:lineRule="auto"/>
    </w:pPr>
    <w:rPr>
      <w:rFonts w:ascii="Times New Roman" w:hAnsi="Times New Roman" w:cs="Times New Roman"/>
    </w:rPr>
  </w:style>
  <w:style w:type="paragraph" w:styleId="1258"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259" w:customStyle="1">
    <w:name w:val="默认段落字体 Para Char Char Char Char Char Char Char Char Char1 Char Char Char Char"/>
    <w:basedOn w:val="849"/>
    <w:next w:val="1154"/>
    <w:qFormat/>
    <w:pPr>
      <w:ind w:left="0" w:firstLine="2560"/>
      <w:spacing w:before="0" w:after="0" w:line="240" w:lineRule="auto"/>
    </w:pPr>
    <w:rPr>
      <w:rFonts w:ascii="Times New Roman" w:hAnsi="Times New Roman" w:cs="Times New Roman"/>
    </w:rPr>
  </w:style>
  <w:style w:type="paragraph" w:styleId="1260" w:customStyle="1">
    <w:name w:val="WPSOffice手动目录 2"/>
    <w:qFormat/>
    <w:pPr>
      <w:ind w:left="200"/>
    </w:pPr>
  </w:style>
  <w:style w:type="paragraph" w:styleId="1261" w:customStyle="1">
    <w:name w:val="表内文字"/>
    <w:basedOn w:val="849"/>
    <w:next w:val="890"/>
    <w:qFormat/>
    <w:pPr>
      <w:ind w:left="0" w:firstLine="7680"/>
      <w:jc w:val="center"/>
      <w:spacing w:before="50" w:after="50" w:line="240" w:lineRule="auto"/>
    </w:pPr>
    <w:rPr>
      <w:rFonts w:ascii="Times New Roman" w:hAnsi="Times New Roman" w:cs="Times New Roman"/>
    </w:rPr>
  </w:style>
  <w:style w:type="paragraph" w:styleId="1262" w:customStyle="1">
    <w:name w:val="xl66"/>
    <w:basedOn w:val="849"/>
    <w:next w:val="1244"/>
    <w:qFormat/>
    <w:pPr>
      <w:ind w:left="0" w:firstLine="3584"/>
      <w:spacing w:before="280" w:after="280" w:line="240" w:lineRule="auto"/>
    </w:pPr>
    <w:rPr>
      <w:rFonts w:ascii="Times New Roman" w:hAnsi="Times New Roman" w:cs="Times New Roman"/>
    </w:rPr>
  </w:style>
  <w:style w:type="paragraph" w:styleId="1263"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264" w:customStyle="1">
    <w:name w:val="0"/>
    <w:basedOn w:val="849"/>
    <w:next w:val="1157"/>
    <w:qFormat/>
    <w:pPr>
      <w:ind w:left="0" w:firstLine="2815"/>
      <w:spacing w:before="0" w:after="0" w:line="360" w:lineRule="auto"/>
    </w:pPr>
    <w:rPr>
      <w:rFonts w:ascii="Times New Roman" w:hAnsi="Times New Roman" w:cs="Times New Roman"/>
    </w:rPr>
  </w:style>
  <w:style w:type="table" w:styleId="1265" w:customStyle="1">
    <w:name w:val="网格型1"/>
    <w:basedOn w:val="8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6" w:customStyle="1">
    <w:name w:val="font61"/>
    <w:qFormat/>
    <w:rPr>
      <w:rFonts w:hint="default" w:ascii="Times New Roman" w:hAnsi="Times New Roman" w:cs="Times New Roman"/>
      <w:b/>
      <w:bCs/>
      <w:color w:val="000000"/>
      <w:sz w:val="24"/>
      <w:szCs w:val="24"/>
      <w:u w:val="none"/>
    </w:rPr>
  </w:style>
  <w:style w:type="character" w:styleId="1267" w:customStyle="1">
    <w:name w:val="正文首行缩进 2 Char1"/>
    <w:basedOn w:val="858"/>
    <w:link w:val="908"/>
    <w:qFormat/>
    <w:rPr>
      <w:rFonts w:ascii="Times New Roman" w:hAnsi="Times New Roman" w:cs="Times New Roman"/>
    </w:rPr>
  </w:style>
  <w:style w:type="numbering" w:styleId="1268" w:customStyle="1">
    <w:name w:val="无列表1"/>
    <w:next w:val="860"/>
    <w:uiPriority w:val="99"/>
    <w:semiHidden/>
    <w:unhideWhenUsed/>
  </w:style>
  <w:style w:type="table" w:styleId="1269" w:customStyle="1">
    <w:name w:val="网格型2"/>
    <w:basedOn w:val="859"/>
    <w:next w:val="90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0" w:customStyle="1">
    <w:name w:val="Table Normal"/>
    <w:semiHidden/>
    <w:unhideWhenUsed/>
    <w:qFormat/>
    <w:rPr>
      <w:rFonts w:ascii="Times New Roman" w:hAnsi="Times New Roman" w:cs="Times New Roman"/>
    </w:rPr>
    <w:tblPr>
      <w:tblCellMar>
        <w:left w:w="0" w:type="dxa"/>
        <w:top w:w="0" w:type="dxa"/>
        <w:right w:w="0" w:type="dxa"/>
        <w:bottom w:w="0" w:type="dxa"/>
      </w:tblCellMar>
    </w:tblPr>
  </w:style>
  <w:style w:type="paragraph" w:styleId="1271" w:customStyle="1">
    <w:name w:val="Table Text"/>
    <w:basedOn w:val="848"/>
    <w:semiHidden/>
    <w:qFormat/>
    <w:pPr>
      <w:ind w:left="0"/>
      <w:jc w:val="left"/>
    </w:pPr>
    <w:rPr>
      <w:rFonts w:ascii="宋体" w:hAnsi="宋体"/>
      <w:color w:val="000000"/>
      <w:sz w:val="24"/>
      <w:szCs w:val="24"/>
      <w:lang w:eastAsia="en-US"/>
    </w:rPr>
  </w:style>
  <w:style w:type="paragraph" w:styleId="1272" w:customStyle="1">
    <w:name w:val="表格字体"/>
    <w:basedOn w:val="848"/>
    <w:qFormat/>
    <w:pPr>
      <w:ind w:left="0"/>
      <w:jc w:val="left"/>
      <w:spacing w:line="400" w:lineRule="exact"/>
    </w:pPr>
    <w:rPr>
      <w:rFonts w:hint="eastAsia" w:ascii="Arial" w:hAnsi="Arial" w:eastAsia="Arial"/>
      <w:bCs/>
      <w:color w:val="000000"/>
      <w:sz w:val="24"/>
      <w:szCs w:val="18"/>
      <w:lang w:eastAsia="en-US"/>
    </w:rPr>
  </w:style>
  <w:style w:type="paragraph" w:styleId="1273" w:customStyle="1">
    <w:name w:val="备注"/>
    <w:basedOn w:val="848"/>
    <w:qFormat/>
    <w:pPr>
      <w:ind w:left="0"/>
      <w:jc w:val="left"/>
      <w:spacing w:line="400" w:lineRule="exact"/>
    </w:pPr>
    <w:rPr>
      <w:rFonts w:hint="eastAsia" w:ascii="宋体" w:hAnsi="宋体" w:eastAsia="Arial"/>
      <w:b/>
      <w:color w:val="000000"/>
      <w:sz w:val="24"/>
      <w:szCs w:val="18"/>
      <w:lang w:eastAsia="en-US"/>
    </w:rPr>
  </w:style>
  <w:style w:type="table" w:styleId="1274" w:customStyle="1">
    <w:name w:val="Table Normal1"/>
    <w:semiHidden/>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E0F4214-0A12-4515-AEA6-6D9B25768D6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8</cp:revision>
  <dcterms:created xsi:type="dcterms:W3CDTF">2026-05-21T07:14:00Z</dcterms:created>
  <dcterms:modified xsi:type="dcterms:W3CDTF">2026-05-27T06:48:21Z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