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pStyle w:val="762"/>
        <w:ind w:left="1680" w:firstLine="420"/>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r>
        <w:rPr>
          <w:rFonts w:ascii="经典仿宋简" w:hAnsi="经典仿宋简" w:eastAsia="经典仿宋简" w:cs="经典仿宋简"/>
          <w:sz w:val="22"/>
        </w:rPr>
        <w:t xml:space="preserve">姜堰区新一代电子政务外网服务项目</w:t>
      </w:r>
      <w:r>
        <w:rPr>
          <w:rFonts w:hint="eastAsia"/>
        </w:rPr>
      </w:r>
      <w:r/>
    </w:p>
    <w:p>
      <w:pPr>
        <w:pStyle w:val="762"/>
        <w:ind w:left="210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ascii="经典仿宋简" w:hAnsi="经典仿宋简" w:eastAsia="经典仿宋简" w:cs="经典仿宋简"/>
          <w:sz w:val="22"/>
        </w:rPr>
        <w:t xml:space="preserve">JSZC-321204-JZCG-G2026-0003</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泰州市姜堰区公共资源交易中心</w:t>
      </w:r>
      <w:r/>
    </w:p>
    <w:p>
      <w:pPr>
        <w:pStyle w:val="762"/>
        <w:jc w:val="center"/>
        <w:spacing w:before="240" w:after="240"/>
        <w:pBdr>
          <w:top w:val="none" w:color="000000" w:sz="0" w:space="0"/>
          <w:left w:val="none" w:color="000000" w:sz="0" w:space="0"/>
          <w:bottom w:val="none" w:color="000000" w:sz="0" w:space="0"/>
          <w:right w:val="none" w:color="000000" w:sz="0" w:space="0"/>
        </w:pBdr>
      </w:pPr>
      <w:r>
        <w:rPr>
          <w:rFonts w:hint="eastAsia" w:ascii="Arial" w:hAnsi="Arial" w:eastAsia="宋体" w:cs="Arial"/>
          <w:b/>
          <w:color w:val="000000"/>
          <w:sz w:val="32"/>
          <w:lang w:val="en-US" w:eastAsia="zh-CN"/>
        </w:rPr>
        <w:t xml:space="preserve">2</w:t>
      </w:r>
      <w:r>
        <w:rPr>
          <w:rFonts w:hint="eastAsia" w:ascii="Arial" w:hAnsi="Arial" w:eastAsia="宋体" w:cs="Arial"/>
          <w:b/>
          <w:color w:val="000000"/>
          <w:sz w:val="32"/>
          <w:lang w:val="en-US" w:eastAsia="zh-CN"/>
        </w:rPr>
        <w:t xml:space="preserve">026</w:t>
      </w:r>
      <w:r>
        <w:rPr>
          <w:rFonts w:ascii="宋体" w:hAnsi="宋体" w:cs="宋体"/>
          <w:b/>
          <w:color w:val="000000"/>
          <w:sz w:val="32"/>
        </w:rPr>
        <w:t xml:space="preserve">年</w:t>
      </w:r>
      <w:r>
        <w:rPr>
          <w:rFonts w:ascii="Arial" w:hAnsi="Arial" w:eastAsia="Arial" w:cs="Arial"/>
          <w:b/>
          <w:color w:val="000000"/>
          <w:sz w:val="32"/>
        </w:rPr>
        <w:t xml:space="preserve">_</w:t>
      </w:r>
      <w:r>
        <w:rPr>
          <w:rFonts w:hint="eastAsia" w:ascii="Arial" w:hAnsi="Arial" w:eastAsia="宋体" w:cs="Arial"/>
          <w:b/>
          <w:color w:val="000000"/>
          <w:sz w:val="32"/>
          <w:lang w:val="en-US" w:eastAsia="zh-CN"/>
        </w:rPr>
        <w:t xml:space="preserve">5</w:t>
      </w:r>
      <w:r>
        <w:rPr>
          <w:rFonts w:ascii="Arial" w:hAnsi="Arial" w:eastAsia="Arial" w:cs="Arial"/>
          <w:b/>
          <w:color w:val="000000"/>
          <w:sz w:val="32"/>
        </w:rPr>
        <w:t xml:space="preserve">_</w:t>
      </w:r>
      <w:r>
        <w:rPr>
          <w:rFonts w:ascii="宋体" w:hAnsi="宋体" w:cs="宋体"/>
          <w:b/>
          <w:color w:val="000000"/>
          <w:sz w:val="32"/>
        </w:rPr>
        <w:t xml:space="preserve">月</w:t>
      </w:r>
      <w:r/>
    </w:p>
    <w:p>
      <w:pPr>
        <w:pStyle w:val="762"/>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jc w:val="center"/>
        <w:spacing w:line="113" w:lineRule="atLeast"/>
        <w:pBdr>
          <w:top w:val="none" w:color="000000" w:sz="0" w:space="0"/>
          <w:left w:val="none" w:color="000000" w:sz="0" w:space="0"/>
          <w:bottom w:val="none" w:color="000000" w:sz="0" w:space="0"/>
          <w:right w:val="none" w:color="000000" w:sz="0" w:space="0"/>
        </w:pBdr>
      </w:pPr>
      <w:r>
        <w:br w:type="page" w:clear="all"/>
      </w:r>
      <w:r/>
    </w:p>
    <w:p>
      <w:pPr>
        <w:pStyle w:val="762"/>
        <w:jc w:val="center"/>
        <w:spacing w:line="113"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黑体" w:hAnsi="黑体" w:eastAsia="黑体" w:cs="黑体"/>
          <w:b/>
          <w:color w:val="000000"/>
          <w:sz w:val="44"/>
        </w:rPr>
        <w:t xml:space="preserve">总目录</w:t>
      </w:r>
      <w:r/>
    </w:p>
    <w:p>
      <w:pPr>
        <w:pStyle w:val="762"/>
        <w:spacing w:line="113"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pStyle w:val="762"/>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2"/>
        <w:ind w:left="1440" w:hanging="1440"/>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第一章 投标邀请 </w:t>
      </w:r>
      <w:r/>
    </w:p>
    <w:p>
      <w:pPr>
        <w:pStyle w:val="762"/>
        <w:ind w:left="1440" w:hanging="1440"/>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第二章 投标人须知  </w:t>
      </w:r>
      <w:r/>
    </w:p>
    <w:p>
      <w:pPr>
        <w:pStyle w:val="762"/>
        <w:ind w:left="1440" w:hanging="1440"/>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第三章 合同文本</w:t>
      </w:r>
      <w:r/>
    </w:p>
    <w:p>
      <w:pPr>
        <w:pStyle w:val="762"/>
        <w:ind w:left="1440" w:hanging="1440"/>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第四章 采购需求</w:t>
      </w:r>
      <w:r/>
    </w:p>
    <w:p>
      <w:pPr>
        <w:pStyle w:val="762"/>
        <w:ind w:left="1440" w:hanging="1440"/>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第五章 评标方法与评标标准</w:t>
      </w:r>
      <w:r/>
    </w:p>
    <w:p>
      <w:pPr>
        <w:pStyle w:val="762"/>
        <w:ind w:left="1440" w:hanging="1440"/>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第六章 投标文件格式</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rPr>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br w:type="page" w:clear="all"/>
      </w:r>
      <w:r/>
    </w:p>
    <w:p>
      <w:pPr>
        <w:pStyle w:val="763"/>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第一章</w:t>
      </w:r>
      <w:r>
        <w:rPr>
          <w:rFonts w:hint="eastAsia" w:ascii="黑体" w:hAnsi="黑体" w:eastAsia="黑体" w:cs="黑体"/>
          <w:b/>
          <w:color w:val="000000"/>
          <w:sz w:val="44"/>
          <w:lang w:val="en-US" w:eastAsia="zh-CN"/>
        </w:rPr>
        <w:t xml:space="preserve"> </w:t>
      </w:r>
      <w:r>
        <w:rPr>
          <w:rFonts w:ascii="黑体" w:hAnsi="黑体" w:eastAsia="黑体" w:cs="黑体"/>
          <w:b/>
          <w:color w:val="000000"/>
          <w:sz w:val="44"/>
        </w:rPr>
        <w:t xml:space="preserve">投标邀请</w:t>
      </w:r>
      <w:r/>
    </w:p>
    <w:p>
      <w:pPr>
        <w:pStyle w:val="762"/>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ascii="经典仿宋简" w:hAnsi="经典仿宋简" w:eastAsia="经典仿宋简" w:cs="经典仿宋简"/>
          <w:sz w:val="22"/>
        </w:rPr>
        <w:t xml:space="preserve">泰州市姜堰区数据局（本级）</w:t>
      </w:r>
      <w:r>
        <w:rPr>
          <w:rFonts w:ascii="宋体" w:hAnsi="宋体" w:cs="宋体"/>
          <w:color w:val="000000"/>
          <w:sz w:val="24"/>
        </w:rPr>
        <w:t xml:space="preserve">]的委托，泰州市姜堰区公共资源交易中心就[</w:t>
      </w:r>
      <w:r>
        <w:rPr>
          <w:rFonts w:ascii="经典仿宋简" w:hAnsi="经典仿宋简" w:eastAsia="经典仿宋简" w:cs="经典仿宋简"/>
          <w:sz w:val="22"/>
        </w:rPr>
        <w:t xml:space="preserve">姜堰区新一代电子政务外网服务项目</w:t>
      </w:r>
      <w:r>
        <w:rPr>
          <w:rFonts w:ascii="宋体" w:hAnsi="宋体" w:cs="宋体"/>
          <w:color w:val="000000"/>
          <w:sz w:val="24"/>
        </w:rPr>
        <w:t xml:space="preserve">]([</w:t>
      </w:r>
      <w:r>
        <w:rPr>
          <w:rFonts w:ascii="经典仿宋简" w:hAnsi="经典仿宋简" w:eastAsia="经典仿宋简" w:cs="经典仿宋简"/>
          <w:sz w:val="22"/>
        </w:rPr>
        <w:t xml:space="preserve">JSZC-321204-JZCG-G2026-0003</w:t>
      </w:r>
      <w:r>
        <w:rPr>
          <w:rFonts w:ascii="宋体" w:hAnsi="宋体" w:cs="宋体"/>
          <w:color w:val="000000"/>
          <w:sz w:val="24"/>
        </w:rPr>
        <w:t xml:space="preserve">])项目进行公开招标采购，欢迎符合条件的供应商投标。</w:t>
      </w:r>
      <w:r/>
    </w:p>
    <w:p>
      <w:pPr>
        <w:pStyle w:val="762"/>
        <w:ind w:firstLine="480"/>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pStyle w:val="762"/>
        <w:ind w:firstLine="480"/>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 (</w:t>
      </w:r>
      <w:r>
        <w:rPr>
          <w:rFonts w:ascii="经典仿宋简" w:hAnsi="经典仿宋简" w:eastAsia="经典仿宋简" w:cs="经典仿宋简"/>
          <w:sz w:val="22"/>
        </w:rPr>
        <w:t xml:space="preserve">姜堰区新一代电子政务外网服务项目</w:t>
      </w:r>
      <w:r>
        <w:rPr>
          <w:rFonts w:ascii="宋体" w:hAnsi="宋体" w:cs="宋体"/>
          <w:color w:val="000000"/>
          <w:sz w:val="24"/>
          <w:u w:val="single"/>
        </w:rPr>
        <w:t xml:space="preserve">)</w:t>
      </w:r>
      <w:r>
        <w:rPr>
          <w:rFonts w:ascii="宋体" w:hAnsi="宋体" w:cs="宋体"/>
          <w:color w:val="000000"/>
          <w:sz w:val="24"/>
        </w:rPr>
        <w:t xml:space="preserve"> 招标项目的潜在投标人可在</w:t>
      </w:r>
      <w:r>
        <w:rPr>
          <w:rFonts w:ascii="宋体" w:hAnsi="宋体" w:cs="宋体"/>
          <w:color w:val="000000"/>
          <w:sz w:val="24"/>
          <w:u w:val="single"/>
        </w:rPr>
        <w:t xml:space="preserve">“江苏政府采购网”自行免费下载</w:t>
      </w:r>
      <w:r>
        <w:rPr>
          <w:rFonts w:ascii="宋体" w:hAnsi="宋体" w:cs="宋体"/>
          <w:color w:val="000000"/>
          <w:sz w:val="24"/>
        </w:rPr>
        <w:t xml:space="preserve">招标文件，并于</w:t>
      </w:r>
      <w:r>
        <w:rPr>
          <w:rFonts w:hint="eastAsia"/>
          <w:lang w:val="en-US" w:eastAsia="zh-CN"/>
        </w:rPr>
        <w:t xml:space="preserve">2026年6月18日上午9点</w:t>
      </w:r>
      <w:r>
        <w:rPr>
          <w:rFonts w:ascii="宋体" w:hAnsi="宋体" w:cs="宋体"/>
          <w:color w:val="000000"/>
          <w:sz w:val="24"/>
          <w:u w:val="single"/>
        </w:rPr>
        <w:t xml:space="preserve">（</w:t>
      </w:r>
      <w:r>
        <w:rPr>
          <w:rFonts w:ascii="宋体" w:hAnsi="宋体" w:cs="宋体"/>
          <w:color w:val="000000"/>
          <w:sz w:val="24"/>
        </w:rPr>
        <w:t xml:space="preserve">北京时间）前递交投标文件。</w:t>
      </w:r>
      <w:r/>
    </w:p>
    <w:p>
      <w:pPr>
        <w:pStyle w:val="762"/>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ascii="经典仿宋简" w:hAnsi="经典仿宋简" w:eastAsia="经典仿宋简" w:cs="经典仿宋简"/>
          <w:sz w:val="22"/>
        </w:rPr>
        <w:t xml:space="preserve">JSZC-321204-JZCG-G2026-0003</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ascii="经典仿宋简" w:hAnsi="经典仿宋简" w:eastAsia="经典仿宋简" w:cs="经典仿宋简"/>
          <w:sz w:val="22"/>
        </w:rPr>
        <w:t xml:space="preserve">姜堰区新一代电子政务外网服务项目</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rPr>
          <w:rFonts w:ascii="经典仿宋简" w:hAnsi="经典仿宋简" w:eastAsia="经典仿宋简" w:cs="经典仿宋简"/>
          <w:sz w:val="22"/>
        </w:rPr>
        <w:t xml:space="preserve">12786300</w:t>
      </w:r>
      <w:r>
        <w:rPr>
          <w:rFonts w:ascii="宋体" w:hAnsi="宋体" w:cs="宋体"/>
          <w:color w:val="000000"/>
          <w:sz w:val="24"/>
        </w:rPr>
        <w:t xml:space="preserve">元</w:t>
      </w:r>
      <w:r/>
    </w:p>
    <w:p>
      <w:pPr>
        <w:pStyle w:val="762"/>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4.本项目</w:t>
      </w:r>
      <w:r>
        <w:rPr>
          <w:rFonts w:ascii="宋体" w:hAnsi="宋体" w:cs="宋体"/>
          <w:color w:val="000000"/>
          <w:sz w:val="24"/>
          <w:u w:val="single"/>
        </w:rPr>
        <w:t xml:space="preserve">设定</w:t>
      </w:r>
      <w:r>
        <w:rPr>
          <w:rFonts w:ascii="宋体" w:hAnsi="宋体" w:cs="宋体"/>
          <w:color w:val="000000"/>
          <w:sz w:val="24"/>
        </w:rPr>
        <w:t xml:space="preserve">最高限价，</w:t>
      </w:r>
      <w:r>
        <w:rPr>
          <w:rFonts w:ascii="宋体" w:hAnsi="宋体" w:cs="宋体"/>
          <w:color w:val="000000"/>
          <w:sz w:val="24"/>
        </w:rPr>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最高限价为</w:t>
      </w:r>
      <w:r>
        <w:rPr>
          <w:rFonts w:ascii="经典仿宋简" w:hAnsi="经典仿宋简" w:eastAsia="经典仿宋简" w:cs="经典仿宋简"/>
          <w:sz w:val="22"/>
        </w:rPr>
        <w:t xml:space="preserve">采购包1:6995835.00</w:t>
      </w:r>
      <w:r>
        <w:rPr>
          <w:rFonts w:ascii="经典仿宋简" w:hAnsi="经典仿宋简" w:eastAsia="经典仿宋简" w:cs="经典仿宋简"/>
          <w:sz w:val="22"/>
        </w:rPr>
        <w:t xml:space="preserve">元</w:t>
      </w:r>
      <w:r>
        <w:rPr>
          <w:rFonts w:ascii="经典仿宋简" w:hAnsi="经典仿宋简" w:eastAsia="经典仿宋简" w:cs="经典仿宋简"/>
          <w:sz w:val="22"/>
        </w:rPr>
        <w:t xml:space="preserve">,采购包2:4511835.00</w:t>
      </w:r>
      <w:r>
        <w:rPr>
          <w:rFonts w:ascii="经典仿宋简" w:hAnsi="经典仿宋简" w:eastAsia="经典仿宋简" w:cs="经典仿宋简"/>
          <w:sz w:val="22"/>
        </w:rPr>
        <w:t xml:space="preserve">元</w:t>
      </w:r>
      <w:r>
        <w:rPr>
          <w:rFonts w:ascii="经典仿宋简" w:hAnsi="经典仿宋简" w:eastAsia="经典仿宋简" w:cs="经典仿宋简"/>
          <w:sz w:val="22"/>
        </w:rPr>
        <w:t xml:space="preserve">,采购包3:1278630.00</w:t>
      </w:r>
      <w:r>
        <w:rPr>
          <w:rFonts w:ascii="宋体" w:hAnsi="宋体" w:cs="宋体"/>
          <w:color w:val="000000"/>
          <w:sz w:val="24"/>
        </w:rPr>
        <w:t xml:space="preserve">元。</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5.采购需求（简介）：详细内容见本招标文件第四章 </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int="eastAsia" w:ascii="宋体" w:hAnsi="宋体" w:cs="宋体"/>
          <w:color w:val="000000"/>
          <w:sz w:val="24"/>
          <w:lang w:val="en-US" w:eastAsia="zh-CN"/>
        </w:rPr>
        <w:t xml:space="preserve">三</w:t>
      </w:r>
      <w:r>
        <w:rPr>
          <w:rFonts w:ascii="宋体" w:hAnsi="宋体" w:cs="宋体"/>
          <w:color w:val="000000"/>
          <w:sz w:val="24"/>
        </w:rPr>
        <w:t xml:space="preserve">年，</w:t>
      </w:r>
      <w:r>
        <w:rPr>
          <w:rFonts w:hint="eastAsia" w:ascii="宋体" w:hAnsi="宋体" w:cs="宋体"/>
          <w:color w:val="000000"/>
          <w:sz w:val="24"/>
          <w:lang w:val="en-US" w:eastAsia="zh-CN"/>
        </w:rPr>
        <w:t xml:space="preserve">合同</w:t>
      </w:r>
      <w:r>
        <w:rPr>
          <w:rFonts w:ascii="宋体" w:hAnsi="宋体" w:cs="宋体"/>
          <w:color w:val="000000"/>
          <w:sz w:val="24"/>
        </w:rPr>
        <w:t xml:space="preserve">一年一签，年度考核合格后续签</w:t>
      </w:r>
      <w:r>
        <w:rPr>
          <w:rFonts w:hint="eastAsia" w:ascii="宋体" w:hAnsi="宋体" w:cs="宋体"/>
          <w:color w:val="000000"/>
          <w:sz w:val="24"/>
          <w:lang w:val="en-US" w:eastAsia="zh-CN"/>
        </w:rPr>
        <w:t xml:space="preserve">下一年合同</w:t>
      </w:r>
      <w:r>
        <w:rPr>
          <w:rFonts w:ascii="宋体" w:hAnsi="宋体" w:cs="宋体"/>
          <w:color w:val="000000"/>
          <w:sz w:val="24"/>
        </w:rPr>
        <w:t xml:space="preserve">。</w:t>
      </w:r>
      <w:r/>
    </w:p>
    <w:p>
      <w:pPr>
        <w:pStyle w:val="762"/>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1.2上一年度的财务状况报告（成立不满一年无需提供）；</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3.落实政府采购政策需满足的资格要求：无</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Mar>
              <w:left w:w="108" w:type="dxa"/>
              <w:top w:w="0" w:type="dxa"/>
              <w:right w:w="108" w:type="dxa"/>
              <w:bottom w:w="0" w:type="dxa"/>
            </w:tcMar>
            <w:tcW w:w="1148"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Mar>
              <w:left w:w="108" w:type="dxa"/>
              <w:top w:w="0" w:type="dxa"/>
              <w:right w:w="108" w:type="dxa"/>
              <w:bottom w:w="0" w:type="dxa"/>
            </w:tcMar>
            <w:tcW w:w="2968"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w:t>
            </w:r>
            <w:r/>
          </w:p>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w:t>
            </w:r>
            <w:r/>
          </w:p>
        </w:tc>
        <w:tc>
          <w:tcPr>
            <w:tcMar>
              <w:left w:w="108" w:type="dxa"/>
              <w:top w:w="0" w:type="dxa"/>
              <w:right w:w="108" w:type="dxa"/>
              <w:bottom w:w="0" w:type="dxa"/>
            </w:tcMar>
            <w:tcW w:w="2967"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Mar>
              <w:left w:w="108" w:type="dxa"/>
              <w:top w:w="0" w:type="dxa"/>
              <w:right w:w="108" w:type="dxa"/>
              <w:bottom w:w="0" w:type="dxa"/>
            </w:tcMar>
            <w:tcW w:w="1148"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2968"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Mar>
              <w:left w:w="108" w:type="dxa"/>
              <w:top w:w="0" w:type="dxa"/>
              <w:right w:w="108" w:type="dxa"/>
              <w:bottom w:w="0" w:type="dxa"/>
            </w:tcMar>
            <w:tcW w:w="2967"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bl>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rPr>
          <w:rFonts w:ascii="宋体" w:hAnsi="宋体" w:cs="宋体"/>
          <w:color w:val="000000"/>
          <w:sz w:val="24"/>
        </w:rPr>
      </w:r>
      <w:r/>
    </w:p>
    <w:p>
      <w:pPr>
        <w:pStyle w:val="762"/>
        <w:ind w:left="0" w:firstLine="480"/>
        <w:jc w:val="both"/>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采购包1、采购包2：</w:t>
      </w:r>
      <w:r>
        <w:rPr>
          <w:rFonts w:ascii="宋体" w:hAnsi="宋体" w:eastAsia="宋体" w:cs="Times New Roman"/>
          <w:color w:val="000000"/>
          <w:sz w:val="24"/>
          <w:szCs w:val="24"/>
          <w:lang w:val="en-US" w:eastAsia="zh-CN" w:bidi="ar-SA"/>
        </w:rPr>
      </w:r>
      <w:r/>
    </w:p>
    <w:p>
      <w:pPr>
        <w:pStyle w:val="762"/>
        <w:ind w:left="0" w:firstLine="480"/>
        <w:jc w:val="both"/>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1.具有基础电信业务经营许可证的独立法人或其分支机构，投标文件中提供许可证扫描件。</w:t>
      </w:r>
      <w:r>
        <w:rPr>
          <w:rFonts w:hint="eastAsia" w:ascii="宋体" w:hAnsi="宋体" w:eastAsia="宋体" w:cs="Times New Roman"/>
          <w:color w:val="000000"/>
          <w:sz w:val="24"/>
          <w:szCs w:val="24"/>
          <w:highlight w:val="none"/>
          <w:lang w:val="en-US" w:eastAsia="zh-CN" w:bidi="ar-SA"/>
        </w:rPr>
      </w:r>
      <w:r/>
    </w:p>
    <w:p>
      <w:pPr>
        <w:pStyle w:val="762"/>
        <w:ind w:left="0" w:firstLine="480"/>
        <w:jc w:val="both"/>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2.接受分公司投标，总公司（法人）和分公司不得同时参与本项目投标，同一法人的不同分支机构不得同时参与本项目投标。</w:t>
      </w:r>
      <w:r>
        <w:rPr>
          <w:rFonts w:hint="eastAsia" w:ascii="宋体" w:hAnsi="宋体" w:eastAsia="宋体" w:cs="Times New Roman"/>
          <w:color w:val="000000"/>
          <w:sz w:val="24"/>
          <w:szCs w:val="24"/>
          <w:highlight w:val="none"/>
          <w:lang w:val="en-US" w:eastAsia="zh-CN" w:bidi="ar-SA"/>
        </w:rPr>
      </w:r>
      <w:r/>
    </w:p>
    <w:p>
      <w:pPr>
        <w:pStyle w:val="762"/>
        <w:ind w:firstLine="420"/>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采购包3：</w:t>
      </w:r>
      <w:r>
        <w:rPr>
          <w:rFonts w:hint="eastAsia" w:ascii="宋体" w:hAnsi="宋体" w:eastAsia="宋体" w:cs="Times New Roman"/>
          <w:color w:val="000000"/>
          <w:sz w:val="24"/>
          <w:szCs w:val="24"/>
          <w:lang w:val="en-US" w:eastAsia="zh-CN" w:bidi="ar-SA"/>
        </w:rPr>
      </w:r>
      <w:r/>
    </w:p>
    <w:p>
      <w:pPr>
        <w:pStyle w:val="762"/>
        <w:ind w:firstLine="420"/>
      </w:pPr>
      <w:r>
        <w:rPr>
          <w:rFonts w:hint="eastAsia" w:ascii="宋体" w:hAnsi="宋体" w:eastAsia="宋体" w:cs="Times New Roman"/>
          <w:color w:val="000000"/>
          <w:sz w:val="24"/>
          <w:szCs w:val="24"/>
          <w:lang w:val="en-US" w:eastAsia="zh-CN" w:bidi="ar-SA"/>
        </w:rPr>
        <w:t xml:space="preserve">无</w:t>
      </w:r>
      <w:r/>
    </w:p>
    <w:p>
      <w:pPr>
        <w:pStyle w:val="762"/>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pStyle w:val="762"/>
        <w:ind w:firstLine="53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pStyle w:val="762"/>
        <w:ind w:firstLine="53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2.方式：在“江苏政府采购网”自行免费下载招标文件。</w:t>
      </w:r>
      <w:r/>
    </w:p>
    <w:p>
      <w:pPr>
        <w:pStyle w:val="762"/>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pStyle w:val="762"/>
        <w:ind w:firstLine="480"/>
        <w:spacing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lang w:val="en-US" w:eastAsia="zh-CN"/>
        </w:rPr>
        <w:t xml:space="preserve">2026年6月18日上午9点</w:t>
      </w:r>
      <w:r>
        <w:rPr>
          <w:rFonts w:ascii="宋体" w:hAnsi="宋体" w:eastAsia="宋体" w:cs="宋体"/>
          <w:color w:val="000000"/>
          <w:sz w:val="24"/>
        </w:rPr>
        <w:t xml:space="preserve">（北京时间）</w:t>
      </w:r>
      <w:r>
        <w:rPr>
          <w:rFonts w:ascii="宋体" w:hAnsi="宋体" w:eastAsia="宋体" w:cs="宋体"/>
          <w:color w:val="000000"/>
          <w:sz w:val="24"/>
        </w:rPr>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2.地点：“苏采云”政府采购交易系统网上开标大厅。</w:t>
      </w:r>
      <w:r/>
    </w:p>
    <w:p>
      <w:pPr>
        <w:pStyle w:val="762"/>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pStyle w:val="762"/>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pStyle w:val="762"/>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pStyle w:val="762"/>
        <w:ind w:firstLine="498"/>
        <w:spacing w:before="145" w:after="145"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同一供应商可同时参与本项目多个采购包投标（允许多包兼投），中标资格限定如下：供应商若被推荐为采购包一中标候选人，则不得作为采购包二的中标候选人；供应商无论是否取得采购包一、采购包二中标候选人资格，均不影响其参与采购包三投标及其中标候选人资格认定。</w:t>
      </w:r>
      <w:r>
        <w:rPr>
          <w:rFonts w:hint="eastAsia" w:ascii="宋体" w:hAnsi="宋体" w:cs="宋体"/>
          <w:color w:val="000000"/>
          <w:sz w:val="24"/>
        </w:rPr>
      </w:r>
      <w:r/>
    </w:p>
    <w:p>
      <w:pPr>
        <w:pStyle w:val="762"/>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1.采购人信息</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w:t>
      </w:r>
      <w:r>
        <w:rPr>
          <w:rFonts w:ascii="经典仿宋简" w:hAnsi="经典仿宋简" w:eastAsia="经典仿宋简" w:cs="经典仿宋简"/>
          <w:sz w:val="22"/>
        </w:rPr>
        <w:t xml:space="preserve">泰州市姜堰区数据局（本级）</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经典仿宋简" w:hAnsi="经典仿宋简" w:eastAsia="经典仿宋简" w:cs="经典仿宋简"/>
          <w:sz w:val="22"/>
        </w:rPr>
        <w:t xml:space="preserve">泰州市姜堰区上海路1号</w:t>
      </w:r>
      <w:r/>
    </w:p>
    <w:p>
      <w:pPr>
        <w:pStyle w:val="762"/>
        <w:ind w:firstLine="480"/>
        <w:spacing w:line="400" w:lineRule="atLeast"/>
        <w:rPr>
          <w:rFonts w:eastAsia="宋体"/>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hint="eastAsia" w:ascii="经典仿宋简" w:hAnsi="经典仿宋简" w:eastAsia="经典仿宋简" w:cs="经典仿宋简"/>
          <w:sz w:val="22"/>
          <w:lang w:val="en-US" w:eastAsia="zh-CN"/>
        </w:rPr>
        <w:t xml:space="preserve">王先生、陈女士</w:t>
      </w:r>
      <w:r>
        <w:rPr>
          <w:rFonts w:eastAsia="宋体"/>
          <w:lang w:val="en-US" w:eastAsia="zh-CN"/>
        </w:rPr>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经典仿宋简" w:hAnsi="经典仿宋简" w:eastAsia="经典仿宋简" w:cs="经典仿宋简"/>
          <w:sz w:val="22"/>
          <w:lang w:val="en-US" w:eastAsia="zh-CN"/>
        </w:rPr>
        <w:t xml:space="preserve">0523-88108282</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2.泰州市姜堰区公共资源交易中心信息</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rPr>
          <w:rFonts w:hint="eastAsia" w:ascii="宋体" w:hAnsi="宋体"/>
          <w:sz w:val="24"/>
        </w:rPr>
        <w:t xml:space="preserve">泰州市姜堰区上海路88号</w:t>
      </w:r>
      <w:r/>
    </w:p>
    <w:p>
      <w:pPr>
        <w:pStyle w:val="762"/>
        <w:ind w:firstLine="480"/>
        <w:spacing w:line="400" w:lineRule="atLeast"/>
        <w:rPr>
          <w:rFonts w:hint="eastAsia" w:eastAsia="经典仿宋简"/>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经典仿宋简" w:hAnsi="经典仿宋简" w:eastAsia="经典仿宋简" w:cs="经典仿宋简"/>
          <w:sz w:val="22"/>
        </w:rPr>
        <w:t xml:space="preserve">李</w:t>
      </w:r>
      <w:r>
        <w:rPr>
          <w:rFonts w:hint="eastAsia" w:ascii="经典仿宋简" w:hAnsi="经典仿宋简" w:eastAsia="经典仿宋简" w:cs="经典仿宋简"/>
          <w:sz w:val="22"/>
          <w:lang w:val="en-US" w:eastAsia="zh-CN"/>
        </w:rPr>
        <w:t xml:space="preserve">先生</w:t>
      </w:r>
      <w:r>
        <w:rPr>
          <w:rFonts w:hint="eastAsia" w:eastAsia="经典仿宋简"/>
          <w:lang w:eastAsia="zh-CN"/>
        </w:rPr>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联系方式：0523-88810186</w:t>
      </w:r>
      <w:r/>
    </w:p>
    <w:p>
      <w:pPr>
        <w:pStyle w:val="762"/>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pStyle w:val="762"/>
        <w:ind w:firstLine="480"/>
        <w:spacing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w:t>
      </w:r>
      <w:r>
        <w:rPr>
          <w:rFonts w:ascii="宋体" w:hAnsi="宋体" w:cs="宋体"/>
          <w:color w:val="000000"/>
          <w:sz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762"/>
        <w:ind w:firstLine="480"/>
        <w:spacing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投标文件（技术支持电话：0523-87633965、0523-86897512；客服QQ：709339244、1195486789）。</w:t>
      </w:r>
      <w:r/>
    </w:p>
    <w:p>
      <w:pPr>
        <w:pStyle w:val="762"/>
        <w:ind w:firstLine="480"/>
        <w:spacing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有关本次招标的事项若存在变动或修改，敬请及时关注泰州市姜堰区公共资源交易中心在“江苏政府采购网”发布的更正公告。</w:t>
      </w:r>
      <w:r/>
    </w:p>
    <w:p>
      <w:pPr>
        <w:pStyle w:val="762"/>
        <w:ind w:firstLine="480"/>
        <w:spacing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如果招标文件有现场演示或提供样品等要求的，各投标人必须另外安排相关人员在规定时间之前到达现场（泰州市姜堰区公共资源交易中心一楼开标二室，地址：泰州市姜堰区上海路88号），并配合专家的评审工作，否则后果自负。</w:t>
      </w:r>
      <w:r/>
    </w:p>
    <w:p>
      <w:pPr>
        <w:pStyle w:val="762"/>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ind w:right="8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3"/>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63"/>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第二章投标人须知</w:t>
      </w:r>
      <w:r/>
    </w:p>
    <w:p>
      <w:pPr>
        <w:pStyle w:val="762"/>
        <w:ind w:firstLine="482"/>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w:t>
      </w:r>
      <w:r>
        <w:rPr>
          <w:rFonts w:ascii="黑体" w:hAnsi="黑体" w:eastAsia="黑体" w:cs="黑体"/>
          <w:color w:val="000000"/>
          <w:sz w:val="28"/>
        </w:rPr>
        <w:t xml:space="preserve">、招标方式</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w:t>
      </w:r>
      <w:r>
        <w:rPr>
          <w:rFonts w:ascii="黑体" w:hAnsi="黑体" w:eastAsia="黑体" w:cs="黑体"/>
          <w:color w:val="000000"/>
          <w:sz w:val="28"/>
        </w:rPr>
        <w:t xml:space="preserve">、合格的投标人</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满足本文件实质性要求和条件的规定。</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3</w:t>
      </w:r>
      <w:r>
        <w:rPr>
          <w:rFonts w:ascii="黑体" w:hAnsi="黑体" w:eastAsia="黑体" w:cs="黑体"/>
          <w:color w:val="000000"/>
          <w:sz w:val="28"/>
        </w:rPr>
        <w:t xml:space="preserve">、适用法律和标准</w:t>
      </w:r>
      <w:r/>
    </w:p>
    <w:p>
      <w:pPr>
        <w:pStyle w:val="762"/>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pStyle w:val="762"/>
        <w:ind w:firstLine="48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在本项目政府采购活动过程中，如果所执行的标准有更新的，按照最新标准执行。</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4</w:t>
      </w:r>
      <w:r>
        <w:rPr>
          <w:rFonts w:ascii="黑体" w:hAnsi="黑体" w:eastAsia="黑体" w:cs="黑体"/>
          <w:color w:val="000000"/>
          <w:sz w:val="28"/>
        </w:rPr>
        <w:t xml:space="preserve">、投标费用</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 投标人应自行承担所有与参加投标有关的费用，无论投标过程中的做法和结果如何，泰州市姜堰区公共资源交易中心（以下简称交易中心）在任何情况下均无义务和责任承担这些费用。</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5</w:t>
      </w:r>
      <w:r>
        <w:rPr>
          <w:rFonts w:ascii="黑体" w:hAnsi="黑体" w:eastAsia="黑体" w:cs="黑体"/>
          <w:color w:val="000000"/>
          <w:sz w:val="28"/>
        </w:rPr>
        <w:t xml:space="preserve">、招标文件的约束力</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投标人一旦参加本项目采购活动，即被认为接受了本招标文件的规定和约束。</w:t>
      </w:r>
      <w:r/>
    </w:p>
    <w:p>
      <w:pPr>
        <w:pStyle w:val="762"/>
        <w:ind w:firstLine="482"/>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6</w:t>
      </w:r>
      <w:r>
        <w:rPr>
          <w:rFonts w:ascii="黑体" w:hAnsi="黑体" w:eastAsia="黑体" w:cs="黑体"/>
          <w:color w:val="000000"/>
          <w:sz w:val="28"/>
        </w:rPr>
        <w:t xml:space="preserve">、招标文件构成</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pStyle w:val="762"/>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pStyle w:val="762"/>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pStyle w:val="762"/>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pStyle w:val="762"/>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pStyle w:val="762"/>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pStyle w:val="762"/>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、招标文件的澄清</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任何要求对招标文件进行澄清的投标人，应在投标截止期</w:t>
      </w:r>
      <w:r>
        <w:rPr>
          <w:rFonts w:ascii="宋体" w:hAnsi="宋体" w:cs="宋体"/>
          <w:b/>
          <w:color w:val="000000"/>
          <w:sz w:val="24"/>
        </w:rPr>
        <w:t xml:space="preserve">十日</w:t>
      </w:r>
      <w:r>
        <w:rPr>
          <w:rFonts w:ascii="宋体" w:hAnsi="宋体" w:cs="宋体"/>
          <w:color w:val="000000"/>
          <w:sz w:val="24"/>
        </w:rPr>
        <w:t xml:space="preserve">前按招标公告中的通讯地址，以书面形式通知交易中心。</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、招标文件的修改</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在投标截止时间前，交易中心可以对招标文件进行修改。</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交易中心有权按照法定的要求推迟投标截止日期和开标日期。</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8.3 招标文件的修改将在江苏政府采购网公布，补充文件将作为招标文件的组成部分，并对投标人具有约束力。</w:t>
      </w:r>
      <w:r/>
    </w:p>
    <w:p>
      <w:pPr>
        <w:pStyle w:val="762"/>
        <w:ind w:firstLine="482"/>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、投标文件的语言及度量衡单位</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9.2 除技术性能另有规定外，投标文件所使用的度量衡单位，均须采用国家法定计量单位。</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10</w:t>
      </w:r>
      <w:r>
        <w:rPr>
          <w:rFonts w:ascii="黑体" w:hAnsi="黑体" w:eastAsia="黑体" w:cs="黑体"/>
          <w:color w:val="000000"/>
          <w:sz w:val="28"/>
        </w:rPr>
        <w:t xml:space="preserve">、投标文件构成</w:t>
      </w:r>
      <w:r/>
    </w:p>
    <w:p>
      <w:pPr>
        <w:pStyle w:val="762"/>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pStyle w:val="762"/>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 如标书制作工具中格式和内容与“江苏政府采购网”发布的招标文件不一致，请以“江苏政府采购网”发布的招标文件为准。</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11</w:t>
      </w:r>
      <w:r>
        <w:rPr>
          <w:rFonts w:ascii="黑体" w:hAnsi="黑体" w:eastAsia="黑体" w:cs="黑体"/>
          <w:color w:val="000000"/>
          <w:sz w:val="28"/>
        </w:rPr>
        <w:t xml:space="preserve">、证明投标人及投标标的符合招标文件规定的文件</w:t>
      </w:r>
      <w:r/>
    </w:p>
    <w:p>
      <w:pPr>
        <w:pStyle w:val="762"/>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11.1 投标人应按照法律、法规、规章和规范性文件以及招标文件要求提交证明文件，证明其及投标标的符合招标文件规定。</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11.2招标文件对证明文件无明确形式要求的，证明文件可以以文字资料、图纸和数据等形式提交。</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12</w:t>
      </w:r>
      <w:r>
        <w:rPr>
          <w:rFonts w:ascii="黑体" w:hAnsi="黑体" w:eastAsia="黑体" w:cs="黑体"/>
          <w:color w:val="000000"/>
          <w:sz w:val="28"/>
        </w:rPr>
        <w:t xml:space="preserve">、投标分项报价表</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投标人应按照招标文件规定格式填报投标分项报价表。</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12.2投标货币。投标文件中的单价和总价无特殊规定的采用人民币报价，以元为单位标注。招标文件中另有规定的按规定执行。</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13</w:t>
      </w:r>
      <w:r>
        <w:rPr>
          <w:rFonts w:ascii="黑体" w:hAnsi="黑体" w:eastAsia="黑体" w:cs="黑体"/>
          <w:color w:val="000000"/>
          <w:sz w:val="28"/>
        </w:rPr>
        <w:t xml:space="preserve">、技术要求响应及偏离表、商务要求响应及偏离表</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投标人需对招标文件中的技术要求与商务要求逐项作出响应或偏离，并说明原因。</w:t>
      </w:r>
      <w:r/>
    </w:p>
    <w:p>
      <w:pPr>
        <w:pStyle w:val="762"/>
        <w:ind w:firstLine="480"/>
        <w:spacing w:line="499" w:lineRule="atLeast"/>
        <w:tabs>
          <w:tab w:val="left" w:pos="1035"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投标人可在投标文件中提供认为需要的其他技术文件或说明。</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14</w:t>
      </w:r>
      <w:r>
        <w:rPr>
          <w:rFonts w:ascii="黑体" w:hAnsi="黑体" w:eastAsia="黑体" w:cs="黑体"/>
          <w:color w:val="000000"/>
          <w:sz w:val="28"/>
        </w:rPr>
        <w:t xml:space="preserve">、投标函和开标一览表</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投标人应按照招标文件中提供的格式完整、正确填写投标函、开标一览表。</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 对于采用货币报价的项目，开标一览表中的投标总报价应与投标分项报价表中的投标总报价一致，如不一致，不作为无效投标处理，但评标时按招标文件中约定的规则进行修正。</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15</w:t>
      </w:r>
      <w:r>
        <w:rPr>
          <w:rFonts w:ascii="黑体" w:hAnsi="黑体" w:eastAsia="黑体" w:cs="黑体"/>
          <w:color w:val="000000"/>
          <w:sz w:val="28"/>
        </w:rPr>
        <w:t xml:space="preserve">、投标有效期</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投标有效期为交易中心规定的开标之日后</w:t>
      </w:r>
      <w:r>
        <w:rPr>
          <w:rFonts w:ascii="宋体" w:hAnsi="宋体" w:cs="宋体"/>
          <w:b/>
          <w:color w:val="000000"/>
          <w:sz w:val="24"/>
          <w:u w:val="single"/>
        </w:rPr>
        <w:t xml:space="preserve">六十（</w:t>
      </w:r>
      <w:r>
        <w:rPr>
          <w:rFonts w:ascii="仿宋" w:hAnsi="仿宋" w:eastAsia="仿宋" w:cs="仿宋"/>
          <w:b/>
          <w:color w:val="000000"/>
          <w:sz w:val="24"/>
          <w:u w:val="single"/>
        </w:rPr>
        <w:t xml:space="preserve">60</w:t>
      </w:r>
      <w:r>
        <w:rPr>
          <w:rFonts w:ascii="宋体" w:hAnsi="宋体" w:cs="宋体"/>
          <w:b/>
          <w:color w:val="000000"/>
          <w:sz w:val="24"/>
          <w:u w:val="single"/>
        </w:rPr>
        <w:t xml:space="preserve">）天</w:t>
      </w:r>
      <w:r>
        <w:rPr>
          <w:rFonts w:ascii="宋体" w:hAnsi="宋体" w:cs="宋体"/>
          <w:color w:val="000000"/>
          <w:sz w:val="24"/>
        </w:rPr>
        <w:t xml:space="preserve">。投标有效期比规定短的将被视为未实质性响应招标文件而予以拒绝。</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16</w:t>
      </w:r>
      <w:r>
        <w:rPr>
          <w:rFonts w:ascii="黑体" w:hAnsi="黑体" w:eastAsia="黑体" w:cs="黑体"/>
          <w:color w:val="000000"/>
          <w:sz w:val="28"/>
        </w:rPr>
        <w:t xml:space="preserve">、投标有效期的延长</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pStyle w:val="762"/>
        <w:ind w:firstLine="482"/>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17</w:t>
      </w:r>
      <w:r>
        <w:rPr>
          <w:rFonts w:ascii="黑体" w:hAnsi="黑体" w:eastAsia="黑体" w:cs="黑体"/>
          <w:color w:val="000000"/>
          <w:sz w:val="28"/>
        </w:rPr>
        <w:t xml:space="preserve">、投标文件的递交</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投标人应当按照《操作手册》规定，在投标截止时间前制作并上传电子投标文件。</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18</w:t>
      </w:r>
      <w:r>
        <w:rPr>
          <w:rFonts w:ascii="黑体" w:hAnsi="黑体" w:eastAsia="黑体" w:cs="黑体"/>
          <w:color w:val="000000"/>
          <w:sz w:val="28"/>
        </w:rPr>
        <w:t xml:space="preserve">、投标截止时间</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 投标人上传电子投标文件的时间不得迟于招标公告中规定的投标截止时间。</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18.2 交易中心可以按照规定，通过修改招标文件酌情延长投标截止时间，在此情况下，投标人的所有权利和义务以及投标人受制的截止时间均应以延长后新的截止时间为准。</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19.1交易中心拒绝接收在其规定的投标截止时间后上传的任何投标文件。</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20</w:t>
      </w:r>
      <w:r>
        <w:rPr>
          <w:rFonts w:ascii="黑体" w:hAnsi="黑体" w:eastAsia="黑体" w:cs="黑体"/>
          <w:color w:val="000000"/>
          <w:sz w:val="28"/>
        </w:rPr>
        <w:t xml:space="preserve">、投标文件的撤回和修改</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投标文件的撤回</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21.1.1 电子投标文件的撤回</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21.1.2 投标人撤回电子投标文件，则认为其不再参与本项目投标活动。</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 投标文件的修改</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20.2.1投标人可在投标截止时间前，对其电子投标文件进行修改，具体操作方法见《操作手册》。</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20.2.2 在投标截止时间之后，投标人不得对其电子投标文件作任何修改。</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 在投标截止时间至招标文件中规定的投标有效期满之间的这段时间内，投标人不得撤回其投标。</w:t>
      </w:r>
      <w:r/>
    </w:p>
    <w:p>
      <w:pPr>
        <w:pStyle w:val="762"/>
        <w:ind w:firstLine="482"/>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21</w:t>
      </w:r>
      <w:r>
        <w:rPr>
          <w:rFonts w:ascii="黑体" w:hAnsi="黑体" w:eastAsia="黑体" w:cs="黑体"/>
          <w:color w:val="000000"/>
          <w:sz w:val="28"/>
        </w:rPr>
        <w:t xml:space="preserve">、开标</w:t>
      </w:r>
      <w:r/>
    </w:p>
    <w:p>
      <w:pPr>
        <w:pStyle w:val="762"/>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 交易中心将在招标公告中规定的时间和地点组织公开开标。投标人应当按照《操作手册》规定，参加开标活动和在苏采云系统规定的时间内对投标文件进行解密。</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21.2开标仪式由交易中心组织。苏采云系统将自动对项目进行开标，并宣布各投标人名称和投标价格。</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21.3投标人在开标过程中涉及到的投标文件解密、开标结果确认等工作，应按照《操作手册》规定执行。</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21.4投标人如果对开标过程和开标记录有疑义，应当根据《操作手册》规定提出，如 苏采云系统中《开标记录表》宣布后5分钟内未提出的，视同认可开标结果。</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22</w:t>
      </w:r>
      <w:r>
        <w:rPr>
          <w:rFonts w:ascii="黑体" w:hAnsi="黑体" w:eastAsia="黑体" w:cs="黑体"/>
          <w:color w:val="000000"/>
          <w:sz w:val="28"/>
        </w:rPr>
        <w:t xml:space="preserve">、评标委员会</w:t>
      </w:r>
      <w:r/>
    </w:p>
    <w:p>
      <w:pPr>
        <w:pStyle w:val="76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22.1</w:t>
      </w:r>
      <w:r>
        <w:rPr>
          <w:rFonts w:ascii="宋体" w:hAnsi="宋体" w:cs="宋体"/>
          <w:b/>
          <w:color w:val="000000"/>
          <w:sz w:val="24"/>
        </w:rPr>
        <w:t xml:space="preserve"> </w:t>
      </w:r>
      <w:r>
        <w:rPr>
          <w:rFonts w:ascii="宋体" w:hAnsi="宋体" w:cs="宋体"/>
          <w:color w:val="000000"/>
          <w:sz w:val="24"/>
        </w:rPr>
        <w:t xml:space="preserve">开标后，交易中心将立即组织评标委员会（以下简称评委会）进行评标。</w:t>
      </w:r>
      <w:r/>
    </w:p>
    <w:p>
      <w:pPr>
        <w:pStyle w:val="76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22.2 评委会由采购人代表和有关技术、经济等方面的专家组成，且人员构成符合政府采购有关规定。</w:t>
      </w:r>
      <w:r/>
    </w:p>
    <w:p>
      <w:pPr>
        <w:pStyle w:val="76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22.3评委会独立工作，负责评审所有投标文件并确定中标侯选人。</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23</w:t>
      </w:r>
      <w:r>
        <w:rPr>
          <w:rFonts w:ascii="黑体" w:hAnsi="黑体" w:eastAsia="黑体" w:cs="黑体"/>
          <w:color w:val="000000"/>
          <w:sz w:val="28"/>
        </w:rPr>
        <w:t xml:space="preserve">、评标过程的保密与公正</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23.1凡是与审查、澄清、评价和比较投标的有关资料以及授标建议等，采购人、评委、交易中心均不得向投标人或与评标无关的其他人员透露。</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23.2在评标过程中，投标人不得以任何行为影响评标过程，否则其投标文件将被作为无效投标文件。</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23.3 交易中心和评标委员会不向未中标的投标人解释未中标原因，也不公布评标过程中的相关细节。</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23.4 采用综合评分法的项目，未中标的投标人可于中标结果公告期限届满之日起通过苏采云系统查看自己的评审得分及排序情况。</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24</w:t>
      </w:r>
      <w:r>
        <w:rPr>
          <w:rFonts w:ascii="黑体" w:hAnsi="黑体" w:eastAsia="黑体" w:cs="黑体"/>
          <w:color w:val="000000"/>
          <w:sz w:val="28"/>
        </w:rPr>
        <w:t xml:space="preserve">、投标文件的澄清</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24.1评标期间，评委会对投标文件中含义不明确、同类问题表述不一致或者有明显文字和计算错误的内容 ，有权要求投标人作出必要的澄清、说明或者补正。</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投标人的澄清、说明或者补正不得超出投标文件的范围或者改变投标文件的实质性内容。</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评标委员会并非对每个投标人都做澄清要求。</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62"/>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24.3 接到评委会澄清、说明和补正要求的投标人如未按规定做出澄清、说明和补正，其风险由投标人自行承担。</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25</w:t>
      </w:r>
      <w:r>
        <w:rPr>
          <w:rFonts w:ascii="黑体" w:hAnsi="黑体" w:eastAsia="黑体" w:cs="黑体"/>
          <w:color w:val="000000"/>
          <w:sz w:val="28"/>
        </w:rPr>
        <w:t xml:space="preserve">、对投标文件的初审</w:t>
      </w:r>
      <w:r/>
    </w:p>
    <w:p>
      <w:pPr>
        <w:pStyle w:val="762"/>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25.1投标文件初审分为资格审查和符合性审查。</w:t>
      </w:r>
      <w:r/>
    </w:p>
    <w:p>
      <w:pPr>
        <w:pStyle w:val="762"/>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资格审查：依据法律法规和招标文件的规定，由采购人对投标文件中的资格证明文件进行审查。资格审查的结论，采购人以书面形式向评委会进行反馈。</w:t>
      </w:r>
      <w:r/>
    </w:p>
    <w:p>
      <w:pPr>
        <w:pStyle w:val="762"/>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采购人在进行资格性审查的同时，将在“信用中国”网站（www.creditchina.gov.cn）查询投标人的信用记录，以确定投标人是否具备投标资格,查询结果留存并归档。</w:t>
      </w:r>
      <w:r/>
    </w:p>
    <w:p>
      <w:pPr>
        <w:pStyle w:val="762"/>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62"/>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符合性审查：依据招标文件的规定，由评委会从投标文件的有效性、完整性和对招标文件的响应程度进行审查，以确定是否对招标文件的实质性要求作出响应。</w:t>
      </w:r>
      <w:r/>
    </w:p>
    <w:p>
      <w:pPr>
        <w:pStyle w:val="762"/>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未通过资格审查或符合性审查的投标人，交易中心将在苏采云系统中告知未通过资格审查或符合性审查的原因，评标结束后，交易中心将不再告知未通过资格审查和符合性审查的原因。</w:t>
      </w:r>
      <w:r/>
    </w:p>
    <w:p>
      <w:pPr>
        <w:pStyle w:val="762"/>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62"/>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62"/>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pStyle w:val="762"/>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25.4评委会将对确定为实质性响应的投标进行进一步审核，确定其是否有计算上或累加上的算术错误，修正错误的原则如下：</w:t>
      </w:r>
      <w:r/>
    </w:p>
    <w:p>
      <w:pPr>
        <w:pStyle w:val="762"/>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pStyle w:val="762"/>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pStyle w:val="762"/>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pStyle w:val="762"/>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pStyle w:val="762"/>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pStyle w:val="762"/>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pStyle w:val="762"/>
        <w:ind w:firstLine="42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25.6投标人在开、评标全过程中应保持通讯畅通，及时登录苏采云系统查阅、答复相关信息，并安排专人与交易中心及评标委员会联系。</w:t>
      </w:r>
      <w:r/>
    </w:p>
    <w:p>
      <w:pPr>
        <w:pStyle w:val="762"/>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25.7 异常低价投标审查</w:t>
      </w:r>
      <w:r>
        <w:rPr>
          <w:color w:val="000000"/>
        </w:rPr>
      </w:r>
      <w:r/>
    </w:p>
    <w:p>
      <w:pPr>
        <w:pStyle w:val="762"/>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25.7.1 评标中出现下列情形之一的，评标委员会应当启动异常低价投标审查程序：</w:t>
      </w:r>
      <w:r>
        <w:rPr>
          <w:color w:val="000000"/>
        </w:rPr>
      </w:r>
      <w:r/>
    </w:p>
    <w:p>
      <w:pPr>
        <w:pStyle w:val="762"/>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（1）投标报价低于全部通过符合性审查供应商投标报价平均值50%的，即投标报价&lt;全部通过符合性审查供应商投标报价平均值×50%；</w:t>
      </w:r>
      <w:r>
        <w:rPr>
          <w:color w:val="000000"/>
        </w:rPr>
      </w:r>
      <w:r/>
    </w:p>
    <w:p>
      <w:pPr>
        <w:pStyle w:val="762"/>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（2）投标报价低于通过符合性审查的次低报价供应商投标报价50%的，即投标报价&lt;通过符合性审查的次低报价供应商投标报价×50%；</w:t>
      </w:r>
      <w:r>
        <w:rPr>
          <w:color w:val="000000"/>
        </w:rPr>
      </w:r>
      <w:r/>
    </w:p>
    <w:p>
      <w:pPr>
        <w:pStyle w:val="762"/>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（3）投标报价低于采购项目最高限价45%的，即投标报价&lt;采购项目最高限价×45%；</w:t>
      </w:r>
      <w:r>
        <w:rPr>
          <w:color w:val="000000"/>
        </w:rPr>
      </w:r>
      <w:r/>
    </w:p>
    <w:p>
      <w:pPr>
        <w:pStyle w:val="762"/>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（4）评标委员会基于专业判断，认为供应商报价过低，有可能影响产品质量或者不能诚信履约的其他情形。</w:t>
      </w:r>
      <w:r>
        <w:rPr>
          <w:color w:val="000000"/>
        </w:rPr>
      </w:r>
      <w:r/>
    </w:p>
    <w:p>
      <w:pPr>
        <w:pStyle w:val="762"/>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相关法律法规对供应商报价有规定的，从其规定。</w:t>
      </w:r>
      <w:r>
        <w:rPr>
          <w:color w:val="000000"/>
        </w:rPr>
      </w:r>
      <w:r/>
    </w:p>
    <w:p>
      <w:pPr>
        <w:pStyle w:val="762"/>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25.7.2 启动异常低价投标审查后，属于前述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color w:val="000000"/>
        </w:rPr>
      </w:r>
      <w:r/>
    </w:p>
    <w:p>
      <w:pPr>
        <w:pStyle w:val="762"/>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color w:val="000000"/>
        </w:rPr>
      </w:r>
      <w:r/>
    </w:p>
    <w:p>
      <w:pPr>
        <w:pStyle w:val="762"/>
        <w:ind w:firstLine="420"/>
        <w:spacing w:line="439"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采购代理机构应当为评标委员会在评标现场及时获取同类项目中标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color w:val="000000"/>
        </w:rPr>
      </w:r>
      <w:r/>
    </w:p>
    <w:p>
      <w:pPr>
        <w:pStyle w:val="762"/>
        <w:ind w:firstLine="420"/>
        <w:spacing w:line="439" w:lineRule="atLeast"/>
        <w:rPr>
          <w:rFonts w:ascii="Arial" w:hAnsi="Arial" w:eastAsia="Arial" w:cs="Arial"/>
          <w:color w:val="000000"/>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异常低价投标审查的启动原因、审查意见和审查结果应当在评标报告中记录，并随供应商提供的相关书面说明及证明材料，以及评标委员会有关互联网浏览、查询历史一并归档。</w:t>
      </w:r>
      <w:r>
        <w:rPr>
          <w:rFonts w:ascii="Arial" w:hAnsi="Arial" w:eastAsia="Arial" w:cs="Arial"/>
          <w:color w:val="000000"/>
          <w:sz w:val="28"/>
          <w:szCs w:val="28"/>
        </w:rPr>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26</w:t>
      </w:r>
      <w:r>
        <w:rPr>
          <w:rFonts w:ascii="黑体" w:hAnsi="黑体" w:eastAsia="黑体" w:cs="黑体"/>
          <w:color w:val="000000"/>
          <w:sz w:val="28"/>
        </w:rPr>
        <w:t xml:space="preserve">、无效投标条款和废标条款</w:t>
      </w:r>
      <w:r/>
    </w:p>
    <w:p>
      <w:pPr>
        <w:pStyle w:val="762"/>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26.1无效投标条款</w:t>
      </w:r>
      <w:r/>
    </w:p>
    <w:p>
      <w:pPr>
        <w:pStyle w:val="762"/>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 投标人在苏采云系统规定的时间内未成功解密电子投标文件的。</w:t>
      </w:r>
      <w:r/>
    </w:p>
    <w:p>
      <w:pPr>
        <w:pStyle w:val="762"/>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26.1.2 投标人未按照招标文件要求上传电子投标文件的。</w:t>
      </w:r>
      <w:r/>
    </w:p>
    <w:p>
      <w:pPr>
        <w:pStyle w:val="762"/>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26.1.3同一投标人提交两个（含两个）以上不同的投标报价的。</w:t>
      </w:r>
      <w:r/>
    </w:p>
    <w:p>
      <w:pPr>
        <w:pStyle w:val="762"/>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26.1.4投标人不具备招标文件中规定资格要求的。</w:t>
      </w:r>
      <w:r/>
    </w:p>
    <w:p>
      <w:pPr>
        <w:pStyle w:val="762"/>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26.1.5投标人的报价超过了采购预算或最高限价的。</w:t>
      </w:r>
      <w:r/>
    </w:p>
    <w:p>
      <w:pPr>
        <w:pStyle w:val="762"/>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26.1.6未通过符合性审查的。</w:t>
      </w:r>
      <w:r/>
    </w:p>
    <w:p>
      <w:pPr>
        <w:pStyle w:val="762"/>
        <w:ind w:firstLine="36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26.1.7不符合招标文件中规定的实质性要求和条件的（本招标文件中斜体且有下划线部分或加★号条款为实质性要求）。</w:t>
      </w:r>
      <w:r/>
    </w:p>
    <w:p>
      <w:pPr>
        <w:pStyle w:val="762"/>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62"/>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26.1.9 投标文件含有采购人不能接受的附加条件的。</w:t>
      </w:r>
      <w:r/>
    </w:p>
    <w:p>
      <w:pPr>
        <w:pStyle w:val="762"/>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62"/>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26.1.11 投标文件未按照招标文件要求加盖CA电子公章的。</w:t>
      </w:r>
      <w:r/>
    </w:p>
    <w:p>
      <w:pPr>
        <w:pStyle w:val="762"/>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26.1.12 投标人所投标产品不符合招标文件中所列国家强制性标准的。</w:t>
      </w:r>
      <w:r/>
    </w:p>
    <w:p>
      <w:pPr>
        <w:pStyle w:val="762"/>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26.1.13 其他法律、法规及本招标文件规定的属无效投标的情形。</w:t>
      </w:r>
      <w:r/>
    </w:p>
    <w:p>
      <w:pPr>
        <w:pStyle w:val="762"/>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26.2废标条款</w:t>
      </w:r>
      <w:r/>
    </w:p>
    <w:p>
      <w:pPr>
        <w:pStyle w:val="762"/>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26.2.1符合专业条件的供应商或者对招标文件作实质响应的供应商不足三家的。26.2.2出现影响采购公正的违法、违规行为的。</w:t>
      </w:r>
      <w:r/>
    </w:p>
    <w:p>
      <w:pPr>
        <w:pStyle w:val="762"/>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26.2.3因重大变故，采购任务取消的。</w:t>
      </w:r>
      <w:r/>
    </w:p>
    <w:p>
      <w:pPr>
        <w:pStyle w:val="762"/>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26.2.4评标委员会认定招标文件存在歧义、重大缺陷导致评审工作无法进行。</w:t>
      </w:r>
      <w:r/>
    </w:p>
    <w:p>
      <w:pPr>
        <w:pStyle w:val="762"/>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26.2.5 因苏采云系统系统故障原因造成开标不成功的。</w:t>
      </w:r>
      <w:r/>
    </w:p>
    <w:p>
      <w:pPr>
        <w:pStyle w:val="762"/>
        <w:ind w:left="479"/>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 投标截止时间结束后参加投标的供应商不足三家的处理：</w:t>
      </w:r>
      <w:r/>
    </w:p>
    <w:p>
      <w:pPr>
        <w:pStyle w:val="762"/>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26.3.1如出现投标截止时间结束后参加投标的供应商或者在评标期间对招标文件做出实质响应的供应商不足三家情况，按政府采购相关规定执行。</w:t>
      </w:r>
      <w:r/>
    </w:p>
    <w:p>
      <w:pPr>
        <w:pStyle w:val="762"/>
        <w:ind w:firstLine="482"/>
        <w:spacing w:before="145" w:after="145"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27</w:t>
      </w:r>
      <w:r>
        <w:rPr>
          <w:rFonts w:ascii="黑体" w:hAnsi="黑体" w:eastAsia="黑体" w:cs="黑体"/>
          <w:color w:val="000000"/>
          <w:sz w:val="28"/>
        </w:rPr>
        <w:t xml:space="preserve">、确定中标单位</w:t>
      </w:r>
      <w:r/>
    </w:p>
    <w:p>
      <w:pPr>
        <w:pStyle w:val="762"/>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27.1中标候选人的选取原则和数量见招标文件第五章规定。 </w:t>
      </w:r>
      <w:r/>
    </w:p>
    <w:p>
      <w:pPr>
        <w:pStyle w:val="762"/>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 采购人应根据评委会推荐的中标候选人确定中标人。</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 交易中心将在“江苏政府采购网”发布中标公告，公告期限为1个工作日。</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 若有充分证据证明，中标人出现下列情况之一的，一经查实，将被取消中标资格：</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27.4.1提供虚假材料谋取中标的。</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27.4.2向采购人、交易中心行贿或者提供其他不正当利益的。</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27.4.3属于本文件规定的无效条件，但在评标过程中又未被评委会发现的。</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27.4.4与采购人或者其他供应商恶意串通的。</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27.4.5采取不正当手段诋毁、排挤其他供应商的。</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有下列情形之一的，视为投标人串通投标，投标无效：</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27.5.1不同投标人的投标文件由同一单位或者个人编制。</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27.5.2不同投标人委托同一单位或者个人办理投标事宜。</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不同投标人的投标文件载明的项目管理成员或者联系人员为同一人。</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27.5.4不同投标人的投标文件异常一致或者投标报价呈规律性差异。</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28</w:t>
      </w:r>
      <w:r>
        <w:rPr>
          <w:rFonts w:ascii="黑体" w:hAnsi="黑体" w:eastAsia="黑体" w:cs="黑体"/>
          <w:color w:val="000000"/>
          <w:sz w:val="28"/>
        </w:rPr>
        <w:t xml:space="preserve">、质疑处理</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28.1 提出质疑的供应商应当是参与所质疑项目采购活动的供应商。潜在供应商依法获取其可质疑的采购文件的，可以对采购文件提出质疑。</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28.2.1对可以质疑的采购文件提出质疑的，为收到采购文件之日或者采购文件公告期限届满之日；</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28.2.2对采购过程提出质疑的，为各采购程序环节结束之日；</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28.2.3对中标或者成交结果提出质疑的，为中标或者成交结果公告期限届满之日。</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交易中心及采购人只接收以纸质原件形式送达的质疑,建议供应商尽量通过邮寄方式提交质疑（采购人和交易中心不接受未填写快递运单的快件）。</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 以下情形的质疑不予受理</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28.5.1 内容不符合《政府采购质疑和投诉办法》第十二条规定的质疑。</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28.5.2 超出政府采购法定期限的质疑。</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28.5.3 以传真、电子邮件等方式递交的非原件形式的质疑。</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28.5.4 未参加投标活动的供应商或在投标活动中自身权益未受到损害的供应商所提出的质疑。</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28.5.5供应商组成联合体参加投标，联合体中任何一方或多方未按要求签字、盖章、加盖公章的质疑。</w:t>
      </w:r>
      <w:r/>
    </w:p>
    <w:p>
      <w:pPr>
        <w:pStyle w:val="762"/>
        <w:ind w:firstLine="468"/>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29</w:t>
      </w:r>
      <w:r>
        <w:rPr>
          <w:rFonts w:ascii="黑体" w:hAnsi="黑体" w:eastAsia="黑体" w:cs="黑体"/>
          <w:color w:val="000000"/>
          <w:sz w:val="28"/>
        </w:rPr>
        <w:t xml:space="preserve">、中标通知书</w:t>
      </w:r>
      <w:r/>
    </w:p>
    <w:p>
      <w:pPr>
        <w:pStyle w:val="762"/>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w:t>
      </w:r>
      <w:r>
        <w:rPr>
          <w:rFonts w:ascii="宋体" w:hAnsi="宋体" w:cs="宋体"/>
          <w:b/>
          <w:color w:val="000000"/>
          <w:sz w:val="24"/>
        </w:rPr>
        <w:t xml:space="preserve"> </w:t>
      </w:r>
      <w:r>
        <w:rPr>
          <w:rFonts w:ascii="宋体" w:hAnsi="宋体" w:cs="宋体"/>
          <w:color w:val="000000"/>
          <w:sz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62"/>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762"/>
        <w:spacing w:before="145" w:after="145"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七、授予合同</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30. </w:t>
      </w:r>
      <w:r>
        <w:rPr>
          <w:rFonts w:ascii="黑体" w:hAnsi="黑体" w:eastAsia="黑体" w:cs="黑体"/>
          <w:color w:val="000000"/>
          <w:sz w:val="28"/>
        </w:rPr>
        <w:t xml:space="preserve">签订合同</w:t>
      </w:r>
      <w:r/>
    </w:p>
    <w:p>
      <w:pPr>
        <w:pStyle w:val="762"/>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30.l中标人应当在中标通知书发出之日起三十日内，按照招标文件确定的事项与采购人签订政府采购合同。</w:t>
      </w:r>
      <w:r/>
    </w:p>
    <w:p>
      <w:pPr>
        <w:pStyle w:val="762"/>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30.2</w:t>
      </w:r>
      <w:r>
        <w:rPr>
          <w:rFonts w:ascii="宋体" w:hAnsi="宋体" w:cs="宋体"/>
          <w:b/>
          <w:color w:val="000000"/>
          <w:sz w:val="24"/>
        </w:rPr>
        <w:t xml:space="preserve"> </w:t>
      </w:r>
      <w:r>
        <w:rPr>
          <w:rFonts w:ascii="宋体" w:hAnsi="宋体" w:cs="宋体"/>
          <w:color w:val="000000"/>
          <w:sz w:val="24"/>
        </w:rPr>
        <w:t xml:space="preserve">招标文件、中标人的投标文件及招标过程中有关澄清、承诺文件均应作为合同附件。</w:t>
      </w:r>
      <w:r/>
    </w:p>
    <w:p>
      <w:pPr>
        <w:pStyle w:val="762"/>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31</w:t>
      </w:r>
      <w:r>
        <w:rPr>
          <w:rFonts w:ascii="黑体" w:hAnsi="黑体" w:eastAsia="黑体" w:cs="黑体"/>
          <w:color w:val="000000"/>
          <w:sz w:val="28"/>
        </w:rPr>
        <w:t xml:space="preserve">、服务（包含与服务相关的货物）的追加</w:t>
      </w:r>
      <w:r/>
    </w:p>
    <w:p>
      <w:pPr>
        <w:pStyle w:val="762"/>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62"/>
        <w:ind w:firstLine="420"/>
        <w:spacing w:line="43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32</w:t>
      </w:r>
      <w:r>
        <w:rPr>
          <w:rFonts w:ascii="黑体" w:hAnsi="黑体" w:eastAsia="黑体" w:cs="黑体"/>
          <w:color w:val="000000"/>
          <w:sz w:val="28"/>
        </w:rPr>
        <w:t xml:space="preserve">、政府采购履约资金扶持政策</w:t>
      </w:r>
      <w:r/>
    </w:p>
    <w:p>
      <w:pPr>
        <w:pStyle w:val="762"/>
        <w:ind w:firstLine="555"/>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pStyle w:val="762"/>
        <w:ind w:left="64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1.“政采贷”业务流程</w:t>
      </w:r>
      <w:r/>
    </w:p>
    <w:p>
      <w:pPr>
        <w:pStyle w:val="762"/>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5682577" cy="167703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682577" cy="16770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7.4pt;height:132.0pt;mso-wrap-distance-left:0.0pt;mso-wrap-distance-top:0.0pt;mso-wrap-distance-right:0.0pt;mso-wrap-distance-bottom:0.0pt;" stroked="f">
                <v:path textboxrect="0,0,0,0"/>
                <v:imagedata r:id="rId12" o:title=""/>
              </v:shape>
            </w:pict>
          </mc:Fallback>
        </mc:AlternateContent>
      </w:r>
      <w:r>
        <w:rPr>
          <w:rFonts w:ascii="宋体" w:hAnsi="宋体" w:cs="宋体"/>
          <w:color w:val="000000"/>
          <w:sz w:val="24"/>
        </w:rPr>
        <w:t xml:space="preserve"> </w:t>
      </w:r>
      <w:r/>
    </w:p>
    <w:p>
      <w:pPr>
        <w:pStyle w:val="762"/>
        <w:ind w:left="64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2.操作流程</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62"/>
        <w:ind w:left="64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3.常见问题</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Q1：哪些企业能申请“政采贷”？</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答：江苏省内采用国库集中支付的政府采购项目的中标供应商，可凭政府采购合同申请"政采贷"。</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Q2：供应商在哪里申请“政采贷”？</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答：中标供应商在“中征应收账款融资服务平台”（简称“中征平台”）上向意向银行发起融资申请</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Q3：中标供应商要注意什么？</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答：中标供应商要加强和采购单位的沟通协调，尽早确定融资需求。需要“政采贷”融资的，政府采购合同付款账号应当空置。</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Q4：采购单位要做什么？</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Q5：“政采贷”融资失败怎么办？</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答：经合作银行审核后不予放款，或者贷款审核时间超过10个工作日的，视为融资失败，该项目回到财政预算管理一体化系统中支付资金。融资失败的，无法重新线上申请“政采贷”。</w:t>
      </w:r>
      <w:r/>
    </w:p>
    <w:p>
      <w:pPr>
        <w:pStyle w:val="762"/>
        <w:ind w:left="64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3.网址及联系方式</w:t>
      </w:r>
      <w:r/>
    </w:p>
    <w:p>
      <w:pPr>
        <w:pStyle w:val="762"/>
        <w:ind w:firstLine="484"/>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
          <w:sz w:val="24"/>
        </w:rPr>
        <w:t xml:space="preserve">政采贷：http://www.ccgp-jiangsu.gov.cn/jiangsu/paying.html</w:t>
      </w:r>
      <w:r/>
    </w:p>
    <w:p>
      <w:pPr>
        <w:pStyle w:val="762"/>
        <w:ind w:firstLine="484"/>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
          <w:sz w:val="24"/>
        </w:rPr>
        <w:t xml:space="preserve">中征平台：https://www.crcrfsp.com/</w:t>
      </w:r>
      <w:r/>
    </w:p>
    <w:p>
      <w:pPr>
        <w:pStyle w:val="762"/>
        <w:ind w:firstLine="420"/>
        <w:pBdr>
          <w:top w:val="none" w:color="000000" w:sz="0" w:space="0"/>
          <w:left w:val="none" w:color="000000" w:sz="0" w:space="0"/>
          <w:bottom w:val="none" w:color="000000" w:sz="0" w:space="0"/>
          <w:right w:val="none" w:color="000000" w:sz="0" w:space="0"/>
        </w:pBdr>
      </w:pPr>
      <w:r>
        <w:rPr>
          <w:rFonts w:ascii="宋体" w:hAnsi="宋体" w:cs="宋体"/>
          <w:color w:val="000000"/>
          <w:spacing w:val="1"/>
          <w:sz w:val="24"/>
        </w:rPr>
        <w:t xml:space="preserve">联系人：翟先生</w:t>
      </w:r>
      <w:r>
        <w:rPr>
          <w:rFonts w:hint="eastAsia" w:ascii="宋体" w:hAnsi="宋体" w:cs="宋体"/>
          <w:color w:val="000000"/>
          <w:spacing w:val="1"/>
          <w:sz w:val="24"/>
          <w:lang w:val="en-US" w:eastAsia="zh-CN"/>
        </w:rPr>
        <w:t xml:space="preserve"> </w:t>
      </w:r>
      <w:r>
        <w:rPr>
          <w:rFonts w:ascii="宋体" w:hAnsi="宋体" w:cs="宋体"/>
          <w:color w:val="000000"/>
          <w:spacing w:val="1"/>
          <w:sz w:val="24"/>
        </w:rPr>
        <w:t xml:space="preserve">联系电话：0523-88816349</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3"/>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63"/>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第三章合同文本</w:t>
      </w:r>
      <w:r/>
    </w:p>
    <w:p>
      <w:pPr>
        <w:pStyle w:val="762"/>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以下为中标后签定本项目合同的通用条款，中标人不得提出实质性的修改。</w:t>
      </w:r>
      <w:r/>
    </w:p>
    <w:p>
      <w:pPr>
        <w:pStyle w:val="762"/>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江苏省政府采购合同（服务）（合同编号）</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项目名称：项目编号：</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甲方：（买方）_________</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乙方：（卖方）_________</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甲、乙双方根据泰州市姜堰区公共资源交易中心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1.6履行方式：</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pStyle w:val="762"/>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本合同金额为（大写）：____________________________________圆（_______________元）人民币或其他币种。</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pStyle w:val="762"/>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pStyle w:val="762"/>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62"/>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pStyle w:val="762"/>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pStyle w:val="762"/>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乙方保证所交付的服务（包含与服务相关的货物）的所有权完全属于乙方且无任何抵押、查封等产权瑕疵。</w:t>
      </w:r>
      <w:r/>
    </w:p>
    <w:p>
      <w:pPr>
        <w:pStyle w:val="762"/>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6.1本项目</w:t>
      </w:r>
      <w:r>
        <w:rPr>
          <w:rFonts w:hint="eastAsia" w:ascii="宋体" w:hAnsi="宋体" w:cs="宋体"/>
          <w:color w:val="000000"/>
          <w:sz w:val="24"/>
          <w:lang w:eastAsia="zh-CN"/>
        </w:rPr>
        <w:t xml:space="preserve">☑</w:t>
      </w:r>
      <w:r>
        <w:rPr>
          <w:rFonts w:ascii="宋体" w:hAnsi="宋体" w:cs="宋体"/>
          <w:color w:val="000000"/>
          <w:sz w:val="24"/>
        </w:rPr>
        <w:t xml:space="preserve">不收取□收取履约保证金。若收取履约保证金，按以下条款进行。</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6.1.1乙方交纳人民币_____元作为本合同的履约保证金。（备注：不超过合同金额的10%）</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6.1.2缴纳方式：履约保证金乙方应当以支票、汇票、本票或者金融机构、担保机构出具的保函等非现金形式提交。依据《关于在全省政府采购领域推行电子履约保函(保险)的通知》鼓励供应商自愿使用履约保函(保险)代替缴纳约保证金。如以履约保函（保险）形式缴纳履约保证金，供应商可通过政府采购电子履约保函（保险）平台（www.jsdzbh.com）在线申请履约保函（保险）。</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6.1.3合同履行结束后，甲方应及时退还交纳的履约保证金。</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6.1.4履约保证金的退还：</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6.1.4.1方式：无息退还至投标人缴纳履约保证金的账户。如为保函，在到期时自行失效。</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6.1.4.2时间：验收合格且采购人收到发票后30日内。</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6.1.4.3条件：按合同要求全部履约完成并经采购人验收合格，且采购人收到中标人出具的发票。</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6.1.4.4不予退还情形：</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除不可抗力情况外，投标人出现下列情形之一的，其履约保证金，招标人将视情节决定不予退还或部分不予退还。</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（1）中标人无正当理由拒绝签订合同的，或者在签订合同时向采购人提出附加条件或者更改合同实质性内容要求的；</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（2）中标人不履行与采购人订立的合同的；</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（3）中标人所供货物或服务不符合招标文件规定要求的；</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（4）中标人采取欺骗、弄虚作假方式投标的或与其它投标人串通投标的；</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（5）中标人将合同内容转包、违法分包的；</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（6）中标人故意捏造事实或伪造证明材料，进行虚假恶意投诉或反映的。</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6.1.4.5逾期退还的违约责任：采购人逾期无故未退还履约保证金的，按中国人民银行同期贷款基准利率上浮20%后的利率支付超期资金占用费，但因供应商自身原因导致无法及时退还的除外。</w:t>
      </w:r>
      <w:r/>
    </w:p>
    <w:p>
      <w:pPr>
        <w:pStyle w:val="762"/>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pStyle w:val="762"/>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pStyle w:val="762"/>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pStyle w:val="762"/>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8.1合同款项的支付方式及进度安排</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8．1.1 预付款支付时间：</w:t>
      </w:r>
      <w:r>
        <w:rPr>
          <w:rFonts w:ascii="宋体" w:hAnsi="宋体" w:cs="宋体"/>
          <w:color w:val="000000"/>
          <w:sz w:val="24"/>
          <w:u w:val="single"/>
        </w:rPr>
        <w:t xml:space="preserve">合同签订后   日内</w:t>
      </w:r>
      <w:r>
        <w:rPr>
          <w:rFonts w:ascii="宋体" w:hAnsi="宋体" w:cs="宋体"/>
          <w:color w:val="000000"/>
          <w:sz w:val="24"/>
        </w:rPr>
        <w:t xml:space="preserve">，预付款支付比例：</w:t>
      </w:r>
      <w:r>
        <w:rPr>
          <w:rFonts w:ascii="宋体" w:hAnsi="宋体" w:cs="宋体"/>
          <w:color w:val="000000"/>
          <w:sz w:val="24"/>
          <w:u w:val="single"/>
        </w:rPr>
        <w:t xml:space="preserve">合同金额的  %</w:t>
      </w:r>
      <w:r>
        <w:rPr>
          <w:rFonts w:ascii="宋体" w:hAnsi="宋体" w:cs="宋体"/>
          <w:color w:val="000000"/>
          <w:sz w:val="24"/>
        </w:rPr>
        <w:t xml:space="preserve">。</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8.1.2 尾款支付时间：产品验收通过,采购人收到发票后30日内，尾款支付比例：</w:t>
      </w:r>
      <w:r>
        <w:rPr>
          <w:rFonts w:ascii="宋体" w:hAnsi="宋体" w:cs="宋体"/>
          <w:color w:val="000000"/>
          <w:sz w:val="24"/>
          <w:u w:val="single"/>
        </w:rPr>
        <w:t xml:space="preserve">合同金额的  %</w:t>
      </w:r>
      <w:r>
        <w:rPr>
          <w:rFonts w:ascii="宋体" w:hAnsi="宋体" w:cs="宋体"/>
          <w:color w:val="000000"/>
          <w:sz w:val="24"/>
        </w:rPr>
        <w:t xml:space="preserve">。</w:t>
      </w:r>
      <w:r/>
    </w:p>
    <w:p>
      <w:pPr>
        <w:pStyle w:val="762"/>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8.2当采购数量与实际使用数量不一致时，乙方应根据实际使用量供货，合同的最终结</w:t>
      </w:r>
      <w:r/>
    </w:p>
    <w:p>
      <w:pPr>
        <w:pStyle w:val="762"/>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算金额按实际使用量乘以成交单价进行计算。</w:t>
      </w:r>
      <w:r/>
    </w:p>
    <w:p>
      <w:pPr>
        <w:pStyle w:val="762"/>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pStyle w:val="762"/>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pStyle w:val="762"/>
        <w:ind w:left="420" w:hanging="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 甲方依法组织履约验收工作。</w:t>
      </w:r>
      <w:r/>
    </w:p>
    <w:p>
      <w:pPr>
        <w:pStyle w:val="762"/>
        <w:ind w:left="420" w:hanging="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62"/>
        <w:ind w:left="420" w:hanging="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 对于实际使用人和甲方分离的项目，甲方邀请实际使用人参与验收。</w:t>
      </w:r>
      <w:r/>
    </w:p>
    <w:p>
      <w:pPr>
        <w:pStyle w:val="762"/>
        <w:ind w:left="420" w:hanging="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 如有必要，甲方邀请参加本项目的其他供应商或第三方专业机构及专家参与验收，相关意见将作为验收书的参考资料。</w:t>
      </w:r>
      <w:r/>
    </w:p>
    <w:p>
      <w:pPr>
        <w:pStyle w:val="762"/>
        <w:ind w:left="420" w:hanging="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62"/>
        <w:ind w:left="420" w:hanging="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62"/>
        <w:ind w:left="420" w:hanging="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10.7本项目实施过程中如涉及产品包装及运输的，要严格执行《商品包装政府采购需求标准（试行）》中的“商品包装环保要求”，以及《快递包装政府采购需求标准（试行）》中的“快递包装环保要求”。根据项目实际情况，采购人有权要求中标供应商在履约验收环节出具检测报告。</w:t>
      </w:r>
      <w:r/>
    </w:p>
    <w:p>
      <w:pPr>
        <w:pStyle w:val="762"/>
        <w:ind w:left="420" w:hanging="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10.8若本项目涉及数据中心相关设备、运维服务，采购人将在履约验收中对供应商提供的产品或服务进行抽查检测。根据项目实际情况，采购人有权委托取得相关资质的第三方机构对其进行检测、认证，或要求供应商在验收阶段提供相关检测报告、认证报告。</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pStyle w:val="762"/>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 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pStyle w:val="762"/>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 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pStyle w:val="762"/>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pStyle w:val="762"/>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 乙方所提供服务的标准不符合合同规定及招标文件规定标准的，甲方有权拒绝接受服务，并可单方面解除合同。</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pStyle w:val="762"/>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在合同有效期内，任何一方因不可抗力事件导致不能履行合同，则合同履行期可延长，其延长期与不可抗力影响 期相同。</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 不可抗力事件发生后，应立即通知对方，并寄送有关权威机构出具的证明。</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 不可抗力事件延续120天以上，双方应通过友好协商，确定是否继续履行合同。</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合同经双方法定代表人或授权委托代表人签字并加盖单位公章后生效。</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14.2本合同未尽事宜，遵照《民法典》、《政府采购法》有关条文执行。</w:t>
      </w:r>
      <w:r/>
    </w:p>
    <w:p>
      <w:pPr>
        <w:pStyle w:val="762"/>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 本合同正本一式两份，具有同等法律效力，甲方、乙方各执一份。</w:t>
      </w:r>
      <w:r/>
    </w:p>
    <w:p>
      <w:pPr>
        <w:pStyle w:val="762"/>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甲方：乙方： </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地址： 地址： </w:t>
      </w:r>
      <w:r/>
    </w:p>
    <w:p>
      <w:pPr>
        <w:pStyle w:val="762"/>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法定代表人或授权代表：法定代表人或授权代表：</w:t>
      </w:r>
      <w:r/>
    </w:p>
    <w:p>
      <w:pPr>
        <w:pStyle w:val="762"/>
        <w:ind w:firstLine="24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联系电话：联系电话：</w:t>
      </w:r>
      <w:r/>
    </w:p>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签订日期：年  月 日</w:t>
      </w:r>
      <w:r/>
    </w:p>
    <w:p>
      <w:pPr>
        <w:pStyle w:val="762"/>
        <w:jc w:val="both"/>
        <w:spacing w:before="120" w:after="120"/>
        <w:pBdr>
          <w:top w:val="none" w:color="000000" w:sz="0" w:space="0"/>
          <w:left w:val="none" w:color="000000" w:sz="0" w:space="0"/>
          <w:bottom w:val="none" w:color="000000" w:sz="0" w:space="0"/>
          <w:right w:val="none" w:color="000000" w:sz="0" w:space="0"/>
        </w:pBdr>
      </w:pPr>
      <w:r/>
      <w:r/>
    </w:p>
    <w:p>
      <w:pPr>
        <w:pStyle w:val="762"/>
        <w:jc w:val="center"/>
        <w:spacing w:before="120" w:after="120"/>
        <w:pBdr>
          <w:top w:val="none" w:color="000000" w:sz="0" w:space="0"/>
          <w:left w:val="none" w:color="000000" w:sz="0" w:space="0"/>
          <w:bottom w:val="none" w:color="000000" w:sz="0" w:space="0"/>
          <w:right w:val="none" w:color="000000" w:sz="0" w:space="0"/>
        </w:pBdr>
      </w:pPr>
      <w:r>
        <w:br w:type="page" w:clear="all"/>
      </w:r>
      <w:r/>
    </w:p>
    <w:p>
      <w:pPr>
        <w:pStyle w:val="762"/>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第四章  采购需求</w:t>
      </w:r>
      <w:r/>
    </w:p>
    <w:p>
      <w:pPr>
        <w:pStyle w:val="762"/>
        <w:ind w:firstLine="480"/>
        <w:jc w:val="left"/>
        <w:keepLines w:val="0"/>
        <w:keepNext w:val="0"/>
        <w:pageBreakBefore w:val="0"/>
        <w:spacing w:line="480" w:lineRule="exact"/>
        <w:widowControl/>
        <w:rPr>
          <w:rFonts w:hint="eastAsia" w:ascii="宋体" w:hAnsi="宋体" w:eastAsia="宋体" w:cs="Times New Roman"/>
          <w:color w:val="000000"/>
          <w:sz w:val="24"/>
          <w:szCs w:val="24"/>
          <w:highlight w:val="none"/>
        </w:rPr>
        <w:suppressLineNumbers w:val="0"/>
      </w:pPr>
      <w:r>
        <w:rPr>
          <w:rFonts w:ascii="宋体" w:hAnsi="宋体" w:cs="宋体"/>
          <w:color w:val="000000"/>
          <w:sz w:val="24"/>
          <w:highlight w:val="none"/>
        </w:rPr>
        <w:t xml:space="preserve"> </w:t>
      </w:r>
      <w:r>
        <w:rPr>
          <w:rFonts w:hint="eastAsia" w:ascii="宋体" w:hAnsi="宋体" w:eastAsia="宋体" w:cs="Times New Roman"/>
          <w:color w:val="000000"/>
          <w:sz w:val="24"/>
          <w:szCs w:val="24"/>
          <w:highlight w:val="none"/>
        </w:rPr>
        <w:t xml:space="preserve">注：</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本章采购需求中标注“★”的指标为实质性要求，投标人须完全满足或优于该指标要求，否则按无效标处理。</w:t>
      </w:r>
      <w:r>
        <w:rPr>
          <w:rFonts w:hint="eastAsia" w:ascii="宋体" w:hAnsi="宋体" w:eastAsia="宋体" w:cs="Times New Roman"/>
          <w:color w:val="000000"/>
          <w:sz w:val="24"/>
          <w:szCs w:val="24"/>
          <w:highlight w:val="none"/>
        </w:rPr>
      </w:r>
      <w:r/>
    </w:p>
    <w:p>
      <w:pPr>
        <w:pStyle w:val="762"/>
        <w:ind w:firstLine="480"/>
        <w:jc w:val="left"/>
        <w:keepLines w:val="0"/>
        <w:keepNext w:val="0"/>
        <w:pageBreakBefore w:val="0"/>
        <w:spacing w:line="480" w:lineRule="exact"/>
        <w:widowControl/>
        <w:rPr>
          <w:rFonts w:hint="eastAsia" w:ascii="宋体" w:hAnsi="宋体" w:eastAsia="宋体" w:cs="Times New Roman"/>
          <w:b/>
          <w:bCs/>
          <w:color w:val="000000"/>
          <w:sz w:val="32"/>
          <w:szCs w:val="32"/>
          <w:highlight w:val="none"/>
        </w:rPr>
        <w:suppressLineNumbers w:val="0"/>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本项目采购包一与采购包二均为电子政务外网线路服务，互为主备关系，共同保障</w:t>
      </w:r>
      <w:r>
        <w:rPr>
          <w:rFonts w:hint="eastAsia" w:ascii="宋体" w:hAnsi="宋体" w:eastAsia="宋体" w:cs="Times New Roman"/>
          <w:color w:val="000000"/>
          <w:sz w:val="24"/>
          <w:szCs w:val="24"/>
          <w:highlight w:val="none"/>
          <w:lang w:eastAsia="zh-CN"/>
        </w:rPr>
        <w:t xml:space="preserve">电子</w:t>
      </w:r>
      <w:r>
        <w:rPr>
          <w:rFonts w:hint="eastAsia" w:ascii="宋体" w:hAnsi="宋体" w:eastAsia="宋体" w:cs="Times New Roman"/>
          <w:color w:val="000000"/>
          <w:sz w:val="24"/>
          <w:szCs w:val="24"/>
          <w:highlight w:val="none"/>
        </w:rPr>
        <w:t xml:space="preserve">政务外网稳定、可靠运行。</w:t>
      </w:r>
      <w:r>
        <w:rPr>
          <w:rFonts w:hint="eastAsia" w:ascii="宋体" w:hAnsi="宋体" w:eastAsia="宋体" w:cs="Times New Roman"/>
          <w:b/>
          <w:bCs/>
          <w:color w:val="000000"/>
          <w:sz w:val="32"/>
          <w:szCs w:val="32"/>
          <w:highlight w:val="none"/>
        </w:rPr>
      </w:r>
      <w:r/>
    </w:p>
    <w:p>
      <w:pPr>
        <w:pStyle w:val="762"/>
        <w:ind w:firstLine="480"/>
        <w:jc w:val="center"/>
        <w:spacing w:line="480" w:lineRule="exact"/>
        <w:rPr>
          <w:rFonts w:hint="eastAsia" w:ascii="宋体" w:hAnsi="宋体" w:eastAsia="宋体" w:cs="Times New Roman"/>
          <w:b/>
          <w:bCs/>
          <w:color w:val="000000"/>
          <w:sz w:val="36"/>
          <w:szCs w:val="36"/>
          <w:highlight w:val="none"/>
        </w:rPr>
      </w:pPr>
      <w:r>
        <w:rPr>
          <w:rFonts w:hint="eastAsia" w:ascii="宋体" w:hAnsi="宋体" w:eastAsia="宋体" w:cs="Times New Roman"/>
          <w:b/>
          <w:bCs/>
          <w:color w:val="000000"/>
          <w:sz w:val="36"/>
          <w:szCs w:val="36"/>
          <w:highlight w:val="none"/>
        </w:rPr>
        <w:t xml:space="preserve">采购包一</w:t>
      </w:r>
      <w:r>
        <w:rPr>
          <w:rFonts w:hint="eastAsia" w:ascii="宋体" w:hAnsi="宋体" w:eastAsia="宋体" w:cs="Times New Roman"/>
          <w:b/>
          <w:bCs/>
          <w:color w:val="000000"/>
          <w:sz w:val="36"/>
          <w:szCs w:val="36"/>
          <w:highlight w:val="none"/>
        </w:rPr>
      </w:r>
      <w:r/>
    </w:p>
    <w:p>
      <w:pPr>
        <w:pStyle w:val="762"/>
        <w:ind w:firstLine="560"/>
        <w:spacing w:line="480" w:lineRule="exact"/>
        <w:rPr>
          <w:rFonts w:hint="eastAsia" w:ascii="Times New Roman" w:hAnsi="Times New Roman" w:eastAsia="黑体" w:cs="Times New Roman"/>
          <w:color w:val="000000"/>
          <w:sz w:val="28"/>
          <w:szCs w:val="24"/>
          <w:highlight w:val="none"/>
          <w:lang w:eastAsia="zh-CN"/>
        </w:rPr>
      </w:pPr>
      <w:r>
        <w:rPr>
          <w:rFonts w:hint="eastAsia" w:ascii="Times New Roman" w:hAnsi="Times New Roman" w:eastAsia="黑体" w:cs="Times New Roman"/>
          <w:color w:val="000000"/>
          <w:sz w:val="28"/>
          <w:szCs w:val="24"/>
          <w:highlight w:val="none"/>
          <w:lang w:eastAsia="zh-CN"/>
        </w:rPr>
        <w:t xml:space="preserve">一、项目背景</w:t>
      </w:r>
      <w:r>
        <w:rPr>
          <w:rFonts w:hint="eastAsia" w:ascii="Times New Roman" w:hAnsi="Times New Roman" w:eastAsia="黑体" w:cs="Times New Roman"/>
          <w:color w:val="000000"/>
          <w:sz w:val="28"/>
          <w:szCs w:val="24"/>
          <w:highlight w:val="none"/>
          <w:lang w:eastAsia="zh-CN"/>
        </w:rPr>
      </w:r>
      <w:r/>
    </w:p>
    <w:p>
      <w:pPr>
        <w:pStyle w:val="762"/>
        <w:ind w:firstLine="48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电子政务外网是全区电子政务传输骨干网，主要运行政务部门面向社会的专业性服务业务和不需在涉密内网运行的业务，满足各级政务部门社会管理和公共服务需要。</w:t>
      </w:r>
      <w:r>
        <w:rPr>
          <w:rFonts w:hint="eastAsia" w:ascii="宋体" w:hAnsi="宋体" w:eastAsia="宋体" w:cs="Times New Roman"/>
          <w:color w:val="000000"/>
          <w:sz w:val="24"/>
          <w:szCs w:val="24"/>
          <w:highlight w:val="none"/>
        </w:rPr>
      </w:r>
      <w:r/>
    </w:p>
    <w:p>
      <w:pPr>
        <w:pStyle w:val="762"/>
        <w:ind w:firstLine="480"/>
        <w:jc w:val="left"/>
        <w:keepLines w:val="0"/>
        <w:keepNext w:val="0"/>
        <w:pageBreakBefore w:val="0"/>
        <w:spacing w:line="480" w:lineRule="exact"/>
        <w:widowControl/>
        <w:rPr>
          <w:rFonts w:hint="eastAsia" w:ascii="宋体" w:hAnsi="宋体" w:eastAsia="宋体" w:cs="Times New Roman"/>
          <w:color w:val="000000"/>
          <w:sz w:val="24"/>
          <w:szCs w:val="24"/>
          <w:highlight w:val="none"/>
          <w:lang w:val="en-US" w:eastAsia="zh-CN"/>
        </w:rPr>
        <w:suppressLineNumbers w:val="0"/>
      </w:pPr>
      <w:r>
        <w:rPr>
          <w:rFonts w:hint="eastAsia" w:ascii="宋体" w:hAnsi="宋体" w:eastAsia="宋体" w:cs="Times New Roman"/>
          <w:color w:val="000000"/>
          <w:sz w:val="24"/>
          <w:szCs w:val="24"/>
          <w:highlight w:val="none"/>
        </w:rPr>
        <w:t xml:space="preserve">根据《省政府办公厅关于加快推进全省电子政务外网建设的意见》（苏政办发〔2016〕147号）《省政府办公厅关于启用省电子政务外网的通知》（苏政传发〔2017〕150号）《江苏省电子政务外网管理办法（试行）》（苏政办发〔2023〕32号）</w:t>
      </w:r>
      <w:r>
        <w:rPr>
          <w:rFonts w:hint="eastAsia" w:ascii="宋体" w:hAnsi="宋体" w:eastAsia="宋体" w:cs="Times New Roman"/>
          <w:color w:val="000000"/>
          <w:sz w:val="24"/>
          <w:szCs w:val="24"/>
          <w:highlight w:val="none"/>
          <w:lang w:val="en-US" w:eastAsia="zh-CN"/>
        </w:rPr>
        <w:t xml:space="preserve">《关于加强全省新“一张网”高质量建设管理有关工作的通知》（苏数发〔2025〕42号）《江苏省新一代电子政务外网建设指南》等文件</w:t>
      </w:r>
      <w:r>
        <w:rPr>
          <w:rFonts w:hint="eastAsia" w:ascii="宋体" w:hAnsi="宋体" w:eastAsia="宋体" w:cs="Times New Roman"/>
          <w:color w:val="000000"/>
          <w:sz w:val="24"/>
          <w:szCs w:val="24"/>
          <w:highlight w:val="none"/>
        </w:rPr>
        <w:t xml:space="preserve">要求，</w:t>
      </w:r>
      <w:r>
        <w:rPr>
          <w:rFonts w:hint="eastAsia" w:ascii="宋体" w:hAnsi="宋体" w:eastAsia="宋体" w:cs="Times New Roman"/>
          <w:color w:val="000000"/>
          <w:sz w:val="24"/>
          <w:szCs w:val="24"/>
          <w:highlight w:val="none"/>
          <w:lang w:val="en-US" w:eastAsia="zh-CN"/>
        </w:rPr>
        <w:t xml:space="preserve">依托IPv6+、5G、人工智能、大数据、确定性网络（CENI）等新一代信息技术，</w:t>
      </w:r>
      <w:r>
        <w:rPr>
          <w:rFonts w:hint="eastAsia" w:ascii="宋体" w:hAnsi="宋体" w:eastAsia="宋体" w:cs="Times New Roman"/>
          <w:color w:val="000000"/>
          <w:sz w:val="24"/>
          <w:szCs w:val="24"/>
          <w:highlight w:val="none"/>
        </w:rPr>
        <w:t xml:space="preserve">通过租用光纤链路，建成横向连接全区各级党政机关、群团组织、事业单位等，纵向实现国家、省、市、区、镇、村六级互联互通的全区统一电子政务外网网络体系，</w:t>
      </w:r>
      <w:r>
        <w:rPr>
          <w:rFonts w:hint="eastAsia" w:ascii="宋体" w:hAnsi="宋体" w:eastAsia="宋体" w:cs="Times New Roman"/>
          <w:color w:val="000000"/>
          <w:sz w:val="24"/>
          <w:szCs w:val="24"/>
          <w:highlight w:val="none"/>
          <w:lang w:val="en-US" w:eastAsia="zh-CN"/>
        </w:rPr>
        <w:t xml:space="preserve">并同步配套网络核心路由器、汇聚交换机等网络设备及运维保障服务。</w:t>
      </w:r>
      <w:r>
        <w:rPr>
          <w:rFonts w:hint="eastAsia" w:ascii="宋体" w:hAnsi="宋体" w:eastAsia="宋体" w:cs="Times New Roman"/>
          <w:color w:val="000000"/>
          <w:sz w:val="24"/>
          <w:szCs w:val="24"/>
          <w:highlight w:val="none"/>
          <w:lang w:val="en-US" w:eastAsia="zh-CN"/>
        </w:rPr>
      </w:r>
      <w:r/>
    </w:p>
    <w:p>
      <w:pPr>
        <w:pStyle w:val="762"/>
        <w:ind w:firstLine="560"/>
        <w:spacing w:line="480" w:lineRule="exact"/>
        <w:rPr>
          <w:rFonts w:hint="eastAsia" w:ascii="Times New Roman" w:hAnsi="Times New Roman" w:eastAsia="黑体" w:cs="Times New Roman"/>
          <w:color w:val="000000"/>
          <w:sz w:val="28"/>
          <w:szCs w:val="24"/>
          <w:highlight w:val="none"/>
          <w:lang w:eastAsia="zh-CN"/>
        </w:rPr>
      </w:pPr>
      <w:r>
        <w:rPr>
          <w:rFonts w:hint="eastAsia" w:ascii="Times New Roman" w:hAnsi="Times New Roman" w:eastAsia="黑体" w:cs="Times New Roman"/>
          <w:color w:val="000000"/>
          <w:sz w:val="28"/>
          <w:szCs w:val="24"/>
          <w:highlight w:val="none"/>
          <w:lang w:eastAsia="zh-CN"/>
        </w:rPr>
        <w:t xml:space="preserve">二、建设目标</w:t>
      </w:r>
      <w:r>
        <w:rPr>
          <w:rFonts w:hint="eastAsia" w:ascii="Times New Roman" w:hAnsi="Times New Roman" w:eastAsia="黑体" w:cs="Times New Roman"/>
          <w:color w:val="000000"/>
          <w:sz w:val="28"/>
          <w:szCs w:val="24"/>
          <w:highlight w:val="none"/>
          <w:lang w:eastAsia="zh-CN"/>
        </w:rPr>
      </w:r>
      <w:r/>
    </w:p>
    <w:p>
      <w:pPr>
        <w:pStyle w:val="762"/>
        <w:ind w:firstLine="480"/>
        <w:jc w:val="left"/>
        <w:keepLines w:val="0"/>
        <w:keepNext w:val="0"/>
        <w:pageBreakBefore w:val="0"/>
        <w:spacing w:line="480" w:lineRule="exact"/>
        <w:widowControl/>
        <w:rPr>
          <w:rFonts w:hint="eastAsia" w:ascii="宋体" w:hAnsi="宋体" w:eastAsia="宋体" w:cs="Times New Roman"/>
          <w:color w:val="000000"/>
          <w:sz w:val="24"/>
          <w:szCs w:val="24"/>
          <w:highlight w:val="none"/>
          <w:lang w:eastAsia="zh-CN"/>
        </w:rPr>
        <w:suppressLineNumbers w:val="0"/>
      </w:pPr>
      <w:r>
        <w:rPr>
          <w:rFonts w:hint="eastAsia" w:ascii="宋体" w:hAnsi="宋体" w:eastAsia="宋体" w:cs="Times New Roman"/>
          <w:color w:val="000000"/>
          <w:sz w:val="24"/>
          <w:szCs w:val="24"/>
          <w:highlight w:val="none"/>
          <w:lang w:val="en-US" w:eastAsia="zh-CN"/>
        </w:rPr>
        <w:t xml:space="preserve">对标省级电子政务外网建设规范、技术参数与安全准则，实现租赁网络等同自建水平，适配政务业务长效运行。统筹整合链路、设备、平台、人力等各类资源，融合SDN、零信任等前沿技术，搭建统一管控、全域承载、智能防护的一体化政务网络架构，着力打造高速畅通、智能高效、安全可控的电子政务网络体系，全面提升网络承载、业务支撑、安全防护、运维管理综合能力，夯实数字政府基础设施根基，为全区数字化政务建设筑牢坚实网络底座。</w:t>
      </w:r>
      <w:r>
        <w:rPr>
          <w:rFonts w:hint="eastAsia" w:ascii="宋体" w:hAnsi="宋体" w:eastAsia="宋体" w:cs="Times New Roman"/>
          <w:color w:val="000000"/>
          <w:sz w:val="24"/>
          <w:szCs w:val="24"/>
          <w:highlight w:val="none"/>
          <w:lang w:eastAsia="zh-CN"/>
        </w:rPr>
      </w:r>
      <w:r/>
    </w:p>
    <w:p>
      <w:pPr>
        <w:pStyle w:val="762"/>
        <w:ind w:firstLine="560"/>
        <w:spacing w:line="480" w:lineRule="exact"/>
        <w:rPr>
          <w:rFonts w:hint="eastAsia" w:ascii="Times New Roman" w:hAnsi="Times New Roman" w:eastAsia="黑体" w:cs="Times New Roman"/>
          <w:color w:val="000000"/>
          <w:sz w:val="28"/>
          <w:szCs w:val="24"/>
          <w:highlight w:val="none"/>
          <w:lang w:eastAsia="zh-CN"/>
        </w:rPr>
      </w:pPr>
      <w:r>
        <w:rPr>
          <w:rFonts w:hint="eastAsia" w:ascii="Times New Roman" w:hAnsi="Times New Roman" w:eastAsia="黑体" w:cs="Times New Roman"/>
          <w:color w:val="000000"/>
          <w:sz w:val="28"/>
          <w:szCs w:val="24"/>
          <w:highlight w:val="none"/>
          <w:lang w:eastAsia="zh-CN"/>
        </w:rPr>
        <w:t xml:space="preserve">三、建设原则</w:t>
      </w:r>
      <w:r>
        <w:rPr>
          <w:rFonts w:hint="eastAsia" w:ascii="Times New Roman" w:hAnsi="Times New Roman" w:eastAsia="黑体" w:cs="Times New Roman"/>
          <w:color w:val="000000"/>
          <w:sz w:val="28"/>
          <w:szCs w:val="24"/>
          <w:highlight w:val="none"/>
          <w:lang w:eastAsia="zh-CN"/>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按照国</w:t>
      </w:r>
      <w:r>
        <w:rPr>
          <w:rFonts w:ascii="Times New Roman" w:hAnsi="Times New Roman" w:eastAsia="宋体" w:cs="Times New Roman"/>
          <w:color w:val="000000"/>
          <w:sz w:val="24"/>
          <w:szCs w:val="24"/>
          <w:highlight w:val="none"/>
        </w:rPr>
        <w:t xml:space="preserve">家、省、市电子政务外网建设相关技术规范，在本次电子政务外网</w:t>
      </w:r>
      <w:r>
        <w:rPr>
          <w:rFonts w:hint="eastAsia" w:ascii="宋体" w:hAnsi="宋体" w:eastAsia="宋体" w:cs="Times New Roman"/>
          <w:color w:val="000000"/>
          <w:sz w:val="24"/>
          <w:szCs w:val="24"/>
          <w:highlight w:val="none"/>
        </w:rPr>
        <w:t xml:space="preserve">链路组网时</w:t>
      </w:r>
      <w:r>
        <w:rPr>
          <w:rFonts w:ascii="Times New Roman" w:hAnsi="Times New Roman" w:eastAsia="宋体" w:cs="Times New Roman"/>
          <w:color w:val="000000"/>
          <w:sz w:val="24"/>
          <w:szCs w:val="24"/>
          <w:highlight w:val="none"/>
        </w:rPr>
        <w:t xml:space="preserve">遵循以下基本原则：</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1.网络设计标准化</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本项目网络改造组网设计所采用的组网技术和设备应符合国标标准和行业标准，为网络系统的扩展升级改造提供基础。</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2.组网技术的先进性和成熟性</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本项目网络建设应适应自身的发展特点及网络通信技术的更新换代，在网络结构设计、网络配置、网络管理方式等方面具有一定的先进性和前瞻性，同时又是成熟、实用的技术，尽量避免技术风险。</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3.高度的网络安全性</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提供完备的安全防护策略，能防止对网络资源的非法访问，保护网络使用者的合法权益。</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4.高度的网络可靠性</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组网设计应能有效避免单点故障，在设备的选择和关键设备互连时，应提供充分的冗余备份，一方面最大限度地减少故障的可能性，另一方面要保证网络能在最短时间内修复。</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5.良好的扩展能力</w:t>
      </w:r>
      <w:r>
        <w:rPr>
          <w:rFonts w:ascii="Times New Roman" w:hAnsi="Times New Roman" w:eastAsia="宋体" w:cs="Times New Roman"/>
          <w:color w:val="000000"/>
          <w:sz w:val="24"/>
          <w:szCs w:val="24"/>
          <w:highlight w:val="none"/>
        </w:rPr>
      </w:r>
      <w:r/>
    </w:p>
    <w:p>
      <w:pPr>
        <w:pStyle w:val="762"/>
        <w:ind w:firstLine="56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能够根据未来业务的增长和变化，平滑扩充和升级现有的网络覆盖范围，扩大网络容量和提高网络的各层次节点的功能，最大程度地减少对网络架构和现有设备的调整。</w:t>
      </w:r>
      <w:r>
        <w:rPr>
          <w:rFonts w:ascii="Times New Roman" w:hAnsi="Times New Roman" w:eastAsia="宋体" w:cs="Times New Roman"/>
          <w:color w:val="000000"/>
          <w:sz w:val="24"/>
          <w:szCs w:val="24"/>
          <w:highlight w:val="none"/>
        </w:rPr>
      </w:r>
      <w:r/>
    </w:p>
    <w:p>
      <w:pPr>
        <w:pStyle w:val="762"/>
        <w:ind w:firstLine="56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6.良好的管理能力</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在组网设计中，需建立有效的网络管理解决方案。通过先进的管理策略、管理工具提高网络的运维效率，简化网络的维护工作。</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7.经济性和实用性</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建设原则以实际需求为出发点，以满足网络应用需求和适应一定时间内的发展规划为原则。</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8.业务过渡平滑性</w:t>
      </w:r>
      <w:r>
        <w:rPr>
          <w:rFonts w:ascii="Times New Roman" w:hAnsi="Times New Roman" w:eastAsia="宋体" w:cs="Times New Roman"/>
          <w:color w:val="000000"/>
          <w:sz w:val="24"/>
          <w:szCs w:val="24"/>
          <w:highlight w:val="none"/>
          <w:lang w:val="en-US" w:eastAsia="zh-CN"/>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为保障采购人业务的连续性，</w:t>
      </w:r>
      <w:r>
        <w:rPr>
          <w:rFonts w:hint="eastAsia" w:ascii="Times New Roman" w:hAnsi="Times New Roman" w:eastAsia="宋体" w:cs="Times New Roman"/>
          <w:color w:val="000000"/>
          <w:sz w:val="24"/>
          <w:szCs w:val="24"/>
          <w:highlight w:val="none"/>
        </w:rPr>
        <w:t xml:space="preserve">投标人</w:t>
      </w:r>
      <w:r>
        <w:rPr>
          <w:rFonts w:ascii="Times New Roman" w:hAnsi="Times New Roman" w:eastAsia="宋体" w:cs="Times New Roman"/>
          <w:color w:val="000000"/>
          <w:sz w:val="24"/>
          <w:szCs w:val="24"/>
          <w:highlight w:val="none"/>
        </w:rPr>
        <w:t xml:space="preserve">应在充分调研客户业务架构和运行情况的基础上，就电子政务外网制定符合项目需求的组网方案，尽可能降低实施过程对现有网络运行的影响。</w:t>
      </w:r>
      <w:r>
        <w:rPr>
          <w:rFonts w:ascii="Times New Roman" w:hAnsi="Times New Roman" w:eastAsia="宋体" w:cs="Times New Roman"/>
          <w:color w:val="000000"/>
          <w:sz w:val="24"/>
          <w:szCs w:val="24"/>
          <w:highlight w:val="none"/>
        </w:rPr>
      </w:r>
      <w:r/>
    </w:p>
    <w:p>
      <w:pPr>
        <w:pStyle w:val="762"/>
        <w:ind w:firstLine="560"/>
        <w:spacing w:line="480" w:lineRule="exact"/>
        <w:rPr>
          <w:rFonts w:hint="eastAsia" w:ascii="Times New Roman" w:hAnsi="Times New Roman" w:eastAsia="黑体" w:cs="Times New Roman"/>
          <w:color w:val="000000"/>
          <w:sz w:val="28"/>
          <w:szCs w:val="24"/>
          <w:highlight w:val="none"/>
        </w:rPr>
      </w:pPr>
      <w:r>
        <w:rPr>
          <w:rFonts w:hint="eastAsia" w:ascii="Times New Roman" w:hAnsi="Times New Roman" w:eastAsia="黑体" w:cs="Times New Roman"/>
          <w:color w:val="000000"/>
          <w:sz w:val="28"/>
          <w:szCs w:val="24"/>
          <w:highlight w:val="none"/>
          <w:lang w:eastAsia="zh-CN"/>
        </w:rPr>
        <w:t xml:space="preserve">四</w:t>
      </w:r>
      <w:r>
        <w:rPr>
          <w:rFonts w:hint="eastAsia" w:ascii="Times New Roman" w:hAnsi="Times New Roman" w:eastAsia="黑体" w:cs="Times New Roman"/>
          <w:color w:val="000000"/>
          <w:sz w:val="28"/>
          <w:szCs w:val="24"/>
          <w:highlight w:val="none"/>
        </w:rPr>
        <w:t xml:space="preserve">、技术要求</w:t>
      </w:r>
      <w:r>
        <w:rPr>
          <w:rFonts w:hint="eastAsia" w:ascii="Times New Roman" w:hAnsi="Times New Roman" w:eastAsia="黑体" w:cs="Times New Roman"/>
          <w:color w:val="000000"/>
          <w:sz w:val="28"/>
          <w:szCs w:val="24"/>
          <w:highlight w:val="none"/>
        </w:rPr>
      </w:r>
      <w:r/>
    </w:p>
    <w:p>
      <w:pPr>
        <w:pStyle w:val="762"/>
        <w:ind w:firstLine="560"/>
        <w:spacing w:line="480" w:lineRule="exact"/>
        <w:rPr>
          <w:rFonts w:hint="eastAsia" w:ascii="Times New Roman" w:hAnsi="Times New Roman" w:eastAsia="黑体" w:cs="Times New Roman"/>
          <w:color w:val="000000"/>
          <w:sz w:val="28"/>
          <w:szCs w:val="24"/>
          <w:highlight w:val="none"/>
        </w:rPr>
      </w:pPr>
      <w:r>
        <w:rPr>
          <w:rFonts w:hint="eastAsia" w:ascii="Times New Roman" w:hAnsi="Times New Roman" w:eastAsia="黑体" w:cs="Times New Roman"/>
          <w:color w:val="000000"/>
          <w:sz w:val="28"/>
          <w:szCs w:val="24"/>
          <w:highlight w:val="none"/>
          <w:lang w:val="en-US" w:eastAsia="zh-CN"/>
        </w:rPr>
        <w:t xml:space="preserve">1.技术</w:t>
      </w:r>
      <w:r>
        <w:rPr>
          <w:rFonts w:hint="eastAsia" w:ascii="Times New Roman" w:hAnsi="Times New Roman" w:eastAsia="黑体" w:cs="Times New Roman"/>
          <w:color w:val="000000"/>
          <w:sz w:val="28"/>
          <w:szCs w:val="24"/>
          <w:highlight w:val="none"/>
        </w:rPr>
        <w:t xml:space="preserve">参数要求</w:t>
      </w:r>
      <w:r>
        <w:rPr>
          <w:rFonts w:hint="eastAsia" w:ascii="Times New Roman" w:hAnsi="Times New Roman" w:eastAsia="黑体" w:cs="Times New Roman"/>
          <w:color w:val="000000"/>
          <w:sz w:val="28"/>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专线电路组网</w:t>
      </w:r>
      <w:r>
        <w:rPr>
          <w:rFonts w:ascii="Times New Roman" w:hAnsi="Times New Roman" w:eastAsia="宋体" w:cs="Times New Roman"/>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7871"/>
      </w:tblGrid>
      <w:tr>
        <w:trPr/>
        <w:tc>
          <w:tcPr>
            <w:tcW w:w="906" w:type="dxa"/>
            <w:vAlign w:val="center"/>
            <w:textDirection w:val="lrTb"/>
            <w:noWrap w:val="false"/>
          </w:tcPr>
          <w:p>
            <w:pPr>
              <w:pStyle w:val="762"/>
              <w:jc w:val="center"/>
              <w:spacing w:line="480" w:lineRule="exact"/>
              <w:rPr>
                <w:rFonts w:ascii="Times New Roman" w:hAnsi="Times New Roman" w:eastAsia="宋体" w:cs="Times New Roman"/>
                <w:color w:val="000000"/>
                <w:sz w:val="22"/>
                <w:szCs w:val="24"/>
                <w:highlight w:val="none"/>
              </w:rPr>
            </w:pPr>
            <w:r>
              <w:rPr>
                <w:rFonts w:hint="eastAsia" w:ascii="Times New Roman" w:hAnsi="Times New Roman" w:eastAsia="宋体" w:cs="Times New Roman"/>
                <w:color w:val="000000"/>
                <w:sz w:val="22"/>
                <w:szCs w:val="24"/>
                <w:highlight w:val="none"/>
              </w:rPr>
              <w:t xml:space="preserve">序号</w:t>
            </w:r>
            <w:r>
              <w:rPr>
                <w:rFonts w:ascii="Times New Roman" w:hAnsi="Times New Roman" w:eastAsia="宋体" w:cs="Times New Roman"/>
                <w:color w:val="000000"/>
                <w:sz w:val="22"/>
                <w:szCs w:val="24"/>
                <w:highlight w:val="none"/>
              </w:rPr>
            </w:r>
            <w:r/>
          </w:p>
        </w:tc>
        <w:tc>
          <w:tcPr>
            <w:tcW w:w="7871" w:type="dxa"/>
            <w:vAlign w:val="center"/>
            <w:textDirection w:val="lrTb"/>
            <w:noWrap w:val="false"/>
          </w:tcPr>
          <w:p>
            <w:pPr>
              <w:pStyle w:val="762"/>
              <w:jc w:val="center"/>
              <w:spacing w:line="480" w:lineRule="exact"/>
              <w:rPr>
                <w:rFonts w:ascii="Times New Roman" w:hAnsi="Times New Roman" w:eastAsia="宋体" w:cs="Times New Roman"/>
                <w:color w:val="000000"/>
                <w:sz w:val="22"/>
                <w:szCs w:val="24"/>
                <w:highlight w:val="none"/>
              </w:rPr>
            </w:pPr>
            <w:r>
              <w:rPr>
                <w:rFonts w:hint="eastAsia" w:ascii="Times New Roman" w:hAnsi="Times New Roman" w:eastAsia="宋体" w:cs="Times New Roman"/>
                <w:color w:val="000000"/>
                <w:sz w:val="22"/>
                <w:szCs w:val="24"/>
                <w:highlight w:val="none"/>
              </w:rPr>
              <w:t xml:space="preserve">技术要求</w:t>
            </w:r>
            <w:r>
              <w:rPr>
                <w:rFonts w:ascii="Times New Roman" w:hAnsi="Times New Roman" w:eastAsia="宋体" w:cs="Times New Roman"/>
                <w:color w:val="000000"/>
                <w:sz w:val="22"/>
                <w:szCs w:val="24"/>
                <w:highlight w:val="none"/>
              </w:rPr>
            </w:r>
            <w:r/>
          </w:p>
        </w:tc>
      </w:tr>
      <w:tr>
        <w:trPr/>
        <w:tc>
          <w:tcPr>
            <w:tcW w:w="906" w:type="dxa"/>
            <w:vAlign w:val="center"/>
            <w:textDirection w:val="lrTb"/>
            <w:noWrap w:val="false"/>
          </w:tcPr>
          <w:p>
            <w:pPr>
              <w:pStyle w:val="762"/>
              <w:jc w:val="center"/>
              <w:spacing w:line="480" w:lineRule="exact"/>
              <w:rPr>
                <w:rFonts w:ascii="Times New Roman" w:hAnsi="Times New Roman" w:eastAsia="宋体" w:cs="Times New Roman"/>
                <w:color w:val="000000"/>
                <w:sz w:val="22"/>
                <w:szCs w:val="24"/>
                <w:highlight w:val="none"/>
              </w:rPr>
            </w:pPr>
            <w:r>
              <w:rPr>
                <w:rFonts w:ascii="Times New Roman" w:hAnsi="Times New Roman" w:eastAsia="宋体" w:cs="Times New Roman"/>
                <w:color w:val="000000"/>
                <w:sz w:val="22"/>
                <w:szCs w:val="24"/>
                <w:highlight w:val="none"/>
              </w:rPr>
              <w:t xml:space="preserve">1</w:t>
            </w:r>
            <w:r>
              <w:rPr>
                <w:rFonts w:ascii="Times New Roman" w:hAnsi="Times New Roman" w:eastAsia="宋体" w:cs="Times New Roman"/>
                <w:color w:val="000000"/>
                <w:sz w:val="22"/>
                <w:szCs w:val="24"/>
                <w:highlight w:val="none"/>
              </w:rPr>
            </w:r>
            <w:r/>
          </w:p>
        </w:tc>
        <w:tc>
          <w:tcPr>
            <w:tcW w:w="7871" w:type="dxa"/>
            <w:vAlign w:val="center"/>
            <w:textDirection w:val="lrTb"/>
            <w:noWrap w:val="false"/>
          </w:tcPr>
          <w:p>
            <w:pPr>
              <w:pStyle w:val="762"/>
              <w:spacing w:line="480" w:lineRule="exact"/>
              <w:rPr>
                <w:rFonts w:ascii="Times New Roman" w:hAnsi="Times New Roman" w:eastAsia="宋体" w:cs="Times New Roman"/>
                <w:color w:val="000000"/>
                <w:sz w:val="22"/>
                <w:szCs w:val="24"/>
                <w:highlight w:val="none"/>
              </w:rPr>
            </w:pPr>
            <w:r>
              <w:rPr>
                <w:rFonts w:ascii="Times New Roman" w:hAnsi="Times New Roman" w:eastAsia="宋体" w:cs="Times New Roman"/>
                <w:color w:val="000000"/>
                <w:sz w:val="22"/>
                <w:szCs w:val="24"/>
                <w:highlight w:val="none"/>
              </w:rPr>
              <w:t xml:space="preserve">▲</w:t>
            </w:r>
            <w:r>
              <w:rPr>
                <w:rFonts w:hint="eastAsia" w:ascii="Times New Roman" w:hAnsi="Times New Roman" w:eastAsia="宋体" w:cs="Times New Roman"/>
                <w:color w:val="000000"/>
                <w:sz w:val="22"/>
                <w:szCs w:val="24"/>
                <w:highlight w:val="none"/>
              </w:rPr>
              <w:t xml:space="preserve">园区、镇街、区级机关部门（部门单位名单由采购人指定）与区行政大楼网络中心间原则上均采用独立光纤直接相连的方式组网，中间数据交换设备的维护更换由投标人自行负责维护。（投标人需提供承诺函加盖投标人公章，</w:t>
            </w:r>
            <w:r>
              <w:rPr>
                <w:rFonts w:hint="eastAsia" w:ascii="Times New Roman" w:hAnsi="Times New Roman" w:eastAsia="宋体" w:cs="Times New Roman"/>
                <w:color w:val="000000"/>
                <w:sz w:val="22"/>
                <w:szCs w:val="24"/>
                <w:highlight w:val="none"/>
                <w:lang w:eastAsia="zh-CN"/>
              </w:rPr>
              <w:t xml:space="preserve">扫描</w:t>
            </w:r>
            <w:r>
              <w:rPr>
                <w:rFonts w:hint="eastAsia" w:ascii="Times New Roman" w:hAnsi="Times New Roman" w:eastAsia="宋体" w:cs="Times New Roman"/>
                <w:color w:val="000000"/>
                <w:sz w:val="22"/>
                <w:szCs w:val="24"/>
                <w:highlight w:val="none"/>
              </w:rPr>
              <w:t xml:space="preserve">上传）</w:t>
            </w:r>
            <w:r>
              <w:rPr>
                <w:rFonts w:ascii="Times New Roman" w:hAnsi="Times New Roman" w:eastAsia="宋体" w:cs="Times New Roman"/>
                <w:color w:val="000000"/>
                <w:sz w:val="22"/>
                <w:szCs w:val="24"/>
                <w:highlight w:val="none"/>
              </w:rPr>
            </w:r>
            <w:r/>
          </w:p>
        </w:tc>
      </w:tr>
      <w:tr>
        <w:trPr/>
        <w:tc>
          <w:tcPr>
            <w:tcW w:w="906" w:type="dxa"/>
            <w:vAlign w:val="center"/>
            <w:textDirection w:val="lrTb"/>
            <w:noWrap w:val="false"/>
          </w:tcPr>
          <w:p>
            <w:pPr>
              <w:pStyle w:val="762"/>
              <w:jc w:val="center"/>
              <w:spacing w:line="480" w:lineRule="exact"/>
              <w:rPr>
                <w:rFonts w:ascii="Times New Roman" w:hAnsi="Times New Roman" w:eastAsia="宋体" w:cs="Times New Roman"/>
                <w:color w:val="000000"/>
                <w:sz w:val="22"/>
                <w:szCs w:val="24"/>
                <w:highlight w:val="none"/>
              </w:rPr>
            </w:pPr>
            <w:r>
              <w:rPr>
                <w:rFonts w:ascii="Times New Roman" w:hAnsi="Times New Roman" w:eastAsia="宋体" w:cs="Times New Roman"/>
                <w:color w:val="000000"/>
                <w:sz w:val="22"/>
                <w:szCs w:val="24"/>
                <w:highlight w:val="none"/>
              </w:rPr>
              <w:t xml:space="preserve">2</w:t>
            </w:r>
            <w:r>
              <w:rPr>
                <w:rFonts w:ascii="Times New Roman" w:hAnsi="Times New Roman" w:eastAsia="宋体" w:cs="Times New Roman"/>
                <w:color w:val="000000"/>
                <w:sz w:val="22"/>
                <w:szCs w:val="24"/>
                <w:highlight w:val="none"/>
              </w:rPr>
            </w:r>
            <w:r/>
          </w:p>
        </w:tc>
        <w:tc>
          <w:tcPr>
            <w:tcW w:w="7871" w:type="dxa"/>
            <w:vAlign w:val="center"/>
            <w:textDirection w:val="lrTb"/>
            <w:noWrap w:val="false"/>
          </w:tcPr>
          <w:p>
            <w:pPr>
              <w:pStyle w:val="762"/>
              <w:spacing w:line="480" w:lineRule="exact"/>
              <w:rPr>
                <w:rFonts w:ascii="Times New Roman" w:hAnsi="Times New Roman" w:eastAsia="宋体" w:cs="Times New Roman"/>
                <w:color w:val="000000"/>
                <w:sz w:val="22"/>
                <w:szCs w:val="24"/>
                <w:highlight w:val="none"/>
              </w:rPr>
            </w:pPr>
            <w:r>
              <w:rPr>
                <w:rFonts w:hint="eastAsia" w:ascii="Times New Roman" w:hAnsi="Times New Roman" w:eastAsia="宋体" w:cs="Times New Roman"/>
                <w:color w:val="000000"/>
                <w:sz w:val="22"/>
                <w:szCs w:val="24"/>
                <w:highlight w:val="none"/>
              </w:rPr>
              <w:t xml:space="preserve">每条光纤专线业务两端发送和接收光功率应符合设备光功率技术要求，且正常情况下接收</w:t>
            </w:r>
            <w:r>
              <w:rPr>
                <w:rFonts w:hint="eastAsia" w:ascii="Times New Roman" w:hAnsi="Times New Roman" w:eastAsia="宋体" w:cs="Times New Roman"/>
                <w:color w:val="000000"/>
                <w:sz w:val="22"/>
                <w:szCs w:val="24"/>
                <w:highlight w:val="none"/>
                <w:lang w:eastAsia="zh-CN"/>
              </w:rPr>
              <w:t xml:space="preserve">光功率一般不低于</w:t>
            </w:r>
            <w:r>
              <w:rPr>
                <w:rFonts w:ascii="Times New Roman" w:hAnsi="Times New Roman" w:eastAsia="宋体" w:cs="Times New Roman"/>
                <w:color w:val="000000"/>
                <w:sz w:val="22"/>
                <w:szCs w:val="24"/>
                <w:highlight w:val="none"/>
              </w:rPr>
              <w:t xml:space="preserve">-15dBm</w:t>
            </w:r>
            <w:r>
              <w:rPr>
                <w:rFonts w:hint="eastAsia" w:ascii="Times New Roman" w:hAnsi="Times New Roman" w:eastAsia="宋体" w:cs="Times New Roman"/>
                <w:color w:val="000000"/>
                <w:sz w:val="22"/>
                <w:szCs w:val="24"/>
                <w:highlight w:val="none"/>
              </w:rPr>
              <w:t xml:space="preserve">。</w:t>
            </w:r>
            <w:r>
              <w:rPr>
                <w:rFonts w:ascii="Times New Roman" w:hAnsi="Times New Roman" w:eastAsia="宋体" w:cs="Times New Roman"/>
                <w:color w:val="000000"/>
                <w:sz w:val="22"/>
                <w:szCs w:val="24"/>
                <w:highlight w:val="none"/>
              </w:rPr>
            </w:r>
            <w:r/>
          </w:p>
        </w:tc>
      </w:tr>
      <w:tr>
        <w:trPr/>
        <w:tc>
          <w:tcPr>
            <w:tcW w:w="906" w:type="dxa"/>
            <w:vAlign w:val="center"/>
            <w:textDirection w:val="lrTb"/>
            <w:noWrap w:val="false"/>
          </w:tcPr>
          <w:p>
            <w:pPr>
              <w:pStyle w:val="762"/>
              <w:jc w:val="center"/>
              <w:spacing w:line="480" w:lineRule="exact"/>
              <w:rPr>
                <w:rFonts w:ascii="Times New Roman" w:hAnsi="Times New Roman" w:eastAsia="宋体" w:cs="Times New Roman"/>
                <w:color w:val="000000"/>
                <w:sz w:val="22"/>
                <w:szCs w:val="24"/>
                <w:highlight w:val="none"/>
              </w:rPr>
            </w:pPr>
            <w:r>
              <w:rPr>
                <w:rFonts w:ascii="Times New Roman" w:hAnsi="Times New Roman" w:eastAsia="宋体" w:cs="Times New Roman"/>
                <w:color w:val="000000"/>
                <w:sz w:val="22"/>
                <w:szCs w:val="24"/>
                <w:highlight w:val="none"/>
              </w:rPr>
              <w:t xml:space="preserve">3</w:t>
            </w:r>
            <w:r>
              <w:rPr>
                <w:rFonts w:ascii="Times New Roman" w:hAnsi="Times New Roman" w:eastAsia="宋体" w:cs="Times New Roman"/>
                <w:color w:val="000000"/>
                <w:sz w:val="22"/>
                <w:szCs w:val="24"/>
                <w:highlight w:val="none"/>
              </w:rPr>
            </w:r>
            <w:r/>
          </w:p>
        </w:tc>
        <w:tc>
          <w:tcPr>
            <w:tcW w:w="7871" w:type="dxa"/>
            <w:vAlign w:val="top"/>
            <w:textDirection w:val="lrTb"/>
            <w:noWrap w:val="false"/>
          </w:tcPr>
          <w:p>
            <w:pPr>
              <w:pStyle w:val="762"/>
              <w:spacing w:line="480" w:lineRule="exact"/>
              <w:rPr>
                <w:rFonts w:ascii="Times New Roman" w:hAnsi="Times New Roman" w:eastAsia="宋体" w:cs="Times New Roman"/>
                <w:color w:val="000000"/>
                <w:sz w:val="22"/>
                <w:szCs w:val="24"/>
                <w:highlight w:val="none"/>
              </w:rPr>
            </w:pPr>
            <w:r>
              <w:rPr>
                <w:rFonts w:hint="eastAsia" w:ascii="Times New Roman" w:hAnsi="Times New Roman" w:eastAsia="宋体" w:cs="Times New Roman"/>
                <w:color w:val="000000"/>
                <w:sz w:val="22"/>
                <w:szCs w:val="24"/>
                <w:highlight w:val="none"/>
              </w:rPr>
              <w:t xml:space="preserve">每条光纤专线业务两端发送和接收光功率应基本保持一致，两端接收光功率差值应小于</w:t>
            </w:r>
            <w:r>
              <w:rPr>
                <w:rFonts w:ascii="Times New Roman" w:hAnsi="Times New Roman" w:eastAsia="宋体" w:cs="Times New Roman"/>
                <w:color w:val="000000"/>
                <w:sz w:val="22"/>
                <w:szCs w:val="24"/>
                <w:highlight w:val="none"/>
              </w:rPr>
              <w:t xml:space="preserve">1dBm</w:t>
            </w:r>
            <w:r>
              <w:rPr>
                <w:rFonts w:hint="eastAsia" w:ascii="Times New Roman" w:hAnsi="Times New Roman" w:eastAsia="宋体" w:cs="Times New Roman"/>
                <w:color w:val="000000"/>
                <w:sz w:val="22"/>
                <w:szCs w:val="24"/>
                <w:highlight w:val="none"/>
              </w:rPr>
              <w:t xml:space="preserve">。</w:t>
            </w:r>
            <w:r>
              <w:rPr>
                <w:rFonts w:ascii="Times New Roman" w:hAnsi="Times New Roman" w:eastAsia="宋体" w:cs="Times New Roman"/>
                <w:color w:val="000000"/>
                <w:sz w:val="22"/>
                <w:szCs w:val="24"/>
                <w:highlight w:val="none"/>
              </w:rPr>
            </w:r>
            <w:r/>
          </w:p>
        </w:tc>
      </w:tr>
      <w:tr>
        <w:trPr/>
        <w:tc>
          <w:tcPr>
            <w:tcW w:w="906" w:type="dxa"/>
            <w:vAlign w:val="center"/>
            <w:textDirection w:val="lrTb"/>
            <w:noWrap w:val="false"/>
          </w:tcPr>
          <w:p>
            <w:pPr>
              <w:pStyle w:val="762"/>
              <w:jc w:val="center"/>
              <w:spacing w:line="480" w:lineRule="exact"/>
              <w:rPr>
                <w:rFonts w:ascii="Times New Roman" w:hAnsi="Times New Roman" w:eastAsia="宋体" w:cs="Times New Roman"/>
                <w:color w:val="000000"/>
                <w:sz w:val="22"/>
                <w:szCs w:val="24"/>
                <w:highlight w:val="none"/>
              </w:rPr>
            </w:pPr>
            <w:r>
              <w:rPr>
                <w:rFonts w:ascii="Times New Roman" w:hAnsi="Times New Roman" w:eastAsia="宋体" w:cs="Times New Roman"/>
                <w:color w:val="000000"/>
                <w:sz w:val="22"/>
                <w:szCs w:val="24"/>
                <w:highlight w:val="none"/>
              </w:rPr>
              <w:t xml:space="preserve">4</w:t>
            </w:r>
            <w:r>
              <w:rPr>
                <w:rFonts w:ascii="Times New Roman" w:hAnsi="Times New Roman" w:eastAsia="宋体" w:cs="Times New Roman"/>
                <w:color w:val="000000"/>
                <w:sz w:val="22"/>
                <w:szCs w:val="24"/>
                <w:highlight w:val="none"/>
              </w:rPr>
            </w:r>
            <w:r/>
          </w:p>
        </w:tc>
        <w:tc>
          <w:tcPr>
            <w:tcW w:w="7871" w:type="dxa"/>
            <w:vAlign w:val="top"/>
            <w:textDirection w:val="lrTb"/>
            <w:noWrap w:val="false"/>
          </w:tcPr>
          <w:p>
            <w:pPr>
              <w:pStyle w:val="762"/>
              <w:spacing w:line="480" w:lineRule="exact"/>
              <w:rPr>
                <w:rFonts w:ascii="Times New Roman" w:hAnsi="Times New Roman" w:eastAsia="宋体" w:cs="Times New Roman"/>
                <w:color w:val="000000"/>
                <w:sz w:val="22"/>
                <w:szCs w:val="24"/>
                <w:highlight w:val="none"/>
              </w:rPr>
            </w:pPr>
            <w:r>
              <w:rPr>
                <w:rFonts w:hint="eastAsia" w:ascii="Times New Roman" w:hAnsi="Times New Roman" w:eastAsia="宋体" w:cs="Times New Roman"/>
                <w:color w:val="000000"/>
                <w:sz w:val="22"/>
                <w:szCs w:val="24"/>
                <w:highlight w:val="none"/>
              </w:rPr>
              <w:t xml:space="preserve">每条光纤专线业务每个跳纤点衰耗不应大于</w:t>
            </w:r>
            <w:r>
              <w:rPr>
                <w:rFonts w:ascii="Times New Roman" w:hAnsi="Times New Roman" w:eastAsia="宋体" w:cs="Times New Roman"/>
                <w:color w:val="000000"/>
                <w:sz w:val="22"/>
                <w:szCs w:val="24"/>
                <w:highlight w:val="none"/>
              </w:rPr>
              <w:t xml:space="preserve">0.5dBm</w:t>
            </w:r>
            <w:r>
              <w:rPr>
                <w:rFonts w:hint="eastAsia" w:ascii="Times New Roman" w:hAnsi="Times New Roman" w:eastAsia="宋体" w:cs="Times New Roman"/>
                <w:color w:val="000000"/>
                <w:sz w:val="22"/>
                <w:szCs w:val="24"/>
                <w:highlight w:val="none"/>
              </w:rPr>
              <w:t xml:space="preserve">，且跳纤尾纤原则上不允许采用增加法兰头短纤用作长纤的方式。</w:t>
            </w:r>
            <w:r>
              <w:rPr>
                <w:rFonts w:ascii="Times New Roman" w:hAnsi="Times New Roman" w:eastAsia="宋体" w:cs="Times New Roman"/>
                <w:color w:val="000000"/>
                <w:sz w:val="22"/>
                <w:szCs w:val="24"/>
                <w:highlight w:val="none"/>
              </w:rPr>
            </w:r>
            <w:r/>
          </w:p>
        </w:tc>
      </w:tr>
      <w:tr>
        <w:trPr/>
        <w:tc>
          <w:tcPr>
            <w:tcW w:w="906" w:type="dxa"/>
            <w:vAlign w:val="center"/>
            <w:textDirection w:val="lrTb"/>
            <w:noWrap w:val="false"/>
          </w:tcPr>
          <w:p>
            <w:pPr>
              <w:pStyle w:val="762"/>
              <w:jc w:val="center"/>
              <w:spacing w:line="480" w:lineRule="exact"/>
              <w:rPr>
                <w:rFonts w:ascii="Times New Roman" w:hAnsi="Times New Roman" w:eastAsia="宋体" w:cs="Times New Roman"/>
                <w:color w:val="000000"/>
                <w:sz w:val="22"/>
                <w:szCs w:val="24"/>
                <w:highlight w:val="none"/>
              </w:rPr>
            </w:pPr>
            <w:r>
              <w:rPr>
                <w:rFonts w:ascii="Times New Roman" w:hAnsi="Times New Roman" w:eastAsia="宋体" w:cs="Times New Roman"/>
                <w:color w:val="000000"/>
                <w:sz w:val="22"/>
                <w:szCs w:val="24"/>
                <w:highlight w:val="none"/>
              </w:rPr>
              <w:t xml:space="preserve">5</w:t>
            </w:r>
            <w:r>
              <w:rPr>
                <w:rFonts w:ascii="Times New Roman" w:hAnsi="Times New Roman" w:eastAsia="宋体" w:cs="Times New Roman"/>
                <w:color w:val="000000"/>
                <w:sz w:val="22"/>
                <w:szCs w:val="24"/>
                <w:highlight w:val="none"/>
              </w:rPr>
            </w:r>
            <w:r/>
          </w:p>
        </w:tc>
        <w:tc>
          <w:tcPr>
            <w:tcW w:w="7871" w:type="dxa"/>
            <w:vAlign w:val="top"/>
            <w:textDirection w:val="lrTb"/>
            <w:noWrap w:val="false"/>
          </w:tcPr>
          <w:p>
            <w:pPr>
              <w:pStyle w:val="762"/>
              <w:spacing w:line="480" w:lineRule="exact"/>
              <w:rPr>
                <w:rFonts w:ascii="Times New Roman" w:hAnsi="Times New Roman" w:eastAsia="宋体" w:cs="Times New Roman"/>
                <w:color w:val="000000"/>
                <w:sz w:val="22"/>
                <w:szCs w:val="24"/>
                <w:highlight w:val="none"/>
              </w:rPr>
            </w:pPr>
            <w:r>
              <w:rPr>
                <w:rFonts w:hint="eastAsia" w:ascii="Times New Roman" w:hAnsi="Times New Roman" w:eastAsia="宋体" w:cs="Times New Roman"/>
                <w:color w:val="000000"/>
                <w:sz w:val="22"/>
                <w:szCs w:val="24"/>
                <w:highlight w:val="none"/>
              </w:rPr>
              <w:t xml:space="preserve">每条光纤专线业务的吞吐量、丢包率、时延和抖动等指标测试均应符合承载业务要求。</w:t>
            </w:r>
            <w:r>
              <w:rPr>
                <w:rFonts w:ascii="Times New Roman" w:hAnsi="Times New Roman" w:eastAsia="宋体" w:cs="Times New Roman"/>
                <w:color w:val="000000"/>
                <w:sz w:val="22"/>
                <w:szCs w:val="24"/>
                <w:highlight w:val="none"/>
              </w:rPr>
            </w:r>
            <w:r/>
          </w:p>
        </w:tc>
      </w:tr>
      <w:tr>
        <w:trPr/>
        <w:tc>
          <w:tcPr>
            <w:tcW w:w="906" w:type="dxa"/>
            <w:vAlign w:val="center"/>
            <w:textDirection w:val="lrTb"/>
            <w:noWrap w:val="false"/>
          </w:tcPr>
          <w:p>
            <w:pPr>
              <w:pStyle w:val="762"/>
              <w:jc w:val="center"/>
              <w:spacing w:line="480" w:lineRule="exact"/>
              <w:rPr>
                <w:rFonts w:ascii="Times New Roman" w:hAnsi="Times New Roman" w:eastAsia="宋体" w:cs="Times New Roman"/>
                <w:color w:val="000000"/>
                <w:sz w:val="22"/>
                <w:szCs w:val="24"/>
                <w:highlight w:val="none"/>
              </w:rPr>
            </w:pPr>
            <w:r>
              <w:rPr>
                <w:rFonts w:ascii="Times New Roman" w:hAnsi="Times New Roman" w:eastAsia="宋体" w:cs="Times New Roman"/>
                <w:color w:val="000000"/>
                <w:sz w:val="22"/>
                <w:szCs w:val="24"/>
                <w:highlight w:val="none"/>
              </w:rPr>
              <w:t xml:space="preserve">6</w:t>
            </w:r>
            <w:r>
              <w:rPr>
                <w:rFonts w:ascii="Times New Roman" w:hAnsi="Times New Roman" w:eastAsia="宋体" w:cs="Times New Roman"/>
                <w:color w:val="000000"/>
                <w:sz w:val="22"/>
                <w:szCs w:val="24"/>
                <w:highlight w:val="none"/>
              </w:rPr>
            </w:r>
            <w:r/>
          </w:p>
        </w:tc>
        <w:tc>
          <w:tcPr>
            <w:tcW w:w="7871" w:type="dxa"/>
            <w:vAlign w:val="top"/>
            <w:textDirection w:val="lrTb"/>
            <w:noWrap w:val="false"/>
          </w:tcPr>
          <w:p>
            <w:pPr>
              <w:pStyle w:val="762"/>
              <w:spacing w:line="480" w:lineRule="exact"/>
              <w:rPr>
                <w:rFonts w:ascii="Times New Roman" w:hAnsi="Times New Roman" w:eastAsia="宋体" w:cs="Times New Roman"/>
                <w:color w:val="000000"/>
                <w:sz w:val="22"/>
                <w:szCs w:val="24"/>
                <w:highlight w:val="none"/>
              </w:rPr>
            </w:pPr>
            <w:r>
              <w:rPr>
                <w:rFonts w:hint="eastAsia" w:ascii="Times New Roman" w:hAnsi="Times New Roman" w:eastAsia="宋体" w:cs="Times New Roman"/>
                <w:color w:val="000000"/>
                <w:sz w:val="22"/>
                <w:szCs w:val="24"/>
                <w:highlight w:val="none"/>
              </w:rPr>
              <w:t xml:space="preserve">区行政大楼网络中心端大芯汇聚光缆应采用物理双路由备份保护和业务分担方式，能够快速调度跳</w:t>
            </w:r>
            <w:r>
              <w:rPr>
                <w:rFonts w:hint="eastAsia" w:ascii="Times New Roman" w:hAnsi="Times New Roman" w:eastAsia="宋体" w:cs="Times New Roman"/>
                <w:color w:val="000000"/>
                <w:sz w:val="22"/>
                <w:szCs w:val="22"/>
                <w:highlight w:val="none"/>
              </w:rPr>
              <w:t xml:space="preserve">纤资源恢复区行政大楼网络中心端汇聚光缆故</w:t>
            </w:r>
            <w:r>
              <w:rPr>
                <w:rFonts w:hint="eastAsia" w:ascii="Times New Roman" w:hAnsi="Times New Roman" w:eastAsia="宋体" w:cs="Times New Roman"/>
                <w:color w:val="000000"/>
                <w:sz w:val="22"/>
                <w:szCs w:val="24"/>
                <w:highlight w:val="none"/>
              </w:rPr>
              <w:t xml:space="preserve">障造成的接入点中断。</w:t>
            </w:r>
            <w:r>
              <w:rPr>
                <w:rFonts w:ascii="Times New Roman" w:hAnsi="Times New Roman" w:eastAsia="宋体" w:cs="Times New Roman"/>
                <w:color w:val="000000"/>
                <w:sz w:val="22"/>
                <w:szCs w:val="24"/>
                <w:highlight w:val="none"/>
              </w:rPr>
            </w:r>
            <w:r/>
          </w:p>
        </w:tc>
      </w:tr>
      <w:tr>
        <w:trPr/>
        <w:tc>
          <w:tcPr>
            <w:tcW w:w="906" w:type="dxa"/>
            <w:vAlign w:val="center"/>
            <w:textDirection w:val="lrTb"/>
            <w:noWrap w:val="false"/>
          </w:tcPr>
          <w:p>
            <w:pPr>
              <w:pStyle w:val="762"/>
              <w:jc w:val="center"/>
              <w:spacing w:line="480" w:lineRule="exact"/>
              <w:rPr>
                <w:rFonts w:hint="eastAsia" w:ascii="Times New Roman" w:hAnsi="Times New Roman" w:eastAsia="宋体" w:cs="Times New Roman"/>
                <w:color w:val="000000"/>
                <w:sz w:val="22"/>
                <w:szCs w:val="24"/>
                <w:highlight w:val="none"/>
                <w:lang w:val="en-US" w:eastAsia="zh-CN"/>
              </w:rPr>
            </w:pPr>
            <w:r>
              <w:rPr>
                <w:rFonts w:hint="eastAsia" w:ascii="Times New Roman" w:hAnsi="Times New Roman" w:eastAsia="宋体" w:cs="Times New Roman"/>
                <w:color w:val="000000"/>
                <w:sz w:val="22"/>
                <w:szCs w:val="24"/>
                <w:highlight w:val="none"/>
                <w:lang w:val="en-US" w:eastAsia="zh-CN"/>
              </w:rPr>
              <w:t xml:space="preserve">7</w:t>
            </w:r>
            <w:r>
              <w:rPr>
                <w:rFonts w:hint="eastAsia" w:ascii="Times New Roman" w:hAnsi="Times New Roman" w:eastAsia="宋体" w:cs="Times New Roman"/>
                <w:color w:val="000000"/>
                <w:sz w:val="22"/>
                <w:szCs w:val="24"/>
                <w:highlight w:val="none"/>
                <w:lang w:val="en-US" w:eastAsia="zh-CN"/>
              </w:rPr>
            </w:r>
            <w:r/>
          </w:p>
        </w:tc>
        <w:tc>
          <w:tcPr>
            <w:tcW w:w="7871" w:type="dxa"/>
            <w:vAlign w:val="top"/>
            <w:textDirection w:val="lrTb"/>
            <w:noWrap w:val="false"/>
          </w:tcPr>
          <w:p>
            <w:pPr>
              <w:pStyle w:val="762"/>
              <w:spacing w:line="480" w:lineRule="exact"/>
              <w:rPr>
                <w:rFonts w:ascii="Times New Roman" w:hAnsi="Times New Roman" w:eastAsia="宋体" w:cs="Times New Roman"/>
                <w:color w:val="000000"/>
                <w:sz w:val="22"/>
                <w:szCs w:val="24"/>
                <w:highlight w:val="none"/>
              </w:rPr>
            </w:pPr>
            <w:r>
              <w:rPr>
                <w:rFonts w:ascii="Times New Roman" w:hAnsi="Times New Roman" w:eastAsia="宋体" w:cs="Times New Roman"/>
                <w:color w:val="000000"/>
                <w:sz w:val="22"/>
                <w:szCs w:val="24"/>
                <w:highlight w:val="none"/>
              </w:rPr>
              <w:t xml:space="preserve">▲</w:t>
            </w:r>
            <w:r>
              <w:rPr>
                <w:rFonts w:hint="eastAsia" w:ascii="Times New Roman" w:hAnsi="Times New Roman" w:eastAsia="宋体" w:cs="Times New Roman"/>
                <w:color w:val="000000"/>
                <w:sz w:val="22"/>
                <w:szCs w:val="24"/>
                <w:highlight w:val="none"/>
              </w:rPr>
              <w:t xml:space="preserve">在采购人规定的时限内完成区电子政务外网</w:t>
            </w:r>
            <w:r>
              <w:rPr>
                <w:rFonts w:ascii="Times New Roman" w:hAnsi="Times New Roman" w:eastAsia="宋体" w:cs="Times New Roman"/>
                <w:color w:val="000000"/>
                <w:sz w:val="22"/>
                <w:szCs w:val="24"/>
                <w:highlight w:val="none"/>
              </w:rPr>
              <w:t xml:space="preserve">IP</w:t>
            </w:r>
            <w:r>
              <w:rPr>
                <w:rFonts w:hint="eastAsia" w:ascii="Times New Roman" w:hAnsi="Times New Roman" w:eastAsia="宋体" w:cs="Times New Roman"/>
                <w:color w:val="000000"/>
                <w:sz w:val="22"/>
                <w:szCs w:val="24"/>
                <w:highlight w:val="none"/>
              </w:rPr>
              <w:t xml:space="preserve">地址规划、配置（包括编制所有接入单位</w:t>
            </w:r>
            <w:r>
              <w:rPr>
                <w:rFonts w:ascii="Times New Roman" w:hAnsi="Times New Roman" w:eastAsia="宋体" w:cs="Times New Roman"/>
                <w:color w:val="000000"/>
                <w:sz w:val="22"/>
                <w:szCs w:val="24"/>
                <w:highlight w:val="none"/>
              </w:rPr>
              <w:t xml:space="preserve">IPV4</w:t>
            </w:r>
            <w:r>
              <w:rPr>
                <w:rFonts w:hint="eastAsia" w:ascii="Times New Roman" w:hAnsi="Times New Roman" w:eastAsia="宋体" w:cs="Times New Roman"/>
                <w:color w:val="000000"/>
                <w:sz w:val="22"/>
                <w:szCs w:val="24"/>
                <w:highlight w:val="none"/>
              </w:rPr>
              <w:t xml:space="preserve">的地址规划表，并配合做好各接入单位网络设备及业务终端的</w:t>
            </w:r>
            <w:r>
              <w:rPr>
                <w:rFonts w:ascii="Times New Roman" w:hAnsi="Times New Roman" w:eastAsia="宋体" w:cs="Times New Roman"/>
                <w:color w:val="000000"/>
                <w:sz w:val="22"/>
                <w:szCs w:val="24"/>
                <w:highlight w:val="none"/>
              </w:rPr>
              <w:t xml:space="preserve">IPV4</w:t>
            </w:r>
            <w:r>
              <w:rPr>
                <w:rFonts w:hint="eastAsia" w:ascii="Times New Roman" w:hAnsi="Times New Roman" w:eastAsia="宋体" w:cs="Times New Roman"/>
                <w:color w:val="000000"/>
                <w:sz w:val="22"/>
                <w:szCs w:val="24"/>
                <w:highlight w:val="none"/>
              </w:rPr>
              <w:t xml:space="preserve">地址配置；</w:t>
            </w:r>
            <w:r>
              <w:rPr>
                <w:rFonts w:ascii="Times New Roman" w:hAnsi="Times New Roman" w:eastAsia="宋体" w:cs="Times New Roman"/>
                <w:color w:val="000000"/>
                <w:sz w:val="22"/>
                <w:szCs w:val="24"/>
                <w:highlight w:val="none"/>
              </w:rPr>
              <w:t xml:space="preserve">IPV6</w:t>
            </w:r>
            <w:r>
              <w:rPr>
                <w:rFonts w:hint="eastAsia" w:ascii="Times New Roman" w:hAnsi="Times New Roman" w:eastAsia="宋体" w:cs="Times New Roman"/>
                <w:color w:val="000000"/>
                <w:sz w:val="22"/>
                <w:szCs w:val="24"/>
                <w:highlight w:val="none"/>
              </w:rPr>
              <w:t xml:space="preserve">地址规划表及各接入单位网络设备和业务终端的</w:t>
            </w:r>
            <w:r>
              <w:rPr>
                <w:rFonts w:ascii="Times New Roman" w:hAnsi="Times New Roman" w:eastAsia="宋体" w:cs="Times New Roman"/>
                <w:color w:val="000000"/>
                <w:sz w:val="22"/>
                <w:szCs w:val="24"/>
                <w:highlight w:val="none"/>
              </w:rPr>
              <w:t xml:space="preserve">IPV6</w:t>
            </w:r>
            <w:r>
              <w:rPr>
                <w:rFonts w:hint="eastAsia" w:ascii="Times New Roman" w:hAnsi="Times New Roman" w:eastAsia="宋体" w:cs="Times New Roman"/>
                <w:color w:val="000000"/>
                <w:sz w:val="22"/>
                <w:szCs w:val="24"/>
                <w:highlight w:val="none"/>
              </w:rPr>
              <w:t xml:space="preserve">配置待上级明确统一规划和标准后，</w:t>
            </w:r>
            <w:r>
              <w:rPr>
                <w:rFonts w:hint="eastAsia" w:ascii="Times New Roman" w:hAnsi="Times New Roman" w:eastAsia="宋体" w:cs="Times New Roman"/>
                <w:color w:val="000000"/>
                <w:sz w:val="22"/>
                <w:szCs w:val="24"/>
                <w:highlight w:val="none"/>
                <w:lang w:eastAsia="zh-CN"/>
              </w:rPr>
              <w:t xml:space="preserve">无偿配合采购人</w:t>
            </w:r>
            <w:r>
              <w:rPr>
                <w:rFonts w:hint="eastAsia" w:ascii="Times New Roman" w:hAnsi="Times New Roman" w:eastAsia="宋体" w:cs="Times New Roman"/>
                <w:color w:val="000000"/>
                <w:sz w:val="22"/>
                <w:szCs w:val="24"/>
                <w:highlight w:val="none"/>
              </w:rPr>
              <w:t xml:space="preserve">完成；服务期内省市区</w:t>
            </w:r>
            <w:r>
              <w:rPr>
                <w:rFonts w:ascii="Times New Roman" w:hAnsi="Times New Roman" w:eastAsia="宋体" w:cs="Times New Roman"/>
                <w:color w:val="000000"/>
                <w:sz w:val="22"/>
                <w:szCs w:val="24"/>
                <w:highlight w:val="none"/>
              </w:rPr>
              <w:t xml:space="preserve">IP</w:t>
            </w:r>
            <w:r>
              <w:rPr>
                <w:rFonts w:hint="eastAsia" w:ascii="Times New Roman" w:hAnsi="Times New Roman" w:eastAsia="宋体" w:cs="Times New Roman"/>
                <w:color w:val="000000"/>
                <w:sz w:val="22"/>
                <w:szCs w:val="24"/>
                <w:highlight w:val="none"/>
              </w:rPr>
              <w:t xml:space="preserve">规划调整的，</w:t>
            </w:r>
            <w:r>
              <w:rPr>
                <w:rFonts w:hint="eastAsia" w:ascii="Times New Roman" w:hAnsi="Times New Roman" w:eastAsia="宋体" w:cs="Times New Roman"/>
                <w:color w:val="000000"/>
                <w:sz w:val="22"/>
                <w:szCs w:val="24"/>
                <w:highlight w:val="none"/>
                <w:lang w:eastAsia="zh-CN"/>
              </w:rPr>
              <w:t xml:space="preserve">无偿配合采购人</w:t>
            </w:r>
            <w:r>
              <w:rPr>
                <w:rFonts w:hint="eastAsia" w:ascii="Times New Roman" w:hAnsi="Times New Roman" w:eastAsia="宋体" w:cs="Times New Roman"/>
                <w:color w:val="000000"/>
                <w:sz w:val="22"/>
                <w:szCs w:val="24"/>
                <w:highlight w:val="none"/>
              </w:rPr>
              <w:t xml:space="preserve">完成），确保所有设备符合要求，</w:t>
            </w:r>
            <w:r>
              <w:rPr>
                <w:rFonts w:ascii="Times New Roman" w:hAnsi="Times New Roman" w:eastAsia="宋体" w:cs="Times New Roman"/>
                <w:color w:val="000000"/>
                <w:sz w:val="22"/>
                <w:szCs w:val="24"/>
                <w:highlight w:val="none"/>
              </w:rPr>
              <w:t xml:space="preserve">100%</w:t>
            </w:r>
            <w:r>
              <w:rPr>
                <w:rFonts w:hint="eastAsia" w:ascii="Times New Roman" w:hAnsi="Times New Roman" w:eastAsia="宋体" w:cs="Times New Roman"/>
                <w:color w:val="000000"/>
                <w:sz w:val="22"/>
                <w:szCs w:val="24"/>
                <w:highlight w:val="none"/>
              </w:rPr>
              <w:t xml:space="preserve">接入区电子政务外网，与省市电子政务外网互联互通。（投标人需提供承诺函加盖投标人公章，</w:t>
            </w:r>
            <w:r>
              <w:rPr>
                <w:rFonts w:hint="eastAsia" w:ascii="Times New Roman" w:hAnsi="Times New Roman" w:eastAsia="宋体" w:cs="Times New Roman"/>
                <w:color w:val="000000"/>
                <w:sz w:val="22"/>
                <w:szCs w:val="24"/>
                <w:highlight w:val="none"/>
                <w:lang w:eastAsia="zh-CN"/>
              </w:rPr>
              <w:t xml:space="preserve">扫描</w:t>
            </w:r>
            <w:r>
              <w:rPr>
                <w:rFonts w:hint="eastAsia" w:ascii="Times New Roman" w:hAnsi="Times New Roman" w:eastAsia="宋体" w:cs="Times New Roman"/>
                <w:color w:val="000000"/>
                <w:sz w:val="22"/>
                <w:szCs w:val="24"/>
                <w:highlight w:val="none"/>
              </w:rPr>
              <w:t xml:space="preserve">上传）</w:t>
            </w:r>
            <w:r>
              <w:rPr>
                <w:rFonts w:ascii="Times New Roman" w:hAnsi="Times New Roman" w:eastAsia="宋体" w:cs="Times New Roman"/>
                <w:color w:val="000000"/>
                <w:sz w:val="22"/>
                <w:szCs w:val="24"/>
                <w:highlight w:val="none"/>
              </w:rPr>
            </w:r>
            <w:r/>
          </w:p>
        </w:tc>
      </w:tr>
      <w:tr>
        <w:trPr/>
        <w:tc>
          <w:tcPr>
            <w:tcW w:w="906" w:type="dxa"/>
            <w:vAlign w:val="center"/>
            <w:textDirection w:val="lrTb"/>
            <w:noWrap w:val="false"/>
          </w:tcPr>
          <w:p>
            <w:pPr>
              <w:pStyle w:val="762"/>
              <w:jc w:val="center"/>
              <w:spacing w:line="480" w:lineRule="exact"/>
              <w:rPr>
                <w:rFonts w:hint="eastAsia" w:ascii="Times New Roman" w:hAnsi="Times New Roman" w:eastAsia="宋体" w:cs="Times New Roman"/>
                <w:color w:val="000000"/>
                <w:sz w:val="22"/>
                <w:szCs w:val="24"/>
                <w:highlight w:val="none"/>
                <w:lang w:val="en-US" w:eastAsia="zh-CN"/>
              </w:rPr>
            </w:pPr>
            <w:r>
              <w:rPr>
                <w:rFonts w:hint="eastAsia" w:ascii="Times New Roman" w:hAnsi="Times New Roman" w:eastAsia="宋体" w:cs="Times New Roman"/>
                <w:color w:val="000000"/>
                <w:sz w:val="22"/>
                <w:szCs w:val="24"/>
                <w:highlight w:val="none"/>
                <w:lang w:val="en-US" w:eastAsia="zh-CN"/>
              </w:rPr>
              <w:t xml:space="preserve">8</w:t>
            </w:r>
            <w:r>
              <w:rPr>
                <w:rFonts w:hint="eastAsia" w:ascii="Times New Roman" w:hAnsi="Times New Roman" w:eastAsia="宋体" w:cs="Times New Roman"/>
                <w:color w:val="000000"/>
                <w:sz w:val="22"/>
                <w:szCs w:val="24"/>
                <w:highlight w:val="none"/>
                <w:lang w:val="en-US" w:eastAsia="zh-CN"/>
              </w:rPr>
            </w:r>
            <w:r/>
          </w:p>
        </w:tc>
        <w:tc>
          <w:tcPr>
            <w:tcW w:w="7871" w:type="dxa"/>
            <w:vAlign w:val="top"/>
            <w:textDirection w:val="lrTb"/>
            <w:noWrap w:val="false"/>
          </w:tcPr>
          <w:p>
            <w:pPr>
              <w:pStyle w:val="762"/>
              <w:spacing w:line="480" w:lineRule="exact"/>
              <w:rPr>
                <w:rFonts w:ascii="Times New Roman" w:hAnsi="Times New Roman" w:eastAsia="宋体" w:cs="Times New Roman"/>
                <w:color w:val="000000"/>
                <w:sz w:val="22"/>
                <w:szCs w:val="24"/>
                <w:highlight w:val="none"/>
              </w:rPr>
            </w:pPr>
            <w:r>
              <w:rPr>
                <w:rFonts w:hint="eastAsia" w:ascii="Times New Roman" w:hAnsi="Times New Roman" w:eastAsia="宋体" w:cs="Times New Roman"/>
                <w:color w:val="000000"/>
                <w:sz w:val="22"/>
                <w:szCs w:val="24"/>
                <w:highlight w:val="none"/>
              </w:rPr>
              <w:t xml:space="preserve">线缆两端应附注标签，且符合国家及行业标准规范。</w:t>
            </w:r>
            <w:r>
              <w:rPr>
                <w:rFonts w:ascii="Times New Roman" w:hAnsi="Times New Roman" w:eastAsia="宋体" w:cs="Times New Roman"/>
                <w:color w:val="000000"/>
                <w:sz w:val="22"/>
                <w:szCs w:val="24"/>
                <w:highlight w:val="none"/>
              </w:rPr>
            </w:r>
            <w:r/>
          </w:p>
        </w:tc>
      </w:tr>
      <w:tr>
        <w:trPr/>
        <w:tc>
          <w:tcPr>
            <w:tcW w:w="906" w:type="dxa"/>
            <w:vAlign w:val="center"/>
            <w:textDirection w:val="lrTb"/>
            <w:noWrap w:val="false"/>
          </w:tcPr>
          <w:p>
            <w:pPr>
              <w:pStyle w:val="762"/>
              <w:jc w:val="center"/>
              <w:spacing w:line="480" w:lineRule="exact"/>
              <w:rPr>
                <w:rFonts w:hint="eastAsia" w:ascii="Times New Roman" w:hAnsi="Times New Roman" w:eastAsia="宋体" w:cs="Times New Roman"/>
                <w:color w:val="000000"/>
                <w:sz w:val="22"/>
                <w:szCs w:val="24"/>
                <w:highlight w:val="none"/>
                <w:lang w:val="en-US" w:eastAsia="zh-CN"/>
              </w:rPr>
            </w:pPr>
            <w:r>
              <w:rPr>
                <w:rFonts w:hint="eastAsia" w:ascii="Times New Roman" w:hAnsi="Times New Roman" w:eastAsia="宋体" w:cs="Times New Roman"/>
                <w:color w:val="000000"/>
                <w:sz w:val="22"/>
                <w:szCs w:val="24"/>
                <w:highlight w:val="none"/>
                <w:lang w:val="en-US" w:eastAsia="zh-CN"/>
              </w:rPr>
              <w:t xml:space="preserve">9</w:t>
            </w:r>
            <w:r>
              <w:rPr>
                <w:rFonts w:hint="eastAsia" w:ascii="Times New Roman" w:hAnsi="Times New Roman" w:eastAsia="宋体" w:cs="Times New Roman"/>
                <w:color w:val="000000"/>
                <w:sz w:val="22"/>
                <w:szCs w:val="24"/>
                <w:highlight w:val="none"/>
                <w:lang w:val="en-US" w:eastAsia="zh-CN"/>
              </w:rPr>
            </w:r>
            <w:r/>
          </w:p>
        </w:tc>
        <w:tc>
          <w:tcPr>
            <w:tcW w:w="7871" w:type="dxa"/>
            <w:vAlign w:val="top"/>
            <w:textDirection w:val="lrTb"/>
            <w:noWrap w:val="false"/>
          </w:tcPr>
          <w:p>
            <w:pPr>
              <w:pStyle w:val="762"/>
              <w:spacing w:line="480" w:lineRule="exact"/>
              <w:rPr>
                <w:rFonts w:ascii="Times New Roman" w:hAnsi="Times New Roman" w:eastAsia="宋体" w:cs="Times New Roman"/>
                <w:color w:val="000000"/>
                <w:sz w:val="22"/>
                <w:szCs w:val="24"/>
                <w:highlight w:val="none"/>
              </w:rPr>
            </w:pPr>
            <w:r>
              <w:rPr>
                <w:rFonts w:hint="eastAsia" w:ascii="Times New Roman" w:hAnsi="Times New Roman" w:eastAsia="宋体" w:cs="Times New Roman"/>
                <w:color w:val="000000"/>
                <w:sz w:val="22"/>
                <w:szCs w:val="22"/>
                <w:highlight w:val="none"/>
              </w:rPr>
              <w:t xml:space="preserve">根据各级网络安全通报、等保测评建议，及时配合处置各部门接入网络设备和用户终端（</w:t>
            </w:r>
            <w:r>
              <w:rPr>
                <w:rFonts w:ascii="Times New Roman" w:hAnsi="Times New Roman" w:eastAsia="宋体" w:cs="Times New Roman"/>
                <w:color w:val="000000"/>
                <w:sz w:val="22"/>
                <w:szCs w:val="22"/>
                <w:highlight w:val="none"/>
              </w:rPr>
              <w:t xml:space="preserve">PC</w:t>
            </w:r>
            <w:r>
              <w:rPr>
                <w:rFonts w:hint="eastAsia" w:ascii="Times New Roman" w:hAnsi="Times New Roman" w:eastAsia="宋体" w:cs="Times New Roman"/>
                <w:color w:val="000000"/>
                <w:sz w:val="22"/>
                <w:szCs w:val="22"/>
                <w:highlight w:val="none"/>
              </w:rPr>
              <w:t xml:space="preserve">等）安全风险漏洞或事件。</w:t>
            </w:r>
            <w:r>
              <w:rPr>
                <w:rFonts w:ascii="Times New Roman" w:hAnsi="Times New Roman" w:eastAsia="宋体" w:cs="Times New Roman"/>
                <w:color w:val="000000"/>
                <w:sz w:val="22"/>
                <w:szCs w:val="24"/>
                <w:highlight w:val="none"/>
              </w:rPr>
            </w:r>
            <w:r/>
          </w:p>
        </w:tc>
      </w:tr>
      <w:tr>
        <w:trPr/>
        <w:tc>
          <w:tcPr>
            <w:tcW w:w="906" w:type="dxa"/>
            <w:vAlign w:val="center"/>
            <w:textDirection w:val="lrTb"/>
            <w:noWrap w:val="false"/>
          </w:tcPr>
          <w:p>
            <w:pPr>
              <w:pStyle w:val="762"/>
              <w:jc w:val="center"/>
              <w:spacing w:line="480" w:lineRule="exact"/>
              <w:rPr>
                <w:rFonts w:hint="eastAsia" w:ascii="Times New Roman" w:hAnsi="Times New Roman" w:eastAsia="宋体" w:cs="Times New Roman"/>
                <w:color w:val="000000"/>
                <w:sz w:val="22"/>
                <w:szCs w:val="24"/>
                <w:highlight w:val="none"/>
                <w:lang w:val="en-US" w:eastAsia="zh-CN"/>
              </w:rPr>
            </w:pPr>
            <w:r>
              <w:rPr>
                <w:rFonts w:ascii="Times New Roman" w:hAnsi="Times New Roman" w:eastAsia="宋体" w:cs="Times New Roman"/>
                <w:color w:val="000000"/>
                <w:sz w:val="22"/>
                <w:szCs w:val="24"/>
                <w:highlight w:val="none"/>
              </w:rPr>
              <w:t xml:space="preserve">1</w:t>
            </w:r>
            <w:r>
              <w:rPr>
                <w:rFonts w:hint="eastAsia" w:ascii="Times New Roman" w:hAnsi="Times New Roman" w:eastAsia="宋体" w:cs="Times New Roman"/>
                <w:color w:val="000000"/>
                <w:sz w:val="22"/>
                <w:szCs w:val="24"/>
                <w:highlight w:val="none"/>
                <w:lang w:val="en-US" w:eastAsia="zh-CN"/>
              </w:rPr>
              <w:t xml:space="preserve">0</w:t>
            </w:r>
            <w:r>
              <w:rPr>
                <w:rFonts w:hint="eastAsia" w:ascii="Times New Roman" w:hAnsi="Times New Roman" w:eastAsia="宋体" w:cs="Times New Roman"/>
                <w:color w:val="000000"/>
                <w:sz w:val="22"/>
                <w:szCs w:val="24"/>
                <w:highlight w:val="none"/>
                <w:lang w:val="en-US" w:eastAsia="zh-CN"/>
              </w:rPr>
            </w:r>
            <w:r/>
          </w:p>
        </w:tc>
        <w:tc>
          <w:tcPr>
            <w:tcW w:w="7871" w:type="dxa"/>
            <w:vAlign w:val="top"/>
            <w:textDirection w:val="lrTb"/>
            <w:noWrap w:val="false"/>
          </w:tcPr>
          <w:p>
            <w:pPr>
              <w:pStyle w:val="762"/>
              <w:spacing w:line="480" w:lineRule="exact"/>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4"/>
                <w:highlight w:val="none"/>
              </w:rPr>
              <w:t xml:space="preserve">▲</w:t>
            </w:r>
            <w:r>
              <w:rPr>
                <w:rFonts w:hint="eastAsia" w:ascii="Times New Roman" w:hAnsi="Times New Roman" w:eastAsia="宋体" w:cs="Times New Roman"/>
                <w:color w:val="000000"/>
                <w:sz w:val="22"/>
                <w:szCs w:val="22"/>
                <w:highlight w:val="none"/>
              </w:rPr>
              <w:t xml:space="preserve">针对</w:t>
            </w:r>
            <w:r>
              <w:rPr>
                <w:rFonts w:ascii="Times New Roman" w:hAnsi="Times New Roman" w:eastAsia="宋体" w:cs="Times New Roman"/>
                <w:color w:val="000000"/>
                <w:sz w:val="22"/>
                <w:szCs w:val="22"/>
                <w:highlight w:val="none"/>
              </w:rPr>
              <w:t xml:space="preserve">2025</w:t>
            </w:r>
            <w:r>
              <w:rPr>
                <w:rFonts w:hint="eastAsia" w:ascii="Times New Roman" w:hAnsi="Times New Roman" w:eastAsia="宋体" w:cs="Times New Roman"/>
                <w:color w:val="000000"/>
                <w:sz w:val="22"/>
                <w:szCs w:val="22"/>
                <w:highlight w:val="none"/>
              </w:rPr>
              <w:t xml:space="preserve">年省、市、区新一轮电子政务外网改造计划，投标人在服务期内需根据相关标准规范和政策要求制定相关详细实施方案，并报采购人审核，并最终修改完善定稿，同时积极无偿配合采购人做好方案的落实与交付，包括但不限于网络规划、</w:t>
            </w:r>
            <w:r>
              <w:rPr>
                <w:rFonts w:ascii="Times New Roman" w:hAnsi="Times New Roman" w:eastAsia="宋体" w:cs="Times New Roman"/>
                <w:color w:val="000000"/>
                <w:sz w:val="22"/>
                <w:szCs w:val="22"/>
                <w:highlight w:val="none"/>
              </w:rPr>
              <w:t xml:space="preserve">IP</w:t>
            </w:r>
            <w:r>
              <w:rPr>
                <w:rFonts w:hint="eastAsia" w:ascii="Times New Roman" w:hAnsi="Times New Roman" w:eastAsia="宋体" w:cs="Times New Roman"/>
                <w:color w:val="000000"/>
                <w:sz w:val="22"/>
                <w:szCs w:val="22"/>
                <w:highlight w:val="none"/>
              </w:rPr>
              <w:t xml:space="preserve">划分、配置变、线路布放或调整、平台对接、配套网络、终端接入设备调试、线路检测等工作。（投标人需提供承诺函加盖投标人公章，</w:t>
            </w:r>
            <w:r>
              <w:rPr>
                <w:rFonts w:hint="eastAsia" w:ascii="Times New Roman" w:hAnsi="Times New Roman" w:eastAsia="宋体" w:cs="Times New Roman"/>
                <w:color w:val="000000"/>
                <w:sz w:val="22"/>
                <w:szCs w:val="22"/>
                <w:highlight w:val="none"/>
                <w:lang w:eastAsia="zh-CN"/>
              </w:rPr>
              <w:t xml:space="preserve">扫描</w:t>
            </w:r>
            <w:r>
              <w:rPr>
                <w:rFonts w:hint="eastAsia" w:ascii="Times New Roman" w:hAnsi="Times New Roman" w:eastAsia="宋体" w:cs="Times New Roman"/>
                <w:color w:val="000000"/>
                <w:sz w:val="22"/>
                <w:szCs w:val="22"/>
                <w:highlight w:val="none"/>
              </w:rPr>
              <w:t xml:space="preserve">上传）</w:t>
            </w:r>
            <w:r>
              <w:rPr>
                <w:rFonts w:ascii="Times New Roman" w:hAnsi="Times New Roman" w:eastAsia="宋体" w:cs="Times New Roman"/>
                <w:color w:val="000000"/>
                <w:sz w:val="22"/>
                <w:szCs w:val="22"/>
                <w:highlight w:val="none"/>
              </w:rPr>
            </w:r>
            <w:r/>
          </w:p>
        </w:tc>
      </w:tr>
    </w:tbl>
    <w:p>
      <w:pPr>
        <w:pStyle w:val="762"/>
        <w:ind w:firstLine="480"/>
        <w:spacing w:line="480" w:lineRule="exact"/>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政府大楼网络及安全服务（设备数量、功能及参数应包括下表所列内容）：</w:t>
      </w:r>
      <w:r>
        <w:rPr>
          <w:rFonts w:hint="eastAsia" w:ascii="Times New Roman" w:hAnsi="Times New Roman" w:eastAsia="宋体" w:cs="Times New Roman"/>
          <w:color w:val="000000"/>
          <w:sz w:val="24"/>
          <w:szCs w:val="24"/>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36"/>
        <w:gridCol w:w="1042"/>
        <w:gridCol w:w="5037"/>
        <w:gridCol w:w="851"/>
        <w:gridCol w:w="707"/>
      </w:tblGrid>
      <w:tr>
        <w:trPr>
          <w:trHeight w:val="414"/>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序号</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产品</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5037"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技术要求</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62"/>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单位</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762"/>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数量</w:t>
            </w:r>
            <w:r>
              <w:rPr>
                <w:rFonts w:ascii="Times New Roman" w:hAnsi="Times New Roman" w:eastAsia="宋体" w:cs="Times New Roman"/>
                <w:color w:val="000000"/>
                <w:highlight w:val="none"/>
              </w:rPr>
            </w:r>
            <w:r/>
          </w:p>
        </w:tc>
      </w:tr>
      <w:tr>
        <w:trPr>
          <w:trHeight w:val="754"/>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762"/>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防火墙</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5037" w:type="dxa"/>
            <w:vAlign w:val="center"/>
            <w:textDirection w:val="lrTb"/>
            <w:noWrap w:val="false"/>
          </w:tcPr>
          <w:p>
            <w:pPr>
              <w:pStyle w:val="762"/>
              <w:jc w:val="left"/>
              <w:spacing w:line="320" w:lineRule="exact"/>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bidi="ar"/>
              </w:rPr>
              <w:t xml:space="preserve">政府大楼防火墙设备，用于区政府核心网络与上级网络出口之间的逻辑隔离，具有路由功能、防火墙功能、访问控制等功能，具备双机热备能力，可扩展，原厂质保与升级，符合公安部等保相关要求。</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台</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w:t>
            </w:r>
            <w:r>
              <w:rPr>
                <w:rFonts w:ascii="Times New Roman" w:hAnsi="Times New Roman" w:eastAsia="宋体" w:cs="Times New Roman"/>
                <w:color w:val="000000"/>
                <w:highlight w:val="none"/>
              </w:rPr>
            </w:r>
            <w:r/>
          </w:p>
        </w:tc>
      </w:tr>
      <w:tr>
        <w:trPr>
          <w:trHeight w:val="664"/>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762"/>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汇聚交换机</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5037" w:type="dxa"/>
            <w:vAlign w:val="center"/>
            <w:textDirection w:val="lrTb"/>
            <w:noWrap w:val="false"/>
          </w:tcPr>
          <w:p>
            <w:pPr>
              <w:pStyle w:val="762"/>
              <w:jc w:val="left"/>
              <w:spacing w:line="320" w:lineRule="exact"/>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bidi="ar"/>
              </w:rPr>
              <w:t xml:space="preserve">政府大楼核心交换机2台，（可支持万兆）万兆业务板块2块，原厂质保与升级，主要参数满足采购人当前网络及今后数年扩展需求。</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套</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w:t>
            </w:r>
            <w:r>
              <w:rPr>
                <w:rFonts w:ascii="Times New Roman" w:hAnsi="Times New Roman" w:eastAsia="宋体" w:cs="Times New Roman"/>
                <w:color w:val="000000"/>
                <w:highlight w:val="none"/>
              </w:rPr>
            </w:r>
            <w:r/>
          </w:p>
        </w:tc>
      </w:tr>
      <w:tr>
        <w:trPr>
          <w:trHeight w:val="721"/>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762"/>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接入交换机</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5037" w:type="dxa"/>
            <w:vAlign w:val="center"/>
            <w:textDirection w:val="lrTb"/>
            <w:noWrap w:val="false"/>
          </w:tcPr>
          <w:p>
            <w:pPr>
              <w:pStyle w:val="762"/>
              <w:jc w:val="left"/>
              <w:spacing w:line="320" w:lineRule="exact"/>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bidi="ar"/>
              </w:rPr>
              <w:t xml:space="preserve">政府大楼接入交换机服按需配置，支持VLAN划分，不少于千兆，提供原厂质保。主要用于区政府大楼和管委会大楼各楼层网络汇聚接入区设备更换，含电子政务外网与互联网。</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套</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30</w:t>
            </w:r>
            <w:r>
              <w:rPr>
                <w:rFonts w:ascii="Times New Roman" w:hAnsi="Times New Roman" w:eastAsia="宋体" w:cs="Times New Roman"/>
                <w:color w:val="000000"/>
                <w:highlight w:val="none"/>
              </w:rPr>
            </w:r>
            <w:r/>
          </w:p>
        </w:tc>
      </w:tr>
      <w:tr>
        <w:trPr>
          <w:trHeight w:val="721"/>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4</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762"/>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升级服务</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5037" w:type="dxa"/>
            <w:vAlign w:val="center"/>
            <w:textDirection w:val="lrTb"/>
            <w:noWrap w:val="false"/>
          </w:tcPr>
          <w:p>
            <w:pPr>
              <w:pStyle w:val="762"/>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bidi="ar"/>
              </w:rPr>
              <w:t xml:space="preserve">服务期内免费提供软件版本、漏洞和各类库的升级。</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项</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w:t>
            </w:r>
            <w:r>
              <w:rPr>
                <w:rFonts w:ascii="Times New Roman" w:hAnsi="Times New Roman" w:eastAsia="宋体" w:cs="Times New Roman"/>
                <w:color w:val="000000"/>
                <w:highlight w:val="none"/>
              </w:rPr>
            </w:r>
            <w:r/>
          </w:p>
        </w:tc>
      </w:tr>
      <w:tr>
        <w:trPr>
          <w:trHeight w:val="721"/>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5</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762"/>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巡检服务</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5037" w:type="dxa"/>
            <w:vAlign w:val="center"/>
            <w:textDirection w:val="lrTb"/>
            <w:noWrap w:val="false"/>
          </w:tcPr>
          <w:p>
            <w:pPr>
              <w:pStyle w:val="762"/>
              <w:jc w:val="left"/>
              <w:spacing w:line="320" w:lineRule="exact"/>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bidi="ar"/>
              </w:rPr>
              <w:t xml:space="preserve">服务期内免费提供例行巡检服务，排查设备隐患，修复设备漏洞，更新设备版本与特征库，巡检方式包括现场或者远程，每季度不少于1次。</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项</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w:t>
            </w:r>
            <w:r>
              <w:rPr>
                <w:rFonts w:ascii="Times New Roman" w:hAnsi="Times New Roman" w:eastAsia="宋体" w:cs="Times New Roman"/>
                <w:color w:val="000000"/>
                <w:highlight w:val="none"/>
              </w:rPr>
            </w:r>
            <w:r/>
          </w:p>
        </w:tc>
      </w:tr>
      <w:tr>
        <w:trPr>
          <w:trHeight w:val="721"/>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762"/>
              <w:jc w:val="center"/>
              <w:spacing w:line="48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6</w:t>
            </w:r>
            <w:r>
              <w:rPr>
                <w:rFonts w:hint="eastAsia" w:ascii="Times New Roman" w:hAnsi="Times New Roman" w:eastAsia="宋体" w:cs="Times New Roman"/>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762"/>
              <w:spacing w:line="480" w:lineRule="exact"/>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其他服务</w:t>
            </w:r>
            <w:r>
              <w:rPr>
                <w:rFonts w:ascii="Times New Roman" w:hAnsi="Times New Roman" w:eastAsia="宋体" w:cs="Times New Roman"/>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037" w:type="dxa"/>
            <w:vAlign w:val="center"/>
            <w:textDirection w:val="lrTb"/>
            <w:noWrap w:val="false"/>
          </w:tcPr>
          <w:p>
            <w:pPr>
              <w:pStyle w:val="762"/>
              <w:jc w:val="left"/>
              <w:spacing w:line="320" w:lineRule="exact"/>
              <w:widowControl/>
              <w:rPr>
                <w:rFonts w:hint="eastAsia"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服务期内须配合采购人开展各项网络安全工作，包含但不限于网络安全基础设施安装部署、网络安全运营保障等。</w:t>
            </w:r>
            <w:r>
              <w:rPr>
                <w:rFonts w:hint="eastAsia" w:ascii="Times New Roman" w:hAnsi="Times New Roman" w:eastAsia="宋体" w:cs="Times New Roman"/>
                <w:color w:val="00000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62"/>
              <w:jc w:val="center"/>
              <w:spacing w:line="48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项</w:t>
            </w:r>
            <w:r>
              <w:rPr>
                <w:rFonts w:hint="eastAsia" w:ascii="Times New Roman" w:hAnsi="Times New Roman" w:eastAsia="宋体" w:cs="Times New Roman"/>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762"/>
              <w:jc w:val="center"/>
              <w:spacing w:line="48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w:t>
            </w:r>
            <w:r>
              <w:rPr>
                <w:rFonts w:hint="eastAsia" w:ascii="Times New Roman" w:hAnsi="Times New Roman" w:eastAsia="宋体" w:cs="Times New Roman"/>
                <w:color w:val="000000"/>
                <w:highlight w:val="none"/>
                <w:lang w:val="en-US" w:eastAsia="zh-CN"/>
              </w:rPr>
            </w:r>
            <w:r/>
          </w:p>
        </w:tc>
      </w:tr>
    </w:tbl>
    <w:p>
      <w:pPr>
        <w:pStyle w:val="762"/>
        <w:ind w:firstLine="480"/>
        <w:spacing w:line="48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▲投标人需对如下内容作出承诺</w:t>
      </w:r>
      <w:r>
        <w:rPr>
          <w:rFonts w:hint="eastAsia" w:ascii="宋体" w:hAnsi="宋体" w:eastAsia="宋体" w:cs="Times New Roman"/>
          <w:color w:val="000000"/>
          <w:sz w:val="24"/>
          <w:szCs w:val="24"/>
          <w:highlight w:val="none"/>
        </w:rPr>
        <w:t xml:space="preserve">：在项目实施过程中，遇到接入单位办公场所变动、线路带宽调整、相应点位合署办公或机构撤并等情形，投标人需按照采购人要求开通或调试接入点位，确保成功接入电子政务外网。同时，投标人应全力配合采购人开展各项网络安全工作，包含但不限于网络安全基础设施安装部署、网络安全运营保障等相关事宜。</w:t>
      </w:r>
      <w:r>
        <w:rPr>
          <w:rFonts w:hint="eastAsia" w:ascii="宋体" w:hAnsi="宋体" w:eastAsia="宋体" w:cs="Times New Roman"/>
          <w:color w:val="000000"/>
          <w:sz w:val="24"/>
          <w:szCs w:val="24"/>
          <w:highlight w:val="none"/>
          <w:lang w:eastAsia="zh-CN"/>
        </w:rPr>
        <w:t xml:space="preserve">（投标文件中提供承诺</w:t>
      </w:r>
      <w:r>
        <w:rPr>
          <w:rFonts w:hint="eastAsia" w:ascii="宋体" w:hAnsi="宋体" w:eastAsia="宋体" w:cs="Times New Roman"/>
          <w:color w:val="000000"/>
          <w:sz w:val="24"/>
          <w:szCs w:val="24"/>
          <w:highlight w:val="none"/>
          <w:lang w:val="en-US" w:eastAsia="zh-CN"/>
        </w:rPr>
        <w:t xml:space="preserve">函加盖投标人公章</w:t>
      </w:r>
      <w:r>
        <w:rPr>
          <w:rFonts w:hint="eastAsia" w:ascii="宋体" w:hAnsi="宋体" w:eastAsia="宋体" w:cs="Times New Roman"/>
          <w:color w:val="000000"/>
          <w:sz w:val="24"/>
          <w:szCs w:val="24"/>
          <w:highlight w:val="none"/>
          <w:lang w:eastAsia="zh-CN"/>
        </w:rPr>
        <w:t xml:space="preserve">，格式自拟。）</w:t>
      </w:r>
      <w:r>
        <w:rPr>
          <w:rFonts w:hint="eastAsia" w:ascii="宋体" w:hAnsi="宋体" w:eastAsia="宋体" w:cs="Times New Roman"/>
          <w:color w:val="000000"/>
          <w:sz w:val="24"/>
          <w:szCs w:val="24"/>
          <w:highlight w:val="none"/>
          <w:lang w:eastAsia="zh-CN"/>
        </w:rPr>
      </w:r>
      <w:r/>
    </w:p>
    <w:p>
      <w:pPr>
        <w:pStyle w:val="762"/>
        <w:ind w:firstLine="560"/>
        <w:spacing w:line="48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2.服务要求</w:t>
      </w:r>
      <w:r>
        <w:rPr>
          <w:rFonts w:hint="eastAsia" w:ascii="Times New Roman" w:hAnsi="Times New Roman" w:eastAsia="黑体" w:cs="Times New Roman"/>
          <w:color w:val="000000"/>
          <w:sz w:val="28"/>
          <w:szCs w:val="24"/>
          <w:highlight w:val="none"/>
          <w:lang w:val="en-US" w:eastAsia="zh-CN"/>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2.1</w:t>
      </w:r>
      <w:r>
        <w:rPr>
          <w:rFonts w:hint="eastAsia" w:ascii="宋体" w:hAnsi="宋体" w:eastAsia="宋体" w:cs="宋体"/>
          <w:color w:val="000000"/>
          <w:sz w:val="24"/>
          <w:highlight w:val="none"/>
        </w:rPr>
        <w:t xml:space="preserve">总体服务要求</w:t>
      </w:r>
      <w:r>
        <w:rPr>
          <w:rFonts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（1）成立运维服务项目团队，并指定一名专职的项目经理协调沟通与调度。</w:t>
      </w:r>
      <w:r>
        <w:rPr>
          <w:rFonts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（2）提供日常事件管理、应急事件管理、问题管理和变更管理等相应的处理流程、机制，并应符合IT服务管理标准。</w:t>
      </w:r>
      <w:r>
        <w:rPr>
          <w:rFonts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szCs w:val="20"/>
          <w:highlight w:val="none"/>
          <w:lang w:val="en-US" w:eastAsia="zh-CN" w:bidi="ar-SA"/>
        </w:rPr>
        <w:t xml:space="preserve">中标供应商</w:t>
      </w:r>
      <w:r>
        <w:rPr>
          <w:rFonts w:hint="eastAsia" w:ascii="宋体" w:hAnsi="宋体" w:eastAsia="宋体" w:cs="宋体"/>
          <w:color w:val="000000"/>
          <w:sz w:val="24"/>
          <w:highlight w:val="none"/>
        </w:rPr>
        <w:t xml:space="preserve">应承诺提供7×24全天候技术支持响应，设立7×24技术支持热线电话，提供7×24不间断链路监控。</w:t>
      </w:r>
      <w:r>
        <w:rPr>
          <w:rFonts w:ascii="宋体" w:hAnsi="宋体" w:eastAsia="宋体" w:cs="宋体"/>
          <w:color w:val="000000"/>
          <w:sz w:val="24"/>
          <w:highlight w:val="none"/>
        </w:rPr>
      </w:r>
      <w:r/>
    </w:p>
    <w:p>
      <w:pPr>
        <w:pStyle w:val="762"/>
        <w:ind w:firstLine="480"/>
        <w:jc w:val="left"/>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（4）根据用户业务不同，提供不同的业务受理服务，投标方应提供完善的业务受理流程。</w:t>
      </w:r>
      <w:r>
        <w:rPr>
          <w:rFonts w:hint="eastAsia" w:ascii="宋体" w:hAnsi="宋体" w:eastAsia="宋体" w:cs="宋体"/>
          <w:color w:val="000000"/>
          <w:sz w:val="24"/>
          <w:highlight w:val="none"/>
        </w:rPr>
      </w:r>
      <w:r/>
    </w:p>
    <w:p>
      <w:pPr>
        <w:pStyle w:val="810"/>
        <w:ind w:firstLine="480"/>
        <w:keepLines w:val="0"/>
        <w:keepNext w:val="0"/>
        <w:pageBreakBefore w:val="0"/>
        <w:spacing w:line="480" w:lineRule="exact"/>
        <w:widowControl w:val="off"/>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本次招标所涉电子政务外网线路需满足省电子政务外网新建要求，除提供专线外还需提供配套路由器设备（部署于用户端，非ONU设备），设备能够直接被SDN平台纳管，并完成省、市数据局关于电子政务外网相关信息上报的要求。路由设备性能和功能均须能够满足用户侧日常访问电子政务外网的需求。</w:t>
      </w:r>
      <w:r>
        <w:rPr>
          <w:rFonts w:hint="eastAsia" w:ascii="宋体" w:hAnsi="宋体" w:cs="宋体"/>
          <w:color w:val="000000"/>
          <w:sz w:val="24"/>
          <w:highlight w:val="none"/>
          <w:lang w:eastAsia="zh-CN"/>
        </w:rPr>
      </w:r>
      <w:r/>
    </w:p>
    <w:p>
      <w:pPr>
        <w:pStyle w:val="762"/>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（6）中标供应商须积极配合采购人开展电子政务外网安全基础设施安装部署等相关工作。</w:t>
      </w:r>
      <w:r>
        <w:rPr>
          <w:rFonts w:hint="eastAsia" w:ascii="宋体" w:hAnsi="宋体" w:eastAsia="宋体" w:cs="宋体"/>
          <w:color w:val="000000"/>
          <w:sz w:val="24"/>
          <w:szCs w:val="20"/>
          <w:highlight w:val="none"/>
          <w:lang w:val="en-US" w:eastAsia="zh-CN" w:bidi="ar-SA"/>
        </w:rPr>
      </w:r>
      <w:r/>
    </w:p>
    <w:p>
      <w:pPr>
        <w:pStyle w:val="762"/>
        <w:ind w:firstLine="480"/>
        <w:keepLines w:val="0"/>
        <w:keepNext w:val="0"/>
        <w:pageBreakBefore w:val="0"/>
        <w:spacing w:line="480" w:lineRule="exact"/>
        <w:widowControl w:val="off"/>
        <w:rPr>
          <w:rFonts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（7）本项目所涉及的相关设备应满足国产技术路线及信创要求。</w:t>
      </w:r>
      <w:r>
        <w:rPr>
          <w:rFonts w:ascii="宋体" w:hAnsi="宋体" w:eastAsia="宋体" w:cs="宋体"/>
          <w:color w:val="000000"/>
          <w:sz w:val="24"/>
          <w:szCs w:val="20"/>
          <w:highlight w:val="none"/>
          <w:lang w:val="en-US" w:eastAsia="zh-CN" w:bidi="ar-SA"/>
        </w:rPr>
      </w:r>
      <w:r/>
    </w:p>
    <w:p>
      <w:pPr>
        <w:pStyle w:val="762"/>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8）对于招标要求未尽事宜，按照《关于加强全省“一张网”高质量建设管理有关工作的通知（苏数发〔2025〕42）》《江苏省新一代电子政务外网固定网络省市对接标准》《江苏省新一代电子政务外网建设指南》等相关规范要求执行。</w:t>
      </w:r>
      <w:r>
        <w:rPr>
          <w:rFonts w:hint="eastAsia" w:ascii="宋体" w:hAnsi="宋体" w:eastAsia="宋体" w:cs="宋体"/>
          <w:color w:val="000000"/>
          <w:sz w:val="24"/>
          <w:szCs w:val="20"/>
          <w:highlight w:val="none"/>
          <w:lang w:val="en-US" w:eastAsia="zh-CN" w:bidi="ar-SA"/>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运维管理要求</w:t>
      </w:r>
      <w:r>
        <w:rPr>
          <w:rFonts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（1）满足用户接入需求，5个工作日内完成用户光纤链路接入、链路拆改迁、链路升级工作、IP地址分配、数据规划配置和设备安装调试工作。重点工作任务和临时性任务按采购人要求时限完成。</w:t>
      </w:r>
      <w:r>
        <w:rPr>
          <w:rFonts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（2）定期完成重要用户接入设备的巡检及参数的备份工作，按采购人要求做好链路流量和运行状态的监控。</w:t>
      </w:r>
      <w:r>
        <w:rPr>
          <w:rFonts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3</w:t>
      </w:r>
      <w:r>
        <w:rPr>
          <w:rFonts w:hint="eastAsia" w:ascii="宋体" w:hAnsi="宋体" w:eastAsia="宋体" w:cs="宋体"/>
          <w:color w:val="000000"/>
          <w:sz w:val="24"/>
          <w:highlight w:val="none"/>
        </w:rPr>
        <w:t xml:space="preserve">）网络设备软件升级、线路割接、设备更换和检修等需要中断通信时，必须提前5天向采购人申请，内容包括中断原因、地点、设备、时间、影响用户范围以及完整的实施方案，待批准后实施。实施48小时前告知所涉及的用户。</w:t>
      </w:r>
      <w:r>
        <w:rPr>
          <w:rFonts w:ascii="宋体" w:hAnsi="宋体" w:eastAsia="宋体" w:cs="宋体"/>
          <w:color w:val="000000"/>
          <w:sz w:val="24"/>
          <w:highlight w:val="none"/>
        </w:rPr>
      </w:r>
      <w:r/>
    </w:p>
    <w:p>
      <w:pPr>
        <w:pStyle w:val="762"/>
        <w:ind w:firstLine="480"/>
        <w:jc w:val="left"/>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4</w:t>
      </w:r>
      <w:r>
        <w:rPr>
          <w:rFonts w:hint="eastAsia" w:ascii="宋体" w:hAnsi="宋体" w:eastAsia="宋体" w:cs="宋体"/>
          <w:color w:val="000000"/>
          <w:sz w:val="24"/>
          <w:highlight w:val="none"/>
        </w:rPr>
        <w:t xml:space="preserve">）做好我区重大活动期间的网络保障工作，做好各种保障方案预案，并严格落实。对重点链路要在活动保障前3天做好链路检测工作，查找风险并防范，同时在活动保障间加强重要部位的现场值守及重点链路的监控。</w:t>
      </w:r>
      <w:r>
        <w:rPr>
          <w:rFonts w:hint="eastAsia"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5</w:t>
      </w:r>
      <w:r>
        <w:rPr>
          <w:rFonts w:hint="eastAsia" w:ascii="宋体" w:hAnsi="宋体" w:eastAsia="宋体" w:cs="宋体"/>
          <w:color w:val="000000"/>
          <w:sz w:val="24"/>
          <w:highlight w:val="none"/>
        </w:rPr>
        <w:t xml:space="preserve">）配合建立接入用户满意度测评指标体系及满意度调查。</w:t>
      </w:r>
      <w:r>
        <w:rPr>
          <w:rFonts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6</w:t>
      </w:r>
      <w:r>
        <w:rPr>
          <w:rFonts w:hint="eastAsia" w:ascii="宋体" w:hAnsi="宋体" w:eastAsia="宋体" w:cs="宋体"/>
          <w:color w:val="000000"/>
          <w:sz w:val="24"/>
          <w:highlight w:val="none"/>
        </w:rPr>
        <w:t xml:space="preserve">）建立详细完备的用户维护资料、线路档案和运行维护档案。</w:t>
      </w:r>
      <w:r>
        <w:rPr>
          <w:rFonts w:ascii="宋体" w:hAnsi="宋体" w:eastAsia="宋体" w:cs="宋体"/>
          <w:color w:val="000000"/>
          <w:sz w:val="24"/>
          <w:highlight w:val="none"/>
        </w:rPr>
      </w:r>
      <w:r/>
    </w:p>
    <w:p>
      <w:pPr>
        <w:pStyle w:val="762"/>
        <w:ind w:firstLine="480"/>
        <w:jc w:val="left"/>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7</w:t>
      </w:r>
      <w:r>
        <w:rPr>
          <w:rFonts w:hint="eastAsia" w:ascii="宋体" w:hAnsi="宋体" w:eastAsia="宋体" w:cs="宋体"/>
          <w:color w:val="000000"/>
          <w:sz w:val="24"/>
          <w:highlight w:val="none"/>
        </w:rPr>
        <w:t xml:space="preserve">）按照运维服务技术要求，做好年度运维工作方案。同时，根据年度运维工作实际及业务实际需求，做好规划工作。</w:t>
      </w:r>
      <w:r>
        <w:rPr>
          <w:rFonts w:hint="eastAsia" w:ascii="宋体" w:hAnsi="宋体" w:eastAsia="宋体" w:cs="宋体"/>
          <w:color w:val="000000"/>
          <w:sz w:val="24"/>
          <w:highlight w:val="none"/>
        </w:rPr>
      </w:r>
      <w:r/>
    </w:p>
    <w:p>
      <w:pPr>
        <w:pStyle w:val="762"/>
        <w:ind w:firstLine="480"/>
        <w:jc w:val="left"/>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（8）按需召开运维例会，</w:t>
      </w:r>
      <w:r>
        <w:rPr>
          <w:rFonts w:hint="eastAsia" w:ascii="宋体" w:hAnsi="宋体" w:eastAsia="宋体" w:cs="宋体"/>
          <w:color w:val="000000"/>
          <w:sz w:val="24"/>
          <w:highlight w:val="none"/>
          <w:lang w:eastAsia="zh-CN"/>
        </w:rPr>
        <w:t xml:space="preserve">按季度提供</w:t>
      </w:r>
      <w:r>
        <w:rPr>
          <w:rFonts w:hint="eastAsia" w:ascii="宋体" w:hAnsi="宋体" w:eastAsia="宋体" w:cs="宋体"/>
          <w:color w:val="000000"/>
          <w:sz w:val="24"/>
          <w:highlight w:val="none"/>
        </w:rPr>
        <w:t xml:space="preserve">运行维护报告。</w:t>
      </w:r>
      <w:r>
        <w:rPr>
          <w:rFonts w:hint="eastAsia" w:ascii="宋体" w:hAnsi="宋体" w:eastAsia="宋体" w:cs="宋体"/>
          <w:color w:val="000000"/>
          <w:sz w:val="24"/>
          <w:highlight w:val="none"/>
        </w:rPr>
      </w:r>
      <w:r/>
    </w:p>
    <w:p>
      <w:pPr>
        <w:pStyle w:val="762"/>
        <w:ind w:firstLine="560"/>
        <w:spacing w:line="48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3.故障处理与应急要求</w:t>
      </w:r>
      <w:r>
        <w:rPr>
          <w:rFonts w:hint="eastAsia" w:ascii="Times New Roman" w:hAnsi="Times New Roman" w:eastAsia="黑体" w:cs="Times New Roman"/>
          <w:color w:val="000000"/>
          <w:sz w:val="28"/>
          <w:szCs w:val="24"/>
          <w:highlight w:val="none"/>
          <w:lang w:val="en-US" w:eastAsia="zh-CN"/>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rPr>
        <w:t xml:space="preserve">故障处理要求</w:t>
      </w:r>
      <w:r>
        <w:rPr>
          <w:rFonts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故障响应率（指统计周期内，故障响应回复次数/故障申告次数×100%，统计周期为1年）达到100%；故障恢复率（指统计周期内，恢复的故障次数/故障总次数×100%，统计周期为1年）达到100%；故障恢复及时率（指针对节点故障，及时恢复的故障次数/故障总次数×100%，统计周期为1年）达到95%。</w:t>
      </w:r>
      <w:r>
        <w:rPr>
          <w:rFonts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（2）提供完善故障处理流程及反馈制度，及时处理和恢复故障，并进行总结分析，制定故障预防措施。出现重大故障，及时启动应急预案，事后将应急预案执行情况报告、重大故障处理报告上报采购人备案。</w:t>
      </w:r>
      <w:r>
        <w:rPr>
          <w:rFonts w:ascii="宋体" w:hAnsi="宋体" w:eastAsia="宋体" w:cs="宋体"/>
          <w:color w:val="000000"/>
          <w:sz w:val="24"/>
          <w:highlight w:val="none"/>
        </w:rPr>
      </w:r>
      <w:r/>
    </w:p>
    <w:p>
      <w:pPr>
        <w:pStyle w:val="762"/>
        <w:ind w:firstLine="480"/>
        <w:jc w:val="left"/>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（3）在所提供的汇聚设备发生持续10分钟以上的中断时，在30分钟之内通知所影响的用户，并给出初步的故障判断报告，故障应在2小时内排除。</w:t>
      </w:r>
      <w:r>
        <w:rPr>
          <w:rFonts w:hint="eastAsia"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3.2</w:t>
      </w:r>
      <w:r>
        <w:rPr>
          <w:rFonts w:hint="eastAsia" w:ascii="宋体" w:hAnsi="宋体" w:eastAsia="宋体" w:cs="宋体"/>
          <w:color w:val="000000"/>
          <w:sz w:val="24"/>
          <w:highlight w:val="none"/>
        </w:rPr>
        <w:t xml:space="preserve">备品备件要求</w:t>
      </w:r>
      <w:r>
        <w:rPr>
          <w:rFonts w:ascii="宋体" w:hAnsi="宋体" w:eastAsia="宋体" w:cs="宋体"/>
          <w:color w:val="000000"/>
          <w:sz w:val="24"/>
          <w:highlight w:val="none"/>
        </w:rPr>
      </w:r>
      <w:r/>
    </w:p>
    <w:p>
      <w:pPr>
        <w:pStyle w:val="762"/>
        <w:ind w:firstLine="480"/>
        <w:jc w:val="left"/>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提供接入层各类接入设备备件，备品率不低于在线运行设备的5%。</w:t>
      </w:r>
      <w:r>
        <w:rPr>
          <w:rFonts w:hint="eastAsia"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应急工作要求</w:t>
      </w:r>
      <w:r>
        <w:rPr>
          <w:rFonts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（1）完善的应急预案体系。实行用户分级管理，确保突发事件和重要时期的链路畅通。</w:t>
      </w:r>
      <w:r>
        <w:rPr>
          <w:rFonts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（2）完善的重大故障解决方案。网络重要设备出现故障时及时更换。故障排除后，提交重大故障处置报告。</w:t>
      </w:r>
      <w:r>
        <w:rPr>
          <w:rFonts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提交应急预案。预案应包含值班安排、人员安排、车辆安排、备品备件安排、事件处置预案、信息报送等内容。制定合理、可行的应急演练方案，并做好重要用户链路故障应急演练，检验故障处理能力及相关信息报送流程。演练结束后总结经验，编制总结报告，提交采购人。</w:t>
      </w:r>
      <w:r>
        <w:rPr>
          <w:rFonts w:ascii="宋体" w:hAnsi="宋体" w:eastAsia="宋体" w:cs="宋体"/>
          <w:color w:val="000000"/>
          <w:sz w:val="24"/>
          <w:highlight w:val="none"/>
        </w:rPr>
      </w:r>
      <w:r/>
    </w:p>
    <w:p>
      <w:pPr>
        <w:pStyle w:val="762"/>
        <w:ind w:firstLine="560"/>
        <w:spacing w:line="48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4.线路接入要求</w:t>
      </w:r>
      <w:r>
        <w:rPr>
          <w:rFonts w:hint="eastAsia" w:ascii="Times New Roman" w:hAnsi="Times New Roman" w:eastAsia="黑体" w:cs="Times New Roman"/>
          <w:color w:val="000000"/>
          <w:sz w:val="28"/>
          <w:szCs w:val="24"/>
          <w:highlight w:val="none"/>
          <w:lang w:val="en-US" w:eastAsia="zh-CN"/>
        </w:rPr>
      </w:r>
      <w:r/>
    </w:p>
    <w:p>
      <w:pPr>
        <w:pStyle w:val="807"/>
        <w:ind w:left="0" w:right="0" w:firstLine="480"/>
        <w:keepLines w:val="0"/>
        <w:keepNext w:val="0"/>
        <w:pageBreakBefore w:val="0"/>
        <w:spacing w:before="0" w:beforeAutospacing="0" w:after="0" w:afterAutospacing="0" w:line="480" w:lineRule="exact"/>
        <w:shd w:val="clear" w:color="auto" w:fill="auto"/>
        <w:widowControl/>
        <w:rPr>
          <w:rFonts w:hint="eastAsia" w:ascii="宋体" w:hAnsi="宋体" w:eastAsia="宋体" w:cs="宋体"/>
          <w:color w:val="000000"/>
          <w:sz w:val="24"/>
          <w:szCs w:val="21"/>
          <w:highlight w:val="none"/>
          <w:lang w:val="en-US" w:eastAsia="zh-CN" w:bidi="ar-SA"/>
        </w:rPr>
        <w:suppressLineNumbers w:val="0"/>
      </w:pPr>
      <w:r>
        <w:rPr>
          <w:rFonts w:hint="eastAsia" w:ascii="宋体" w:hAnsi="宋体" w:eastAsia="宋体" w:cs="宋体"/>
          <w:color w:val="000000"/>
          <w:sz w:val="24"/>
          <w:szCs w:val="21"/>
          <w:highlight w:val="none"/>
          <w:lang w:val="en-US" w:eastAsia="zh-CN" w:bidi="ar-SA"/>
        </w:rPr>
        <w:t xml:space="preserve">本项目涉及的电子政务外网线路覆盖姜堰区所有机关部门、镇（街道）、村（社区）、学校、医院及相关企事业单位，线路</w:t>
      </w:r>
      <w:r>
        <w:rPr>
          <w:rFonts w:ascii="宋体" w:hAnsi="宋体" w:eastAsia="宋体" w:cs="宋体"/>
          <w:color w:val="000000"/>
          <w:sz w:val="24"/>
          <w:szCs w:val="21"/>
          <w:highlight w:val="none"/>
          <w:lang w:val="en-US" w:eastAsia="zh-CN" w:bidi="ar-SA"/>
        </w:rPr>
        <w:t xml:space="preserve">预估数量如下：1000M线路6条、200M线路15条、100M线路56条、50M线路320条。</w:t>
      </w:r>
      <w:r>
        <w:rPr>
          <w:rFonts w:hint="eastAsia" w:ascii="宋体" w:hAnsi="宋体" w:eastAsia="宋体" w:cs="宋体"/>
          <w:color w:val="000000"/>
          <w:sz w:val="24"/>
          <w:szCs w:val="21"/>
          <w:highlight w:val="none"/>
          <w:lang w:val="en-US" w:eastAsia="zh-CN" w:bidi="ar-SA"/>
        </w:rPr>
        <w:t xml:space="preserve">具体接入点位、数量及带宽标准以采购人实际需求为准。</w:t>
      </w:r>
      <w:r>
        <w:rPr>
          <w:rFonts w:hint="eastAsia" w:ascii="宋体" w:hAnsi="宋体" w:eastAsia="宋体" w:cs="宋体"/>
          <w:color w:val="000000"/>
          <w:sz w:val="24"/>
          <w:szCs w:val="21"/>
          <w:highlight w:val="none"/>
          <w:lang w:val="en-US" w:eastAsia="zh-CN" w:bidi="ar-SA"/>
        </w:rPr>
      </w:r>
      <w:r/>
    </w:p>
    <w:p>
      <w:pPr>
        <w:pStyle w:val="807"/>
        <w:ind w:left="0" w:right="0" w:firstLine="482"/>
        <w:keepLines w:val="0"/>
        <w:keepNext w:val="0"/>
        <w:pageBreakBefore w:val="0"/>
        <w:spacing w:before="0" w:beforeAutospacing="0" w:after="0" w:afterAutospacing="0" w:line="480" w:lineRule="exact"/>
        <w:shd w:val="clear" w:color="auto" w:fill="auto"/>
        <w:widowControl/>
        <w:rPr>
          <w:rFonts w:hint="eastAsia" w:ascii="宋体" w:hAnsi="宋体" w:eastAsia="宋体" w:cs="宋体"/>
          <w:color w:val="000000"/>
          <w:sz w:val="24"/>
          <w:highlight w:val="none"/>
        </w:rPr>
        <w:suppressLineNumbers w:val="0"/>
      </w:pPr>
      <w:r>
        <w:rPr>
          <w:rFonts w:ascii="宋体" w:hAnsi="宋体" w:eastAsia="宋体" w:cs="宋体"/>
          <w:b/>
          <w:bCs/>
          <w:color w:val="000000"/>
          <w:sz w:val="24"/>
          <w:szCs w:val="21"/>
          <w:highlight w:val="none"/>
          <w:lang w:val="en-US" w:eastAsia="zh-CN" w:bidi="ar-SA"/>
        </w:rPr>
        <w:t xml:space="preserve">特别说明：</w:t>
      </w:r>
      <w:r>
        <w:rPr>
          <w:rFonts w:ascii="宋体" w:hAnsi="宋体" w:eastAsia="宋体" w:cs="宋体"/>
          <w:color w:val="000000"/>
          <w:sz w:val="24"/>
          <w:szCs w:val="21"/>
          <w:highlight w:val="none"/>
          <w:lang w:val="en-US" w:eastAsia="zh-CN" w:bidi="ar-SA"/>
        </w:rPr>
        <w:t xml:space="preserve">在项目服务期内，采购人有权根据网络规划、场地调整、合并办公等实际情况，对上述预估数量进行不超过±8%的调整。投标人在进行报价时，应充分考虑此项因素，将±8%范围内的数量浮动风险纳入总价考量。在此调整范围内，无论最终实际开通的线路数量较预估数量增加或减少，合同总价均不作调整。</w:t>
      </w:r>
      <w:r>
        <w:rPr>
          <w:rFonts w:hint="eastAsia" w:ascii="宋体" w:hAnsi="宋体" w:eastAsia="宋体" w:cs="宋体"/>
          <w:color w:val="000000"/>
          <w:sz w:val="24"/>
          <w:highlight w:val="none"/>
        </w:rPr>
      </w:r>
      <w:r/>
    </w:p>
    <w:p>
      <w:pPr>
        <w:pStyle w:val="762"/>
        <w:ind w:firstLine="560"/>
        <w:keepLines w:val="0"/>
        <w:keepNext w:val="0"/>
        <w:pageBreakBefore w:val="0"/>
        <w:spacing w:line="46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五、商务要求</w:t>
      </w:r>
      <w:r>
        <w:rPr>
          <w:rFonts w:hint="eastAsia" w:ascii="Times New Roman" w:hAnsi="Times New Roman" w:eastAsia="黑体" w:cs="Times New Roman"/>
          <w:color w:val="000000"/>
          <w:sz w:val="28"/>
          <w:szCs w:val="24"/>
          <w:highlight w:val="none"/>
          <w:lang w:val="en-US" w:eastAsia="zh-CN"/>
        </w:rPr>
      </w:r>
      <w:r/>
    </w:p>
    <w:p>
      <w:pPr>
        <w:pStyle w:val="762"/>
        <w:ind w:firstLine="560"/>
        <w:keepLines w:val="0"/>
        <w:keepNext w:val="0"/>
        <w:pageBreakBefore w:val="0"/>
        <w:spacing w:line="46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1.履约保证金</w:t>
      </w:r>
      <w:r>
        <w:rPr>
          <w:rFonts w:hint="eastAsia" w:ascii="Times New Roman" w:hAnsi="Times New Roman" w:eastAsia="黑体" w:cs="Times New Roman"/>
          <w:color w:val="000000"/>
          <w:sz w:val="28"/>
          <w:szCs w:val="24"/>
          <w:highlight w:val="none"/>
          <w:lang w:val="en-US" w:eastAsia="zh-CN"/>
        </w:rPr>
      </w:r>
      <w:r/>
    </w:p>
    <w:p>
      <w:pPr>
        <w:pStyle w:val="762"/>
        <w:ind w:firstLine="482"/>
        <w:keepLines w:val="0"/>
        <w:keepNext w:val="0"/>
        <w:pageBreakBefore w:val="0"/>
        <w:spacing w:line="4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本项目不收取履约保证金。</w:t>
      </w:r>
      <w:r>
        <w:rPr>
          <w:rFonts w:hint="eastAsia" w:ascii="Times New Roman" w:hAnsi="Times New Roman" w:eastAsia="宋体" w:cs="Times New Roman"/>
          <w:color w:val="000000"/>
          <w:sz w:val="24"/>
          <w:szCs w:val="24"/>
          <w:highlight w:val="none"/>
        </w:rPr>
      </w:r>
      <w:r/>
    </w:p>
    <w:p>
      <w:pPr>
        <w:pStyle w:val="762"/>
        <w:ind w:firstLine="560"/>
        <w:keepLines w:val="0"/>
        <w:keepNext w:val="0"/>
        <w:pageBreakBefore w:val="0"/>
        <w:spacing w:line="46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2.绩效考核</w:t>
      </w:r>
      <w:r>
        <w:rPr>
          <w:rFonts w:hint="eastAsia" w:ascii="Times New Roman" w:hAnsi="Times New Roman" w:eastAsia="黑体" w:cs="Times New Roman"/>
          <w:color w:val="000000"/>
          <w:sz w:val="28"/>
          <w:szCs w:val="24"/>
          <w:highlight w:val="none"/>
          <w:lang w:val="en-US" w:eastAsia="zh-CN"/>
        </w:rPr>
      </w:r>
      <w:r/>
    </w:p>
    <w:p>
      <w:pPr>
        <w:pStyle w:val="762"/>
        <w:ind w:firstLine="482"/>
        <w:keepLines w:val="0"/>
        <w:keepNext w:val="0"/>
        <w:pageBreakBefore w:val="0"/>
        <w:spacing w:line="46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为确保中标供应商提供的线路及配套服务符合项目建设标准与我方工作要求，采购人按年度开展服务绩效考核工作。绩效考核实行百分制，考核结果与年度服务费用直接挂钩。采购人根据考核细则中的对应标准对供应商进行扣分处理，并依据扣分结果核减相应款项，年度考核扣款总额不超过当年度合同金额的10%。</w:t>
      </w:r>
      <w:r>
        <w:rPr>
          <w:rFonts w:hint="eastAsia" w:ascii="Times New Roman" w:hAnsi="Times New Roman" w:eastAsia="宋体" w:cs="Times New Roman"/>
          <w:color w:val="000000"/>
          <w:sz w:val="24"/>
          <w:szCs w:val="24"/>
          <w:highlight w:val="none"/>
          <w:lang w:val="en-US" w:eastAsia="zh-CN"/>
        </w:rPr>
      </w:r>
      <w:r/>
    </w:p>
    <w:p>
      <w:pPr>
        <w:pStyle w:val="762"/>
        <w:ind w:firstLine="560"/>
        <w:keepLines w:val="0"/>
        <w:keepNext w:val="0"/>
        <w:pageBreakBefore w:val="0"/>
        <w:spacing w:line="46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3.付款方式</w:t>
      </w:r>
      <w:r>
        <w:rPr>
          <w:rFonts w:hint="eastAsia" w:ascii="Times New Roman" w:hAnsi="Times New Roman" w:eastAsia="黑体" w:cs="Times New Roman"/>
          <w:color w:val="000000"/>
          <w:sz w:val="28"/>
          <w:szCs w:val="24"/>
          <w:highlight w:val="none"/>
          <w:lang w:val="en-US" w:eastAsia="zh-CN"/>
        </w:rPr>
      </w:r>
      <w:r/>
    </w:p>
    <w:p>
      <w:pPr>
        <w:pStyle w:val="762"/>
        <w:ind w:firstLine="482"/>
        <w:keepLines w:val="0"/>
        <w:keepNext w:val="0"/>
        <w:pageBreakBefore w:val="0"/>
        <w:spacing w:line="4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每年度合同签订后，采购人支付当年合同金额50%的预付款；每年11月30日之前，采购人支付该年度合同金额的40%；每年度合同期满，采购人将根据项目考核结果，按约定支付剩余款项。</w:t>
      </w:r>
      <w:r>
        <w:rPr>
          <w:rFonts w:hint="eastAsia" w:ascii="Times New Roman" w:hAnsi="Times New Roman" w:eastAsia="宋体" w:cs="Times New Roman"/>
          <w:color w:val="000000"/>
          <w:sz w:val="24"/>
          <w:szCs w:val="24"/>
          <w:highlight w:val="none"/>
        </w:rPr>
      </w:r>
      <w:r/>
    </w:p>
    <w:p>
      <w:pPr>
        <w:pStyle w:val="762"/>
        <w:ind w:firstLine="482"/>
        <w:keepLines w:val="0"/>
        <w:keepNext w:val="0"/>
        <w:pageBreakBefore w:val="0"/>
        <w:spacing w:line="4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中标人应当在规定时间节点及时提供有效发票，采购人自收到发票后15个工作日内将资金支付到指定的供应商账户。</w:t>
      </w:r>
      <w:r>
        <w:rPr>
          <w:rFonts w:hint="eastAsia" w:ascii="Times New Roman" w:hAnsi="Times New Roman" w:eastAsia="宋体" w:cs="Times New Roman"/>
          <w:color w:val="000000"/>
          <w:sz w:val="24"/>
          <w:szCs w:val="24"/>
          <w:highlight w:val="none"/>
        </w:rPr>
      </w:r>
      <w:r/>
    </w:p>
    <w:p>
      <w:pPr>
        <w:pStyle w:val="762"/>
        <w:ind w:firstLine="560"/>
        <w:keepLines w:val="0"/>
        <w:keepNext w:val="0"/>
        <w:pageBreakBefore w:val="0"/>
        <w:spacing w:line="46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4.服务期限</w:t>
      </w:r>
      <w:r>
        <w:rPr>
          <w:rFonts w:hint="eastAsia" w:ascii="Times New Roman" w:hAnsi="Times New Roman" w:eastAsia="黑体" w:cs="Times New Roman"/>
          <w:color w:val="000000"/>
          <w:sz w:val="28"/>
          <w:szCs w:val="24"/>
          <w:highlight w:val="none"/>
          <w:lang w:val="en-US" w:eastAsia="zh-CN"/>
        </w:rPr>
      </w:r>
      <w:r/>
    </w:p>
    <w:p>
      <w:pPr>
        <w:pStyle w:val="762"/>
        <w:ind w:firstLine="480"/>
        <w:jc w:val="left"/>
        <w:keepLines w:val="0"/>
        <w:keepNext w:val="0"/>
        <w:pageBreakBefore w:val="0"/>
        <w:spacing w:line="460" w:lineRule="exact"/>
        <w:widowControl/>
        <w:rPr>
          <w:rFonts w:hint="eastAsia"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bidi="ar-SA"/>
        </w:rPr>
        <w:t xml:space="preserve">服务期限自首年合同签订之日起三年。合同一年一签，年度考核合格后，签订下一年度合同。</w:t>
      </w:r>
      <w:r>
        <w:rPr>
          <w:rFonts w:hint="eastAsia" w:ascii="Times New Roman" w:hAnsi="Times New Roman" w:eastAsia="宋体" w:cs="Times New Roman"/>
          <w:color w:val="000000"/>
          <w:sz w:val="24"/>
          <w:szCs w:val="24"/>
          <w:highlight w:val="none"/>
          <w:lang w:val="en-US" w:eastAsia="zh-CN"/>
        </w:rPr>
      </w:r>
      <w:r/>
    </w:p>
    <w:p>
      <w:pPr>
        <w:pStyle w:val="762"/>
        <w:ind w:firstLine="560"/>
        <w:keepLines w:val="0"/>
        <w:keepNext w:val="0"/>
        <w:pageBreakBefore w:val="0"/>
        <w:spacing w:line="46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5.项目验收要求</w:t>
      </w:r>
      <w:r>
        <w:rPr>
          <w:rFonts w:hint="eastAsia" w:ascii="Times New Roman" w:hAnsi="Times New Roman" w:eastAsia="黑体" w:cs="Times New Roman"/>
          <w:color w:val="000000"/>
          <w:sz w:val="28"/>
          <w:szCs w:val="24"/>
          <w:highlight w:val="none"/>
          <w:lang w:val="en-US" w:eastAsia="zh-CN"/>
        </w:rPr>
      </w:r>
      <w:r/>
    </w:p>
    <w:p>
      <w:pPr>
        <w:pStyle w:val="762"/>
        <w:ind w:firstLine="482"/>
        <w:keepLines w:val="0"/>
        <w:keepNext w:val="0"/>
        <w:pageBreakBefore w:val="0"/>
        <w:spacing w:line="46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采购文件、投标（响应）文件、厂家服务标准说明及有关国家的服务标准规定，均作为服务确认（验收）标准。服务确认（验收）合格后，中标（成交）供应商凭用户出具的服务合格书至采购人处根据合同规定办理付款手续。</w:t>
      </w:r>
      <w:r>
        <w:rPr>
          <w:rFonts w:ascii="Times New Roman" w:hAnsi="Times New Roman" w:eastAsia="宋体" w:cs="Times New Roman"/>
          <w:color w:val="000000"/>
          <w:sz w:val="24"/>
          <w:szCs w:val="24"/>
          <w:highlight w:val="none"/>
        </w:rPr>
      </w:r>
      <w:r/>
    </w:p>
    <w:p>
      <w:pPr>
        <w:pStyle w:val="762"/>
        <w:ind w:firstLine="560"/>
        <w:spacing w:line="48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六、其他要求</w:t>
      </w:r>
      <w:r>
        <w:rPr>
          <w:rFonts w:hint="eastAsia" w:ascii="Times New Roman" w:hAnsi="Times New Roman" w:eastAsia="黑体" w:cs="Times New Roman"/>
          <w:color w:val="000000"/>
          <w:sz w:val="28"/>
          <w:szCs w:val="24"/>
          <w:highlight w:val="none"/>
          <w:lang w:val="en-US" w:eastAsia="zh-CN"/>
        </w:rPr>
      </w:r>
      <w:r/>
    </w:p>
    <w:p>
      <w:pPr>
        <w:pStyle w:val="762"/>
        <w:ind w:firstLine="560"/>
        <w:spacing w:line="480" w:lineRule="exact"/>
        <w:rPr>
          <w:rFonts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1.项目属性：</w:t>
      </w:r>
      <w:r>
        <w:rPr>
          <w:rFonts w:hint="eastAsia" w:ascii="宋体" w:hAnsi="宋体" w:eastAsia="宋体" w:cs="宋体"/>
          <w:b w:val="0"/>
          <w:bCs w:val="0"/>
          <w:color w:val="000000"/>
          <w:sz w:val="24"/>
          <w:szCs w:val="22"/>
          <w:highlight w:val="none"/>
          <w:lang w:val="en-US" w:eastAsia="zh-CN"/>
        </w:rPr>
        <w:t xml:space="preserve">服务类项目</w:t>
      </w:r>
      <w:r>
        <w:rPr>
          <w:rFonts w:ascii="Times New Roman" w:hAnsi="Times New Roman" w:eastAsia="黑体" w:cs="Times New Roman"/>
          <w:color w:val="000000"/>
          <w:sz w:val="28"/>
          <w:szCs w:val="24"/>
          <w:highlight w:val="none"/>
          <w:lang w:val="en-US" w:eastAsia="zh-CN"/>
        </w:rPr>
      </w:r>
      <w:r/>
    </w:p>
    <w:p>
      <w:pPr>
        <w:pStyle w:val="762"/>
        <w:ind w:firstLine="560"/>
        <w:spacing w:line="48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2.政府绿色采购相关要求</w:t>
      </w:r>
      <w:r>
        <w:rPr>
          <w:rFonts w:hint="eastAsia" w:ascii="Times New Roman" w:hAnsi="Times New Roman" w:eastAsia="黑体" w:cs="Times New Roman"/>
          <w:color w:val="000000"/>
          <w:sz w:val="28"/>
          <w:szCs w:val="24"/>
          <w:highlight w:val="none"/>
          <w:lang w:val="en-US" w:eastAsia="zh-CN"/>
        </w:rPr>
      </w:r>
      <w:r/>
    </w:p>
    <w:p>
      <w:pPr>
        <w:pStyle w:val="762"/>
        <w:ind w:left="0" w:firstLine="480"/>
        <w:keepLines w:val="0"/>
        <w:keepNext w:val="0"/>
        <w:pageBreakBefore w:val="0"/>
        <w:spacing w:line="480" w:lineRule="exact"/>
        <w:widowControl w:val="off"/>
        <w:rPr>
          <w:rFonts w:ascii="宋体" w:hAnsi="宋体" w:eastAsia="宋体" w:cs="方正仿宋_GBK"/>
          <w:color w:val="000000"/>
          <w:sz w:val="24"/>
          <w:szCs w:val="24"/>
          <w:highlight w:val="none"/>
          <w:lang w:val="en-US" w:eastAsia="zh-CN"/>
        </w:rPr>
      </w:pPr>
      <w:r>
        <w:rPr>
          <w:rFonts w:hint="eastAsia" w:ascii="宋体" w:hAnsi="宋体" w:eastAsia="宋体" w:cs="方正仿宋_GBK"/>
          <w:color w:val="000000"/>
          <w:sz w:val="24"/>
          <w:szCs w:val="24"/>
          <w:highlight w:val="none"/>
          <w:lang w:val="en-US" w:eastAsia="zh-CN"/>
        </w:rPr>
        <w:t xml:space="preserve">（1）</w:t>
      </w:r>
      <w:r>
        <w:rPr>
          <w:rFonts w:ascii="宋体" w:hAnsi="宋体" w:eastAsia="宋体" w:cs="方正仿宋_GBK"/>
          <w:color w:val="000000"/>
          <w:sz w:val="24"/>
          <w:szCs w:val="24"/>
          <w:highlight w:val="none"/>
          <w:lang w:val="en-US" w:eastAsia="zh-CN"/>
        </w:rPr>
        <w:t xml:space="preserve">本项目中如有涉及商品包装、快递包装要求的，应当按《关于印发〈商品包装政府采购需求标准（试行）〉、〈快递包装政府采购需求标准（试行）〉的通知》（财办库〔2020〕123号）文件执行。采购人对商品包装和快递包装提出具体要求的，在政府采购合同中应当载明对政府采购供应商提供产品及相关快递服务的具体包装要求和履约验收相关条款，</w:t>
      </w:r>
      <w:r>
        <w:rPr>
          <w:rFonts w:hint="eastAsia" w:ascii="宋体" w:hAnsi="宋体" w:eastAsia="宋体" w:cs="方正仿宋_GBK"/>
          <w:color w:val="000000"/>
          <w:sz w:val="24"/>
          <w:szCs w:val="24"/>
          <w:highlight w:val="none"/>
          <w:lang w:val="en-US" w:eastAsia="zh-CN"/>
        </w:rPr>
        <w:t xml:space="preserve">中标（成交）</w:t>
      </w:r>
      <w:r>
        <w:rPr>
          <w:rFonts w:ascii="宋体" w:hAnsi="宋体" w:eastAsia="宋体" w:cs="方正仿宋_GBK"/>
          <w:color w:val="000000"/>
          <w:sz w:val="24"/>
          <w:szCs w:val="24"/>
          <w:highlight w:val="none"/>
          <w:lang w:val="en-US" w:eastAsia="zh-CN"/>
        </w:rPr>
        <w:t xml:space="preserve">供应商须严格执行，必要时应按照要求在履约验收环节出具检测报告。</w:t>
      </w:r>
      <w:r>
        <w:rPr>
          <w:rFonts w:ascii="宋体" w:hAnsi="宋体" w:eastAsia="宋体" w:cs="方正仿宋_GBK"/>
          <w:color w:val="000000"/>
          <w:sz w:val="24"/>
          <w:szCs w:val="24"/>
          <w:highlight w:val="none"/>
          <w:lang w:val="en-US" w:eastAsia="zh-CN"/>
        </w:rPr>
      </w:r>
      <w:r/>
    </w:p>
    <w:p>
      <w:pPr>
        <w:pStyle w:val="762"/>
        <w:ind w:left="0" w:firstLine="480"/>
        <w:keepLines w:val="0"/>
        <w:keepNext w:val="0"/>
        <w:pageBreakBefore w:val="0"/>
        <w:spacing w:line="480" w:lineRule="exact"/>
        <w:widowControl w:val="off"/>
        <w:rPr>
          <w:rFonts w:ascii="宋体" w:hAnsi="宋体" w:eastAsia="宋体" w:cs="方正仿宋_GBK"/>
          <w:color w:val="000000"/>
          <w:sz w:val="24"/>
          <w:szCs w:val="24"/>
          <w:highlight w:val="none"/>
          <w:lang w:val="en-US" w:eastAsia="zh-CN"/>
        </w:rPr>
      </w:pPr>
      <w:r>
        <w:rPr>
          <w:rFonts w:hint="eastAsia" w:ascii="宋体" w:hAnsi="宋体" w:eastAsia="宋体" w:cs="方正仿宋_GBK"/>
          <w:color w:val="000000"/>
          <w:sz w:val="24"/>
          <w:szCs w:val="24"/>
          <w:highlight w:val="none"/>
          <w:lang w:val="en-US" w:eastAsia="zh-CN"/>
        </w:rPr>
        <w:t xml:space="preserve">（2）</w:t>
      </w:r>
      <w:r>
        <w:rPr>
          <w:rFonts w:ascii="宋体" w:hAnsi="宋体" w:eastAsia="宋体" w:cs="方正仿宋_GBK"/>
          <w:color w:val="000000"/>
          <w:sz w:val="24"/>
          <w:szCs w:val="24"/>
          <w:highlight w:val="none"/>
          <w:lang w:val="en-US" w:eastAsia="zh-CN"/>
        </w:rPr>
        <w:t xml:space="preserve">本项目中如有涉及采购数据中心相关设备、运维服务的，应当按《关于印发〈绿色数据中心政府采购需求标准（试行）〉的通知》（财办库〔2023〕7号）文件执行。在政府采购合同中，采购人应明确对相关指标的验收方式和违约责任，中标（成交）供应商应按合同约定提供设备或服务。</w:t>
      </w:r>
      <w:r>
        <w:rPr>
          <w:rFonts w:ascii="宋体" w:hAnsi="宋体" w:eastAsia="宋体" w:cs="方正仿宋_GBK"/>
          <w:color w:val="000000"/>
          <w:sz w:val="24"/>
          <w:szCs w:val="24"/>
          <w:highlight w:val="none"/>
          <w:lang w:val="en-US" w:eastAsia="zh-CN"/>
        </w:rPr>
      </w:r>
      <w:r/>
    </w:p>
    <w:p>
      <w:pPr>
        <w:pStyle w:val="762"/>
        <w:ind w:left="0" w:firstLine="480"/>
        <w:keepLines w:val="0"/>
        <w:keepNext w:val="0"/>
        <w:pageBreakBefore w:val="0"/>
        <w:spacing w:line="480" w:lineRule="exact"/>
        <w:widowControl w:val="off"/>
        <w:rPr>
          <w:rFonts w:hint="eastAsia" w:ascii="Times New Roman" w:hAnsi="Times New Roman" w:eastAsia="宋体" w:cs="Times New Roman"/>
          <w:color w:val="000000"/>
          <w:sz w:val="24"/>
          <w:szCs w:val="24"/>
          <w:highlight w:val="none"/>
        </w:rPr>
      </w:pPr>
      <w:r>
        <w:rPr>
          <w:rFonts w:hint="eastAsia" w:ascii="宋体" w:hAnsi="宋体" w:eastAsia="宋体" w:cs="方正仿宋_GBK"/>
          <w:color w:val="000000"/>
          <w:sz w:val="24"/>
          <w:szCs w:val="24"/>
          <w:highlight w:val="none"/>
          <w:lang w:val="en-US" w:eastAsia="zh-CN"/>
        </w:rPr>
        <w:t xml:space="preserve">（3）</w:t>
      </w:r>
      <w:r>
        <w:rPr>
          <w:rFonts w:ascii="宋体" w:hAnsi="宋体" w:eastAsia="宋体" w:cs="方正仿宋_GBK"/>
          <w:color w:val="000000"/>
          <w:sz w:val="24"/>
          <w:szCs w:val="24"/>
          <w:highlight w:val="none"/>
          <w:lang w:val="en-US" w:eastAsia="zh-CN"/>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Times New Roman" w:hAnsi="Times New Roman" w:eastAsia="宋体" w:cs="Times New Roman"/>
          <w:color w:val="000000"/>
          <w:sz w:val="24"/>
          <w:szCs w:val="24"/>
          <w:highlight w:val="none"/>
        </w:rPr>
      </w:r>
      <w:r/>
    </w:p>
    <w:p>
      <w:pPr>
        <w:pStyle w:val="762"/>
        <w:ind w:firstLine="560"/>
        <w:keepLines w:val="0"/>
        <w:keepNext w:val="0"/>
        <w:pageBreakBefore w:val="0"/>
        <w:spacing w:line="44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3.政府采购中实施本国产品标准及相关政策</w:t>
      </w:r>
      <w:r>
        <w:rPr>
          <w:rFonts w:hint="eastAsia" w:ascii="Times New Roman" w:hAnsi="Times New Roman" w:eastAsia="黑体" w:cs="Times New Roman"/>
          <w:color w:val="000000"/>
          <w:sz w:val="28"/>
          <w:szCs w:val="24"/>
          <w:highlight w:val="none"/>
          <w:lang w:val="en-US" w:eastAsia="zh-CN"/>
        </w:rPr>
      </w:r>
      <w:r/>
    </w:p>
    <w:p>
      <w:pPr>
        <w:pStyle w:val="762"/>
        <w:ind w:left="0" w:firstLine="480"/>
        <w:keepLines w:val="0"/>
        <w:keepNext w:val="0"/>
        <w:pageBreakBefore w:val="0"/>
        <w:spacing w:line="480" w:lineRule="exact"/>
        <w:widowControl w:val="off"/>
        <w:rPr>
          <w:rFonts w:hint="eastAsia" w:ascii="宋体" w:hAnsi="宋体" w:eastAsia="宋体" w:cs="方正仿宋_GBK"/>
          <w:color w:val="000000"/>
          <w:sz w:val="24"/>
          <w:szCs w:val="24"/>
          <w:highlight w:val="none"/>
          <w:lang w:val="en-US" w:eastAsia="zh-CN"/>
        </w:rPr>
      </w:pPr>
      <w:r>
        <w:rPr>
          <w:rFonts w:hint="eastAsia" w:ascii="宋体" w:hAnsi="宋体" w:eastAsia="宋体" w:cs="方正仿宋_GBK"/>
          <w:color w:val="000000"/>
          <w:sz w:val="24"/>
          <w:szCs w:val="24"/>
          <w:highlight w:val="none"/>
          <w:lang w:val="en-US" w:eastAsia="zh-CN"/>
        </w:rPr>
        <w:t xml:space="preserve">（1）本项目对采购本国产品给予政策支持，具体内容见招标文件“第五章评标方法与评标标准”。</w:t>
      </w:r>
      <w:r>
        <w:rPr>
          <w:rFonts w:hint="eastAsia" w:ascii="宋体" w:hAnsi="宋体" w:eastAsia="宋体" w:cs="方正仿宋_GBK"/>
          <w:color w:val="000000"/>
          <w:sz w:val="24"/>
          <w:szCs w:val="24"/>
          <w:highlight w:val="none"/>
          <w:lang w:val="en-US" w:eastAsia="zh-CN"/>
        </w:rPr>
      </w:r>
      <w:r/>
    </w:p>
    <w:p>
      <w:pPr>
        <w:pStyle w:val="762"/>
        <w:ind w:left="0" w:firstLine="480"/>
        <w:keepLines w:val="0"/>
        <w:keepNext w:val="0"/>
        <w:pageBreakBefore w:val="0"/>
        <w:spacing w:line="480" w:lineRule="exact"/>
        <w:widowControl w:val="off"/>
        <w:rPr>
          <w:rFonts w:hint="eastAsia" w:ascii="宋体" w:hAnsi="宋体" w:eastAsia="宋体" w:cs="方正仿宋_GBK"/>
          <w:color w:val="000000"/>
          <w:sz w:val="24"/>
          <w:szCs w:val="24"/>
          <w:highlight w:val="none"/>
          <w:lang w:val="en-US" w:eastAsia="zh-CN"/>
        </w:rPr>
      </w:pPr>
      <w:r>
        <w:rPr>
          <w:rFonts w:hint="eastAsia" w:ascii="宋体" w:hAnsi="宋体" w:eastAsia="宋体" w:cs="方正仿宋_GBK"/>
          <w:color w:val="000000"/>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方正仿宋_GBK"/>
          <w:color w:val="000000"/>
          <w:sz w:val="24"/>
          <w:szCs w:val="24"/>
          <w:highlight w:val="none"/>
          <w:lang w:val="en-US" w:eastAsia="zh-CN"/>
        </w:rPr>
      </w:r>
      <w:r/>
    </w:p>
    <w:p>
      <w:pPr>
        <w:pStyle w:val="762"/>
        <w:ind w:left="0" w:firstLine="480"/>
        <w:keepLines w:val="0"/>
        <w:keepNext w:val="0"/>
        <w:pageBreakBefore w:val="0"/>
        <w:spacing w:line="480" w:lineRule="exact"/>
        <w:widowControl w:val="off"/>
        <w:rPr>
          <w:rFonts w:hint="eastAsia" w:ascii="Times New Roman" w:hAnsi="Times New Roman" w:eastAsia="黑体" w:cs="Times New Roman"/>
          <w:color w:val="000000"/>
          <w:sz w:val="28"/>
          <w:szCs w:val="24"/>
          <w:highlight w:val="none"/>
          <w:lang w:val="en-US" w:eastAsia="zh-CN"/>
        </w:rPr>
      </w:pPr>
      <w:r>
        <w:rPr>
          <w:rFonts w:hint="eastAsia" w:ascii="宋体" w:hAnsi="宋体" w:eastAsia="宋体" w:cs="方正仿宋_GBK"/>
          <w:color w:val="000000"/>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Times New Roman" w:hAnsi="Times New Roman" w:eastAsia="黑体" w:cs="Times New Roman"/>
          <w:color w:val="000000"/>
          <w:sz w:val="28"/>
          <w:szCs w:val="24"/>
          <w:highlight w:val="none"/>
          <w:lang w:val="en-US" w:eastAsia="zh-CN"/>
        </w:rPr>
      </w:r>
      <w:r/>
    </w:p>
    <w:p>
      <w:pPr>
        <w:pStyle w:val="762"/>
        <w:ind w:firstLine="560"/>
        <w:keepLines w:val="0"/>
        <w:keepNext w:val="0"/>
        <w:pageBreakBefore w:val="0"/>
        <w:spacing w:line="44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4.采购标的所属行业</w:t>
      </w:r>
      <w:r>
        <w:rPr>
          <w:rFonts w:hint="eastAsia" w:ascii="Times New Roman" w:hAnsi="Times New Roman" w:eastAsia="黑体" w:cs="Times New Roman"/>
          <w:color w:val="000000"/>
          <w:sz w:val="28"/>
          <w:szCs w:val="24"/>
          <w:highlight w:val="none"/>
          <w:lang w:val="en-US" w:eastAsia="zh-CN"/>
        </w:rPr>
      </w:r>
      <w:r/>
    </w:p>
    <w:p>
      <w:pPr>
        <w:pStyle w:val="762"/>
        <w:ind w:firstLine="482"/>
        <w:keepLines w:val="0"/>
        <w:keepNext w:val="0"/>
        <w:pageBreakBefore w:val="0"/>
        <w:spacing w:line="440" w:lineRule="exact"/>
        <w:rPr>
          <w:rFonts w:ascii="Times New Roman" w:hAnsi="宋体"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参照《关于印发中小企业划型标准规定的通知》（工信部联企业〔2011〕300号）文件，本项目采购标的所属行业为：</w:t>
      </w:r>
      <w:r>
        <w:rPr>
          <w:rFonts w:ascii="Times New Roman" w:hAnsi="Times New Roman" w:eastAsia="宋体" w:cs="Times New Roman"/>
          <w:color w:val="000000"/>
          <w:sz w:val="24"/>
          <w:szCs w:val="24"/>
          <w:highlight w:val="none"/>
          <w:u w:val="single"/>
        </w:rPr>
        <w:t xml:space="preserve">信息传输业</w:t>
      </w:r>
      <w:r>
        <w:rPr>
          <w:rFonts w:ascii="Times New Roman" w:hAnsi="Times New Roman" w:eastAsia="宋体" w:cs="Times New Roman"/>
          <w:color w:val="000000"/>
          <w:sz w:val="24"/>
          <w:szCs w:val="24"/>
          <w:highlight w:val="none"/>
        </w:rPr>
        <w:t xml:space="preserve">。</w:t>
      </w:r>
      <w:r>
        <w:rPr>
          <w:rFonts w:ascii="Times New Roman" w:hAnsi="宋体" w:eastAsia="宋体" w:cs="Times New Roman"/>
          <w:color w:val="000000"/>
          <w:sz w:val="24"/>
          <w:szCs w:val="24"/>
          <w:highlight w:val="none"/>
        </w:rPr>
      </w:r>
      <w:r/>
    </w:p>
    <w:p>
      <w:pPr>
        <w:pStyle w:val="762"/>
        <w:ind w:firstLine="482"/>
        <w:keepLines w:val="0"/>
        <w:keepNext w:val="0"/>
        <w:pageBreakBefore w:val="0"/>
        <w:spacing w:line="460" w:lineRule="exact"/>
        <w:rPr>
          <w:rFonts w:hint="eastAsia" w:ascii="宋体" w:hAnsi="宋体" w:eastAsia="宋体" w:cs="Times New Roman"/>
          <w:b/>
          <w:bCs/>
          <w:color w:val="000000"/>
          <w:sz w:val="32"/>
          <w:szCs w:val="32"/>
          <w:highlight w:val="none"/>
          <w:lang w:val="en-US" w:eastAsia="zh-CN"/>
        </w:rPr>
      </w:pPr>
      <w:r>
        <w:rPr>
          <w:rFonts w:hint="eastAsia" w:ascii="宋体" w:hAnsi="宋体" w:eastAsia="宋体" w:cs="Times New Roman"/>
          <w:b/>
          <w:bCs/>
          <w:color w:val="000000"/>
          <w:sz w:val="32"/>
          <w:szCs w:val="32"/>
          <w:highlight w:val="none"/>
          <w:lang w:val="en-US" w:eastAsia="zh-CN"/>
        </w:rPr>
      </w:r>
      <w:r/>
    </w:p>
    <w:p>
      <w:pPr>
        <w:pStyle w:val="762"/>
        <w:jc w:val="center"/>
        <w:spacing w:line="480" w:lineRule="exact"/>
        <w:rPr>
          <w:rFonts w:hint="eastAsia" w:ascii="宋体" w:hAnsi="宋体" w:eastAsia="宋体" w:cs="Times New Roman"/>
          <w:b/>
          <w:bCs/>
          <w:color w:val="000000"/>
          <w:sz w:val="36"/>
          <w:szCs w:val="36"/>
          <w:highlight w:val="none"/>
          <w:lang w:eastAsia="zh-CN"/>
        </w:rPr>
      </w:pPr>
      <w:r>
        <w:rPr>
          <w:rFonts w:hint="eastAsia" w:ascii="宋体" w:hAnsi="宋体" w:eastAsia="宋体" w:cs="Times New Roman"/>
          <w:b/>
          <w:bCs/>
          <w:color w:val="000000"/>
          <w:sz w:val="36"/>
          <w:szCs w:val="36"/>
          <w:highlight w:val="none"/>
        </w:rPr>
        <w:br w:type="page" w:clear="all"/>
      </w:r>
      <w:r>
        <w:rPr>
          <w:rFonts w:hint="eastAsia" w:ascii="宋体" w:hAnsi="宋体" w:eastAsia="宋体" w:cs="Times New Roman"/>
          <w:b/>
          <w:bCs/>
          <w:color w:val="000000"/>
          <w:sz w:val="36"/>
          <w:szCs w:val="36"/>
          <w:highlight w:val="none"/>
        </w:rPr>
        <w:t xml:space="preserve">采购包</w:t>
      </w:r>
      <w:r>
        <w:rPr>
          <w:rFonts w:hint="eastAsia" w:ascii="宋体" w:hAnsi="宋体" w:eastAsia="宋体" w:cs="Times New Roman"/>
          <w:b/>
          <w:bCs/>
          <w:color w:val="000000"/>
          <w:sz w:val="36"/>
          <w:szCs w:val="36"/>
          <w:highlight w:val="none"/>
          <w:lang w:eastAsia="zh-CN"/>
        </w:rPr>
        <w:t xml:space="preserve">二</w:t>
      </w:r>
      <w:r>
        <w:rPr>
          <w:rFonts w:hint="eastAsia" w:ascii="宋体" w:hAnsi="宋体" w:eastAsia="宋体" w:cs="Times New Roman"/>
          <w:b/>
          <w:bCs/>
          <w:color w:val="000000"/>
          <w:sz w:val="36"/>
          <w:szCs w:val="36"/>
          <w:highlight w:val="none"/>
          <w:lang w:eastAsia="zh-CN"/>
        </w:rPr>
      </w:r>
      <w:r/>
    </w:p>
    <w:p>
      <w:pPr>
        <w:pStyle w:val="762"/>
        <w:ind w:firstLine="560"/>
        <w:spacing w:line="480" w:lineRule="exact"/>
        <w:rPr>
          <w:rFonts w:hint="eastAsia" w:ascii="Times New Roman" w:hAnsi="Times New Roman" w:eastAsia="黑体" w:cs="Times New Roman"/>
          <w:color w:val="000000"/>
          <w:sz w:val="28"/>
          <w:szCs w:val="24"/>
          <w:highlight w:val="none"/>
          <w:lang w:eastAsia="zh-CN"/>
        </w:rPr>
      </w:pPr>
      <w:r>
        <w:rPr>
          <w:rFonts w:hint="eastAsia" w:ascii="Times New Roman" w:hAnsi="Times New Roman" w:eastAsia="黑体" w:cs="Times New Roman"/>
          <w:color w:val="000000"/>
          <w:sz w:val="28"/>
          <w:szCs w:val="24"/>
          <w:highlight w:val="none"/>
          <w:lang w:eastAsia="zh-CN"/>
        </w:rPr>
        <w:t xml:space="preserve">一、项目背景</w:t>
      </w:r>
      <w:r>
        <w:rPr>
          <w:rFonts w:hint="eastAsia" w:ascii="Times New Roman" w:hAnsi="Times New Roman" w:eastAsia="黑体" w:cs="Times New Roman"/>
          <w:color w:val="000000"/>
          <w:sz w:val="28"/>
          <w:szCs w:val="24"/>
          <w:highlight w:val="none"/>
          <w:lang w:eastAsia="zh-CN"/>
        </w:rPr>
      </w:r>
      <w:r/>
    </w:p>
    <w:p>
      <w:pPr>
        <w:pStyle w:val="762"/>
        <w:ind w:firstLine="48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电子政务外网是全区电子政务传输骨干网，主要运行政务部门面向社会的专业性服务业务和不需在涉密内网运行的业务，满足各级政务部门社会管理和公共服务需要。</w:t>
      </w:r>
      <w:r>
        <w:rPr>
          <w:rFonts w:hint="eastAsia" w:ascii="宋体" w:hAnsi="宋体" w:eastAsia="宋体" w:cs="Times New Roman"/>
          <w:color w:val="000000"/>
          <w:sz w:val="24"/>
          <w:szCs w:val="24"/>
          <w:highlight w:val="none"/>
        </w:rPr>
      </w:r>
      <w:r/>
    </w:p>
    <w:p>
      <w:pPr>
        <w:pStyle w:val="762"/>
        <w:ind w:firstLine="480"/>
        <w:jc w:val="left"/>
        <w:keepLines w:val="0"/>
        <w:keepNext w:val="0"/>
        <w:pageBreakBefore w:val="0"/>
        <w:spacing w:line="480" w:lineRule="exact"/>
        <w:widowControl/>
        <w:rPr>
          <w:rFonts w:hint="eastAsia" w:ascii="宋体" w:hAnsi="宋体" w:eastAsia="宋体" w:cs="Times New Roman"/>
          <w:color w:val="000000"/>
          <w:sz w:val="24"/>
          <w:szCs w:val="24"/>
          <w:highlight w:val="none"/>
          <w:lang w:val="en-US" w:eastAsia="zh-CN" w:bidi="ar"/>
        </w:rPr>
        <w:suppressLineNumbers w:val="0"/>
      </w:pPr>
      <w:r>
        <w:rPr>
          <w:rFonts w:hint="eastAsia" w:ascii="宋体" w:hAnsi="宋体" w:eastAsia="宋体" w:cs="Times New Roman"/>
          <w:color w:val="000000"/>
          <w:sz w:val="24"/>
          <w:szCs w:val="24"/>
          <w:highlight w:val="none"/>
        </w:rPr>
        <w:t xml:space="preserve">根据《省政府办公厅关于加快推进全省电子政务外网建设的意见》（苏政办发〔2016〕147号）《省政府办公厅关于启用省电子政务外网的通知》（苏政传发〔2017〕150号）《江苏省电子政务外网管理办法（试行）》（苏政办发〔2023〕32号）</w:t>
      </w:r>
      <w:r>
        <w:rPr>
          <w:rFonts w:hint="eastAsia" w:ascii="宋体" w:hAnsi="宋体" w:eastAsia="宋体" w:cs="Times New Roman"/>
          <w:color w:val="000000"/>
          <w:sz w:val="24"/>
          <w:szCs w:val="24"/>
          <w:highlight w:val="none"/>
          <w:lang w:val="en-US" w:eastAsia="zh-CN" w:bidi="ar"/>
        </w:rPr>
        <w:t xml:space="preserve">《关于加强全省新“一张网”高质量建设管理有关工作的通知》（苏数发〔2025〕42号）《江苏省新一代电子政务外网建设指南》等文件</w:t>
      </w:r>
      <w:r>
        <w:rPr>
          <w:rFonts w:hint="eastAsia" w:ascii="宋体" w:hAnsi="宋体" w:eastAsia="宋体" w:cs="Times New Roman"/>
          <w:color w:val="000000"/>
          <w:sz w:val="24"/>
          <w:szCs w:val="24"/>
          <w:highlight w:val="none"/>
        </w:rPr>
        <w:t xml:space="preserve">要求，</w:t>
      </w:r>
      <w:r>
        <w:rPr>
          <w:rFonts w:hint="eastAsia" w:ascii="宋体" w:hAnsi="宋体" w:eastAsia="宋体" w:cs="Times New Roman"/>
          <w:color w:val="000000"/>
          <w:sz w:val="24"/>
          <w:szCs w:val="24"/>
          <w:highlight w:val="none"/>
          <w:lang w:val="en-US" w:eastAsia="zh-CN" w:bidi="ar"/>
        </w:rPr>
        <w:t xml:space="preserve">依托IPv6+、5G、人工智能、大数据、确定性网络（CENI）等新一代信息技术，</w:t>
      </w:r>
      <w:r>
        <w:rPr>
          <w:rFonts w:hint="eastAsia" w:ascii="宋体" w:hAnsi="宋体" w:eastAsia="宋体" w:cs="Times New Roman"/>
          <w:color w:val="000000"/>
          <w:sz w:val="24"/>
          <w:szCs w:val="24"/>
          <w:highlight w:val="none"/>
        </w:rPr>
        <w:t xml:space="preserve">通过租用光纤链路，建成横向连接全区各级党政机关、群团组织、事业单位等，纵向实现国家、省、市、区、镇、村六级互联互通的全区统一电子政务外网网络体系，</w:t>
      </w:r>
      <w:r>
        <w:rPr>
          <w:rFonts w:hint="eastAsia" w:ascii="宋体" w:hAnsi="宋体" w:eastAsia="宋体" w:cs="Times New Roman"/>
          <w:color w:val="000000"/>
          <w:sz w:val="24"/>
          <w:szCs w:val="24"/>
          <w:highlight w:val="none"/>
          <w:lang w:val="en-US" w:eastAsia="zh-CN" w:bidi="ar"/>
        </w:rPr>
        <w:t xml:space="preserve">并同步配套网络核心路由器、汇聚交换机等网络设备及运维保障服务。</w:t>
      </w:r>
      <w:r>
        <w:rPr>
          <w:rFonts w:hint="eastAsia" w:ascii="宋体" w:hAnsi="宋体" w:eastAsia="宋体" w:cs="Times New Roman"/>
          <w:color w:val="000000"/>
          <w:sz w:val="24"/>
          <w:szCs w:val="24"/>
          <w:highlight w:val="none"/>
          <w:lang w:val="en-US" w:eastAsia="zh-CN" w:bidi="ar"/>
        </w:rPr>
      </w:r>
      <w:r/>
    </w:p>
    <w:p>
      <w:pPr>
        <w:pStyle w:val="762"/>
        <w:ind w:firstLine="560"/>
        <w:spacing w:line="480" w:lineRule="exact"/>
        <w:rPr>
          <w:rFonts w:hint="eastAsia" w:ascii="Times New Roman" w:hAnsi="Times New Roman" w:eastAsia="黑体" w:cs="Times New Roman"/>
          <w:color w:val="000000"/>
          <w:sz w:val="28"/>
          <w:szCs w:val="24"/>
          <w:highlight w:val="none"/>
          <w:lang w:eastAsia="zh-CN"/>
        </w:rPr>
      </w:pPr>
      <w:r>
        <w:rPr>
          <w:rFonts w:hint="eastAsia" w:ascii="Times New Roman" w:hAnsi="Times New Roman" w:eastAsia="黑体" w:cs="Times New Roman"/>
          <w:color w:val="000000"/>
          <w:sz w:val="28"/>
          <w:szCs w:val="24"/>
          <w:highlight w:val="none"/>
          <w:lang w:eastAsia="zh-CN"/>
        </w:rPr>
        <w:t xml:space="preserve">二、建设目标</w:t>
      </w:r>
      <w:r>
        <w:rPr>
          <w:rFonts w:hint="eastAsia" w:ascii="Times New Roman" w:hAnsi="Times New Roman" w:eastAsia="黑体" w:cs="Times New Roman"/>
          <w:color w:val="000000"/>
          <w:sz w:val="28"/>
          <w:szCs w:val="24"/>
          <w:highlight w:val="none"/>
          <w:lang w:eastAsia="zh-CN"/>
        </w:rPr>
      </w:r>
      <w:r/>
    </w:p>
    <w:p>
      <w:pPr>
        <w:pStyle w:val="807"/>
        <w:numPr>
          <w:ilvl w:val="0"/>
          <w:numId w:val="0"/>
        </w:numPr>
        <w:ind w:right="0" w:firstLine="480"/>
        <w:jc w:val="left"/>
        <w:keepLines w:val="0"/>
        <w:keepNext w:val="0"/>
        <w:pageBreakBefore w:val="0"/>
        <w:spacing w:before="0" w:beforeAutospacing="0" w:after="0" w:afterAutospacing="0" w:line="480" w:lineRule="exact"/>
        <w:widowControl/>
        <w:rPr>
          <w:rFonts w:hint="eastAsia" w:ascii="宋体" w:hAnsi="宋体" w:cs="Times New Roman"/>
          <w:color w:val="000000"/>
          <w:sz w:val="24"/>
          <w:szCs w:val="24"/>
          <w:highlight w:val="none"/>
          <w:lang w:eastAsia="zh-CN"/>
        </w:rPr>
        <w:suppressLineNumbers w:val="0"/>
      </w:pPr>
      <w:r>
        <w:rPr>
          <w:rFonts w:hint="eastAsia" w:ascii="宋体" w:hAnsi="宋体" w:cs="Times New Roman"/>
          <w:color w:val="000000"/>
          <w:sz w:val="24"/>
          <w:szCs w:val="24"/>
          <w:highlight w:val="none"/>
          <w:lang w:val="en-US" w:eastAsia="zh-CN"/>
        </w:rPr>
        <w:t xml:space="preserve">对标省级电子政务外网建设规范、技术参数与安全准则，实现租赁网络等同自建水平，适配政务业务长效运行。统筹整合链路、设备、平台、人力等各类资源，融合SDN、零信任等前沿技术，搭建统一管控、全域承载、智能防护的一体化政务网络架构，着力打造高速畅通、智能高效、安全可控的电子政务网络体系，全面提升网络承载、业务支撑、安全防护、运维管理综合能力，夯实数字政府基础设施根基，为全区数字化政务建设筑牢坚实网络底座。</w:t>
      </w:r>
      <w:r>
        <w:rPr>
          <w:rFonts w:hint="eastAsia" w:ascii="宋体" w:hAnsi="宋体" w:cs="Times New Roman"/>
          <w:color w:val="000000"/>
          <w:sz w:val="24"/>
          <w:szCs w:val="24"/>
          <w:highlight w:val="none"/>
          <w:lang w:eastAsia="zh-CN"/>
        </w:rPr>
      </w:r>
      <w:r/>
    </w:p>
    <w:p>
      <w:pPr>
        <w:pStyle w:val="762"/>
        <w:ind w:firstLine="560"/>
        <w:spacing w:line="480" w:lineRule="exact"/>
        <w:rPr>
          <w:rFonts w:hint="eastAsia" w:ascii="Times New Roman" w:hAnsi="Times New Roman" w:eastAsia="黑体" w:cs="Times New Roman"/>
          <w:color w:val="000000"/>
          <w:sz w:val="28"/>
          <w:szCs w:val="24"/>
          <w:highlight w:val="none"/>
          <w:lang w:eastAsia="zh-CN"/>
        </w:rPr>
      </w:pPr>
      <w:r>
        <w:rPr>
          <w:rFonts w:hint="eastAsia" w:ascii="Times New Roman" w:hAnsi="Times New Roman" w:eastAsia="黑体" w:cs="Times New Roman"/>
          <w:color w:val="000000"/>
          <w:sz w:val="28"/>
          <w:szCs w:val="24"/>
          <w:highlight w:val="none"/>
          <w:lang w:eastAsia="zh-CN"/>
        </w:rPr>
        <w:t xml:space="preserve">三、建设原则</w:t>
      </w:r>
      <w:r>
        <w:rPr>
          <w:rFonts w:hint="eastAsia" w:ascii="Times New Roman" w:hAnsi="Times New Roman" w:eastAsia="黑体" w:cs="Times New Roman"/>
          <w:color w:val="000000"/>
          <w:sz w:val="28"/>
          <w:szCs w:val="24"/>
          <w:highlight w:val="none"/>
          <w:lang w:eastAsia="zh-CN"/>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按照国</w:t>
      </w:r>
      <w:r>
        <w:rPr>
          <w:rFonts w:ascii="Times New Roman" w:hAnsi="Times New Roman" w:eastAsia="宋体" w:cs="Times New Roman"/>
          <w:color w:val="000000"/>
          <w:sz w:val="24"/>
          <w:szCs w:val="24"/>
          <w:highlight w:val="none"/>
        </w:rPr>
        <w:t xml:space="preserve">家、省、市电子政务外网建设相关技术规范，在本次电子政务外网</w:t>
      </w:r>
      <w:r>
        <w:rPr>
          <w:rFonts w:hint="eastAsia" w:ascii="宋体" w:hAnsi="宋体" w:eastAsia="宋体" w:cs="Times New Roman"/>
          <w:color w:val="000000"/>
          <w:sz w:val="24"/>
          <w:szCs w:val="24"/>
          <w:highlight w:val="none"/>
        </w:rPr>
        <w:t xml:space="preserve">链路组网时</w:t>
      </w:r>
      <w:r>
        <w:rPr>
          <w:rFonts w:ascii="Times New Roman" w:hAnsi="Times New Roman" w:eastAsia="宋体" w:cs="Times New Roman"/>
          <w:color w:val="000000"/>
          <w:sz w:val="24"/>
          <w:szCs w:val="24"/>
          <w:highlight w:val="none"/>
        </w:rPr>
        <w:t xml:space="preserve">遵循以下基本原则：</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1.网络设计标准化</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本项目网络改造组网设计所采用的组网技术和设备应符合国标标准和行业标准，为网络系统的扩展升级改造提供基础。</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2.组网技术的先进性和成熟性</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本项目网络建设应适应自身的发展特点及网络通信技术的更新换代，在网络结构设计、网络配置、网络管理方式等方面具有一定的先进性和前瞻性，同时又是成熟、实用的技术，尽量避免技术风险。</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3.高度的网络安全性</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提供完备的安全防护策略，能防止对网络资源的非法访问，保护网络使用者的合法权益。</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4.高度的网络可靠性</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组网设计应能有效避免单点故障，在设备的选择和关键设备互连时，应提供充分的冗余备份，一方面最大限度地减少故障的可能性，另一方面要保证网络能在最短时间内修复。</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5.良好的扩展能力</w:t>
      </w:r>
      <w:r>
        <w:rPr>
          <w:rFonts w:ascii="Times New Roman" w:hAnsi="Times New Roman" w:eastAsia="宋体" w:cs="Times New Roman"/>
          <w:color w:val="000000"/>
          <w:sz w:val="24"/>
          <w:szCs w:val="24"/>
          <w:highlight w:val="none"/>
        </w:rPr>
      </w:r>
      <w:r/>
    </w:p>
    <w:p>
      <w:pPr>
        <w:pStyle w:val="762"/>
        <w:ind w:firstLine="56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能够根据未来业务的增长和变化，平滑扩充和升级现有的网络覆盖范围，扩大网络容量和提高网络的各层次节点的功能，最大程度地减少对网络架构和现有设备的调整。</w:t>
      </w:r>
      <w:r>
        <w:rPr>
          <w:rFonts w:ascii="Times New Roman" w:hAnsi="Times New Roman" w:eastAsia="宋体" w:cs="Times New Roman"/>
          <w:color w:val="000000"/>
          <w:sz w:val="24"/>
          <w:szCs w:val="24"/>
          <w:highlight w:val="none"/>
        </w:rPr>
      </w:r>
      <w:r/>
    </w:p>
    <w:p>
      <w:pPr>
        <w:pStyle w:val="762"/>
        <w:ind w:firstLine="56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6.良好的管理能力</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在组网设计中，需建立有效的网络管理解决方案。通过先进的管理策略、管理工具提高网络的运维效率，简化网络的维护工作。</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7.经济性和实用性</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建设原则以实际需求为出发点，以满足网络应用需求和适应一定时间内的发展规划为原则。</w:t>
      </w:r>
      <w:r>
        <w:rPr>
          <w:rFonts w:ascii="Times New Roman" w:hAnsi="Times New Roman" w:eastAsia="宋体" w:cs="Times New Roman"/>
          <w:color w:val="000000"/>
          <w:sz w:val="24"/>
          <w:szCs w:val="24"/>
          <w:highlight w:val="none"/>
        </w:rPr>
      </w:r>
      <w:r/>
    </w:p>
    <w:p>
      <w:pPr>
        <w:pStyle w:val="762"/>
        <w:ind w:firstLine="480"/>
        <w:spacing w:line="480" w:lineRule="exact"/>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8.业务过渡平滑性</w:t>
      </w:r>
      <w:r>
        <w:rPr>
          <w:rFonts w:ascii="Times New Roman" w:hAnsi="Times New Roman" w:eastAsia="宋体" w:cs="Times New Roman"/>
          <w:color w:val="000000"/>
          <w:sz w:val="24"/>
          <w:szCs w:val="24"/>
          <w:highlight w:val="none"/>
          <w:lang w:val="en-US" w:eastAsia="zh-CN"/>
        </w:rPr>
      </w:r>
      <w:r/>
    </w:p>
    <w:p>
      <w:pPr>
        <w:pStyle w:val="762"/>
        <w:ind w:firstLine="480"/>
        <w:spacing w:line="48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为保障采购人业务的连续性，</w:t>
      </w:r>
      <w:r>
        <w:rPr>
          <w:rFonts w:hint="eastAsia" w:ascii="Times New Roman" w:hAnsi="Times New Roman" w:eastAsia="宋体" w:cs="Times New Roman"/>
          <w:color w:val="000000"/>
          <w:sz w:val="24"/>
          <w:szCs w:val="24"/>
          <w:highlight w:val="none"/>
        </w:rPr>
        <w:t xml:space="preserve">投标人</w:t>
      </w:r>
      <w:r>
        <w:rPr>
          <w:rFonts w:ascii="Times New Roman" w:hAnsi="Times New Roman" w:eastAsia="宋体" w:cs="Times New Roman"/>
          <w:color w:val="000000"/>
          <w:sz w:val="24"/>
          <w:szCs w:val="24"/>
          <w:highlight w:val="none"/>
        </w:rPr>
        <w:t xml:space="preserve">应在充分调研客户业务架构和运行情况的基础上，就电子政务外网制定符合项目需求的组网方案，尽可能降低实施过程对现有网络运行的影响。</w:t>
      </w:r>
      <w:r>
        <w:rPr>
          <w:rFonts w:ascii="Times New Roman" w:hAnsi="Times New Roman" w:eastAsia="宋体" w:cs="Times New Roman"/>
          <w:color w:val="000000"/>
          <w:sz w:val="24"/>
          <w:szCs w:val="24"/>
          <w:highlight w:val="none"/>
        </w:rPr>
      </w:r>
      <w:r/>
    </w:p>
    <w:p>
      <w:pPr>
        <w:pStyle w:val="762"/>
        <w:ind w:firstLine="560"/>
        <w:spacing w:line="480" w:lineRule="exact"/>
        <w:rPr>
          <w:rFonts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eastAsia="zh-CN"/>
        </w:rPr>
        <w:t xml:space="preserve">四</w:t>
      </w:r>
      <w:r>
        <w:rPr>
          <w:rFonts w:hint="eastAsia" w:ascii="Times New Roman" w:hAnsi="Times New Roman" w:eastAsia="黑体" w:cs="Times New Roman"/>
          <w:color w:val="000000"/>
          <w:sz w:val="28"/>
          <w:szCs w:val="24"/>
          <w:highlight w:val="none"/>
        </w:rPr>
        <w:t xml:space="preserve">、</w:t>
      </w:r>
      <w:r>
        <w:rPr>
          <w:rFonts w:hint="eastAsia" w:ascii="Times New Roman" w:hAnsi="Times New Roman" w:eastAsia="黑体" w:cs="Times New Roman"/>
          <w:color w:val="000000"/>
          <w:sz w:val="28"/>
          <w:szCs w:val="24"/>
          <w:highlight w:val="none"/>
          <w:lang w:val="en-US" w:eastAsia="zh-CN"/>
        </w:rPr>
        <w:t xml:space="preserve">技术要求</w:t>
      </w:r>
      <w:r>
        <w:rPr>
          <w:rFonts w:ascii="Times New Roman" w:hAnsi="Times New Roman" w:eastAsia="黑体" w:cs="Times New Roman"/>
          <w:color w:val="000000"/>
          <w:sz w:val="28"/>
          <w:szCs w:val="24"/>
          <w:highlight w:val="none"/>
          <w:lang w:val="en-US" w:eastAsia="zh-CN"/>
        </w:rPr>
      </w:r>
      <w:r/>
    </w:p>
    <w:p>
      <w:pPr>
        <w:pStyle w:val="762"/>
        <w:ind w:firstLine="560"/>
        <w:spacing w:line="480" w:lineRule="exact"/>
        <w:rPr>
          <w:rFonts w:ascii="Times New Roman" w:hAnsi="Times New Roman" w:eastAsia="黑体" w:cs="Times New Roman"/>
          <w:color w:val="000000"/>
          <w:sz w:val="28"/>
          <w:szCs w:val="24"/>
          <w:highlight w:val="none"/>
        </w:rPr>
      </w:pPr>
      <w:r>
        <w:rPr>
          <w:rFonts w:hint="eastAsia" w:ascii="Times New Roman" w:hAnsi="Times New Roman" w:eastAsia="黑体" w:cs="Times New Roman"/>
          <w:color w:val="000000"/>
          <w:sz w:val="28"/>
          <w:szCs w:val="24"/>
          <w:highlight w:val="none"/>
          <w:lang w:val="en-US" w:eastAsia="zh-CN"/>
        </w:rPr>
        <w:t xml:space="preserve">1.技术</w:t>
      </w:r>
      <w:r>
        <w:rPr>
          <w:rFonts w:hint="eastAsia" w:ascii="Times New Roman" w:hAnsi="Times New Roman" w:eastAsia="黑体" w:cs="Times New Roman"/>
          <w:color w:val="000000"/>
          <w:sz w:val="28"/>
          <w:szCs w:val="24"/>
          <w:highlight w:val="none"/>
        </w:rPr>
        <w:t xml:space="preserve">参数要求</w:t>
      </w:r>
      <w:r>
        <w:rPr>
          <w:rFonts w:ascii="Times New Roman" w:hAnsi="Times New Roman" w:eastAsia="黑体" w:cs="Times New Roman"/>
          <w:color w:val="000000"/>
          <w:sz w:val="28"/>
          <w:szCs w:val="24"/>
          <w:highlight w:val="none"/>
        </w:rPr>
      </w:r>
      <w:r/>
    </w:p>
    <w:p>
      <w:pPr>
        <w:pStyle w:val="762"/>
        <w:ind w:firstLine="480"/>
        <w:spacing w:line="48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专线电路组网</w:t>
      </w:r>
      <w:r>
        <w:rPr>
          <w:rFonts w:ascii="Times New Roman" w:hAnsi="Times New Roman" w:eastAsia="宋体" w:cs="Times New Roman"/>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7871"/>
      </w:tblGrid>
      <w:tr>
        <w:trPr/>
        <w:tc>
          <w:tcPr>
            <w:tcW w:w="906" w:type="dxa"/>
            <w:vAlign w:val="center"/>
            <w:textDirection w:val="lrTb"/>
            <w:noWrap w:val="false"/>
          </w:tcPr>
          <w:p>
            <w:pPr>
              <w:pStyle w:val="762"/>
              <w:jc w:val="center"/>
              <w:spacing w:line="480" w:lineRule="exact"/>
              <w:rPr>
                <w:rFonts w:ascii="Times New Roman" w:hAnsi="Times New Roman" w:eastAsia="宋体" w:cs="Times New Roman"/>
                <w:color w:val="000000"/>
                <w:sz w:val="22"/>
                <w:szCs w:val="24"/>
                <w:highlight w:val="none"/>
              </w:rPr>
            </w:pPr>
            <w:r>
              <w:rPr>
                <w:rFonts w:hint="eastAsia" w:ascii="Times New Roman" w:hAnsi="Times New Roman" w:eastAsia="宋体" w:cs="Times New Roman"/>
                <w:color w:val="000000"/>
                <w:sz w:val="22"/>
                <w:szCs w:val="24"/>
                <w:highlight w:val="none"/>
              </w:rPr>
              <w:t xml:space="preserve">序号</w:t>
            </w:r>
            <w:r>
              <w:rPr>
                <w:rFonts w:ascii="Times New Roman" w:hAnsi="Times New Roman" w:eastAsia="宋体" w:cs="Times New Roman"/>
                <w:color w:val="000000"/>
                <w:sz w:val="22"/>
                <w:szCs w:val="24"/>
                <w:highlight w:val="none"/>
              </w:rPr>
            </w:r>
            <w:r/>
          </w:p>
        </w:tc>
        <w:tc>
          <w:tcPr>
            <w:tcW w:w="7871" w:type="dxa"/>
            <w:vAlign w:val="center"/>
            <w:textDirection w:val="lrTb"/>
            <w:noWrap w:val="false"/>
          </w:tcPr>
          <w:p>
            <w:pPr>
              <w:pStyle w:val="762"/>
              <w:jc w:val="center"/>
              <w:spacing w:line="480" w:lineRule="exact"/>
              <w:rPr>
                <w:rFonts w:ascii="Times New Roman" w:hAnsi="Times New Roman" w:eastAsia="宋体" w:cs="Times New Roman"/>
                <w:color w:val="000000"/>
                <w:sz w:val="22"/>
                <w:szCs w:val="24"/>
                <w:highlight w:val="none"/>
              </w:rPr>
            </w:pPr>
            <w:r>
              <w:rPr>
                <w:rFonts w:hint="eastAsia" w:ascii="Times New Roman" w:hAnsi="Times New Roman" w:eastAsia="宋体" w:cs="Times New Roman"/>
                <w:color w:val="000000"/>
                <w:sz w:val="22"/>
                <w:szCs w:val="24"/>
                <w:highlight w:val="none"/>
              </w:rPr>
              <w:t xml:space="preserve">技术要求</w:t>
            </w:r>
            <w:r>
              <w:rPr>
                <w:rFonts w:ascii="Times New Roman" w:hAnsi="Times New Roman" w:eastAsia="宋体" w:cs="Times New Roman"/>
                <w:color w:val="000000"/>
                <w:sz w:val="22"/>
                <w:szCs w:val="24"/>
                <w:highlight w:val="none"/>
              </w:rPr>
            </w:r>
            <w:r/>
          </w:p>
        </w:tc>
      </w:tr>
      <w:tr>
        <w:trPr/>
        <w:tc>
          <w:tcPr>
            <w:tcW w:w="906" w:type="dxa"/>
            <w:vAlign w:val="center"/>
            <w:textDirection w:val="lrTb"/>
            <w:noWrap w:val="false"/>
          </w:tcPr>
          <w:p>
            <w:pPr>
              <w:pStyle w:val="762"/>
              <w:jc w:val="center"/>
              <w:spacing w:line="480" w:lineRule="exact"/>
              <w:rPr>
                <w:rFonts w:ascii="Times New Roman" w:hAnsi="Times New Roman" w:eastAsia="宋体" w:cs="Times New Roman"/>
                <w:color w:val="000000"/>
                <w:sz w:val="22"/>
                <w:szCs w:val="24"/>
                <w:highlight w:val="none"/>
              </w:rPr>
            </w:pPr>
            <w:r>
              <w:rPr>
                <w:rFonts w:ascii="Times New Roman" w:hAnsi="Times New Roman" w:eastAsia="宋体" w:cs="Times New Roman"/>
                <w:color w:val="000000"/>
                <w:sz w:val="22"/>
                <w:szCs w:val="24"/>
                <w:highlight w:val="none"/>
              </w:rPr>
              <w:t xml:space="preserve">1</w:t>
            </w:r>
            <w:r>
              <w:rPr>
                <w:rFonts w:ascii="Times New Roman" w:hAnsi="Times New Roman" w:eastAsia="宋体" w:cs="Times New Roman"/>
                <w:color w:val="000000"/>
                <w:sz w:val="22"/>
                <w:szCs w:val="24"/>
                <w:highlight w:val="none"/>
              </w:rPr>
            </w:r>
            <w:r/>
          </w:p>
        </w:tc>
        <w:tc>
          <w:tcPr>
            <w:tcW w:w="7871" w:type="dxa"/>
            <w:vAlign w:val="center"/>
            <w:textDirection w:val="lrTb"/>
            <w:noWrap w:val="false"/>
          </w:tcPr>
          <w:p>
            <w:pPr>
              <w:pStyle w:val="762"/>
              <w:spacing w:line="480" w:lineRule="exact"/>
              <w:rPr>
                <w:rFonts w:ascii="Times New Roman" w:hAnsi="Times New Roman" w:eastAsia="宋体" w:cs="Times New Roman"/>
                <w:color w:val="000000"/>
                <w:sz w:val="22"/>
                <w:szCs w:val="24"/>
                <w:highlight w:val="none"/>
              </w:rPr>
            </w:pPr>
            <w:r>
              <w:rPr>
                <w:rFonts w:ascii="Times New Roman" w:hAnsi="Times New Roman" w:eastAsia="宋体" w:cs="Times New Roman"/>
                <w:color w:val="000000"/>
                <w:sz w:val="22"/>
                <w:szCs w:val="24"/>
                <w:highlight w:val="none"/>
              </w:rPr>
              <w:t xml:space="preserve">▲</w:t>
            </w:r>
            <w:r>
              <w:rPr>
                <w:rFonts w:hint="eastAsia" w:ascii="Times New Roman" w:hAnsi="Times New Roman" w:eastAsia="宋体" w:cs="Times New Roman"/>
                <w:color w:val="000000"/>
                <w:sz w:val="22"/>
                <w:szCs w:val="24"/>
                <w:highlight w:val="none"/>
              </w:rPr>
              <w:t xml:space="preserve">园区、镇街、区级机关部门（部门单位名单由采购人指定，与区行政大楼网络中心间原则上均采用独立光纤直接相连的方式组网，中间数据交换设备的维护更换由投标人自行负责维护。（投标人需提供承诺函加盖投标人公章，</w:t>
            </w:r>
            <w:r>
              <w:rPr>
                <w:rFonts w:hint="eastAsia" w:ascii="Times New Roman" w:hAnsi="Times New Roman" w:eastAsia="宋体" w:cs="Times New Roman"/>
                <w:color w:val="000000"/>
                <w:sz w:val="22"/>
                <w:szCs w:val="24"/>
                <w:highlight w:val="none"/>
                <w:lang w:eastAsia="zh-CN"/>
              </w:rPr>
              <w:t xml:space="preserve">扫描</w:t>
            </w:r>
            <w:r>
              <w:rPr>
                <w:rFonts w:hint="eastAsia" w:ascii="Times New Roman" w:hAnsi="Times New Roman" w:eastAsia="宋体" w:cs="Times New Roman"/>
                <w:color w:val="000000"/>
                <w:sz w:val="22"/>
                <w:szCs w:val="24"/>
                <w:highlight w:val="none"/>
              </w:rPr>
              <w:t xml:space="preserve">上传）</w:t>
            </w:r>
            <w:r>
              <w:rPr>
                <w:rFonts w:ascii="Times New Roman" w:hAnsi="Times New Roman" w:eastAsia="宋体" w:cs="Times New Roman"/>
                <w:color w:val="000000"/>
                <w:sz w:val="22"/>
                <w:szCs w:val="24"/>
                <w:highlight w:val="none"/>
              </w:rPr>
            </w:r>
            <w:r/>
          </w:p>
        </w:tc>
      </w:tr>
      <w:tr>
        <w:trPr/>
        <w:tc>
          <w:tcPr>
            <w:tcW w:w="906" w:type="dxa"/>
            <w:vAlign w:val="center"/>
            <w:textDirection w:val="lrTb"/>
            <w:noWrap w:val="false"/>
          </w:tcPr>
          <w:p>
            <w:pPr>
              <w:pStyle w:val="762"/>
              <w:jc w:val="center"/>
              <w:spacing w:line="480" w:lineRule="exact"/>
              <w:rPr>
                <w:rFonts w:ascii="Times New Roman" w:hAnsi="Times New Roman" w:eastAsia="宋体" w:cs="Times New Roman"/>
                <w:color w:val="000000"/>
                <w:sz w:val="22"/>
                <w:szCs w:val="24"/>
                <w:highlight w:val="none"/>
              </w:rPr>
            </w:pPr>
            <w:r>
              <w:rPr>
                <w:rFonts w:ascii="Times New Roman" w:hAnsi="Times New Roman" w:eastAsia="宋体" w:cs="Times New Roman"/>
                <w:color w:val="000000"/>
                <w:sz w:val="22"/>
                <w:szCs w:val="24"/>
                <w:highlight w:val="none"/>
              </w:rPr>
              <w:t xml:space="preserve">2</w:t>
            </w:r>
            <w:r>
              <w:rPr>
                <w:rFonts w:ascii="Times New Roman" w:hAnsi="Times New Roman" w:eastAsia="宋体" w:cs="Times New Roman"/>
                <w:color w:val="000000"/>
                <w:sz w:val="22"/>
                <w:szCs w:val="24"/>
                <w:highlight w:val="none"/>
              </w:rPr>
            </w:r>
            <w:r/>
          </w:p>
        </w:tc>
        <w:tc>
          <w:tcPr>
            <w:tcW w:w="7871" w:type="dxa"/>
            <w:vAlign w:val="center"/>
            <w:textDirection w:val="lrTb"/>
            <w:noWrap w:val="false"/>
          </w:tcPr>
          <w:p>
            <w:pPr>
              <w:pStyle w:val="762"/>
              <w:spacing w:line="480" w:lineRule="exact"/>
              <w:rPr>
                <w:rFonts w:ascii="Times New Roman" w:hAnsi="Times New Roman" w:eastAsia="宋体" w:cs="Times New Roman"/>
                <w:color w:val="000000"/>
                <w:sz w:val="22"/>
                <w:szCs w:val="24"/>
                <w:highlight w:val="none"/>
              </w:rPr>
            </w:pPr>
            <w:r>
              <w:rPr>
                <w:rFonts w:hint="eastAsia" w:ascii="Times New Roman" w:hAnsi="Times New Roman" w:eastAsia="宋体" w:cs="Times New Roman"/>
                <w:color w:val="000000"/>
                <w:sz w:val="22"/>
                <w:szCs w:val="24"/>
                <w:highlight w:val="none"/>
              </w:rPr>
              <w:t xml:space="preserve">每条光纤专线业务两端发送和接收光功率应符合设备光功率技术要求，且正常情况下接收</w:t>
            </w:r>
            <w:r>
              <w:rPr>
                <w:rFonts w:hint="eastAsia" w:ascii="Times New Roman" w:hAnsi="Times New Roman" w:eastAsia="宋体" w:cs="Times New Roman"/>
                <w:color w:val="000000"/>
                <w:sz w:val="22"/>
                <w:szCs w:val="24"/>
                <w:highlight w:val="none"/>
                <w:lang w:eastAsia="zh-CN"/>
              </w:rPr>
              <w:t xml:space="preserve">光功率一般不低于</w:t>
            </w:r>
            <w:r>
              <w:rPr>
                <w:rFonts w:ascii="Times New Roman" w:hAnsi="Times New Roman" w:eastAsia="宋体" w:cs="Times New Roman"/>
                <w:color w:val="000000"/>
                <w:sz w:val="22"/>
                <w:szCs w:val="24"/>
                <w:highlight w:val="none"/>
              </w:rPr>
              <w:t xml:space="preserve">-15dBm</w:t>
            </w:r>
            <w:r>
              <w:rPr>
                <w:rFonts w:hint="eastAsia" w:ascii="Times New Roman" w:hAnsi="Times New Roman" w:eastAsia="宋体" w:cs="Times New Roman"/>
                <w:color w:val="000000"/>
                <w:sz w:val="22"/>
                <w:szCs w:val="24"/>
                <w:highlight w:val="none"/>
              </w:rPr>
              <w:t xml:space="preserve">。</w:t>
            </w:r>
            <w:r>
              <w:rPr>
                <w:rFonts w:ascii="Times New Roman" w:hAnsi="Times New Roman" w:eastAsia="宋体" w:cs="Times New Roman"/>
                <w:color w:val="000000"/>
                <w:sz w:val="22"/>
                <w:szCs w:val="24"/>
                <w:highlight w:val="none"/>
              </w:rPr>
            </w:r>
            <w:r/>
          </w:p>
        </w:tc>
      </w:tr>
      <w:tr>
        <w:trPr/>
        <w:tc>
          <w:tcPr>
            <w:tcW w:w="906" w:type="dxa"/>
            <w:vAlign w:val="center"/>
            <w:textDirection w:val="lrTb"/>
            <w:noWrap w:val="false"/>
          </w:tcPr>
          <w:p>
            <w:pPr>
              <w:pStyle w:val="762"/>
              <w:jc w:val="center"/>
              <w:spacing w:line="480" w:lineRule="exact"/>
              <w:rPr>
                <w:rFonts w:ascii="Times New Roman" w:hAnsi="Times New Roman" w:eastAsia="宋体" w:cs="Times New Roman"/>
                <w:color w:val="000000"/>
                <w:sz w:val="22"/>
                <w:szCs w:val="24"/>
                <w:highlight w:val="none"/>
              </w:rPr>
            </w:pPr>
            <w:r>
              <w:rPr>
                <w:rFonts w:ascii="Times New Roman" w:hAnsi="Times New Roman" w:eastAsia="宋体" w:cs="Times New Roman"/>
                <w:color w:val="000000"/>
                <w:sz w:val="22"/>
                <w:szCs w:val="24"/>
                <w:highlight w:val="none"/>
              </w:rPr>
              <w:t xml:space="preserve">3</w:t>
            </w:r>
            <w:r>
              <w:rPr>
                <w:rFonts w:ascii="Times New Roman" w:hAnsi="Times New Roman" w:eastAsia="宋体" w:cs="Times New Roman"/>
                <w:color w:val="000000"/>
                <w:sz w:val="22"/>
                <w:szCs w:val="24"/>
                <w:highlight w:val="none"/>
              </w:rPr>
            </w:r>
            <w:r/>
          </w:p>
        </w:tc>
        <w:tc>
          <w:tcPr>
            <w:tcW w:w="7871" w:type="dxa"/>
            <w:vAlign w:val="top"/>
            <w:textDirection w:val="lrTb"/>
            <w:noWrap w:val="false"/>
          </w:tcPr>
          <w:p>
            <w:pPr>
              <w:pStyle w:val="762"/>
              <w:spacing w:line="480" w:lineRule="exact"/>
              <w:rPr>
                <w:rFonts w:ascii="Times New Roman" w:hAnsi="Times New Roman" w:eastAsia="宋体" w:cs="Times New Roman"/>
                <w:color w:val="000000"/>
                <w:sz w:val="22"/>
                <w:szCs w:val="24"/>
                <w:highlight w:val="none"/>
              </w:rPr>
            </w:pPr>
            <w:r>
              <w:rPr>
                <w:rFonts w:hint="eastAsia" w:ascii="Times New Roman" w:hAnsi="Times New Roman" w:eastAsia="宋体" w:cs="Times New Roman"/>
                <w:color w:val="000000"/>
                <w:sz w:val="22"/>
                <w:szCs w:val="24"/>
                <w:highlight w:val="none"/>
              </w:rPr>
              <w:t xml:space="preserve">每条光纤专线业务两端发送和接收光功率应基本保持一致，两端接收光功率差值应小于</w:t>
            </w:r>
            <w:r>
              <w:rPr>
                <w:rFonts w:ascii="Times New Roman" w:hAnsi="Times New Roman" w:eastAsia="宋体" w:cs="Times New Roman"/>
                <w:color w:val="000000"/>
                <w:sz w:val="22"/>
                <w:szCs w:val="24"/>
                <w:highlight w:val="none"/>
              </w:rPr>
              <w:t xml:space="preserve">1dBm</w:t>
            </w:r>
            <w:r>
              <w:rPr>
                <w:rFonts w:hint="eastAsia" w:ascii="Times New Roman" w:hAnsi="Times New Roman" w:eastAsia="宋体" w:cs="Times New Roman"/>
                <w:color w:val="000000"/>
                <w:sz w:val="22"/>
                <w:szCs w:val="24"/>
                <w:highlight w:val="none"/>
              </w:rPr>
              <w:t xml:space="preserve">。</w:t>
            </w:r>
            <w:r>
              <w:rPr>
                <w:rFonts w:ascii="Times New Roman" w:hAnsi="Times New Roman" w:eastAsia="宋体" w:cs="Times New Roman"/>
                <w:color w:val="000000"/>
                <w:sz w:val="22"/>
                <w:szCs w:val="24"/>
                <w:highlight w:val="none"/>
              </w:rPr>
            </w:r>
            <w:r/>
          </w:p>
        </w:tc>
      </w:tr>
      <w:tr>
        <w:trPr/>
        <w:tc>
          <w:tcPr>
            <w:tcW w:w="906" w:type="dxa"/>
            <w:vAlign w:val="center"/>
            <w:textDirection w:val="lrTb"/>
            <w:noWrap w:val="false"/>
          </w:tcPr>
          <w:p>
            <w:pPr>
              <w:pStyle w:val="762"/>
              <w:jc w:val="center"/>
              <w:spacing w:line="480" w:lineRule="exact"/>
              <w:rPr>
                <w:rFonts w:ascii="Times New Roman" w:hAnsi="Times New Roman" w:eastAsia="宋体" w:cs="Times New Roman"/>
                <w:color w:val="000000"/>
                <w:sz w:val="22"/>
                <w:szCs w:val="24"/>
                <w:highlight w:val="none"/>
              </w:rPr>
            </w:pPr>
            <w:r>
              <w:rPr>
                <w:rFonts w:ascii="Times New Roman" w:hAnsi="Times New Roman" w:eastAsia="宋体" w:cs="Times New Roman"/>
                <w:color w:val="000000"/>
                <w:sz w:val="22"/>
                <w:szCs w:val="24"/>
                <w:highlight w:val="none"/>
              </w:rPr>
              <w:t xml:space="preserve">4</w:t>
            </w:r>
            <w:r>
              <w:rPr>
                <w:rFonts w:ascii="Times New Roman" w:hAnsi="Times New Roman" w:eastAsia="宋体" w:cs="Times New Roman"/>
                <w:color w:val="000000"/>
                <w:sz w:val="22"/>
                <w:szCs w:val="24"/>
                <w:highlight w:val="none"/>
              </w:rPr>
            </w:r>
            <w:r/>
          </w:p>
        </w:tc>
        <w:tc>
          <w:tcPr>
            <w:tcW w:w="7871" w:type="dxa"/>
            <w:vAlign w:val="top"/>
            <w:textDirection w:val="lrTb"/>
            <w:noWrap w:val="false"/>
          </w:tcPr>
          <w:p>
            <w:pPr>
              <w:pStyle w:val="762"/>
              <w:spacing w:line="480" w:lineRule="exact"/>
              <w:rPr>
                <w:rFonts w:ascii="Times New Roman" w:hAnsi="Times New Roman" w:eastAsia="宋体" w:cs="Times New Roman"/>
                <w:color w:val="000000"/>
                <w:sz w:val="22"/>
                <w:szCs w:val="24"/>
                <w:highlight w:val="none"/>
              </w:rPr>
            </w:pPr>
            <w:r>
              <w:rPr>
                <w:rFonts w:hint="eastAsia" w:ascii="Times New Roman" w:hAnsi="Times New Roman" w:eastAsia="宋体" w:cs="Times New Roman"/>
                <w:color w:val="000000"/>
                <w:sz w:val="22"/>
                <w:szCs w:val="24"/>
                <w:highlight w:val="none"/>
              </w:rPr>
              <w:t xml:space="preserve">每条光纤专线业务每个跳纤点衰耗不应大于</w:t>
            </w:r>
            <w:r>
              <w:rPr>
                <w:rFonts w:ascii="Times New Roman" w:hAnsi="Times New Roman" w:eastAsia="宋体" w:cs="Times New Roman"/>
                <w:color w:val="000000"/>
                <w:sz w:val="22"/>
                <w:szCs w:val="24"/>
                <w:highlight w:val="none"/>
              </w:rPr>
              <w:t xml:space="preserve">0.5dBm</w:t>
            </w:r>
            <w:r>
              <w:rPr>
                <w:rFonts w:hint="eastAsia" w:ascii="Times New Roman" w:hAnsi="Times New Roman" w:eastAsia="宋体" w:cs="Times New Roman"/>
                <w:color w:val="000000"/>
                <w:sz w:val="22"/>
                <w:szCs w:val="24"/>
                <w:highlight w:val="none"/>
              </w:rPr>
              <w:t xml:space="preserve">，且跳纤尾纤原则上不允许采用增加法兰头短纤用作长纤的方式。</w:t>
            </w:r>
            <w:r>
              <w:rPr>
                <w:rFonts w:ascii="Times New Roman" w:hAnsi="Times New Roman" w:eastAsia="宋体" w:cs="Times New Roman"/>
                <w:color w:val="000000"/>
                <w:sz w:val="22"/>
                <w:szCs w:val="24"/>
                <w:highlight w:val="none"/>
              </w:rPr>
            </w:r>
            <w:r/>
          </w:p>
        </w:tc>
      </w:tr>
      <w:tr>
        <w:trPr/>
        <w:tc>
          <w:tcPr>
            <w:tcW w:w="906" w:type="dxa"/>
            <w:vAlign w:val="center"/>
            <w:textDirection w:val="lrTb"/>
            <w:noWrap w:val="false"/>
          </w:tcPr>
          <w:p>
            <w:pPr>
              <w:pStyle w:val="762"/>
              <w:jc w:val="center"/>
              <w:spacing w:line="480" w:lineRule="exact"/>
              <w:rPr>
                <w:rFonts w:ascii="Times New Roman" w:hAnsi="Times New Roman" w:eastAsia="宋体" w:cs="Times New Roman"/>
                <w:color w:val="000000"/>
                <w:sz w:val="22"/>
                <w:szCs w:val="24"/>
                <w:highlight w:val="none"/>
              </w:rPr>
            </w:pPr>
            <w:r>
              <w:rPr>
                <w:rFonts w:ascii="Times New Roman" w:hAnsi="Times New Roman" w:eastAsia="宋体" w:cs="Times New Roman"/>
                <w:color w:val="000000"/>
                <w:sz w:val="22"/>
                <w:szCs w:val="24"/>
                <w:highlight w:val="none"/>
              </w:rPr>
              <w:t xml:space="preserve">5</w:t>
            </w:r>
            <w:r>
              <w:rPr>
                <w:rFonts w:ascii="Times New Roman" w:hAnsi="Times New Roman" w:eastAsia="宋体" w:cs="Times New Roman"/>
                <w:color w:val="000000"/>
                <w:sz w:val="22"/>
                <w:szCs w:val="24"/>
                <w:highlight w:val="none"/>
              </w:rPr>
            </w:r>
            <w:r/>
          </w:p>
        </w:tc>
        <w:tc>
          <w:tcPr>
            <w:tcW w:w="7871" w:type="dxa"/>
            <w:vAlign w:val="top"/>
            <w:textDirection w:val="lrTb"/>
            <w:noWrap w:val="false"/>
          </w:tcPr>
          <w:p>
            <w:pPr>
              <w:pStyle w:val="762"/>
              <w:spacing w:line="480" w:lineRule="exact"/>
              <w:rPr>
                <w:rFonts w:ascii="Times New Roman" w:hAnsi="Times New Roman" w:eastAsia="宋体" w:cs="Times New Roman"/>
                <w:color w:val="000000"/>
                <w:sz w:val="22"/>
                <w:szCs w:val="24"/>
                <w:highlight w:val="none"/>
              </w:rPr>
            </w:pPr>
            <w:r>
              <w:rPr>
                <w:rFonts w:hint="eastAsia" w:ascii="Times New Roman" w:hAnsi="Times New Roman" w:eastAsia="宋体" w:cs="Times New Roman"/>
                <w:color w:val="000000"/>
                <w:sz w:val="22"/>
                <w:szCs w:val="24"/>
                <w:highlight w:val="none"/>
              </w:rPr>
              <w:t xml:space="preserve">每条光纤专线业务的吞吐量、丢包率、时延和抖动等指标测试均应符合承载业务要求。</w:t>
            </w:r>
            <w:r>
              <w:rPr>
                <w:rFonts w:ascii="Times New Roman" w:hAnsi="Times New Roman" w:eastAsia="宋体" w:cs="Times New Roman"/>
                <w:color w:val="000000"/>
                <w:sz w:val="22"/>
                <w:szCs w:val="24"/>
                <w:highlight w:val="none"/>
              </w:rPr>
            </w:r>
            <w:r/>
          </w:p>
        </w:tc>
      </w:tr>
      <w:tr>
        <w:trPr/>
        <w:tc>
          <w:tcPr>
            <w:tcW w:w="906" w:type="dxa"/>
            <w:vAlign w:val="center"/>
            <w:textDirection w:val="lrTb"/>
            <w:noWrap w:val="false"/>
          </w:tcPr>
          <w:p>
            <w:pPr>
              <w:pStyle w:val="762"/>
              <w:jc w:val="center"/>
              <w:spacing w:line="480" w:lineRule="exact"/>
              <w:rPr>
                <w:rFonts w:ascii="Times New Roman" w:hAnsi="Times New Roman" w:eastAsia="宋体" w:cs="Times New Roman"/>
                <w:color w:val="000000"/>
                <w:sz w:val="22"/>
                <w:szCs w:val="24"/>
                <w:highlight w:val="none"/>
              </w:rPr>
            </w:pPr>
            <w:r>
              <w:rPr>
                <w:rFonts w:ascii="Times New Roman" w:hAnsi="Times New Roman" w:eastAsia="宋体" w:cs="Times New Roman"/>
                <w:color w:val="000000"/>
                <w:sz w:val="22"/>
                <w:szCs w:val="24"/>
                <w:highlight w:val="none"/>
              </w:rPr>
              <w:t xml:space="preserve">6</w:t>
            </w:r>
            <w:r>
              <w:rPr>
                <w:rFonts w:ascii="Times New Roman" w:hAnsi="Times New Roman" w:eastAsia="宋体" w:cs="Times New Roman"/>
                <w:color w:val="000000"/>
                <w:sz w:val="22"/>
                <w:szCs w:val="24"/>
                <w:highlight w:val="none"/>
              </w:rPr>
            </w:r>
            <w:r/>
          </w:p>
        </w:tc>
        <w:tc>
          <w:tcPr>
            <w:tcW w:w="7871" w:type="dxa"/>
            <w:vAlign w:val="top"/>
            <w:textDirection w:val="lrTb"/>
            <w:noWrap w:val="false"/>
          </w:tcPr>
          <w:p>
            <w:pPr>
              <w:pStyle w:val="762"/>
              <w:spacing w:line="480" w:lineRule="exact"/>
              <w:rPr>
                <w:rFonts w:ascii="Times New Roman" w:hAnsi="Times New Roman" w:eastAsia="宋体" w:cs="Times New Roman"/>
                <w:color w:val="000000"/>
                <w:sz w:val="22"/>
                <w:szCs w:val="24"/>
                <w:highlight w:val="none"/>
              </w:rPr>
            </w:pPr>
            <w:r>
              <w:rPr>
                <w:rFonts w:hint="eastAsia" w:ascii="Times New Roman" w:hAnsi="Times New Roman" w:eastAsia="宋体" w:cs="Times New Roman"/>
                <w:color w:val="000000"/>
                <w:sz w:val="22"/>
                <w:szCs w:val="24"/>
                <w:highlight w:val="none"/>
              </w:rPr>
              <w:t xml:space="preserve">区行政大楼网络中心端大芯汇聚光缆应采用物理双路由备份保护和业务分担方式，能够快速调度跳</w:t>
            </w:r>
            <w:r>
              <w:rPr>
                <w:rFonts w:hint="eastAsia" w:ascii="Times New Roman" w:hAnsi="Times New Roman" w:eastAsia="宋体" w:cs="Times New Roman"/>
                <w:color w:val="000000"/>
                <w:sz w:val="22"/>
                <w:szCs w:val="22"/>
                <w:highlight w:val="none"/>
              </w:rPr>
              <w:t xml:space="preserve">纤资源恢复区行政大楼网络中心端汇聚光缆故</w:t>
            </w:r>
            <w:r>
              <w:rPr>
                <w:rFonts w:hint="eastAsia" w:ascii="Times New Roman" w:hAnsi="Times New Roman" w:eastAsia="宋体" w:cs="Times New Roman"/>
                <w:color w:val="000000"/>
                <w:sz w:val="22"/>
                <w:szCs w:val="24"/>
                <w:highlight w:val="none"/>
              </w:rPr>
              <w:t xml:space="preserve">障造成的接入点中断。</w:t>
            </w:r>
            <w:r>
              <w:rPr>
                <w:rFonts w:ascii="Times New Roman" w:hAnsi="Times New Roman" w:eastAsia="宋体" w:cs="Times New Roman"/>
                <w:color w:val="000000"/>
                <w:sz w:val="22"/>
                <w:szCs w:val="24"/>
                <w:highlight w:val="none"/>
              </w:rPr>
            </w:r>
            <w:r/>
          </w:p>
        </w:tc>
      </w:tr>
      <w:tr>
        <w:trPr/>
        <w:tc>
          <w:tcPr>
            <w:tcW w:w="906" w:type="dxa"/>
            <w:vAlign w:val="center"/>
            <w:textDirection w:val="lrTb"/>
            <w:noWrap w:val="false"/>
          </w:tcPr>
          <w:p>
            <w:pPr>
              <w:pStyle w:val="762"/>
              <w:jc w:val="center"/>
              <w:spacing w:line="480" w:lineRule="exact"/>
              <w:rPr>
                <w:rFonts w:hint="eastAsia" w:ascii="Times New Roman" w:hAnsi="Times New Roman" w:eastAsia="宋体" w:cs="Times New Roman"/>
                <w:color w:val="000000"/>
                <w:sz w:val="22"/>
                <w:szCs w:val="24"/>
                <w:highlight w:val="none"/>
                <w:lang w:val="en-US" w:eastAsia="zh-CN"/>
              </w:rPr>
            </w:pPr>
            <w:r>
              <w:rPr>
                <w:rFonts w:hint="eastAsia" w:ascii="Times New Roman" w:hAnsi="Times New Roman" w:eastAsia="宋体" w:cs="Times New Roman"/>
                <w:color w:val="000000"/>
                <w:sz w:val="22"/>
                <w:szCs w:val="24"/>
                <w:highlight w:val="none"/>
                <w:lang w:val="en-US" w:eastAsia="zh-CN"/>
              </w:rPr>
              <w:t xml:space="preserve">7</w:t>
            </w:r>
            <w:r>
              <w:rPr>
                <w:rFonts w:hint="eastAsia" w:ascii="Times New Roman" w:hAnsi="Times New Roman" w:eastAsia="宋体" w:cs="Times New Roman"/>
                <w:color w:val="000000"/>
                <w:sz w:val="22"/>
                <w:szCs w:val="24"/>
                <w:highlight w:val="none"/>
                <w:lang w:val="en-US" w:eastAsia="zh-CN"/>
              </w:rPr>
            </w:r>
            <w:r/>
          </w:p>
        </w:tc>
        <w:tc>
          <w:tcPr>
            <w:tcW w:w="7871" w:type="dxa"/>
            <w:vAlign w:val="top"/>
            <w:textDirection w:val="lrTb"/>
            <w:noWrap w:val="false"/>
          </w:tcPr>
          <w:p>
            <w:pPr>
              <w:pStyle w:val="762"/>
              <w:spacing w:line="480" w:lineRule="exact"/>
              <w:rPr>
                <w:rFonts w:ascii="Times New Roman" w:hAnsi="Times New Roman" w:eastAsia="宋体" w:cs="Times New Roman"/>
                <w:color w:val="000000"/>
                <w:sz w:val="22"/>
                <w:szCs w:val="24"/>
                <w:highlight w:val="none"/>
              </w:rPr>
            </w:pPr>
            <w:r>
              <w:rPr>
                <w:rFonts w:ascii="Times New Roman" w:hAnsi="Times New Roman" w:eastAsia="宋体" w:cs="Times New Roman"/>
                <w:color w:val="000000"/>
                <w:sz w:val="22"/>
                <w:szCs w:val="24"/>
                <w:highlight w:val="none"/>
              </w:rPr>
              <w:t xml:space="preserve">▲</w:t>
            </w:r>
            <w:r>
              <w:rPr>
                <w:rFonts w:hint="eastAsia" w:ascii="Times New Roman" w:hAnsi="Times New Roman" w:eastAsia="宋体" w:cs="Times New Roman"/>
                <w:color w:val="000000"/>
                <w:sz w:val="22"/>
                <w:szCs w:val="24"/>
                <w:highlight w:val="none"/>
              </w:rPr>
              <w:t xml:space="preserve">在采购人规定的时限内完成区电子政务外网</w:t>
            </w:r>
            <w:r>
              <w:rPr>
                <w:rFonts w:ascii="Times New Roman" w:hAnsi="Times New Roman" w:eastAsia="宋体" w:cs="Times New Roman"/>
                <w:color w:val="000000"/>
                <w:sz w:val="22"/>
                <w:szCs w:val="24"/>
                <w:highlight w:val="none"/>
              </w:rPr>
              <w:t xml:space="preserve">IP</w:t>
            </w:r>
            <w:r>
              <w:rPr>
                <w:rFonts w:hint="eastAsia" w:ascii="Times New Roman" w:hAnsi="Times New Roman" w:eastAsia="宋体" w:cs="Times New Roman"/>
                <w:color w:val="000000"/>
                <w:sz w:val="22"/>
                <w:szCs w:val="24"/>
                <w:highlight w:val="none"/>
              </w:rPr>
              <w:t xml:space="preserve">地址规划、配置（包括编制所有接入单位</w:t>
            </w:r>
            <w:r>
              <w:rPr>
                <w:rFonts w:ascii="Times New Roman" w:hAnsi="Times New Roman" w:eastAsia="宋体" w:cs="Times New Roman"/>
                <w:color w:val="000000"/>
                <w:sz w:val="22"/>
                <w:szCs w:val="24"/>
                <w:highlight w:val="none"/>
              </w:rPr>
              <w:t xml:space="preserve">IPV4</w:t>
            </w:r>
            <w:r>
              <w:rPr>
                <w:rFonts w:hint="eastAsia" w:ascii="Times New Roman" w:hAnsi="Times New Roman" w:eastAsia="宋体" w:cs="Times New Roman"/>
                <w:color w:val="000000"/>
                <w:sz w:val="22"/>
                <w:szCs w:val="24"/>
                <w:highlight w:val="none"/>
              </w:rPr>
              <w:t xml:space="preserve">的地址规划表，并配合做好各接入单位网络设备及业务终端的</w:t>
            </w:r>
            <w:r>
              <w:rPr>
                <w:rFonts w:ascii="Times New Roman" w:hAnsi="Times New Roman" w:eastAsia="宋体" w:cs="Times New Roman"/>
                <w:color w:val="000000"/>
                <w:sz w:val="22"/>
                <w:szCs w:val="24"/>
                <w:highlight w:val="none"/>
              </w:rPr>
              <w:t xml:space="preserve">IPV4</w:t>
            </w:r>
            <w:r>
              <w:rPr>
                <w:rFonts w:hint="eastAsia" w:ascii="Times New Roman" w:hAnsi="Times New Roman" w:eastAsia="宋体" w:cs="Times New Roman"/>
                <w:color w:val="000000"/>
                <w:sz w:val="22"/>
                <w:szCs w:val="24"/>
                <w:highlight w:val="none"/>
              </w:rPr>
              <w:t xml:space="preserve">地址配置；</w:t>
            </w:r>
            <w:r>
              <w:rPr>
                <w:rFonts w:ascii="Times New Roman" w:hAnsi="Times New Roman" w:eastAsia="宋体" w:cs="Times New Roman"/>
                <w:color w:val="000000"/>
                <w:sz w:val="22"/>
                <w:szCs w:val="24"/>
                <w:highlight w:val="none"/>
              </w:rPr>
              <w:t xml:space="preserve">IPV6</w:t>
            </w:r>
            <w:r>
              <w:rPr>
                <w:rFonts w:hint="eastAsia" w:ascii="Times New Roman" w:hAnsi="Times New Roman" w:eastAsia="宋体" w:cs="Times New Roman"/>
                <w:color w:val="000000"/>
                <w:sz w:val="22"/>
                <w:szCs w:val="24"/>
                <w:highlight w:val="none"/>
              </w:rPr>
              <w:t xml:space="preserve">地址规划表及各接入单位网络设备和业务终端的</w:t>
            </w:r>
            <w:r>
              <w:rPr>
                <w:rFonts w:ascii="Times New Roman" w:hAnsi="Times New Roman" w:eastAsia="宋体" w:cs="Times New Roman"/>
                <w:color w:val="000000"/>
                <w:sz w:val="22"/>
                <w:szCs w:val="24"/>
                <w:highlight w:val="none"/>
              </w:rPr>
              <w:t xml:space="preserve">IPV6</w:t>
            </w:r>
            <w:r>
              <w:rPr>
                <w:rFonts w:hint="eastAsia" w:ascii="Times New Roman" w:hAnsi="Times New Roman" w:eastAsia="宋体" w:cs="Times New Roman"/>
                <w:color w:val="000000"/>
                <w:sz w:val="22"/>
                <w:szCs w:val="24"/>
                <w:highlight w:val="none"/>
              </w:rPr>
              <w:t xml:space="preserve">配置待上级明确统一规划和标准后，</w:t>
            </w:r>
            <w:r>
              <w:rPr>
                <w:rFonts w:hint="eastAsia" w:ascii="Times New Roman" w:hAnsi="Times New Roman" w:eastAsia="宋体" w:cs="Times New Roman"/>
                <w:color w:val="000000"/>
                <w:sz w:val="22"/>
                <w:szCs w:val="24"/>
                <w:highlight w:val="none"/>
                <w:lang w:eastAsia="zh-CN"/>
              </w:rPr>
              <w:t xml:space="preserve">无偿配合采购人</w:t>
            </w:r>
            <w:r>
              <w:rPr>
                <w:rFonts w:hint="eastAsia" w:ascii="Times New Roman" w:hAnsi="Times New Roman" w:eastAsia="宋体" w:cs="Times New Roman"/>
                <w:color w:val="000000"/>
                <w:sz w:val="22"/>
                <w:szCs w:val="24"/>
                <w:highlight w:val="none"/>
              </w:rPr>
              <w:t xml:space="preserve">完成；服务期内省市区</w:t>
            </w:r>
            <w:r>
              <w:rPr>
                <w:rFonts w:ascii="Times New Roman" w:hAnsi="Times New Roman" w:eastAsia="宋体" w:cs="Times New Roman"/>
                <w:color w:val="000000"/>
                <w:sz w:val="22"/>
                <w:szCs w:val="24"/>
                <w:highlight w:val="none"/>
              </w:rPr>
              <w:t xml:space="preserve">IP</w:t>
            </w:r>
            <w:r>
              <w:rPr>
                <w:rFonts w:hint="eastAsia" w:ascii="Times New Roman" w:hAnsi="Times New Roman" w:eastAsia="宋体" w:cs="Times New Roman"/>
                <w:color w:val="000000"/>
                <w:sz w:val="22"/>
                <w:szCs w:val="24"/>
                <w:highlight w:val="none"/>
              </w:rPr>
              <w:t xml:space="preserve">规划调整的，</w:t>
            </w:r>
            <w:r>
              <w:rPr>
                <w:rFonts w:hint="eastAsia" w:ascii="Times New Roman" w:hAnsi="Times New Roman" w:eastAsia="宋体" w:cs="Times New Roman"/>
                <w:color w:val="000000"/>
                <w:sz w:val="22"/>
                <w:szCs w:val="24"/>
                <w:highlight w:val="none"/>
                <w:lang w:eastAsia="zh-CN"/>
              </w:rPr>
              <w:t xml:space="preserve">无偿配合采购人</w:t>
            </w:r>
            <w:r>
              <w:rPr>
                <w:rFonts w:hint="eastAsia" w:ascii="Times New Roman" w:hAnsi="Times New Roman" w:eastAsia="宋体" w:cs="Times New Roman"/>
                <w:color w:val="000000"/>
                <w:sz w:val="22"/>
                <w:szCs w:val="24"/>
                <w:highlight w:val="none"/>
              </w:rPr>
              <w:t xml:space="preserve">完成），确保所有设备符合要求，</w:t>
            </w:r>
            <w:r>
              <w:rPr>
                <w:rFonts w:ascii="Times New Roman" w:hAnsi="Times New Roman" w:eastAsia="宋体" w:cs="Times New Roman"/>
                <w:color w:val="000000"/>
                <w:sz w:val="22"/>
                <w:szCs w:val="24"/>
                <w:highlight w:val="none"/>
              </w:rPr>
              <w:t xml:space="preserve">100%</w:t>
            </w:r>
            <w:r>
              <w:rPr>
                <w:rFonts w:hint="eastAsia" w:ascii="Times New Roman" w:hAnsi="Times New Roman" w:eastAsia="宋体" w:cs="Times New Roman"/>
                <w:color w:val="000000"/>
                <w:sz w:val="22"/>
                <w:szCs w:val="24"/>
                <w:highlight w:val="none"/>
              </w:rPr>
              <w:t xml:space="preserve">接入区电子政务外网，与省市电子政务外网互联互通。（投标人需提供承诺函加盖投标人公章，</w:t>
            </w:r>
            <w:r>
              <w:rPr>
                <w:rFonts w:hint="eastAsia" w:ascii="Times New Roman" w:hAnsi="Times New Roman" w:eastAsia="宋体" w:cs="Times New Roman"/>
                <w:color w:val="000000"/>
                <w:sz w:val="22"/>
                <w:szCs w:val="24"/>
                <w:highlight w:val="none"/>
                <w:lang w:eastAsia="zh-CN"/>
              </w:rPr>
              <w:t xml:space="preserve">扫描</w:t>
            </w:r>
            <w:r>
              <w:rPr>
                <w:rFonts w:hint="eastAsia" w:ascii="Times New Roman" w:hAnsi="Times New Roman" w:eastAsia="宋体" w:cs="Times New Roman"/>
                <w:color w:val="000000"/>
                <w:sz w:val="22"/>
                <w:szCs w:val="24"/>
                <w:highlight w:val="none"/>
              </w:rPr>
              <w:t xml:space="preserve">上传）</w:t>
            </w:r>
            <w:r>
              <w:rPr>
                <w:rFonts w:ascii="Times New Roman" w:hAnsi="Times New Roman" w:eastAsia="宋体" w:cs="Times New Roman"/>
                <w:color w:val="000000"/>
                <w:sz w:val="22"/>
                <w:szCs w:val="24"/>
                <w:highlight w:val="none"/>
              </w:rPr>
            </w:r>
            <w:r/>
          </w:p>
        </w:tc>
      </w:tr>
      <w:tr>
        <w:trPr/>
        <w:tc>
          <w:tcPr>
            <w:tcW w:w="906" w:type="dxa"/>
            <w:vAlign w:val="center"/>
            <w:textDirection w:val="lrTb"/>
            <w:noWrap w:val="false"/>
          </w:tcPr>
          <w:p>
            <w:pPr>
              <w:pStyle w:val="762"/>
              <w:jc w:val="center"/>
              <w:spacing w:line="480" w:lineRule="exact"/>
              <w:rPr>
                <w:rFonts w:hint="eastAsia" w:ascii="Times New Roman" w:hAnsi="Times New Roman" w:eastAsia="宋体" w:cs="Times New Roman"/>
                <w:color w:val="000000"/>
                <w:sz w:val="22"/>
                <w:szCs w:val="24"/>
                <w:highlight w:val="none"/>
                <w:lang w:val="en-US" w:eastAsia="zh-CN"/>
              </w:rPr>
            </w:pPr>
            <w:r>
              <w:rPr>
                <w:rFonts w:hint="eastAsia" w:ascii="Times New Roman" w:hAnsi="Times New Roman" w:eastAsia="宋体" w:cs="Times New Roman"/>
                <w:color w:val="000000"/>
                <w:sz w:val="22"/>
                <w:szCs w:val="24"/>
                <w:highlight w:val="none"/>
                <w:lang w:val="en-US" w:eastAsia="zh-CN"/>
              </w:rPr>
              <w:t xml:space="preserve">8</w:t>
            </w:r>
            <w:r>
              <w:rPr>
                <w:rFonts w:hint="eastAsia" w:ascii="Times New Roman" w:hAnsi="Times New Roman" w:eastAsia="宋体" w:cs="Times New Roman"/>
                <w:color w:val="000000"/>
                <w:sz w:val="22"/>
                <w:szCs w:val="24"/>
                <w:highlight w:val="none"/>
                <w:lang w:val="en-US" w:eastAsia="zh-CN"/>
              </w:rPr>
            </w:r>
            <w:r/>
          </w:p>
        </w:tc>
        <w:tc>
          <w:tcPr>
            <w:tcW w:w="7871" w:type="dxa"/>
            <w:vAlign w:val="top"/>
            <w:textDirection w:val="lrTb"/>
            <w:noWrap w:val="false"/>
          </w:tcPr>
          <w:p>
            <w:pPr>
              <w:pStyle w:val="762"/>
              <w:spacing w:line="480" w:lineRule="exact"/>
              <w:rPr>
                <w:rFonts w:ascii="Times New Roman" w:hAnsi="Times New Roman" w:eastAsia="宋体" w:cs="Times New Roman"/>
                <w:color w:val="000000"/>
                <w:sz w:val="22"/>
                <w:szCs w:val="24"/>
                <w:highlight w:val="none"/>
              </w:rPr>
            </w:pPr>
            <w:r>
              <w:rPr>
                <w:rFonts w:hint="eastAsia" w:ascii="Times New Roman" w:hAnsi="Times New Roman" w:eastAsia="宋体" w:cs="Times New Roman"/>
                <w:color w:val="000000"/>
                <w:sz w:val="22"/>
                <w:szCs w:val="24"/>
                <w:highlight w:val="none"/>
              </w:rPr>
              <w:t xml:space="preserve">线缆两端应附注标签，且符合国家及行业标准规范。</w:t>
            </w:r>
            <w:r>
              <w:rPr>
                <w:rFonts w:ascii="Times New Roman" w:hAnsi="Times New Roman" w:eastAsia="宋体" w:cs="Times New Roman"/>
                <w:color w:val="000000"/>
                <w:sz w:val="22"/>
                <w:szCs w:val="24"/>
                <w:highlight w:val="none"/>
              </w:rPr>
            </w:r>
            <w:r/>
          </w:p>
        </w:tc>
      </w:tr>
      <w:tr>
        <w:trPr/>
        <w:tc>
          <w:tcPr>
            <w:tcW w:w="906" w:type="dxa"/>
            <w:vAlign w:val="center"/>
            <w:textDirection w:val="lrTb"/>
            <w:noWrap w:val="false"/>
          </w:tcPr>
          <w:p>
            <w:pPr>
              <w:pStyle w:val="762"/>
              <w:jc w:val="center"/>
              <w:spacing w:line="480" w:lineRule="exact"/>
              <w:rPr>
                <w:rFonts w:hint="eastAsia" w:ascii="Times New Roman" w:hAnsi="Times New Roman" w:eastAsia="宋体" w:cs="Times New Roman"/>
                <w:color w:val="000000"/>
                <w:sz w:val="22"/>
                <w:szCs w:val="24"/>
                <w:highlight w:val="none"/>
                <w:lang w:val="en-US" w:eastAsia="zh-CN"/>
              </w:rPr>
            </w:pPr>
            <w:r>
              <w:rPr>
                <w:rFonts w:hint="eastAsia" w:ascii="Times New Roman" w:hAnsi="Times New Roman" w:eastAsia="宋体" w:cs="Times New Roman"/>
                <w:color w:val="000000"/>
                <w:sz w:val="22"/>
                <w:szCs w:val="24"/>
                <w:highlight w:val="none"/>
                <w:lang w:val="en-US" w:eastAsia="zh-CN"/>
              </w:rPr>
              <w:t xml:space="preserve">9</w:t>
            </w:r>
            <w:r>
              <w:rPr>
                <w:rFonts w:hint="eastAsia" w:ascii="Times New Roman" w:hAnsi="Times New Roman" w:eastAsia="宋体" w:cs="Times New Roman"/>
                <w:color w:val="000000"/>
                <w:sz w:val="22"/>
                <w:szCs w:val="24"/>
                <w:highlight w:val="none"/>
                <w:lang w:val="en-US" w:eastAsia="zh-CN"/>
              </w:rPr>
            </w:r>
            <w:r/>
          </w:p>
        </w:tc>
        <w:tc>
          <w:tcPr>
            <w:tcW w:w="7871" w:type="dxa"/>
            <w:vAlign w:val="top"/>
            <w:textDirection w:val="lrTb"/>
            <w:noWrap w:val="false"/>
          </w:tcPr>
          <w:p>
            <w:pPr>
              <w:pStyle w:val="762"/>
              <w:spacing w:line="480" w:lineRule="exact"/>
              <w:rPr>
                <w:rFonts w:ascii="Times New Roman" w:hAnsi="Times New Roman" w:eastAsia="宋体" w:cs="Times New Roman"/>
                <w:color w:val="000000"/>
                <w:sz w:val="22"/>
                <w:szCs w:val="24"/>
                <w:highlight w:val="none"/>
              </w:rPr>
            </w:pPr>
            <w:r>
              <w:rPr>
                <w:rFonts w:hint="eastAsia" w:ascii="Times New Roman" w:hAnsi="Times New Roman" w:eastAsia="宋体" w:cs="Times New Roman"/>
                <w:color w:val="000000"/>
                <w:sz w:val="22"/>
                <w:szCs w:val="22"/>
                <w:highlight w:val="none"/>
              </w:rPr>
              <w:t xml:space="preserve">根据各级网络安全通报、等保测评建议，及时配合处置各部门接入网络设备和用户终端（</w:t>
            </w:r>
            <w:r>
              <w:rPr>
                <w:rFonts w:ascii="Times New Roman" w:hAnsi="Times New Roman" w:eastAsia="宋体" w:cs="Times New Roman"/>
                <w:color w:val="000000"/>
                <w:sz w:val="22"/>
                <w:szCs w:val="22"/>
                <w:highlight w:val="none"/>
              </w:rPr>
              <w:t xml:space="preserve">PC</w:t>
            </w:r>
            <w:r>
              <w:rPr>
                <w:rFonts w:hint="eastAsia" w:ascii="Times New Roman" w:hAnsi="Times New Roman" w:eastAsia="宋体" w:cs="Times New Roman"/>
                <w:color w:val="000000"/>
                <w:sz w:val="22"/>
                <w:szCs w:val="22"/>
                <w:highlight w:val="none"/>
              </w:rPr>
              <w:t xml:space="preserve">等）安全风险漏洞或事件。</w:t>
            </w:r>
            <w:r>
              <w:rPr>
                <w:rFonts w:ascii="Times New Roman" w:hAnsi="Times New Roman" w:eastAsia="宋体" w:cs="Times New Roman"/>
                <w:color w:val="000000"/>
                <w:sz w:val="22"/>
                <w:szCs w:val="24"/>
                <w:highlight w:val="none"/>
              </w:rPr>
            </w:r>
            <w:r/>
          </w:p>
        </w:tc>
      </w:tr>
      <w:tr>
        <w:trPr/>
        <w:tc>
          <w:tcPr>
            <w:tcW w:w="906" w:type="dxa"/>
            <w:vAlign w:val="center"/>
            <w:textDirection w:val="lrTb"/>
            <w:noWrap w:val="false"/>
          </w:tcPr>
          <w:p>
            <w:pPr>
              <w:pStyle w:val="762"/>
              <w:jc w:val="center"/>
              <w:spacing w:line="480" w:lineRule="exact"/>
              <w:rPr>
                <w:rFonts w:hint="eastAsia" w:ascii="Times New Roman" w:hAnsi="Times New Roman" w:eastAsia="宋体" w:cs="Times New Roman"/>
                <w:color w:val="000000"/>
                <w:sz w:val="22"/>
                <w:szCs w:val="24"/>
                <w:highlight w:val="none"/>
                <w:lang w:val="en-US" w:eastAsia="zh-CN"/>
              </w:rPr>
            </w:pPr>
            <w:r>
              <w:rPr>
                <w:rFonts w:ascii="Times New Roman" w:hAnsi="Times New Roman" w:eastAsia="宋体" w:cs="Times New Roman"/>
                <w:color w:val="000000"/>
                <w:sz w:val="22"/>
                <w:szCs w:val="24"/>
                <w:highlight w:val="none"/>
              </w:rPr>
              <w:t xml:space="preserve">1</w:t>
            </w:r>
            <w:r>
              <w:rPr>
                <w:rFonts w:hint="eastAsia" w:ascii="Times New Roman" w:hAnsi="Times New Roman" w:eastAsia="宋体" w:cs="Times New Roman"/>
                <w:color w:val="000000"/>
                <w:sz w:val="22"/>
                <w:szCs w:val="24"/>
                <w:highlight w:val="none"/>
                <w:lang w:val="en-US" w:eastAsia="zh-CN"/>
              </w:rPr>
              <w:t xml:space="preserve">0</w:t>
            </w:r>
            <w:r>
              <w:rPr>
                <w:rFonts w:hint="eastAsia" w:ascii="Times New Roman" w:hAnsi="Times New Roman" w:eastAsia="宋体" w:cs="Times New Roman"/>
                <w:color w:val="000000"/>
                <w:sz w:val="22"/>
                <w:szCs w:val="24"/>
                <w:highlight w:val="none"/>
                <w:lang w:val="en-US" w:eastAsia="zh-CN"/>
              </w:rPr>
            </w:r>
            <w:r/>
          </w:p>
        </w:tc>
        <w:tc>
          <w:tcPr>
            <w:tcW w:w="7871" w:type="dxa"/>
            <w:vAlign w:val="top"/>
            <w:textDirection w:val="lrTb"/>
            <w:noWrap w:val="false"/>
          </w:tcPr>
          <w:p>
            <w:pPr>
              <w:pStyle w:val="762"/>
              <w:spacing w:line="480" w:lineRule="exact"/>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4"/>
                <w:highlight w:val="none"/>
              </w:rPr>
              <w:t xml:space="preserve">▲</w:t>
            </w:r>
            <w:r>
              <w:rPr>
                <w:rFonts w:hint="eastAsia" w:ascii="Times New Roman" w:hAnsi="Times New Roman" w:eastAsia="宋体" w:cs="Times New Roman"/>
                <w:color w:val="000000"/>
                <w:sz w:val="22"/>
                <w:szCs w:val="22"/>
                <w:highlight w:val="none"/>
              </w:rPr>
              <w:t xml:space="preserve">针对</w:t>
            </w:r>
            <w:r>
              <w:rPr>
                <w:rFonts w:ascii="Times New Roman" w:hAnsi="Times New Roman" w:eastAsia="宋体" w:cs="Times New Roman"/>
                <w:color w:val="000000"/>
                <w:sz w:val="22"/>
                <w:szCs w:val="22"/>
                <w:highlight w:val="none"/>
              </w:rPr>
              <w:t xml:space="preserve">2025</w:t>
            </w:r>
            <w:r>
              <w:rPr>
                <w:rFonts w:hint="eastAsia" w:ascii="Times New Roman" w:hAnsi="Times New Roman" w:eastAsia="宋体" w:cs="Times New Roman"/>
                <w:color w:val="000000"/>
                <w:sz w:val="22"/>
                <w:szCs w:val="22"/>
                <w:highlight w:val="none"/>
              </w:rPr>
              <w:t xml:space="preserve">年省、市、区新一轮电子政务外网改造计划，投标人在服务期内需根据相关标准规范和政策要求制定相关详细实施方案，并报采购人审核，并最终修改完善定稿，同时积极无偿配合采购人做好方案的落实与交付，包括但不限于网络规划、</w:t>
            </w:r>
            <w:r>
              <w:rPr>
                <w:rFonts w:ascii="Times New Roman" w:hAnsi="Times New Roman" w:eastAsia="宋体" w:cs="Times New Roman"/>
                <w:color w:val="000000"/>
                <w:sz w:val="22"/>
                <w:szCs w:val="22"/>
                <w:highlight w:val="none"/>
              </w:rPr>
              <w:t xml:space="preserve">IP</w:t>
            </w:r>
            <w:r>
              <w:rPr>
                <w:rFonts w:hint="eastAsia" w:ascii="Times New Roman" w:hAnsi="Times New Roman" w:eastAsia="宋体" w:cs="Times New Roman"/>
                <w:color w:val="000000"/>
                <w:sz w:val="22"/>
                <w:szCs w:val="22"/>
                <w:highlight w:val="none"/>
              </w:rPr>
              <w:t xml:space="preserve">划分、配置变更、线路布放或调整、平台对接、配套网络、终端接入设备调试、线路检测等工作。（投标人需提供承诺函加盖投标人公章，</w:t>
            </w:r>
            <w:r>
              <w:rPr>
                <w:rFonts w:hint="eastAsia" w:ascii="Times New Roman" w:hAnsi="Times New Roman" w:eastAsia="宋体" w:cs="Times New Roman"/>
                <w:color w:val="000000"/>
                <w:sz w:val="22"/>
                <w:szCs w:val="22"/>
                <w:highlight w:val="none"/>
                <w:lang w:eastAsia="zh-CN"/>
              </w:rPr>
              <w:t xml:space="preserve">扫描</w:t>
            </w:r>
            <w:r>
              <w:rPr>
                <w:rFonts w:hint="eastAsia" w:ascii="Times New Roman" w:hAnsi="Times New Roman" w:eastAsia="宋体" w:cs="Times New Roman"/>
                <w:color w:val="000000"/>
                <w:sz w:val="22"/>
                <w:szCs w:val="22"/>
                <w:highlight w:val="none"/>
              </w:rPr>
              <w:t xml:space="preserve">上传）</w:t>
            </w:r>
            <w:r>
              <w:rPr>
                <w:rFonts w:ascii="Times New Roman" w:hAnsi="Times New Roman" w:eastAsia="宋体" w:cs="Times New Roman"/>
                <w:color w:val="000000"/>
                <w:sz w:val="22"/>
                <w:szCs w:val="22"/>
                <w:highlight w:val="none"/>
              </w:rPr>
            </w:r>
            <w:r/>
          </w:p>
        </w:tc>
      </w:tr>
    </w:tbl>
    <w:p>
      <w:pPr>
        <w:pStyle w:val="762"/>
        <w:ind w:firstLine="480"/>
        <w:spacing w:line="480" w:lineRule="exact"/>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政府大楼网络及安全服务（设备数量、功能及参数应包括下表所列内容）：</w:t>
      </w:r>
      <w:r>
        <w:rPr>
          <w:rFonts w:hint="eastAsia" w:ascii="Times New Roman" w:hAnsi="Times New Roman" w:eastAsia="宋体" w:cs="Times New Roman"/>
          <w:color w:val="000000"/>
          <w:sz w:val="24"/>
          <w:szCs w:val="24"/>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36"/>
        <w:gridCol w:w="1042"/>
        <w:gridCol w:w="5037"/>
        <w:gridCol w:w="851"/>
        <w:gridCol w:w="707"/>
      </w:tblGrid>
      <w:tr>
        <w:trPr>
          <w:trHeight w:val="414"/>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序号</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产品</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5037"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技术要求</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62"/>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单位</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762"/>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数量</w:t>
            </w:r>
            <w:r>
              <w:rPr>
                <w:rFonts w:ascii="Times New Roman" w:hAnsi="Times New Roman" w:eastAsia="宋体" w:cs="Times New Roman"/>
                <w:color w:val="000000"/>
                <w:highlight w:val="none"/>
              </w:rPr>
            </w:r>
            <w:r/>
          </w:p>
        </w:tc>
      </w:tr>
      <w:tr>
        <w:trPr>
          <w:trHeight w:val="754"/>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762"/>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防火墙</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5037" w:type="dxa"/>
            <w:vAlign w:val="center"/>
            <w:textDirection w:val="lrTb"/>
            <w:noWrap w:val="false"/>
          </w:tcPr>
          <w:p>
            <w:pPr>
              <w:pStyle w:val="762"/>
              <w:jc w:val="left"/>
              <w:spacing w:line="320" w:lineRule="exact"/>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bidi="ar"/>
              </w:rPr>
              <w:t xml:space="preserve">政府大楼防火墙设备，用于区政府核心网络与上级网络出口之间的逻辑隔离，具有路由功能、防火墙功能、访问控制等功能，具备双机热备能力，可扩展，原厂质保与升级，符合公安部等保相关要求。</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台</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w:t>
            </w:r>
            <w:r>
              <w:rPr>
                <w:rFonts w:ascii="Times New Roman" w:hAnsi="Times New Roman" w:eastAsia="宋体" w:cs="Times New Roman"/>
                <w:color w:val="000000"/>
                <w:highlight w:val="none"/>
              </w:rPr>
            </w:r>
            <w:r/>
          </w:p>
        </w:tc>
      </w:tr>
      <w:tr>
        <w:trPr>
          <w:trHeight w:val="664"/>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762"/>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汇聚交换机</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5037" w:type="dxa"/>
            <w:vAlign w:val="center"/>
            <w:textDirection w:val="lrTb"/>
            <w:noWrap w:val="false"/>
          </w:tcPr>
          <w:p>
            <w:pPr>
              <w:pStyle w:val="762"/>
              <w:jc w:val="left"/>
              <w:spacing w:line="320" w:lineRule="exact"/>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bidi="ar"/>
              </w:rPr>
              <w:t xml:space="preserve">政府大楼核心交换机2台，（可支持万兆）万兆业务板块2块，原厂质保与升级，主要参数满足采购人当前网络及今后数年扩展需求。</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套</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w:t>
            </w:r>
            <w:r>
              <w:rPr>
                <w:rFonts w:ascii="Times New Roman" w:hAnsi="Times New Roman" w:eastAsia="宋体" w:cs="Times New Roman"/>
                <w:color w:val="000000"/>
                <w:highlight w:val="none"/>
              </w:rPr>
            </w:r>
            <w:r/>
          </w:p>
        </w:tc>
      </w:tr>
      <w:tr>
        <w:trPr>
          <w:trHeight w:val="721"/>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762"/>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接入交换机</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5037" w:type="dxa"/>
            <w:vAlign w:val="center"/>
            <w:textDirection w:val="lrTb"/>
            <w:noWrap w:val="false"/>
          </w:tcPr>
          <w:p>
            <w:pPr>
              <w:pStyle w:val="762"/>
              <w:jc w:val="left"/>
              <w:spacing w:line="320" w:lineRule="exact"/>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bidi="ar"/>
              </w:rPr>
              <w:t xml:space="preserve">政府大楼接入交换机服按需配置，支持VLAN划分，不少于千兆，提供原厂质保。主要用于区政府大楼和管委会大楼各楼层网络汇聚接入区设备更换，含电子政务外网与互联网。</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套</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30</w:t>
            </w:r>
            <w:r>
              <w:rPr>
                <w:rFonts w:ascii="Times New Roman" w:hAnsi="Times New Roman" w:eastAsia="宋体" w:cs="Times New Roman"/>
                <w:color w:val="000000"/>
                <w:highlight w:val="none"/>
              </w:rPr>
            </w:r>
            <w:r/>
          </w:p>
        </w:tc>
      </w:tr>
      <w:tr>
        <w:trPr>
          <w:trHeight w:val="721"/>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4</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762"/>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升级服务</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5037" w:type="dxa"/>
            <w:vAlign w:val="center"/>
            <w:textDirection w:val="lrTb"/>
            <w:noWrap w:val="false"/>
          </w:tcPr>
          <w:p>
            <w:pPr>
              <w:pStyle w:val="762"/>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bidi="ar"/>
              </w:rPr>
              <w:t xml:space="preserve">服务期内免费提供软件版本、漏洞和各类库的升级。</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项</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w:t>
            </w:r>
            <w:r>
              <w:rPr>
                <w:rFonts w:ascii="Times New Roman" w:hAnsi="Times New Roman" w:eastAsia="宋体" w:cs="Times New Roman"/>
                <w:color w:val="000000"/>
                <w:highlight w:val="none"/>
              </w:rPr>
            </w:r>
            <w:r/>
          </w:p>
        </w:tc>
      </w:tr>
      <w:tr>
        <w:trPr>
          <w:trHeight w:val="721"/>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5</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762"/>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巡检服务</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5037" w:type="dxa"/>
            <w:vAlign w:val="center"/>
            <w:textDirection w:val="lrTb"/>
            <w:noWrap w:val="false"/>
          </w:tcPr>
          <w:p>
            <w:pPr>
              <w:pStyle w:val="762"/>
              <w:jc w:val="left"/>
              <w:spacing w:line="320" w:lineRule="exact"/>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bidi="ar"/>
              </w:rPr>
              <w:t xml:space="preserve">服务期内免费提供例行巡检服务，排查设备隐患，修复设备漏洞，更新设备版本与特征库，巡检方式包括现场或者远程，每季度不少于1次。</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项</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762"/>
              <w:jc w:val="center"/>
              <w:spacing w:line="480" w:lineRule="exac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w:t>
            </w:r>
            <w:r>
              <w:rPr>
                <w:rFonts w:ascii="Times New Roman" w:hAnsi="Times New Roman" w:eastAsia="宋体" w:cs="Times New Roman"/>
                <w:color w:val="000000"/>
                <w:highlight w:val="none"/>
              </w:rPr>
            </w:r>
            <w:r/>
          </w:p>
        </w:tc>
      </w:tr>
      <w:tr>
        <w:trPr>
          <w:trHeight w:val="721"/>
        </w:trPr>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762"/>
              <w:jc w:val="center"/>
              <w:spacing w:line="48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6</w:t>
            </w:r>
            <w:r>
              <w:rPr>
                <w:rFonts w:hint="eastAsia" w:ascii="Times New Roman" w:hAnsi="Times New Roman" w:eastAsia="宋体" w:cs="Times New Roman"/>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762"/>
              <w:spacing w:line="480" w:lineRule="exact"/>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其他服务</w:t>
            </w:r>
            <w:r>
              <w:rPr>
                <w:rFonts w:ascii="Times New Roman" w:hAnsi="Times New Roman" w:eastAsia="宋体" w:cs="Times New Roman"/>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037" w:type="dxa"/>
            <w:vAlign w:val="center"/>
            <w:textDirection w:val="lrTb"/>
            <w:noWrap w:val="false"/>
          </w:tcPr>
          <w:p>
            <w:pPr>
              <w:pStyle w:val="762"/>
              <w:jc w:val="left"/>
              <w:spacing w:line="320" w:lineRule="exact"/>
              <w:widowControl/>
              <w:rPr>
                <w:rFonts w:hint="eastAsia"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服务期内须配合采购人开展各项网络安全工作，包含但不限于网络安全基础设施安装部署、网络安全运营保障等。</w:t>
            </w:r>
            <w:r>
              <w:rPr>
                <w:rFonts w:hint="eastAsia" w:ascii="Times New Roman" w:hAnsi="Times New Roman" w:eastAsia="宋体" w:cs="Times New Roman"/>
                <w:color w:val="00000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62"/>
              <w:jc w:val="center"/>
              <w:spacing w:line="48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项</w:t>
            </w:r>
            <w:r>
              <w:rPr>
                <w:rFonts w:hint="eastAsia" w:ascii="Times New Roman" w:hAnsi="Times New Roman" w:eastAsia="宋体" w:cs="Times New Roman"/>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762"/>
              <w:jc w:val="center"/>
              <w:spacing w:line="480" w:lineRule="exact"/>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w:t>
            </w:r>
            <w:r>
              <w:rPr>
                <w:rFonts w:hint="eastAsia" w:ascii="Times New Roman" w:hAnsi="Times New Roman" w:eastAsia="宋体" w:cs="Times New Roman"/>
                <w:color w:val="000000"/>
                <w:highlight w:val="none"/>
                <w:lang w:val="en-US" w:eastAsia="zh-CN"/>
              </w:rPr>
            </w:r>
            <w:r/>
          </w:p>
        </w:tc>
      </w:tr>
    </w:tbl>
    <w:p>
      <w:pPr>
        <w:pStyle w:val="762"/>
        <w:ind w:firstLine="480"/>
        <w:spacing w:line="48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▲投标人需对如下内容作出承诺</w:t>
      </w:r>
      <w:r>
        <w:rPr>
          <w:rFonts w:hint="eastAsia" w:ascii="宋体" w:hAnsi="宋体" w:eastAsia="宋体" w:cs="Times New Roman"/>
          <w:color w:val="000000"/>
          <w:sz w:val="24"/>
          <w:szCs w:val="24"/>
          <w:highlight w:val="none"/>
        </w:rPr>
        <w:t xml:space="preserve">：在项目实施过程中，遇到接入单位办公场所变动、线路带宽调整、相应点位合署办公或机构撤并等情形，投标人需按照采购人要求开通或调试接入点位，确保成功接入电子政务外网。同时，投标人应全力配合采购人开展各项网络安全工作，包含但不限于网络安全基础设施安装部署、网络安全运营保障等相关事宜。</w:t>
      </w:r>
      <w:r>
        <w:rPr>
          <w:rFonts w:hint="eastAsia" w:ascii="宋体" w:hAnsi="宋体" w:eastAsia="宋体" w:cs="Times New Roman"/>
          <w:color w:val="000000"/>
          <w:sz w:val="24"/>
          <w:szCs w:val="24"/>
          <w:highlight w:val="none"/>
          <w:lang w:eastAsia="zh-CN"/>
        </w:rPr>
        <w:t xml:space="preserve">（投标文件中提供承诺</w:t>
      </w:r>
      <w:r>
        <w:rPr>
          <w:rFonts w:hint="eastAsia" w:ascii="宋体" w:hAnsi="宋体" w:eastAsia="宋体" w:cs="Times New Roman"/>
          <w:color w:val="000000"/>
          <w:sz w:val="24"/>
          <w:szCs w:val="24"/>
          <w:highlight w:val="none"/>
          <w:lang w:val="en-US" w:eastAsia="zh-CN"/>
        </w:rPr>
        <w:t xml:space="preserve">函加盖投标人公章</w:t>
      </w:r>
      <w:r>
        <w:rPr>
          <w:rFonts w:hint="eastAsia" w:ascii="宋体" w:hAnsi="宋体" w:eastAsia="宋体" w:cs="Times New Roman"/>
          <w:color w:val="000000"/>
          <w:sz w:val="24"/>
          <w:szCs w:val="24"/>
          <w:highlight w:val="none"/>
          <w:lang w:eastAsia="zh-CN"/>
        </w:rPr>
        <w:t xml:space="preserve">，格式自拟。）</w:t>
      </w:r>
      <w:r>
        <w:rPr>
          <w:rFonts w:hint="eastAsia" w:ascii="宋体" w:hAnsi="宋体" w:eastAsia="宋体" w:cs="Times New Roman"/>
          <w:color w:val="000000"/>
          <w:sz w:val="24"/>
          <w:szCs w:val="24"/>
          <w:highlight w:val="none"/>
          <w:lang w:eastAsia="zh-CN"/>
        </w:rPr>
      </w:r>
      <w:r/>
    </w:p>
    <w:p>
      <w:pPr>
        <w:pStyle w:val="762"/>
        <w:ind w:firstLine="560"/>
        <w:spacing w:line="48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2.服务要求</w:t>
      </w:r>
      <w:r>
        <w:rPr>
          <w:rFonts w:hint="eastAsia" w:ascii="Times New Roman" w:hAnsi="Times New Roman" w:eastAsia="黑体" w:cs="Times New Roman"/>
          <w:color w:val="000000"/>
          <w:sz w:val="28"/>
          <w:szCs w:val="24"/>
          <w:highlight w:val="none"/>
          <w:lang w:val="en-US" w:eastAsia="zh-CN"/>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1总体服务要求</w:t>
      </w:r>
      <w:r>
        <w:rPr>
          <w:rFonts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（1）成立运维服务项目团队，并指定一名专职的项目经理协调沟通与调度。</w:t>
      </w:r>
      <w:r>
        <w:rPr>
          <w:rFonts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（2）提供日常事件管理、应急事件管理、问题管理和变更管理等相应的处理流程、机制，并应符合IT服务管理标准。</w:t>
      </w:r>
      <w:r>
        <w:rPr>
          <w:rFonts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szCs w:val="20"/>
          <w:highlight w:val="none"/>
          <w:lang w:val="en-US" w:eastAsia="zh-CN" w:bidi="ar-SA"/>
        </w:rPr>
        <w:t xml:space="preserve">中标供应商</w:t>
      </w:r>
      <w:r>
        <w:rPr>
          <w:rFonts w:hint="eastAsia" w:ascii="宋体" w:hAnsi="宋体" w:eastAsia="宋体" w:cs="宋体"/>
          <w:color w:val="000000"/>
          <w:sz w:val="24"/>
          <w:highlight w:val="none"/>
        </w:rPr>
        <w:t xml:space="preserve">应承诺提供7×24全天候技术支持响应，设立7×24技术支持热线电话，提供7×24不间断链路监控。</w:t>
      </w:r>
      <w:r>
        <w:rPr>
          <w:rFonts w:ascii="宋体" w:hAnsi="宋体" w:eastAsia="宋体" w:cs="宋体"/>
          <w:color w:val="000000"/>
          <w:sz w:val="24"/>
          <w:highlight w:val="none"/>
        </w:rPr>
      </w:r>
      <w:r/>
    </w:p>
    <w:p>
      <w:pPr>
        <w:pStyle w:val="762"/>
        <w:ind w:firstLine="480"/>
        <w:jc w:val="left"/>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（4）根据用户业务不同，提供不同的业务受理服务，投标方应提供完善的业务受理流程。</w:t>
      </w:r>
      <w:r>
        <w:rPr>
          <w:rFonts w:hint="eastAsia" w:ascii="宋体" w:hAnsi="宋体" w:eastAsia="宋体" w:cs="宋体"/>
          <w:color w:val="000000"/>
          <w:sz w:val="24"/>
          <w:highlight w:val="none"/>
        </w:rPr>
      </w:r>
      <w:r/>
    </w:p>
    <w:p>
      <w:pPr>
        <w:pStyle w:val="810"/>
        <w:ind w:firstLine="480"/>
        <w:keepLines w:val="0"/>
        <w:keepNext w:val="0"/>
        <w:pageBreakBefore w:val="0"/>
        <w:spacing w:line="480" w:lineRule="exact"/>
        <w:widowControl w:val="off"/>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5）本次招标所涉电子政务外网线路需满足省电子政务外网新建要求，除提供专线外还需提供配套路由器设备（部署于用户端，非ONU设备），设备能够直接被SDN平台纳管，并完成省、市数据局关于电子政务外网相关信息上报的要求。路由设备性能和功能均须能够满足用户侧日常访问电子政务外网的需求。</w:t>
      </w:r>
      <w:r>
        <w:rPr>
          <w:rFonts w:hint="eastAsia" w:ascii="宋体" w:hAnsi="宋体" w:eastAsia="宋体" w:cs="宋体"/>
          <w:color w:val="000000"/>
          <w:sz w:val="24"/>
          <w:szCs w:val="21"/>
          <w:highlight w:val="none"/>
          <w:lang w:val="en-US" w:eastAsia="zh-CN" w:bidi="ar-SA"/>
        </w:rPr>
      </w:r>
      <w:r/>
    </w:p>
    <w:p>
      <w:pPr>
        <w:pStyle w:val="762"/>
        <w:ind w:firstLine="480"/>
        <w:keepLines w:val="0"/>
        <w:keepNext w:val="0"/>
        <w:pageBreakBefore w:val="0"/>
        <w:spacing w:line="480" w:lineRule="exact"/>
        <w:widowControl w:val="off"/>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（6）中标供应商须积极配合采购人开展电子政务外网安全基础设施安装部署等相关工作。</w:t>
      </w:r>
      <w:r>
        <w:rPr>
          <w:rFonts w:hint="eastAsia" w:ascii="宋体" w:hAnsi="宋体" w:eastAsia="宋体" w:cs="宋体"/>
          <w:color w:val="000000"/>
          <w:sz w:val="24"/>
          <w:szCs w:val="21"/>
          <w:highlight w:val="none"/>
          <w:lang w:val="en-US" w:eastAsia="zh-CN" w:bidi="ar-SA"/>
        </w:rPr>
      </w:r>
      <w:r/>
    </w:p>
    <w:p>
      <w:pPr>
        <w:pStyle w:val="762"/>
        <w:ind w:firstLine="480"/>
        <w:keepLines w:val="0"/>
        <w:keepNext w:val="0"/>
        <w:pageBreakBefore w:val="0"/>
        <w:spacing w:line="480" w:lineRule="exact"/>
        <w:widowControl w:val="off"/>
        <w:rPr>
          <w:rFonts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（7）本项目所涉及的相关设备应满足国产技术路线及信创要求。</w:t>
      </w:r>
      <w:r>
        <w:rPr>
          <w:rFonts w:ascii="宋体" w:hAnsi="宋体" w:eastAsia="宋体" w:cs="宋体"/>
          <w:color w:val="000000"/>
          <w:sz w:val="24"/>
          <w:szCs w:val="21"/>
          <w:highlight w:val="none"/>
          <w:lang w:val="en-US" w:eastAsia="zh-CN" w:bidi="ar-SA"/>
        </w:rPr>
      </w:r>
      <w:r/>
    </w:p>
    <w:p>
      <w:pPr>
        <w:pStyle w:val="762"/>
        <w:ind w:firstLine="480"/>
        <w:keepLines w:val="0"/>
        <w:keepNext w:val="0"/>
        <w:pageBreakBefore w:val="0"/>
        <w:spacing w:line="480" w:lineRule="exact"/>
        <w:widowControl w:val="off"/>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8）对于招标要求未尽事宜，按照《关于加强全省“一张网”高质量建设管理有关工作的通知（苏数发〔2025〕42）》《江苏省新一代电子政务外网固定网络省市对接标准》《江苏省新一代电子政务外网建设指南》等相关规范要求执行。</w:t>
      </w:r>
      <w:r>
        <w:rPr>
          <w:rFonts w:hint="eastAsia" w:ascii="宋体" w:hAnsi="宋体" w:eastAsia="宋体" w:cs="宋体"/>
          <w:color w:val="000000"/>
          <w:sz w:val="24"/>
          <w:szCs w:val="21"/>
          <w:highlight w:val="none"/>
          <w:lang w:val="en-US" w:eastAsia="zh-CN" w:bidi="ar-SA"/>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运维管理要求</w:t>
      </w:r>
      <w:r>
        <w:rPr>
          <w:rFonts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（1）满足用户接入需求，5个工作日内完成用户光纤链路接入、链路拆改迁、链路升级工作、IP地址分配、数据规划配置和设备安装调试工作。重点工作任务和临时性任务按采购人要求时限完成。</w:t>
      </w:r>
      <w:r>
        <w:rPr>
          <w:rFonts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（2）定期完成重要用户接入设备的巡检及参数的备份工作，按采购人要求做好链路流量和运行状态的监控。</w:t>
      </w:r>
      <w:r>
        <w:rPr>
          <w:rFonts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3</w:t>
      </w:r>
      <w:r>
        <w:rPr>
          <w:rFonts w:hint="eastAsia" w:ascii="宋体" w:hAnsi="宋体" w:eastAsia="宋体" w:cs="宋体"/>
          <w:color w:val="000000"/>
          <w:sz w:val="24"/>
          <w:highlight w:val="none"/>
        </w:rPr>
        <w:t xml:space="preserve">）网络设备软件升级、线路割接、设备更换和检修等需要中断通信时，必须提前5天向采购人申请，内容包括中断原因、地点、设备、时间、影响用户范围以及完整的实施方案，待批准后实施。实施48小时前告知所涉及的用户。</w:t>
      </w:r>
      <w:r>
        <w:rPr>
          <w:rFonts w:ascii="宋体" w:hAnsi="宋体" w:eastAsia="宋体" w:cs="宋体"/>
          <w:color w:val="000000"/>
          <w:sz w:val="24"/>
          <w:highlight w:val="none"/>
        </w:rPr>
      </w:r>
      <w:r/>
    </w:p>
    <w:p>
      <w:pPr>
        <w:pStyle w:val="762"/>
        <w:ind w:firstLine="480"/>
        <w:jc w:val="left"/>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4</w:t>
      </w:r>
      <w:r>
        <w:rPr>
          <w:rFonts w:hint="eastAsia" w:ascii="宋体" w:hAnsi="宋体" w:eastAsia="宋体" w:cs="宋体"/>
          <w:color w:val="000000"/>
          <w:sz w:val="24"/>
          <w:highlight w:val="none"/>
        </w:rPr>
        <w:t xml:space="preserve">）做好我区重大活动期间的网络保障工作，做好各种保障方案预案，并严格落实。对重点链路要在活动保障前3天做好链路检测工作，查找风险并防范，同时在活动保障间加强重要部位的现场值守及重点链路的监控。</w:t>
      </w:r>
      <w:r>
        <w:rPr>
          <w:rFonts w:hint="eastAsia"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5</w:t>
      </w:r>
      <w:r>
        <w:rPr>
          <w:rFonts w:hint="eastAsia" w:ascii="宋体" w:hAnsi="宋体" w:eastAsia="宋体" w:cs="宋体"/>
          <w:color w:val="000000"/>
          <w:sz w:val="24"/>
          <w:highlight w:val="none"/>
        </w:rPr>
        <w:t xml:space="preserve">）配合建立接入用户满意度测评指标体系及满意度调查。</w:t>
      </w:r>
      <w:r>
        <w:rPr>
          <w:rFonts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6</w:t>
      </w:r>
      <w:r>
        <w:rPr>
          <w:rFonts w:hint="eastAsia" w:ascii="宋体" w:hAnsi="宋体" w:eastAsia="宋体" w:cs="宋体"/>
          <w:color w:val="000000"/>
          <w:sz w:val="24"/>
          <w:highlight w:val="none"/>
        </w:rPr>
        <w:t xml:space="preserve">）建立详细完备的用户维护资料、线路档案和运行维护档案。</w:t>
      </w:r>
      <w:r>
        <w:rPr>
          <w:rFonts w:ascii="宋体" w:hAnsi="宋体" w:eastAsia="宋体" w:cs="宋体"/>
          <w:color w:val="000000"/>
          <w:sz w:val="24"/>
          <w:highlight w:val="none"/>
        </w:rPr>
      </w:r>
      <w:r/>
    </w:p>
    <w:p>
      <w:pPr>
        <w:pStyle w:val="762"/>
        <w:ind w:firstLine="480"/>
        <w:jc w:val="left"/>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7</w:t>
      </w:r>
      <w:r>
        <w:rPr>
          <w:rFonts w:hint="eastAsia" w:ascii="宋体" w:hAnsi="宋体" w:eastAsia="宋体" w:cs="宋体"/>
          <w:color w:val="000000"/>
          <w:sz w:val="24"/>
          <w:highlight w:val="none"/>
        </w:rPr>
        <w:t xml:space="preserve">）按照运维服务技术要求，做好年度运维工作方案。同时，根据年度运维工作实际及业务实际需求，做好规划工作。</w:t>
      </w:r>
      <w:r>
        <w:rPr>
          <w:rFonts w:hint="eastAsia" w:ascii="宋体" w:hAnsi="宋体" w:eastAsia="宋体" w:cs="宋体"/>
          <w:color w:val="000000"/>
          <w:sz w:val="24"/>
          <w:highlight w:val="none"/>
        </w:rPr>
      </w:r>
      <w:r/>
    </w:p>
    <w:p>
      <w:pPr>
        <w:pStyle w:val="762"/>
        <w:ind w:firstLine="480"/>
        <w:jc w:val="left"/>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（8）按需召开运维例会，</w:t>
      </w:r>
      <w:r>
        <w:rPr>
          <w:rFonts w:hint="eastAsia" w:ascii="宋体" w:hAnsi="宋体" w:eastAsia="宋体" w:cs="宋体"/>
          <w:color w:val="000000"/>
          <w:sz w:val="24"/>
          <w:highlight w:val="none"/>
          <w:lang w:eastAsia="zh-CN"/>
        </w:rPr>
        <w:t xml:space="preserve">按季度提供</w:t>
      </w:r>
      <w:r>
        <w:rPr>
          <w:rFonts w:hint="eastAsia" w:ascii="宋体" w:hAnsi="宋体" w:eastAsia="宋体" w:cs="宋体"/>
          <w:color w:val="000000"/>
          <w:sz w:val="24"/>
          <w:highlight w:val="none"/>
        </w:rPr>
        <w:t xml:space="preserve">运行维护报告。</w:t>
      </w:r>
      <w:r>
        <w:rPr>
          <w:rFonts w:hint="eastAsia" w:ascii="宋体" w:hAnsi="宋体" w:eastAsia="宋体" w:cs="宋体"/>
          <w:color w:val="000000"/>
          <w:sz w:val="24"/>
          <w:highlight w:val="none"/>
        </w:rPr>
      </w:r>
      <w:r/>
    </w:p>
    <w:p>
      <w:pPr>
        <w:pStyle w:val="762"/>
        <w:ind w:firstLine="560"/>
        <w:spacing w:line="48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3.故障处理与应急要求</w:t>
      </w:r>
      <w:r>
        <w:rPr>
          <w:rFonts w:hint="eastAsia" w:ascii="Times New Roman" w:hAnsi="Times New Roman" w:eastAsia="黑体" w:cs="Times New Roman"/>
          <w:color w:val="000000"/>
          <w:sz w:val="28"/>
          <w:szCs w:val="24"/>
          <w:highlight w:val="none"/>
          <w:lang w:val="en-US" w:eastAsia="zh-CN"/>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1故障处理要求</w:t>
      </w:r>
      <w:r>
        <w:rPr>
          <w:rFonts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故障响应率（指统计周期内，故障响应回复次数/故障申告次数×100%，统计周期为1年）达到100%；故障恢复率（指统计周期内，恢复的故障次数/故障总次数×100%，统计周期为1年）达到100%；故障恢复及时率（指针对节点故障，及时恢复的故障次数/故障总次数×100%，统计周期为1年）达到95%。</w:t>
      </w:r>
      <w:r>
        <w:rPr>
          <w:rFonts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（2）提供完善故障处理流程及反馈制度，及时处理和恢复故障，并进行总结分析，制定故障预防措施。出现重大故障，及时启动应急预案，事后将应急预案执行情况报告、重大故障处理报告上报采购人备案。</w:t>
      </w:r>
      <w:r>
        <w:rPr>
          <w:rFonts w:ascii="宋体" w:hAnsi="宋体" w:eastAsia="宋体" w:cs="宋体"/>
          <w:color w:val="000000"/>
          <w:sz w:val="24"/>
          <w:highlight w:val="none"/>
        </w:rPr>
      </w:r>
      <w:r/>
    </w:p>
    <w:p>
      <w:pPr>
        <w:pStyle w:val="762"/>
        <w:ind w:firstLine="480"/>
        <w:jc w:val="left"/>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（3）在所提供的汇聚设备发生持续10分钟以上的中断时，在30分钟之内通知所影响的用户，并给出初步的故障判断报告，故障应在2小时内排除。</w:t>
      </w:r>
      <w:r>
        <w:rPr>
          <w:rFonts w:hint="eastAsia"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3.2</w:t>
      </w:r>
      <w:r>
        <w:rPr>
          <w:rFonts w:hint="eastAsia" w:ascii="宋体" w:hAnsi="宋体" w:eastAsia="宋体" w:cs="宋体"/>
          <w:color w:val="000000"/>
          <w:sz w:val="24"/>
          <w:highlight w:val="none"/>
        </w:rPr>
        <w:t xml:space="preserve">备品备件要求</w:t>
      </w:r>
      <w:r>
        <w:rPr>
          <w:rFonts w:ascii="宋体" w:hAnsi="宋体" w:eastAsia="宋体" w:cs="宋体"/>
          <w:color w:val="000000"/>
          <w:sz w:val="24"/>
          <w:highlight w:val="none"/>
        </w:rPr>
      </w:r>
      <w:r/>
    </w:p>
    <w:p>
      <w:pPr>
        <w:pStyle w:val="762"/>
        <w:ind w:firstLine="480"/>
        <w:jc w:val="left"/>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提供接入层各类接入设备备件，备品率不低于在线运行设备的5%。</w:t>
      </w:r>
      <w:r>
        <w:rPr>
          <w:rFonts w:hint="eastAsia"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应急工作要求</w:t>
      </w:r>
      <w:r>
        <w:rPr>
          <w:rFonts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（1）完善的应急预案体系。实行用户分级管理，确保突发事件和重要时期的链路畅通。</w:t>
      </w:r>
      <w:r>
        <w:rPr>
          <w:rFonts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（2）完善的重大故障解决方案。网络重要设备出现故障时及时更换。故障排除后，提交重大故障处置报告。</w:t>
      </w:r>
      <w:r>
        <w:rPr>
          <w:rFonts w:ascii="宋体" w:hAnsi="宋体" w:eastAsia="宋体" w:cs="宋体"/>
          <w:color w:val="000000"/>
          <w:sz w:val="24"/>
          <w:highlight w:val="none"/>
        </w:rPr>
      </w:r>
      <w:r/>
    </w:p>
    <w:p>
      <w:pPr>
        <w:pStyle w:val="762"/>
        <w:ind w:firstLine="480"/>
        <w:jc w:val="left"/>
        <w:spacing w:line="48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提交应急预案。预案应包含值班安排、人员安排、车辆安排、备品备件安排、事件处置预案、信息报送等内容。制定合理、可行的应急演练方案，并做好重要用户链路故障应急演练，检验故障处理能力及相关信息报送流程。演练结束后总结经验，编制总结报告，提交采购人。</w:t>
      </w:r>
      <w:r>
        <w:rPr>
          <w:rFonts w:ascii="宋体" w:hAnsi="宋体" w:eastAsia="宋体" w:cs="宋体"/>
          <w:color w:val="000000"/>
          <w:sz w:val="24"/>
          <w:highlight w:val="none"/>
        </w:rPr>
      </w:r>
      <w:r/>
    </w:p>
    <w:p>
      <w:pPr>
        <w:pStyle w:val="762"/>
        <w:ind w:firstLine="560"/>
        <w:keepLines w:val="0"/>
        <w:keepNext w:val="0"/>
        <w:pageBreakBefore w:val="0"/>
        <w:spacing w:line="48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4.线路接入要求</w:t>
      </w:r>
      <w:r>
        <w:rPr>
          <w:rFonts w:hint="eastAsia" w:ascii="Times New Roman" w:hAnsi="Times New Roman" w:eastAsia="黑体" w:cs="Times New Roman"/>
          <w:color w:val="000000"/>
          <w:sz w:val="28"/>
          <w:szCs w:val="24"/>
          <w:highlight w:val="none"/>
          <w:lang w:val="en-US" w:eastAsia="zh-CN"/>
        </w:rPr>
      </w:r>
      <w:r/>
    </w:p>
    <w:p>
      <w:pPr>
        <w:pStyle w:val="807"/>
        <w:ind w:left="0" w:right="0" w:firstLine="480"/>
        <w:keepLines w:val="0"/>
        <w:keepNext w:val="0"/>
        <w:pageBreakBefore w:val="0"/>
        <w:spacing w:before="0" w:beforeAutospacing="0" w:after="0" w:afterAutospacing="0" w:line="480" w:lineRule="exact"/>
        <w:shd w:val="clear" w:color="auto" w:fill="auto"/>
        <w:widowControl/>
        <w:rPr>
          <w:rFonts w:hint="eastAsia" w:ascii="宋体" w:hAnsi="宋体" w:eastAsia="宋体" w:cs="宋体"/>
          <w:color w:val="000000"/>
          <w:sz w:val="24"/>
          <w:szCs w:val="21"/>
          <w:highlight w:val="none"/>
          <w:lang w:val="en-US" w:eastAsia="zh-CN" w:bidi="ar-SA"/>
        </w:rPr>
        <w:suppressLineNumbers w:val="0"/>
      </w:pPr>
      <w:r>
        <w:rPr>
          <w:rFonts w:hint="eastAsia" w:ascii="宋体" w:hAnsi="宋体" w:eastAsia="宋体" w:cs="宋体"/>
          <w:color w:val="000000"/>
          <w:sz w:val="24"/>
          <w:szCs w:val="21"/>
          <w:highlight w:val="none"/>
          <w:lang w:val="en-US" w:eastAsia="zh-CN" w:bidi="ar-SA"/>
        </w:rPr>
        <w:t xml:space="preserve">本项目涉及的电子政务外网线路覆盖姜堰区所有机关部门、镇（街道）、村（社区）、学校、医院及相关企事业单位，线路</w:t>
      </w:r>
      <w:r>
        <w:rPr>
          <w:rFonts w:ascii="宋体" w:hAnsi="宋体" w:eastAsia="宋体" w:cs="宋体"/>
          <w:color w:val="000000"/>
          <w:sz w:val="24"/>
          <w:szCs w:val="21"/>
          <w:highlight w:val="none"/>
          <w:lang w:val="en-US" w:eastAsia="zh-CN" w:bidi="ar-SA"/>
        </w:rPr>
        <w:t xml:space="preserve">预估数量如下：1000M线路6条、200M线路15条、100M线路56条、50M线路320条。</w:t>
      </w:r>
      <w:r>
        <w:rPr>
          <w:rFonts w:hint="eastAsia" w:ascii="宋体" w:hAnsi="宋体" w:eastAsia="宋体" w:cs="宋体"/>
          <w:color w:val="000000"/>
          <w:sz w:val="24"/>
          <w:szCs w:val="21"/>
          <w:highlight w:val="none"/>
          <w:lang w:val="en-US" w:eastAsia="zh-CN" w:bidi="ar-SA"/>
        </w:rPr>
        <w:t xml:space="preserve">具体接入点位、数量及带宽标准以采购人实际需求为准。</w:t>
      </w:r>
      <w:r>
        <w:rPr>
          <w:rFonts w:hint="eastAsia" w:ascii="宋体" w:hAnsi="宋体" w:eastAsia="宋体" w:cs="宋体"/>
          <w:color w:val="000000"/>
          <w:sz w:val="24"/>
          <w:szCs w:val="21"/>
          <w:highlight w:val="none"/>
          <w:lang w:val="en-US" w:eastAsia="zh-CN" w:bidi="ar-SA"/>
        </w:rPr>
      </w:r>
      <w:r/>
    </w:p>
    <w:p>
      <w:pPr>
        <w:pStyle w:val="807"/>
        <w:ind w:left="0" w:right="0" w:firstLine="482"/>
        <w:keepLines w:val="0"/>
        <w:keepNext w:val="0"/>
        <w:pageBreakBefore w:val="0"/>
        <w:spacing w:before="0" w:beforeAutospacing="0" w:after="0" w:afterAutospacing="0" w:line="480" w:lineRule="exact"/>
        <w:shd w:val="clear" w:color="auto" w:fill="auto"/>
        <w:widowControl/>
        <w:rPr>
          <w:rFonts w:hint="eastAsia" w:ascii="宋体" w:hAnsi="宋体" w:eastAsia="宋体" w:cs="宋体"/>
          <w:color w:val="000000"/>
          <w:sz w:val="24"/>
          <w:highlight w:val="none"/>
        </w:rPr>
        <w:suppressLineNumbers w:val="0"/>
      </w:pPr>
      <w:r>
        <w:rPr>
          <w:rFonts w:ascii="宋体" w:hAnsi="宋体" w:eastAsia="宋体" w:cs="宋体"/>
          <w:b/>
          <w:bCs/>
          <w:color w:val="000000"/>
          <w:sz w:val="24"/>
          <w:szCs w:val="21"/>
          <w:highlight w:val="none"/>
          <w:lang w:val="en-US" w:eastAsia="zh-CN" w:bidi="ar-SA"/>
        </w:rPr>
        <w:t xml:space="preserve">特别说明：</w:t>
      </w:r>
      <w:r>
        <w:rPr>
          <w:rFonts w:ascii="宋体" w:hAnsi="宋体" w:eastAsia="宋体" w:cs="宋体"/>
          <w:color w:val="000000"/>
          <w:sz w:val="24"/>
          <w:szCs w:val="21"/>
          <w:highlight w:val="none"/>
          <w:lang w:val="en-US" w:eastAsia="zh-CN" w:bidi="ar-SA"/>
        </w:rPr>
        <w:t xml:space="preserve">在项目服务期内，采购人有权根据网络规划、场地调整、合并办公等实际情况，对上述预估数量进行不超过±8%的调整。投标人在进行报价时，应充分考虑此项因素，将±8%范围内的数量浮动风险纳入总价考量。在此调整范围内，无论最终实际开通的线路数量较预估数量增加或减少，合同总价均不作调整。</w:t>
      </w:r>
      <w:r>
        <w:rPr>
          <w:rFonts w:hint="eastAsia" w:ascii="宋体" w:hAnsi="宋体" w:eastAsia="宋体" w:cs="宋体"/>
          <w:color w:val="000000"/>
          <w:sz w:val="24"/>
          <w:highlight w:val="none"/>
        </w:rPr>
      </w:r>
      <w:r/>
    </w:p>
    <w:p>
      <w:pPr>
        <w:pStyle w:val="762"/>
        <w:ind w:firstLine="560"/>
        <w:keepLines w:val="0"/>
        <w:keepNext w:val="0"/>
        <w:pageBreakBefore w:val="0"/>
        <w:spacing w:line="44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五、商务要求</w:t>
      </w:r>
      <w:r>
        <w:rPr>
          <w:rFonts w:hint="eastAsia" w:ascii="Times New Roman" w:hAnsi="Times New Roman" w:eastAsia="黑体" w:cs="Times New Roman"/>
          <w:color w:val="000000"/>
          <w:sz w:val="28"/>
          <w:szCs w:val="24"/>
          <w:highlight w:val="none"/>
          <w:lang w:val="en-US" w:eastAsia="zh-CN"/>
        </w:rPr>
      </w:r>
      <w:r/>
    </w:p>
    <w:p>
      <w:pPr>
        <w:pStyle w:val="762"/>
        <w:ind w:firstLine="560"/>
        <w:keepLines w:val="0"/>
        <w:keepNext w:val="0"/>
        <w:pageBreakBefore w:val="0"/>
        <w:spacing w:line="44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1.履约保证金</w:t>
      </w:r>
      <w:r>
        <w:rPr>
          <w:rFonts w:hint="eastAsia" w:ascii="Times New Roman" w:hAnsi="Times New Roman" w:eastAsia="黑体" w:cs="Times New Roman"/>
          <w:color w:val="000000"/>
          <w:sz w:val="28"/>
          <w:szCs w:val="24"/>
          <w:highlight w:val="none"/>
          <w:lang w:val="en-US" w:eastAsia="zh-CN"/>
        </w:rPr>
      </w:r>
      <w:r/>
    </w:p>
    <w:p>
      <w:pPr>
        <w:pStyle w:val="762"/>
        <w:ind w:firstLine="482"/>
        <w:keepLines w:val="0"/>
        <w:keepNext w:val="0"/>
        <w:pageBreakBefore w:val="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本项目不收取履约保证金。</w:t>
      </w:r>
      <w:r>
        <w:rPr>
          <w:rFonts w:hint="eastAsia" w:ascii="Times New Roman" w:hAnsi="Times New Roman" w:eastAsia="宋体" w:cs="Times New Roman"/>
          <w:color w:val="000000"/>
          <w:sz w:val="24"/>
          <w:szCs w:val="24"/>
          <w:highlight w:val="none"/>
        </w:rPr>
      </w:r>
      <w:r/>
    </w:p>
    <w:p>
      <w:pPr>
        <w:pStyle w:val="762"/>
        <w:ind w:firstLine="560"/>
        <w:keepLines w:val="0"/>
        <w:keepNext w:val="0"/>
        <w:pageBreakBefore w:val="0"/>
        <w:spacing w:line="44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2.绩效考核</w:t>
      </w:r>
      <w:r>
        <w:rPr>
          <w:rFonts w:hint="eastAsia" w:ascii="Times New Roman" w:hAnsi="Times New Roman" w:eastAsia="黑体" w:cs="Times New Roman"/>
          <w:color w:val="000000"/>
          <w:sz w:val="28"/>
          <w:szCs w:val="24"/>
          <w:highlight w:val="none"/>
          <w:lang w:val="en-US" w:eastAsia="zh-CN"/>
        </w:rPr>
      </w:r>
      <w:r/>
    </w:p>
    <w:p>
      <w:pPr>
        <w:pStyle w:val="762"/>
        <w:ind w:firstLine="482"/>
        <w:keepLines w:val="0"/>
        <w:keepNext w:val="0"/>
        <w:pageBreakBefore w:val="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为确保中标供应商提供的线路及配套服务符合项目建设标准与我方工作要求，采购人按年度开展服务绩效考核工作。绩效考核实行百分制，考核结果与年度服务费用直接挂钩。采购人根据考核细则中的对应标准对供应商进行扣分处理，并依据扣分结果核减相应款项，年度考核扣款总额不超过当年度合同金额的10%。</w:t>
      </w:r>
      <w:r>
        <w:rPr>
          <w:rFonts w:hint="eastAsia" w:ascii="Times New Roman" w:hAnsi="Times New Roman" w:eastAsia="宋体" w:cs="Times New Roman"/>
          <w:color w:val="000000"/>
          <w:sz w:val="24"/>
          <w:szCs w:val="24"/>
          <w:highlight w:val="none"/>
          <w:lang w:val="en-US" w:eastAsia="zh-CN"/>
        </w:rPr>
      </w:r>
      <w:r/>
    </w:p>
    <w:p>
      <w:pPr>
        <w:pStyle w:val="762"/>
        <w:ind w:firstLine="560"/>
        <w:keepLines w:val="0"/>
        <w:keepNext w:val="0"/>
        <w:pageBreakBefore w:val="0"/>
        <w:spacing w:line="44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3.付款方式</w:t>
      </w:r>
      <w:r>
        <w:rPr>
          <w:rFonts w:hint="eastAsia" w:ascii="Times New Roman" w:hAnsi="Times New Roman" w:eastAsia="黑体" w:cs="Times New Roman"/>
          <w:color w:val="000000"/>
          <w:sz w:val="28"/>
          <w:szCs w:val="24"/>
          <w:highlight w:val="none"/>
          <w:lang w:val="en-US" w:eastAsia="zh-CN"/>
        </w:rPr>
      </w:r>
      <w:r/>
    </w:p>
    <w:p>
      <w:pPr>
        <w:pStyle w:val="762"/>
        <w:ind w:firstLine="482"/>
        <w:keepLines w:val="0"/>
        <w:keepNext w:val="0"/>
        <w:pageBreakBefore w:val="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每年度合同签订后，采购人支付当年合同金额50%的预付款；每年11月30日之前，采购人支付该年度合同金额的40%；每年度合同期满，采购人将根据项目考核结果，按约定支付剩余款项。</w:t>
      </w:r>
      <w:r>
        <w:rPr>
          <w:rFonts w:hint="eastAsia" w:ascii="Times New Roman" w:hAnsi="Times New Roman" w:eastAsia="宋体" w:cs="Times New Roman"/>
          <w:color w:val="000000"/>
          <w:sz w:val="24"/>
          <w:szCs w:val="24"/>
          <w:highlight w:val="none"/>
        </w:rPr>
      </w:r>
      <w:r/>
    </w:p>
    <w:p>
      <w:pPr>
        <w:pStyle w:val="762"/>
        <w:ind w:firstLine="482"/>
        <w:keepLines w:val="0"/>
        <w:keepNext w:val="0"/>
        <w:pageBreakBefore w:val="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中标人应当在规定时间节点及时提供有效发票，采购人自收到发票后15个工作日内将资金支付到指定的供应商账户。</w:t>
      </w:r>
      <w:r>
        <w:rPr>
          <w:rFonts w:hint="eastAsia" w:ascii="Times New Roman" w:hAnsi="Times New Roman" w:eastAsia="宋体" w:cs="Times New Roman"/>
          <w:color w:val="000000"/>
          <w:sz w:val="24"/>
          <w:szCs w:val="24"/>
          <w:highlight w:val="none"/>
        </w:rPr>
      </w:r>
      <w:r/>
    </w:p>
    <w:p>
      <w:pPr>
        <w:pStyle w:val="762"/>
        <w:ind w:firstLine="560"/>
        <w:keepLines w:val="0"/>
        <w:keepNext w:val="0"/>
        <w:pageBreakBefore w:val="0"/>
        <w:spacing w:line="44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4.服务期限</w:t>
      </w:r>
      <w:r>
        <w:rPr>
          <w:rFonts w:hint="eastAsia" w:ascii="Times New Roman" w:hAnsi="Times New Roman" w:eastAsia="黑体" w:cs="Times New Roman"/>
          <w:color w:val="000000"/>
          <w:sz w:val="28"/>
          <w:szCs w:val="24"/>
          <w:highlight w:val="none"/>
          <w:lang w:val="en-US" w:eastAsia="zh-CN"/>
        </w:rPr>
      </w:r>
      <w:r/>
    </w:p>
    <w:p>
      <w:pPr>
        <w:pStyle w:val="762"/>
        <w:ind w:firstLine="480"/>
        <w:jc w:val="left"/>
        <w:keepLines w:val="0"/>
        <w:keepNext w:val="0"/>
        <w:pageBreakBefore w:val="0"/>
        <w:spacing w:line="440" w:lineRule="exact"/>
        <w:widowControl/>
        <w:rPr>
          <w:rFonts w:hint="eastAsia"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bidi="ar-SA"/>
        </w:rPr>
        <w:t xml:space="preserve">服务期限自首年合同签订之日起三年。合同一年一签，年度考核合格后，签订下一年度合同。</w:t>
      </w:r>
      <w:r>
        <w:rPr>
          <w:rFonts w:hint="eastAsia" w:ascii="Times New Roman" w:hAnsi="Times New Roman" w:eastAsia="宋体" w:cs="Times New Roman"/>
          <w:color w:val="000000"/>
          <w:sz w:val="24"/>
          <w:szCs w:val="24"/>
          <w:highlight w:val="none"/>
          <w:lang w:val="en-US" w:eastAsia="zh-CN"/>
        </w:rPr>
      </w:r>
      <w:r/>
    </w:p>
    <w:p>
      <w:pPr>
        <w:pStyle w:val="762"/>
        <w:ind w:firstLine="560"/>
        <w:keepLines w:val="0"/>
        <w:keepNext w:val="0"/>
        <w:pageBreakBefore w:val="0"/>
        <w:spacing w:line="44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5.项目验收要求</w:t>
      </w:r>
      <w:r>
        <w:rPr>
          <w:rFonts w:hint="eastAsia" w:ascii="Times New Roman" w:hAnsi="Times New Roman" w:eastAsia="黑体" w:cs="Times New Roman"/>
          <w:color w:val="000000"/>
          <w:sz w:val="28"/>
          <w:szCs w:val="24"/>
          <w:highlight w:val="none"/>
          <w:lang w:val="en-US" w:eastAsia="zh-CN"/>
        </w:rPr>
      </w:r>
      <w:r/>
    </w:p>
    <w:p>
      <w:pPr>
        <w:pStyle w:val="762"/>
        <w:ind w:firstLine="482"/>
        <w:keepLines w:val="0"/>
        <w:keepNext w:val="0"/>
        <w:pageBreakBefore w:val="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采购文件、投标（响应）文件、厂家服务标准说明及有关国家的服务标准规定，均作为服务确认（验收）标准。服务确认（验收）合格后，中标（成交）供应商凭用户出具的服务合格书至采购人处根据合同规定办理付款手续。</w:t>
      </w:r>
      <w:r>
        <w:rPr>
          <w:rFonts w:hint="eastAsia" w:ascii="Times New Roman" w:hAnsi="Times New Roman" w:eastAsia="宋体" w:cs="Times New Roman"/>
          <w:color w:val="000000"/>
          <w:sz w:val="24"/>
          <w:szCs w:val="24"/>
          <w:highlight w:val="none"/>
        </w:rPr>
      </w:r>
      <w:r/>
    </w:p>
    <w:p>
      <w:pPr>
        <w:pStyle w:val="762"/>
        <w:ind w:firstLine="560"/>
        <w:spacing w:line="48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六、其他要求</w:t>
      </w:r>
      <w:r>
        <w:rPr>
          <w:rFonts w:hint="eastAsia" w:ascii="Times New Roman" w:hAnsi="Times New Roman" w:eastAsia="黑体" w:cs="Times New Roman"/>
          <w:color w:val="000000"/>
          <w:sz w:val="28"/>
          <w:szCs w:val="24"/>
          <w:highlight w:val="none"/>
          <w:lang w:val="en-US" w:eastAsia="zh-CN"/>
        </w:rPr>
      </w:r>
      <w:r/>
    </w:p>
    <w:p>
      <w:pPr>
        <w:pStyle w:val="762"/>
        <w:ind w:firstLine="560"/>
        <w:spacing w:line="480" w:lineRule="exact"/>
        <w:rPr>
          <w:rFonts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1.项目属性：</w:t>
      </w:r>
      <w:r>
        <w:rPr>
          <w:rFonts w:hint="eastAsia" w:ascii="宋体" w:hAnsi="宋体" w:eastAsia="宋体" w:cs="宋体"/>
          <w:b w:val="0"/>
          <w:bCs w:val="0"/>
          <w:color w:val="000000"/>
          <w:sz w:val="24"/>
          <w:szCs w:val="22"/>
          <w:highlight w:val="none"/>
          <w:lang w:val="en-US" w:eastAsia="zh-CN"/>
        </w:rPr>
        <w:t xml:space="preserve">服务类项目</w:t>
      </w:r>
      <w:r>
        <w:rPr>
          <w:rFonts w:ascii="Times New Roman" w:hAnsi="Times New Roman" w:eastAsia="黑体" w:cs="Times New Roman"/>
          <w:color w:val="000000"/>
          <w:sz w:val="28"/>
          <w:szCs w:val="24"/>
          <w:highlight w:val="none"/>
          <w:lang w:val="en-US" w:eastAsia="zh-CN"/>
        </w:rPr>
      </w:r>
      <w:r/>
    </w:p>
    <w:p>
      <w:pPr>
        <w:pStyle w:val="762"/>
        <w:ind w:firstLine="560"/>
        <w:spacing w:line="48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2.政府绿色采购相关要求</w:t>
      </w:r>
      <w:r>
        <w:rPr>
          <w:rFonts w:hint="eastAsia" w:ascii="Times New Roman" w:hAnsi="Times New Roman" w:eastAsia="黑体" w:cs="Times New Roman"/>
          <w:color w:val="000000"/>
          <w:sz w:val="28"/>
          <w:szCs w:val="24"/>
          <w:highlight w:val="none"/>
          <w:lang w:val="en-US" w:eastAsia="zh-CN"/>
        </w:rPr>
      </w:r>
      <w:r/>
    </w:p>
    <w:p>
      <w:pPr>
        <w:pStyle w:val="762"/>
        <w:ind w:left="0" w:firstLine="480"/>
        <w:keepLines w:val="0"/>
        <w:keepNext w:val="0"/>
        <w:pageBreakBefore w:val="0"/>
        <w:spacing w:line="480" w:lineRule="exact"/>
        <w:widowControl w:val="off"/>
        <w:rPr>
          <w:rFonts w:ascii="宋体" w:hAnsi="宋体" w:eastAsia="宋体" w:cs="方正仿宋_GBK"/>
          <w:color w:val="000000"/>
          <w:sz w:val="24"/>
          <w:szCs w:val="24"/>
          <w:highlight w:val="none"/>
          <w:lang w:val="en-US" w:eastAsia="zh-CN"/>
        </w:rPr>
      </w:pPr>
      <w:r>
        <w:rPr>
          <w:rFonts w:hint="eastAsia" w:ascii="宋体" w:hAnsi="宋体" w:eastAsia="宋体" w:cs="方正仿宋_GBK"/>
          <w:color w:val="000000"/>
          <w:sz w:val="24"/>
          <w:szCs w:val="24"/>
          <w:highlight w:val="none"/>
          <w:lang w:val="en-US" w:eastAsia="zh-CN"/>
        </w:rPr>
        <w:t xml:space="preserve">（1）</w:t>
      </w:r>
      <w:r>
        <w:rPr>
          <w:rFonts w:ascii="宋体" w:hAnsi="宋体" w:eastAsia="宋体" w:cs="方正仿宋_GBK"/>
          <w:color w:val="000000"/>
          <w:sz w:val="24"/>
          <w:szCs w:val="24"/>
          <w:highlight w:val="none"/>
          <w:lang w:val="en-US" w:eastAsia="zh-CN"/>
        </w:rPr>
        <w:t xml:space="preserve">本项目中如有涉及商品包装、快递包装要求的，应当按《关于印发〈商品包装政府采购需求标准（试行）〉、〈快递包装政府采购需求标准（试行）〉的通知》（财办库〔2020〕123号）文件执行。采购人对商品包装和快递包装提出具体要求的，在政府采购合同中应当载明对政府采购供应商提供产品及相关快递服务的具体包装要求和履约验收相关条款，</w:t>
      </w:r>
      <w:r>
        <w:rPr>
          <w:rFonts w:hint="eastAsia" w:ascii="宋体" w:hAnsi="宋体" w:eastAsia="宋体" w:cs="方正仿宋_GBK"/>
          <w:color w:val="000000"/>
          <w:sz w:val="24"/>
          <w:szCs w:val="24"/>
          <w:highlight w:val="none"/>
          <w:lang w:val="en-US" w:eastAsia="zh-CN"/>
        </w:rPr>
        <w:t xml:space="preserve">中标（成交）</w:t>
      </w:r>
      <w:r>
        <w:rPr>
          <w:rFonts w:ascii="宋体" w:hAnsi="宋体" w:eastAsia="宋体" w:cs="方正仿宋_GBK"/>
          <w:color w:val="000000"/>
          <w:sz w:val="24"/>
          <w:szCs w:val="24"/>
          <w:highlight w:val="none"/>
          <w:lang w:val="en-US" w:eastAsia="zh-CN"/>
        </w:rPr>
        <w:t xml:space="preserve">供应商须严格执行，必要时应按照要求在履约验收环节出具检测报告。</w:t>
      </w:r>
      <w:r>
        <w:rPr>
          <w:rFonts w:ascii="宋体" w:hAnsi="宋体" w:eastAsia="宋体" w:cs="方正仿宋_GBK"/>
          <w:color w:val="000000"/>
          <w:sz w:val="24"/>
          <w:szCs w:val="24"/>
          <w:highlight w:val="none"/>
          <w:lang w:val="en-US" w:eastAsia="zh-CN"/>
        </w:rPr>
      </w:r>
      <w:r/>
    </w:p>
    <w:p>
      <w:pPr>
        <w:pStyle w:val="762"/>
        <w:ind w:left="0" w:firstLine="480"/>
        <w:keepLines w:val="0"/>
        <w:keepNext w:val="0"/>
        <w:pageBreakBefore w:val="0"/>
        <w:spacing w:line="480" w:lineRule="exact"/>
        <w:widowControl w:val="off"/>
        <w:rPr>
          <w:rFonts w:ascii="宋体" w:hAnsi="宋体" w:eastAsia="宋体" w:cs="方正仿宋_GBK"/>
          <w:color w:val="000000"/>
          <w:sz w:val="24"/>
          <w:szCs w:val="24"/>
          <w:highlight w:val="none"/>
          <w:lang w:val="en-US" w:eastAsia="zh-CN"/>
        </w:rPr>
      </w:pPr>
      <w:r>
        <w:rPr>
          <w:rFonts w:hint="eastAsia" w:ascii="宋体" w:hAnsi="宋体" w:eastAsia="宋体" w:cs="方正仿宋_GBK"/>
          <w:color w:val="000000"/>
          <w:sz w:val="24"/>
          <w:szCs w:val="24"/>
          <w:highlight w:val="none"/>
          <w:lang w:val="en-US" w:eastAsia="zh-CN"/>
        </w:rPr>
        <w:t xml:space="preserve">（2）</w:t>
      </w:r>
      <w:r>
        <w:rPr>
          <w:rFonts w:ascii="宋体" w:hAnsi="宋体" w:eastAsia="宋体" w:cs="方正仿宋_GBK"/>
          <w:color w:val="000000"/>
          <w:sz w:val="24"/>
          <w:szCs w:val="24"/>
          <w:highlight w:val="none"/>
          <w:lang w:val="en-US" w:eastAsia="zh-CN"/>
        </w:rPr>
        <w:t xml:space="preserve">本项目中如有涉及采购数据中心相关设备、运维服务的，应当按《关于印发〈绿色数据中心政府采购需求标准（试行）〉的通知》（财办库〔2023〕7号）文件执行。在政府采购合同中，采购人应明确对相关指标的验收方式和违约责任，中标（成交）供应商应按合同约定提供设备或服务。</w:t>
      </w:r>
      <w:r>
        <w:rPr>
          <w:rFonts w:ascii="宋体" w:hAnsi="宋体" w:eastAsia="宋体" w:cs="方正仿宋_GBK"/>
          <w:color w:val="000000"/>
          <w:sz w:val="24"/>
          <w:szCs w:val="24"/>
          <w:highlight w:val="none"/>
          <w:lang w:val="en-US" w:eastAsia="zh-CN"/>
        </w:rPr>
      </w:r>
      <w:r/>
    </w:p>
    <w:p>
      <w:pPr>
        <w:pStyle w:val="762"/>
        <w:ind w:left="0" w:firstLine="480"/>
        <w:keepLines w:val="0"/>
        <w:keepNext w:val="0"/>
        <w:pageBreakBefore w:val="0"/>
        <w:spacing w:line="480" w:lineRule="exact"/>
        <w:widowControl w:val="off"/>
        <w:rPr>
          <w:rFonts w:hint="eastAsia" w:ascii="Times New Roman" w:hAnsi="Times New Roman" w:eastAsia="宋体" w:cs="Times New Roman"/>
          <w:color w:val="000000"/>
          <w:sz w:val="24"/>
          <w:szCs w:val="24"/>
          <w:highlight w:val="none"/>
        </w:rPr>
      </w:pPr>
      <w:r>
        <w:rPr>
          <w:rFonts w:hint="eastAsia" w:ascii="宋体" w:hAnsi="宋体" w:eastAsia="宋体" w:cs="方正仿宋_GBK"/>
          <w:color w:val="000000"/>
          <w:sz w:val="24"/>
          <w:szCs w:val="24"/>
          <w:highlight w:val="none"/>
          <w:lang w:val="en-US" w:eastAsia="zh-CN"/>
        </w:rPr>
        <w:t xml:space="preserve">（3）</w:t>
      </w:r>
      <w:r>
        <w:rPr>
          <w:rFonts w:ascii="宋体" w:hAnsi="宋体" w:eastAsia="宋体" w:cs="方正仿宋_GBK"/>
          <w:color w:val="000000"/>
          <w:sz w:val="24"/>
          <w:szCs w:val="24"/>
          <w:highlight w:val="none"/>
          <w:lang w:val="en-US" w:eastAsia="zh-CN"/>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Times New Roman" w:hAnsi="Times New Roman" w:eastAsia="宋体" w:cs="Times New Roman"/>
          <w:color w:val="000000"/>
          <w:sz w:val="24"/>
          <w:szCs w:val="24"/>
          <w:highlight w:val="none"/>
        </w:rPr>
      </w:r>
      <w:r/>
    </w:p>
    <w:p>
      <w:pPr>
        <w:pStyle w:val="762"/>
        <w:ind w:firstLine="560"/>
        <w:keepLines w:val="0"/>
        <w:keepNext w:val="0"/>
        <w:pageBreakBefore w:val="0"/>
        <w:spacing w:line="44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3.政府采购中实施本国产品标准及相关政策</w:t>
      </w:r>
      <w:r>
        <w:rPr>
          <w:rFonts w:hint="eastAsia" w:ascii="Times New Roman" w:hAnsi="Times New Roman" w:eastAsia="黑体" w:cs="Times New Roman"/>
          <w:color w:val="000000"/>
          <w:sz w:val="28"/>
          <w:szCs w:val="24"/>
          <w:highlight w:val="none"/>
          <w:lang w:val="en-US" w:eastAsia="zh-CN"/>
        </w:rPr>
      </w:r>
      <w:r/>
    </w:p>
    <w:p>
      <w:pPr>
        <w:pStyle w:val="762"/>
        <w:ind w:left="0" w:firstLine="480"/>
        <w:keepLines w:val="0"/>
        <w:keepNext w:val="0"/>
        <w:pageBreakBefore w:val="0"/>
        <w:spacing w:line="480" w:lineRule="exact"/>
        <w:widowControl w:val="off"/>
        <w:rPr>
          <w:rFonts w:hint="eastAsia" w:ascii="宋体" w:hAnsi="宋体" w:eastAsia="宋体" w:cs="方正仿宋_GBK"/>
          <w:color w:val="000000"/>
          <w:sz w:val="24"/>
          <w:szCs w:val="24"/>
          <w:highlight w:val="none"/>
          <w:lang w:val="en-US" w:eastAsia="zh-CN"/>
        </w:rPr>
      </w:pPr>
      <w:r>
        <w:rPr>
          <w:rFonts w:hint="eastAsia" w:ascii="宋体" w:hAnsi="宋体" w:eastAsia="宋体" w:cs="方正仿宋_GBK"/>
          <w:color w:val="000000"/>
          <w:sz w:val="24"/>
          <w:szCs w:val="24"/>
          <w:highlight w:val="none"/>
          <w:lang w:val="en-US" w:eastAsia="zh-CN"/>
        </w:rPr>
        <w:t xml:space="preserve">（1）本项目对采购本国产品给予政策支持，具体内容见招标文件“第五章评标方法与评标标准”。</w:t>
      </w:r>
      <w:r>
        <w:rPr>
          <w:rFonts w:hint="eastAsia" w:ascii="宋体" w:hAnsi="宋体" w:eastAsia="宋体" w:cs="方正仿宋_GBK"/>
          <w:color w:val="000000"/>
          <w:sz w:val="24"/>
          <w:szCs w:val="24"/>
          <w:highlight w:val="none"/>
          <w:lang w:val="en-US" w:eastAsia="zh-CN"/>
        </w:rPr>
      </w:r>
      <w:r/>
    </w:p>
    <w:p>
      <w:pPr>
        <w:pStyle w:val="762"/>
        <w:ind w:left="0" w:firstLine="480"/>
        <w:keepLines w:val="0"/>
        <w:keepNext w:val="0"/>
        <w:pageBreakBefore w:val="0"/>
        <w:spacing w:line="480" w:lineRule="exact"/>
        <w:widowControl w:val="off"/>
        <w:rPr>
          <w:rFonts w:hint="eastAsia" w:ascii="宋体" w:hAnsi="宋体" w:eastAsia="宋体" w:cs="方正仿宋_GBK"/>
          <w:color w:val="000000"/>
          <w:sz w:val="24"/>
          <w:szCs w:val="24"/>
          <w:highlight w:val="none"/>
          <w:lang w:val="en-US" w:eastAsia="zh-CN"/>
        </w:rPr>
      </w:pPr>
      <w:r>
        <w:rPr>
          <w:rFonts w:hint="eastAsia" w:ascii="宋体" w:hAnsi="宋体" w:eastAsia="宋体" w:cs="方正仿宋_GBK"/>
          <w:color w:val="000000"/>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方正仿宋_GBK"/>
          <w:color w:val="000000"/>
          <w:sz w:val="24"/>
          <w:szCs w:val="24"/>
          <w:highlight w:val="none"/>
          <w:lang w:val="en-US" w:eastAsia="zh-CN"/>
        </w:rPr>
      </w:r>
      <w:r/>
    </w:p>
    <w:p>
      <w:pPr>
        <w:pStyle w:val="762"/>
        <w:ind w:left="0" w:firstLine="480"/>
        <w:keepLines w:val="0"/>
        <w:keepNext w:val="0"/>
        <w:pageBreakBefore w:val="0"/>
        <w:spacing w:line="480" w:lineRule="exact"/>
        <w:widowControl w:val="off"/>
        <w:rPr>
          <w:rFonts w:hint="eastAsia" w:ascii="Times New Roman" w:hAnsi="Times New Roman" w:eastAsia="黑体" w:cs="Times New Roman"/>
          <w:color w:val="000000"/>
          <w:sz w:val="28"/>
          <w:szCs w:val="24"/>
          <w:highlight w:val="none"/>
          <w:lang w:val="en-US" w:eastAsia="zh-CN"/>
        </w:rPr>
      </w:pPr>
      <w:r>
        <w:rPr>
          <w:rFonts w:hint="eastAsia" w:ascii="宋体" w:hAnsi="宋体" w:eastAsia="宋体" w:cs="方正仿宋_GBK"/>
          <w:color w:val="000000"/>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Times New Roman" w:hAnsi="Times New Roman" w:eastAsia="黑体" w:cs="Times New Roman"/>
          <w:color w:val="000000"/>
          <w:sz w:val="28"/>
          <w:szCs w:val="24"/>
          <w:highlight w:val="none"/>
          <w:lang w:val="en-US" w:eastAsia="zh-CN"/>
        </w:rPr>
      </w:r>
      <w:r/>
    </w:p>
    <w:p>
      <w:pPr>
        <w:pStyle w:val="762"/>
        <w:ind w:firstLine="560"/>
        <w:keepLines w:val="0"/>
        <w:keepNext w:val="0"/>
        <w:pageBreakBefore w:val="0"/>
        <w:spacing w:line="440" w:lineRule="exact"/>
        <w:rPr>
          <w:rFonts w:hint="eastAsia" w:ascii="Times New Roman" w:hAnsi="Times New Roman" w:eastAsia="黑体" w:cs="Times New Roman"/>
          <w:color w:val="000000"/>
          <w:sz w:val="28"/>
          <w:szCs w:val="24"/>
          <w:highlight w:val="none"/>
          <w:lang w:val="en-US" w:eastAsia="zh-CN"/>
        </w:rPr>
      </w:pPr>
      <w:r>
        <w:rPr>
          <w:rFonts w:hint="eastAsia" w:ascii="Times New Roman" w:hAnsi="Times New Roman" w:eastAsia="黑体" w:cs="Times New Roman"/>
          <w:color w:val="000000"/>
          <w:sz w:val="28"/>
          <w:szCs w:val="24"/>
          <w:highlight w:val="none"/>
          <w:lang w:val="en-US" w:eastAsia="zh-CN"/>
        </w:rPr>
        <w:t xml:space="preserve">4.采购标的所属行业</w:t>
      </w:r>
      <w:r>
        <w:rPr>
          <w:rFonts w:hint="eastAsia" w:ascii="Times New Roman" w:hAnsi="Times New Roman" w:eastAsia="黑体" w:cs="Times New Roman"/>
          <w:color w:val="000000"/>
          <w:sz w:val="28"/>
          <w:szCs w:val="24"/>
          <w:highlight w:val="none"/>
          <w:lang w:val="en-US" w:eastAsia="zh-CN"/>
        </w:rPr>
      </w:r>
      <w:r/>
    </w:p>
    <w:p>
      <w:pPr>
        <w:pStyle w:val="762"/>
        <w:ind w:firstLine="482"/>
        <w:keepLines w:val="0"/>
        <w:keepNext w:val="0"/>
        <w:pageBreakBefore w:val="0"/>
        <w:spacing w:line="440" w:lineRule="exact"/>
        <w:rPr>
          <w:rFonts w:ascii="Times New Roman" w:hAnsi="宋体"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参照《关于印发中小企业划型标准规定的通知》（工信部联企业〔2011〕300号）文件，本项目采购标的所属行业为：</w:t>
      </w:r>
      <w:r>
        <w:rPr>
          <w:rFonts w:ascii="Times New Roman" w:hAnsi="Times New Roman" w:eastAsia="宋体" w:cs="Times New Roman"/>
          <w:color w:val="000000"/>
          <w:sz w:val="24"/>
          <w:szCs w:val="24"/>
          <w:highlight w:val="none"/>
          <w:u w:val="single"/>
        </w:rPr>
        <w:t xml:space="preserve">信息传输业</w:t>
      </w:r>
      <w:r>
        <w:rPr>
          <w:rFonts w:ascii="Times New Roman" w:hAnsi="Times New Roman" w:eastAsia="宋体" w:cs="Times New Roman"/>
          <w:color w:val="000000"/>
          <w:sz w:val="24"/>
          <w:szCs w:val="24"/>
          <w:highlight w:val="none"/>
        </w:rPr>
        <w:t xml:space="preserve">。</w:t>
      </w:r>
      <w:r>
        <w:rPr>
          <w:rFonts w:ascii="Times New Roman" w:hAnsi="宋体" w:eastAsia="宋体" w:cs="Times New Roman"/>
          <w:color w:val="000000"/>
          <w:sz w:val="24"/>
          <w:szCs w:val="24"/>
          <w:highlight w:val="none"/>
        </w:rPr>
      </w:r>
      <w:r/>
    </w:p>
    <w:p>
      <w:pPr>
        <w:pStyle w:val="762"/>
        <w:jc w:val="center"/>
        <w:rPr>
          <w:rFonts w:hint="eastAsia" w:ascii="宋体" w:hAnsi="宋体" w:eastAsia="宋体" w:cs="Times New Roman"/>
          <w:b/>
          <w:color w:val="000000"/>
          <w:sz w:val="36"/>
          <w:szCs w:val="36"/>
          <w:highlight w:val="none"/>
          <w:lang w:eastAsia="zh-CN"/>
        </w:rPr>
      </w:pPr>
      <w:r>
        <w:rPr>
          <w:rFonts w:hint="eastAsia" w:ascii="宋体" w:hAnsi="宋体" w:eastAsia="宋体" w:cs="Times New Roman"/>
          <w:b/>
          <w:color w:val="000000"/>
          <w:sz w:val="36"/>
          <w:szCs w:val="36"/>
          <w:highlight w:val="none"/>
          <w:lang w:eastAsia="zh-CN"/>
        </w:rPr>
        <w:br w:type="page" w:clear="all"/>
      </w:r>
      <w:r>
        <w:rPr>
          <w:rFonts w:hint="eastAsia" w:ascii="宋体" w:hAnsi="宋体" w:eastAsia="宋体" w:cs="Times New Roman"/>
          <w:b/>
          <w:color w:val="000000"/>
          <w:sz w:val="36"/>
          <w:szCs w:val="36"/>
          <w:highlight w:val="none"/>
          <w:lang w:eastAsia="zh-CN"/>
        </w:rPr>
        <w:t xml:space="preserve">采购包三</w:t>
      </w:r>
      <w:r>
        <w:rPr>
          <w:rFonts w:hint="eastAsia" w:ascii="宋体" w:hAnsi="宋体" w:eastAsia="宋体" w:cs="Times New Roman"/>
          <w:b/>
          <w:color w:val="000000"/>
          <w:sz w:val="36"/>
          <w:szCs w:val="36"/>
          <w:highlight w:val="none"/>
          <w:lang w:eastAsia="zh-CN"/>
        </w:rPr>
      </w:r>
      <w:r/>
    </w:p>
    <w:p>
      <w:pPr>
        <w:pStyle w:val="762"/>
        <w:numPr>
          <w:ilvl w:val="0"/>
          <w:numId w:val="4"/>
        </w:numPr>
        <w:ind w:left="0" w:firstLine="560"/>
        <w:jc w:val="left"/>
        <w:keepLines w:val="0"/>
        <w:keepNext w:val="0"/>
        <w:pageBreakBefore w:val="0"/>
        <w:spacing w:line="480" w:lineRule="exact"/>
        <w:rPr>
          <w:rFonts w:hint="eastAsia" w:ascii="黑体" w:hAnsi="黑体" w:eastAsia="黑体" w:cs="黑体"/>
          <w:b w:val="0"/>
          <w:bCs/>
          <w:color w:val="000000"/>
          <w:sz w:val="28"/>
          <w:szCs w:val="28"/>
          <w:highlight w:val="none"/>
          <w:lang w:eastAsia="zh-CN"/>
        </w:rPr>
      </w:pPr>
      <w:r>
        <w:rPr>
          <w:rFonts w:hint="eastAsia" w:ascii="黑体" w:hAnsi="黑体" w:eastAsia="黑体" w:cs="黑体"/>
          <w:b w:val="0"/>
          <w:bCs/>
          <w:color w:val="000000"/>
          <w:sz w:val="28"/>
          <w:szCs w:val="28"/>
          <w:highlight w:val="none"/>
          <w:lang w:eastAsia="zh-CN"/>
        </w:rPr>
        <w:t xml:space="preserve">项目背景</w:t>
      </w:r>
      <w:r>
        <w:rPr>
          <w:rFonts w:hint="eastAsia" w:ascii="黑体" w:hAnsi="黑体" w:eastAsia="黑体" w:cs="黑体"/>
          <w:b w:val="0"/>
          <w:bCs/>
          <w:color w:val="000000"/>
          <w:sz w:val="28"/>
          <w:szCs w:val="28"/>
          <w:highlight w:val="none"/>
          <w:lang w:eastAsia="zh-CN"/>
        </w:rPr>
      </w:r>
      <w:r/>
    </w:p>
    <w:p>
      <w:pPr>
        <w:pStyle w:val="762"/>
        <w:numPr>
          <w:ilvl w:val="0"/>
          <w:numId w:val="0"/>
        </w:numPr>
        <w:ind w:left="0" w:firstLine="480"/>
        <w:jc w:val="left"/>
        <w:keepLines w:val="0"/>
        <w:keepNext w:val="0"/>
        <w:pageBreakBefore w:val="0"/>
        <w:spacing w:line="480" w:lineRule="exact"/>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目前，我区电子政务外网已实现全域覆盖，承载着政务协同办公、公共服务、数据共享交换、业务审批等关键政务应用。由于接入单位多、终端规模大、数据流转频繁、网络边界复杂，安全风险持续攀升，病毒感染、系统漏洞、违规外联等安全问题时有发生。现有安全防护手段存在边界防护不足、监测预警能力薄弱、终端管控缺失等问题，难以满足常态化安全运营的要求。为严格贯彻《中华人民共和国网络安全法》《中华人民共和国数据安全法》《关键信息基础设施安全保</w:t>
      </w:r>
      <w:r>
        <w:rPr>
          <w:rFonts w:hint="eastAsia" w:ascii="Times New Roman" w:hAnsi="Times New Roman" w:eastAsia="宋体" w:cs="Times New Roman"/>
          <w:color w:val="000000"/>
          <w:sz w:val="24"/>
          <w:szCs w:val="24"/>
          <w:highlight w:val="none"/>
          <w:lang w:val="en-US" w:eastAsia="zh-CN" w:bidi="ar-SA"/>
        </w:rPr>
        <w:t xml:space="preserve">护条例》《江苏省电子政务外网管理办法（试行）》《关于加强全省新“一张网”高质量建设管理有关工作的通知》《关于进一步加强电子政务外网安全运行管理工作的通知》《关于进一步落实电子政务外网安全运行管理工作的通知》等法律法规及上级政策部署，全面夯实数字政府网络安全底座，切实保障电子政务网络平稳运行、政务数据安全可控，姜堰区数据局作为全区电子政务外网主管单位，现启动电子政务外网安全服务采购工作，通过引入专业化安全服务，构建标准化安全能力体系、常态化安全运营管理模式，为全区数字政府建设、政务服务高质量发展筑牢安全屏障。</w:t>
      </w:r>
      <w:r>
        <w:rPr>
          <w:rFonts w:hint="eastAsia" w:ascii="Times New Roman" w:hAnsi="Times New Roman" w:eastAsia="宋体" w:cs="Times New Roman"/>
          <w:color w:val="000000"/>
          <w:sz w:val="24"/>
          <w:szCs w:val="24"/>
          <w:highlight w:val="none"/>
          <w:lang w:val="en-US" w:eastAsia="zh-CN" w:bidi="ar-SA"/>
        </w:rPr>
      </w:r>
      <w:r/>
    </w:p>
    <w:p>
      <w:pPr>
        <w:pStyle w:val="762"/>
        <w:numPr>
          <w:ilvl w:val="0"/>
          <w:numId w:val="0"/>
        </w:numPr>
        <w:ind w:left="0" w:firstLine="560"/>
        <w:jc w:val="left"/>
        <w:pageBreakBefore w:val="0"/>
        <w:spacing w:line="480" w:lineRule="exact"/>
        <w:rPr>
          <w:rFonts w:ascii="黑体" w:hAnsi="黑体" w:eastAsia="黑体" w:cs="黑体"/>
          <w:b w:val="0"/>
          <w:bCs/>
          <w:color w:val="000000"/>
          <w:sz w:val="28"/>
          <w:szCs w:val="28"/>
          <w:highlight w:val="none"/>
          <w:lang w:val="en-US" w:eastAsia="zh-CN"/>
        </w:rPr>
      </w:pPr>
      <w:r>
        <w:rPr>
          <w:rFonts w:hint="eastAsia" w:ascii="黑体" w:hAnsi="黑体" w:eastAsia="黑体" w:cs="黑体"/>
          <w:b w:val="0"/>
          <w:bCs/>
          <w:color w:val="000000"/>
          <w:sz w:val="28"/>
          <w:szCs w:val="28"/>
          <w:highlight w:val="none"/>
          <w:lang w:val="en-US" w:eastAsia="zh-CN"/>
        </w:rPr>
        <w:t xml:space="preserve">二、技术要求</w:t>
      </w:r>
      <w:r>
        <w:rPr>
          <w:rFonts w:ascii="黑体" w:hAnsi="黑体" w:eastAsia="黑体" w:cs="黑体"/>
          <w:b w:val="0"/>
          <w:bCs/>
          <w:color w:val="000000"/>
          <w:sz w:val="28"/>
          <w:szCs w:val="28"/>
          <w:highlight w:val="none"/>
          <w:lang w:val="en-US" w:eastAsia="zh-CN"/>
        </w:rPr>
      </w:r>
      <w:r/>
    </w:p>
    <w:p>
      <w:pPr>
        <w:pStyle w:val="807"/>
        <w:ind w:left="0" w:right="0" w:firstLine="480"/>
        <w:jc w:val="left"/>
        <w:keepLines w:val="0"/>
        <w:keepNext w:val="0"/>
        <w:pageBreakBefore w:val="0"/>
        <w:spacing w:before="0" w:beforeAutospacing="0" w:after="0" w:afterAutospacing="0" w:line="480" w:lineRule="exact"/>
        <w:widowControl/>
        <w:rPr>
          <w:rFonts w:hint="eastAsia"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bidi="ar-SA"/>
        </w:rPr>
        <w:t xml:space="preserve">本次招标电子政务网络安全相关需求均采用服务模式进行交付，主要包含网络安全基础设施建设服务、网络安全运营服务两大内容。本项目不涉及设备采购</w:t>
      </w:r>
      <w:r>
        <w:rPr>
          <w:rFonts w:hint="eastAsia"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供应商所提供的配套设备均以租赁方式使用，且须完全满足项目规定技术参数及相关标准要求。</w:t>
      </w:r>
      <w:r>
        <w:rPr>
          <w:rFonts w:hint="eastAsia" w:ascii="Times New Roman" w:hAnsi="Times New Roman" w:eastAsia="宋体" w:cs="Times New Roman"/>
          <w:color w:val="000000"/>
          <w:sz w:val="24"/>
          <w:szCs w:val="24"/>
          <w:highlight w:val="none"/>
          <w:lang w:val="en-US" w:eastAsia="zh-CN" w:bidi="ar-SA"/>
        </w:rPr>
      </w:r>
      <w:r/>
    </w:p>
    <w:tbl>
      <w:tblPr>
        <w:tblStyle w:val="811"/>
        <w:tblpPr w:horzAnchor="page" w:tblpX="1824" w:vertAnchor="text" w:tblpY="19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2"/>
        <w:gridCol w:w="3109"/>
        <w:gridCol w:w="3109"/>
      </w:tblGrid>
      <w:tr>
        <w:trPr>
          <w:trHeight w:val="567" w:hRule="exact"/>
        </w:trPr>
        <w:tc>
          <w:tcPr>
            <w:gridSpan w:val="3"/>
            <w:tcW w:w="8520" w:type="dxa"/>
            <w:vAlign w:val="center"/>
            <w:textDirection w:val="lrTb"/>
            <w:noWrap w:val="false"/>
          </w:tcPr>
          <w:p>
            <w:pPr>
              <w:pStyle w:val="762"/>
              <w:ind w:left="0"/>
              <w:jc w:val="center"/>
              <w:pageBreakBefore w:val="0"/>
              <w:spacing w:line="480" w:lineRule="exact"/>
              <w:rPr>
                <w:rFonts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服务清单</w:t>
            </w:r>
            <w:r>
              <w:rPr>
                <w:rFonts w:ascii="Times New Roman" w:hAnsi="Times New Roman" w:eastAsia="宋体" w:cs="Times New Roman"/>
                <w:color w:val="000000"/>
                <w:sz w:val="24"/>
                <w:szCs w:val="24"/>
                <w:highlight w:val="none"/>
                <w:lang w:val="en-US" w:eastAsia="zh-CN" w:bidi="ar-SA"/>
              </w:rPr>
            </w:r>
            <w:r/>
          </w:p>
        </w:tc>
      </w:tr>
      <w:tr>
        <w:trPr>
          <w:trHeight w:val="567" w:hRule="exact"/>
        </w:trPr>
        <w:tc>
          <w:tcPr>
            <w:tcW w:w="2302" w:type="dxa"/>
            <w:vAlign w:val="center"/>
            <w:textDirection w:val="lrTb"/>
            <w:noWrap w:val="false"/>
          </w:tcPr>
          <w:p>
            <w:pPr>
              <w:pStyle w:val="762"/>
              <w:ind w:left="0" w:firstLine="480"/>
              <w:pageBreakBefore w:val="0"/>
              <w:spacing w:line="480" w:lineRule="exact"/>
              <w:rPr>
                <w:rFonts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服务类别</w:t>
            </w:r>
            <w:r>
              <w:rPr>
                <w:rFonts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服务名称</w:t>
            </w:r>
            <w:r>
              <w:rPr>
                <w:rFonts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服务频次</w:t>
            </w:r>
            <w:r>
              <w:rPr>
                <w:rFonts w:ascii="Times New Roman" w:hAnsi="Times New Roman" w:eastAsia="宋体" w:cs="Times New Roman"/>
                <w:color w:val="000000"/>
                <w:sz w:val="24"/>
                <w:szCs w:val="24"/>
                <w:highlight w:val="none"/>
                <w:lang w:val="en-US" w:eastAsia="zh-CN" w:bidi="ar-SA"/>
              </w:rPr>
            </w:r>
            <w:r/>
          </w:p>
        </w:tc>
      </w:tr>
      <w:tr>
        <w:trPr>
          <w:trHeight w:val="567" w:hRule="exact"/>
        </w:trPr>
        <w:tc>
          <w:tcPr>
            <w:tcW w:w="2302" w:type="dxa"/>
            <w:vAlign w:val="center"/>
            <w:vMerge w:val="restart"/>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网络安全</w:t>
            </w:r>
            <w:r>
              <w:rPr>
                <w:rFonts w:hint="eastAsia" w:ascii="Times New Roman" w:hAnsi="Times New Roman" w:eastAsia="宋体" w:cs="Times New Roman"/>
                <w:color w:val="000000"/>
                <w:sz w:val="24"/>
                <w:szCs w:val="24"/>
                <w:highlight w:val="none"/>
                <w:lang w:val="en-US" w:eastAsia="zh-CN" w:bidi="ar-SA"/>
              </w:rPr>
            </w:r>
            <w:r/>
          </w:p>
          <w:p>
            <w:pPr>
              <w:pStyle w:val="762"/>
              <w:ind w:left="0"/>
              <w:jc w:val="both"/>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基础设施建设服务</w:t>
            </w: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(1)防火墙系统服务</w:t>
            </w: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实时</w:t>
            </w:r>
            <w:r>
              <w:rPr>
                <w:rFonts w:hint="eastAsia" w:ascii="Times New Roman" w:hAnsi="Times New Roman" w:eastAsia="宋体" w:cs="Times New Roman"/>
                <w:color w:val="000000"/>
                <w:sz w:val="24"/>
                <w:szCs w:val="24"/>
                <w:highlight w:val="none"/>
                <w:lang w:val="en-US" w:eastAsia="zh-CN" w:bidi="ar-SA"/>
              </w:rPr>
            </w:r>
            <w:r/>
          </w:p>
        </w:tc>
      </w:tr>
      <w:tr>
        <w:trPr>
          <w:trHeight w:val="567" w:hRule="exact"/>
        </w:trPr>
        <w:tc>
          <w:tcPr>
            <w:tcW w:w="2302" w:type="dxa"/>
            <w:vAlign w:val="center"/>
            <w:vMerge w:val="continue"/>
            <w:textDirection w:val="lrTb"/>
            <w:noWrap w:val="false"/>
          </w:tcPr>
          <w:p>
            <w:pPr>
              <w:pStyle w:val="762"/>
              <w:ind w:left="0" w:firstLine="480"/>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(2)违规外联监测系统服务</w:t>
            </w: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实时</w:t>
            </w:r>
            <w:r>
              <w:rPr>
                <w:rFonts w:hint="eastAsia" w:ascii="Times New Roman" w:hAnsi="Times New Roman" w:eastAsia="宋体" w:cs="Times New Roman"/>
                <w:color w:val="000000"/>
                <w:sz w:val="24"/>
                <w:szCs w:val="24"/>
                <w:highlight w:val="none"/>
                <w:lang w:val="en-US" w:eastAsia="zh-CN" w:bidi="ar-SA"/>
              </w:rPr>
            </w:r>
            <w:r/>
          </w:p>
        </w:tc>
      </w:tr>
      <w:tr>
        <w:trPr>
          <w:trHeight w:val="567" w:hRule="exact"/>
        </w:trPr>
        <w:tc>
          <w:tcPr>
            <w:tcW w:w="2302" w:type="dxa"/>
            <w:vAlign w:val="center"/>
            <w:vMerge w:val="continue"/>
            <w:textDirection w:val="lrTb"/>
            <w:noWrap w:val="false"/>
          </w:tcPr>
          <w:p>
            <w:pPr>
              <w:pStyle w:val="762"/>
              <w:ind w:left="0" w:firstLine="480"/>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(3)网络安全准入系统服务</w:t>
            </w: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实时</w:t>
            </w:r>
            <w:r>
              <w:rPr>
                <w:rFonts w:hint="eastAsia" w:ascii="Times New Roman" w:hAnsi="Times New Roman" w:eastAsia="宋体" w:cs="Times New Roman"/>
                <w:color w:val="000000"/>
                <w:sz w:val="24"/>
                <w:szCs w:val="24"/>
                <w:highlight w:val="none"/>
                <w:lang w:val="en-US" w:eastAsia="zh-CN" w:bidi="ar-SA"/>
              </w:rPr>
            </w:r>
            <w:r/>
          </w:p>
        </w:tc>
      </w:tr>
      <w:tr>
        <w:trPr>
          <w:trHeight w:val="567" w:hRule="exact"/>
        </w:trPr>
        <w:tc>
          <w:tcPr>
            <w:tcW w:w="2302" w:type="dxa"/>
            <w:vAlign w:val="center"/>
            <w:vMerge w:val="continue"/>
            <w:textDirection w:val="lrTb"/>
            <w:noWrap w:val="false"/>
          </w:tcPr>
          <w:p>
            <w:pPr>
              <w:pStyle w:val="762"/>
              <w:ind w:left="0" w:firstLine="480"/>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(4)未知威胁检测系统服务</w:t>
            </w: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实时</w:t>
            </w:r>
            <w:r>
              <w:rPr>
                <w:rFonts w:hint="eastAsia" w:ascii="Times New Roman" w:hAnsi="Times New Roman" w:eastAsia="宋体" w:cs="Times New Roman"/>
                <w:color w:val="000000"/>
                <w:sz w:val="24"/>
                <w:szCs w:val="24"/>
                <w:highlight w:val="none"/>
                <w:lang w:val="en-US" w:eastAsia="zh-CN" w:bidi="ar-SA"/>
              </w:rPr>
            </w:r>
            <w:r/>
          </w:p>
        </w:tc>
      </w:tr>
      <w:tr>
        <w:trPr>
          <w:trHeight w:val="567" w:hRule="exact"/>
        </w:trPr>
        <w:tc>
          <w:tcPr>
            <w:tcW w:w="2302" w:type="dxa"/>
            <w:vAlign w:val="center"/>
            <w:vMerge w:val="continue"/>
            <w:textDirection w:val="lrTb"/>
            <w:noWrap w:val="false"/>
          </w:tcPr>
          <w:p>
            <w:pPr>
              <w:pStyle w:val="762"/>
              <w:ind w:left="0" w:firstLine="480"/>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(5)终端安全防护系统服务</w:t>
            </w: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实时</w:t>
            </w:r>
            <w:r>
              <w:rPr>
                <w:rFonts w:hint="eastAsia" w:ascii="Times New Roman" w:hAnsi="Times New Roman" w:eastAsia="宋体" w:cs="Times New Roman"/>
                <w:color w:val="000000"/>
                <w:sz w:val="24"/>
                <w:szCs w:val="24"/>
                <w:highlight w:val="none"/>
                <w:lang w:val="en-US" w:eastAsia="zh-CN" w:bidi="ar-SA"/>
              </w:rPr>
            </w:r>
            <w:r/>
          </w:p>
        </w:tc>
      </w:tr>
      <w:tr>
        <w:trPr>
          <w:trHeight w:val="567" w:hRule="exact"/>
        </w:trPr>
        <w:tc>
          <w:tcPr>
            <w:tcW w:w="2302" w:type="dxa"/>
            <w:vAlign w:val="center"/>
            <w:vMerge w:val="continue"/>
            <w:textDirection w:val="lrTb"/>
            <w:noWrap w:val="false"/>
          </w:tcPr>
          <w:p>
            <w:pPr>
              <w:pStyle w:val="762"/>
              <w:ind w:left="0" w:firstLine="480"/>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(6)安全引流交换机服务</w:t>
            </w: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实时</w:t>
            </w:r>
            <w:r>
              <w:rPr>
                <w:rFonts w:hint="eastAsia" w:ascii="Times New Roman" w:hAnsi="Times New Roman" w:eastAsia="宋体" w:cs="Times New Roman"/>
                <w:color w:val="000000"/>
                <w:sz w:val="24"/>
                <w:szCs w:val="24"/>
                <w:highlight w:val="none"/>
                <w:lang w:val="en-US" w:eastAsia="zh-CN" w:bidi="ar-SA"/>
              </w:rPr>
            </w:r>
            <w:r/>
          </w:p>
        </w:tc>
      </w:tr>
      <w:tr>
        <w:trPr>
          <w:trHeight w:val="567" w:hRule="exact"/>
        </w:trPr>
        <w:tc>
          <w:tcPr>
            <w:tcW w:w="2302" w:type="dxa"/>
            <w:vAlign w:val="center"/>
            <w:vMerge w:val="restart"/>
            <w:textDirection w:val="lrTb"/>
            <w:noWrap w:val="false"/>
          </w:tcPr>
          <w:p>
            <w:pPr>
              <w:pStyle w:val="762"/>
              <w:ind w:left="0" w:firstLine="480"/>
              <w:jc w:val="both"/>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网络安全</w:t>
            </w:r>
            <w:r>
              <w:rPr>
                <w:rFonts w:hint="eastAsia" w:ascii="Times New Roman" w:hAnsi="Times New Roman" w:eastAsia="宋体" w:cs="Times New Roman"/>
                <w:color w:val="000000"/>
                <w:sz w:val="24"/>
                <w:szCs w:val="24"/>
                <w:highlight w:val="none"/>
                <w:lang w:val="en-US" w:eastAsia="zh-CN" w:bidi="ar-SA"/>
              </w:rPr>
            </w:r>
            <w:r/>
          </w:p>
          <w:p>
            <w:pPr>
              <w:pStyle w:val="762"/>
              <w:ind w:left="0" w:firstLine="480"/>
              <w:jc w:val="both"/>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运营服务</w:t>
            </w: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(1)资产测绘服务</w:t>
            </w: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一年一次</w:t>
            </w:r>
            <w:r>
              <w:rPr>
                <w:rFonts w:hint="eastAsia" w:ascii="Times New Roman" w:hAnsi="Times New Roman" w:eastAsia="宋体" w:cs="Times New Roman"/>
                <w:color w:val="000000"/>
                <w:sz w:val="24"/>
                <w:szCs w:val="24"/>
                <w:highlight w:val="none"/>
                <w:lang w:val="en-US" w:eastAsia="zh-CN" w:bidi="ar-SA"/>
              </w:rPr>
            </w:r>
            <w:r/>
          </w:p>
        </w:tc>
      </w:tr>
      <w:tr>
        <w:trPr>
          <w:trHeight w:val="567" w:hRule="exact"/>
        </w:trPr>
        <w:tc>
          <w:tcPr>
            <w:tcW w:w="2302" w:type="dxa"/>
            <w:vAlign w:val="top"/>
            <w:vMerge w:val="continue"/>
            <w:textDirection w:val="lrTb"/>
            <w:noWrap w:val="false"/>
          </w:tcPr>
          <w:p>
            <w:pPr>
              <w:pStyle w:val="762"/>
              <w:ind w:left="0" w:firstLine="480"/>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(2)红队评估服务</w:t>
            </w: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一年一次</w:t>
            </w:r>
            <w:r>
              <w:rPr>
                <w:rFonts w:hint="eastAsia" w:ascii="Times New Roman" w:hAnsi="Times New Roman" w:eastAsia="宋体" w:cs="Times New Roman"/>
                <w:color w:val="000000"/>
                <w:sz w:val="24"/>
                <w:szCs w:val="24"/>
                <w:highlight w:val="none"/>
                <w:lang w:val="en-US" w:eastAsia="zh-CN" w:bidi="ar-SA"/>
              </w:rPr>
            </w:r>
            <w:r/>
          </w:p>
        </w:tc>
      </w:tr>
      <w:tr>
        <w:trPr>
          <w:trHeight w:val="567" w:hRule="exact"/>
        </w:trPr>
        <w:tc>
          <w:tcPr>
            <w:tcW w:w="2302" w:type="dxa"/>
            <w:vAlign w:val="top"/>
            <w:vMerge w:val="continue"/>
            <w:textDirection w:val="lrTb"/>
            <w:noWrap w:val="false"/>
          </w:tcPr>
          <w:p>
            <w:pPr>
              <w:pStyle w:val="762"/>
              <w:ind w:left="0" w:firstLine="480"/>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(3)漏洞扫描服务</w:t>
            </w: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一季度一次</w:t>
            </w:r>
            <w:r>
              <w:rPr>
                <w:rFonts w:hint="eastAsia" w:ascii="Times New Roman" w:hAnsi="Times New Roman" w:eastAsia="宋体" w:cs="Times New Roman"/>
                <w:color w:val="000000"/>
                <w:sz w:val="24"/>
                <w:szCs w:val="24"/>
                <w:highlight w:val="none"/>
                <w:lang w:val="en-US" w:eastAsia="zh-CN" w:bidi="ar-SA"/>
              </w:rPr>
            </w:r>
            <w:r/>
          </w:p>
        </w:tc>
      </w:tr>
      <w:tr>
        <w:trPr>
          <w:trHeight w:val="567" w:hRule="exact"/>
        </w:trPr>
        <w:tc>
          <w:tcPr>
            <w:tcW w:w="2302" w:type="dxa"/>
            <w:vAlign w:val="top"/>
            <w:vMerge w:val="continue"/>
            <w:textDirection w:val="lrTb"/>
            <w:noWrap w:val="false"/>
          </w:tcPr>
          <w:p>
            <w:pPr>
              <w:pStyle w:val="762"/>
              <w:ind w:left="0" w:firstLine="480"/>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(4)应急演练服务</w:t>
            </w: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一年一次</w:t>
            </w:r>
            <w:r>
              <w:rPr>
                <w:rFonts w:hint="eastAsia" w:ascii="Times New Roman" w:hAnsi="Times New Roman" w:eastAsia="宋体" w:cs="Times New Roman"/>
                <w:color w:val="000000"/>
                <w:sz w:val="24"/>
                <w:szCs w:val="24"/>
                <w:highlight w:val="none"/>
                <w:lang w:val="en-US" w:eastAsia="zh-CN" w:bidi="ar-SA"/>
              </w:rPr>
            </w:r>
            <w:r/>
          </w:p>
        </w:tc>
      </w:tr>
      <w:tr>
        <w:trPr>
          <w:trHeight w:val="567" w:hRule="exact"/>
        </w:trPr>
        <w:tc>
          <w:tcPr>
            <w:tcW w:w="2302" w:type="dxa"/>
            <w:vAlign w:val="top"/>
            <w:vMerge w:val="continue"/>
            <w:textDirection w:val="lrTb"/>
            <w:noWrap w:val="false"/>
          </w:tcPr>
          <w:p>
            <w:pPr>
              <w:pStyle w:val="762"/>
              <w:ind w:left="0" w:firstLine="480"/>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(5)应急响应服务</w:t>
            </w: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按需</w:t>
            </w:r>
            <w:r>
              <w:rPr>
                <w:rFonts w:hint="eastAsia" w:ascii="Times New Roman" w:hAnsi="Times New Roman" w:eastAsia="宋体" w:cs="Times New Roman"/>
                <w:color w:val="000000"/>
                <w:sz w:val="24"/>
                <w:szCs w:val="24"/>
                <w:highlight w:val="none"/>
                <w:lang w:val="en-US" w:eastAsia="zh-CN" w:bidi="ar-SA"/>
              </w:rPr>
            </w:r>
            <w:r/>
          </w:p>
        </w:tc>
      </w:tr>
      <w:tr>
        <w:trPr>
          <w:trHeight w:val="567" w:hRule="exact"/>
        </w:trPr>
        <w:tc>
          <w:tcPr>
            <w:tcW w:w="2302" w:type="dxa"/>
            <w:vAlign w:val="top"/>
            <w:vMerge w:val="continue"/>
            <w:textDirection w:val="lrTb"/>
            <w:noWrap w:val="false"/>
          </w:tcPr>
          <w:p>
            <w:pPr>
              <w:pStyle w:val="762"/>
              <w:ind w:left="0" w:firstLine="480"/>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(6)安全运维服务</w:t>
            </w: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一月一次</w:t>
            </w:r>
            <w:r>
              <w:rPr>
                <w:rFonts w:hint="eastAsia" w:ascii="Times New Roman" w:hAnsi="Times New Roman" w:eastAsia="宋体" w:cs="Times New Roman"/>
                <w:color w:val="000000"/>
                <w:sz w:val="24"/>
                <w:szCs w:val="24"/>
                <w:highlight w:val="none"/>
                <w:lang w:val="en-US" w:eastAsia="zh-CN" w:bidi="ar-SA"/>
              </w:rPr>
            </w:r>
            <w:r/>
          </w:p>
        </w:tc>
      </w:tr>
      <w:tr>
        <w:trPr>
          <w:trHeight w:val="567" w:hRule="exact"/>
        </w:trPr>
        <w:tc>
          <w:tcPr>
            <w:tcW w:w="2302" w:type="dxa"/>
            <w:vAlign w:val="top"/>
            <w:vMerge w:val="continue"/>
            <w:textDirection w:val="lrTb"/>
            <w:noWrap w:val="false"/>
          </w:tcPr>
          <w:p>
            <w:pPr>
              <w:pStyle w:val="762"/>
              <w:ind w:left="0" w:firstLine="480"/>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(7)安全培训服务</w:t>
            </w: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一年一次</w:t>
            </w:r>
            <w:r>
              <w:rPr>
                <w:rFonts w:hint="eastAsia" w:ascii="Times New Roman" w:hAnsi="Times New Roman" w:eastAsia="宋体" w:cs="Times New Roman"/>
                <w:color w:val="000000"/>
                <w:sz w:val="24"/>
                <w:szCs w:val="24"/>
                <w:highlight w:val="none"/>
                <w:lang w:val="en-US" w:eastAsia="zh-CN" w:bidi="ar-SA"/>
              </w:rPr>
            </w:r>
            <w:r/>
          </w:p>
        </w:tc>
      </w:tr>
      <w:tr>
        <w:trPr>
          <w:trHeight w:val="567" w:hRule="exact"/>
        </w:trPr>
        <w:tc>
          <w:tcPr>
            <w:tcW w:w="2302" w:type="dxa"/>
            <w:vAlign w:val="top"/>
            <w:vMerge w:val="continue"/>
            <w:textDirection w:val="lrTb"/>
            <w:noWrap w:val="false"/>
          </w:tcPr>
          <w:p>
            <w:pPr>
              <w:pStyle w:val="762"/>
              <w:ind w:left="0" w:firstLine="480"/>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(8)安全咨询及人工服务</w:t>
            </w:r>
            <w:r>
              <w:rPr>
                <w:rFonts w:hint="eastAsia" w:ascii="Times New Roman" w:hAnsi="Times New Roman" w:eastAsia="宋体" w:cs="Times New Roman"/>
                <w:color w:val="000000"/>
                <w:sz w:val="24"/>
                <w:szCs w:val="24"/>
                <w:highlight w:val="none"/>
                <w:lang w:val="en-US" w:eastAsia="zh-CN" w:bidi="ar-SA"/>
              </w:rPr>
            </w:r>
            <w:r/>
          </w:p>
        </w:tc>
        <w:tc>
          <w:tcPr>
            <w:tcW w:w="3109" w:type="dxa"/>
            <w:vAlign w:val="center"/>
            <w:textDirection w:val="lrTb"/>
            <w:noWrap w:val="false"/>
          </w:tcPr>
          <w:p>
            <w:pPr>
              <w:pStyle w:val="762"/>
              <w:ind w:left="0"/>
              <w:jc w:val="center"/>
              <w:pageBreakBefore w:val="0"/>
              <w:spacing w:line="480" w:lineRule="exact"/>
              <w:rPr>
                <w:rFonts w:hint="eastAsia" w:ascii="Times New Roman" w:hAnsi="Times New Roman" w:eastAsia="宋体" w:cs="Times New Roman"/>
                <w:color w:val="000000"/>
                <w:sz w:val="24"/>
                <w:szCs w:val="24"/>
                <w:highlight w:val="none"/>
                <w:lang w:val="en-US" w:eastAsia="zh-CN" w:bidi="ar-SA"/>
              </w:rPr>
              <w:framePr w:vAnchor="text" w:hAnchor="page" w:x="1824" w:y="196"/>
            </w:pPr>
            <w:r>
              <w:rPr>
                <w:rFonts w:hint="eastAsia" w:ascii="Times New Roman" w:hAnsi="Times New Roman" w:eastAsia="宋体" w:cs="Times New Roman"/>
                <w:color w:val="000000"/>
                <w:sz w:val="24"/>
                <w:szCs w:val="24"/>
                <w:highlight w:val="none"/>
                <w:lang w:val="en-US" w:eastAsia="zh-CN" w:bidi="ar-SA"/>
              </w:rPr>
              <w:t xml:space="preserve">按需</w:t>
            </w:r>
            <w:r>
              <w:rPr>
                <w:rFonts w:hint="eastAsia" w:ascii="Times New Roman" w:hAnsi="Times New Roman" w:eastAsia="宋体" w:cs="Times New Roman"/>
                <w:color w:val="000000"/>
                <w:sz w:val="24"/>
                <w:szCs w:val="24"/>
                <w:highlight w:val="none"/>
                <w:lang w:val="en-US" w:eastAsia="zh-CN" w:bidi="ar-SA"/>
              </w:rPr>
            </w:r>
            <w:r/>
          </w:p>
        </w:tc>
      </w:tr>
    </w:tbl>
    <w:p>
      <w:pPr>
        <w:pStyle w:val="762"/>
        <w:ind w:left="0" w:firstLine="0"/>
        <w:jc w:val="both"/>
        <w:keepLines/>
        <w:keepNext/>
        <w:pageBreakBefore w:val="0"/>
        <w:spacing w:before="0" w:after="0" w:line="480" w:lineRule="exact"/>
        <w:widowControl w:val="off"/>
        <w:rPr>
          <w:rFonts w:ascii="Times New Roman" w:hAnsi="Times New Roman" w:eastAsia="Arial" w:cs="Times New Roman"/>
          <w:color w:val="000000"/>
          <w:sz w:val="34"/>
          <w:szCs w:val="21"/>
          <w:highlight w:val="none"/>
          <w:lang w:val="en-US" w:eastAsia="zh-CN" w:bidi="ar-SA"/>
        </w:rPr>
        <w:outlineLvl w:val="1"/>
      </w:pPr>
      <w:r>
        <w:rPr>
          <w:rFonts w:ascii="Times New Roman" w:hAnsi="Times New Roman" w:eastAsia="Arial" w:cs="Times New Roman"/>
          <w:color w:val="000000"/>
          <w:sz w:val="34"/>
          <w:szCs w:val="21"/>
          <w:highlight w:val="none"/>
          <w:lang w:val="en-US" w:eastAsia="zh-CN" w:bidi="ar-SA"/>
        </w:rPr>
      </w:r>
      <w:r/>
    </w:p>
    <w:p>
      <w:pPr>
        <w:pStyle w:val="762"/>
        <w:numPr>
          <w:ilvl w:val="0"/>
          <w:numId w:val="0"/>
        </w:numPr>
        <w:ind w:left="0" w:firstLine="562"/>
        <w:jc w:val="left"/>
        <w:pageBreakBefore w:val="0"/>
        <w:spacing w:line="480" w:lineRule="exact"/>
        <w:rPr>
          <w:rFonts w:ascii="宋体" w:hAnsi="宋体" w:eastAsia="宋体" w:cs="Times New Roman"/>
          <w:b/>
          <w:color w:val="000000"/>
          <w:sz w:val="28"/>
          <w:szCs w:val="28"/>
          <w:highlight w:val="none"/>
          <w:lang w:val="en-US" w:eastAsia="zh-CN"/>
        </w:rPr>
      </w:pPr>
      <w:r>
        <w:rPr>
          <w:rFonts w:hint="eastAsia" w:ascii="宋体" w:hAnsi="宋体" w:eastAsia="宋体" w:cs="Times New Roman"/>
          <w:b/>
          <w:color w:val="000000"/>
          <w:sz w:val="28"/>
          <w:szCs w:val="28"/>
          <w:highlight w:val="none"/>
          <w:lang w:val="en-US" w:eastAsia="zh-CN"/>
        </w:rPr>
        <w:t xml:space="preserve">1.</w:t>
      </w:r>
      <w:r>
        <w:rPr>
          <w:rFonts w:ascii="宋体" w:hAnsi="宋体" w:eastAsia="宋体" w:cs="Times New Roman"/>
          <w:b/>
          <w:color w:val="000000"/>
          <w:sz w:val="28"/>
          <w:szCs w:val="28"/>
          <w:highlight w:val="none"/>
          <w:lang w:val="en-US" w:eastAsia="zh-CN"/>
        </w:rPr>
        <w:t xml:space="preserve">网络安全基础设施建设服务要求如下：</w:t>
      </w:r>
      <w:r>
        <w:rPr>
          <w:rFonts w:ascii="宋体" w:hAnsi="宋体" w:eastAsia="宋体" w:cs="Times New Roman"/>
          <w:b/>
          <w:color w:val="000000"/>
          <w:sz w:val="28"/>
          <w:szCs w:val="28"/>
          <w:highlight w:val="none"/>
          <w:lang w:val="en-US" w:eastAsia="zh-CN"/>
        </w:rPr>
      </w:r>
      <w:r/>
    </w:p>
    <w:p>
      <w:pPr>
        <w:pStyle w:val="807"/>
        <w:ind w:left="0" w:right="0" w:firstLine="482"/>
        <w:jc w:val="left"/>
        <w:keepLines w:val="0"/>
        <w:keepNext w:val="0"/>
        <w:pageBreakBefore w:val="0"/>
        <w:spacing w:before="0" w:beforeAutospacing="0" w:after="0" w:afterAutospacing="0" w:line="480" w:lineRule="exact"/>
        <w:widowControl/>
        <w:rPr>
          <w:rFonts w:ascii="Times New Roman" w:hAnsi="Times New Roman" w:eastAsia="宋体" w:cs="Times New Roman"/>
          <w:b/>
          <w:bCs/>
          <w:color w:val="000000"/>
          <w:sz w:val="24"/>
          <w:szCs w:val="24"/>
          <w:highlight w:val="none"/>
          <w:lang w:val="en-US" w:eastAsia="zh-CN" w:bidi="ar-SA"/>
        </w:rPr>
        <w:suppressLineNumbers w:val="0"/>
      </w:pPr>
      <w:r>
        <w:rPr>
          <w:rFonts w:hint="eastAsia" w:cs="Times New Roman"/>
          <w:b/>
          <w:bCs/>
          <w:color w:val="000000"/>
          <w:sz w:val="24"/>
          <w:szCs w:val="24"/>
          <w:highlight w:val="none"/>
          <w:lang w:val="en-US" w:eastAsia="zh-CN" w:bidi="ar-SA"/>
        </w:rPr>
        <w:t xml:space="preserve">（1）</w:t>
      </w:r>
      <w:r>
        <w:rPr>
          <w:rFonts w:ascii="Times New Roman" w:hAnsi="Times New Roman" w:eastAsia="宋体" w:cs="Times New Roman"/>
          <w:b/>
          <w:bCs/>
          <w:color w:val="000000"/>
          <w:sz w:val="24"/>
          <w:szCs w:val="24"/>
          <w:highlight w:val="none"/>
          <w:lang w:val="en-US" w:eastAsia="zh-CN" w:bidi="ar-SA"/>
        </w:rPr>
        <w:t xml:space="preserve">防火墙系统服务</w:t>
      </w:r>
      <w:r>
        <w:rPr>
          <w:rFonts w:ascii="Times New Roman" w:hAnsi="Times New Roman" w:eastAsia="宋体" w:cs="Times New Roman"/>
          <w:b/>
          <w:bCs/>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提供与泰州市政务外网边界连接的国产化下一代防火墙，在专网边界主备线路各部署2台（共4台），统一承载区政务外网全量进出流量的安全管控服务，实现入侵防御、用户访问内容过滤与审计功能。</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设备标配千兆电口≥4个、千兆光口≥2个、万兆光口≥2个；整机支持最大网络吞吐量不低于10G，应用层吞吐量不低于4G。</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支持路由、透明、旁路、虚拟线等模式。</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支持静态路由、RIP、OSPF、OSPFv3、BGP、ISP路由。</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支持根据入接口、源/目的IP地址、源/目的端口、服务、用户、应用、负载均衡算法、健康检查、权重等多种条件设置策略路由。</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支持基于运营商IPv6的ISP地址库。</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支持手动和LACP链路聚合，可根据源/目的MAC、目的IP等条件提供不少于2种链路负载算法。</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支持各种应用协议的NATALG多连接：FTP、TFTP、SIP、H.323、RTSP、PPTP、ORACLE等。</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服务期限：</w:t>
      </w:r>
      <w:r>
        <w:rPr>
          <w:rFonts w:hint="eastAsia" w:ascii="Times New Roman" w:hAnsi="Times New Roman" w:eastAsia="宋体" w:cs="Times New Roman"/>
          <w:color w:val="000000"/>
          <w:sz w:val="24"/>
          <w:szCs w:val="24"/>
          <w:highlight w:val="none"/>
          <w:lang w:val="en-US" w:eastAsia="zh-CN" w:bidi="ar-SA"/>
        </w:rPr>
        <w:t xml:space="preserve">自合同签订之日起三年</w:t>
      </w:r>
      <w:r>
        <w:rPr>
          <w:rFonts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交付物：签署合同后30个工作日内，完成</w:t>
      </w:r>
      <w:r>
        <w:rPr>
          <w:rFonts w:hint="eastAsia" w:ascii="Times New Roman" w:hAnsi="Times New Roman" w:eastAsia="宋体" w:cs="Times New Roman"/>
          <w:color w:val="000000"/>
          <w:sz w:val="24"/>
          <w:szCs w:val="24"/>
          <w:highlight w:val="none"/>
          <w:lang w:val="en-US" w:eastAsia="zh-CN" w:bidi="ar-SA"/>
        </w:rPr>
        <w:t xml:space="preserve">系统</w:t>
      </w:r>
      <w:r>
        <w:rPr>
          <w:rFonts w:ascii="Times New Roman" w:hAnsi="Times New Roman" w:eastAsia="宋体" w:cs="Times New Roman"/>
          <w:color w:val="000000"/>
          <w:sz w:val="24"/>
          <w:szCs w:val="24"/>
          <w:highlight w:val="none"/>
          <w:lang w:val="en-US" w:eastAsia="zh-CN" w:bidi="ar-SA"/>
        </w:rPr>
        <w:t xml:space="preserve">部署并提供《防火墙系统部署报告》；完成部署后，每月提供《防火墙运营月报》。</w:t>
      </w:r>
      <w:r>
        <w:rPr>
          <w:rFonts w:ascii="Times New Roman" w:hAnsi="Times New Roman" w:eastAsia="宋体" w:cs="Times New Roman"/>
          <w:color w:val="000000"/>
          <w:sz w:val="24"/>
          <w:szCs w:val="24"/>
          <w:highlight w:val="none"/>
          <w:lang w:val="en-US" w:eastAsia="zh-CN" w:bidi="ar-SA"/>
        </w:rPr>
      </w:r>
      <w:r/>
    </w:p>
    <w:p>
      <w:pPr>
        <w:pStyle w:val="807"/>
        <w:ind w:left="0" w:right="0" w:firstLine="482"/>
        <w:jc w:val="left"/>
        <w:keepLines w:val="0"/>
        <w:keepNext w:val="0"/>
        <w:pageBreakBefore w:val="0"/>
        <w:spacing w:before="0" w:beforeAutospacing="0" w:after="0" w:afterAutospacing="0" w:line="480" w:lineRule="exact"/>
        <w:widowControl/>
        <w:rPr>
          <w:rFonts w:ascii="Times New Roman" w:hAnsi="Times New Roman" w:eastAsia="宋体" w:cs="Times New Roman"/>
          <w:b/>
          <w:bCs/>
          <w:color w:val="000000"/>
          <w:sz w:val="24"/>
          <w:szCs w:val="24"/>
          <w:highlight w:val="none"/>
          <w:lang w:val="en-US" w:eastAsia="zh-CN" w:bidi="ar-SA"/>
        </w:rPr>
        <w:suppressLineNumbers w:val="0"/>
      </w:pPr>
      <w:r>
        <w:rPr>
          <w:rFonts w:hint="eastAsia" w:cs="Times New Roman"/>
          <w:b/>
          <w:bCs/>
          <w:color w:val="000000"/>
          <w:sz w:val="24"/>
          <w:szCs w:val="24"/>
          <w:highlight w:val="none"/>
          <w:lang w:val="en-US" w:eastAsia="zh-CN" w:bidi="ar-SA"/>
        </w:rPr>
        <w:t xml:space="preserve">（2）</w:t>
      </w:r>
      <w:r>
        <w:rPr>
          <w:rFonts w:ascii="Times New Roman" w:hAnsi="Times New Roman" w:eastAsia="宋体" w:cs="Times New Roman"/>
          <w:b/>
          <w:bCs/>
          <w:color w:val="000000"/>
          <w:sz w:val="24"/>
          <w:szCs w:val="24"/>
          <w:highlight w:val="none"/>
          <w:lang w:val="en-US" w:eastAsia="zh-CN" w:bidi="ar-SA"/>
        </w:rPr>
        <w:t xml:space="preserve">违规外联监测系统服务</w:t>
      </w:r>
      <w:r>
        <w:rPr>
          <w:rFonts w:ascii="Times New Roman" w:hAnsi="Times New Roman" w:eastAsia="宋体" w:cs="Times New Roman"/>
          <w:b/>
          <w:bCs/>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在姜堰区政务外网核心处旁路部署1台国产化违规外联监测系统，由专业工程师为姜堰区政务外网终端提供7×24小时不间断违规外联监测服务。依托违规外联监测系统实时捕获网络边界异常连接行为，当发生存在违规外联终端后，第一时间通知客户处理，并闭环处置。</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bidi="ar-SA"/>
        </w:rPr>
        <w:t xml:space="preserve">设备</w:t>
      </w:r>
      <w:r>
        <w:rPr>
          <w:rFonts w:ascii="Times New Roman" w:hAnsi="Times New Roman" w:eastAsia="宋体" w:cs="Times New Roman"/>
          <w:color w:val="000000"/>
          <w:sz w:val="24"/>
          <w:szCs w:val="24"/>
          <w:highlight w:val="none"/>
          <w:lang w:val="en-US" w:eastAsia="zh-CN" w:bidi="ar-SA"/>
        </w:rPr>
        <w:t xml:space="preserve">标配千兆电口≥6个、万兆光口≥4个，标配内存≥16G、硬盘≥1T；网络层吞吐</w:t>
      </w:r>
      <w:r>
        <w:rPr>
          <w:rFonts w:hint="eastAsia" w:ascii="Times New Roman" w:hAnsi="Times New Roman" w:eastAsia="宋体" w:cs="Times New Roman"/>
          <w:color w:val="000000"/>
          <w:sz w:val="24"/>
          <w:szCs w:val="24"/>
          <w:highlight w:val="none"/>
          <w:lang w:val="en-US" w:eastAsia="zh-CN" w:bidi="ar-SA"/>
        </w:rPr>
        <w:t xml:space="preserve">量</w:t>
      </w:r>
      <w:r>
        <w:rPr>
          <w:rFonts w:ascii="Times New Roman" w:hAnsi="Times New Roman" w:eastAsia="宋体" w:cs="Times New Roman"/>
          <w:color w:val="000000"/>
          <w:sz w:val="24"/>
          <w:szCs w:val="24"/>
          <w:highlight w:val="none"/>
          <w:lang w:val="en-US" w:eastAsia="zh-CN" w:bidi="ar-SA"/>
        </w:rPr>
        <w:t xml:space="preserve">不低于4G，应用吞吐</w:t>
      </w:r>
      <w:r>
        <w:rPr>
          <w:rFonts w:hint="eastAsia" w:ascii="Times New Roman" w:hAnsi="Times New Roman" w:eastAsia="宋体" w:cs="Times New Roman"/>
          <w:color w:val="000000"/>
          <w:sz w:val="24"/>
          <w:szCs w:val="24"/>
          <w:highlight w:val="none"/>
          <w:lang w:val="en-US" w:eastAsia="zh-CN" w:bidi="ar-SA"/>
        </w:rPr>
        <w:t xml:space="preserve">量</w:t>
      </w:r>
      <w:r>
        <w:rPr>
          <w:rFonts w:ascii="Times New Roman" w:hAnsi="Times New Roman" w:eastAsia="宋体" w:cs="Times New Roman"/>
          <w:color w:val="000000"/>
          <w:sz w:val="24"/>
          <w:szCs w:val="24"/>
          <w:highlight w:val="none"/>
          <w:lang w:val="en-US" w:eastAsia="zh-CN" w:bidi="ar-SA"/>
        </w:rPr>
        <w:t xml:space="preserve">不低于1G。</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▲支持对网络中违规行为的检测和定位：可主动监测专网内存在的违规和非授权网络边界，发现不受控的跨边界数据传输和网络访问通道。（提供功能证明截图并加盖投标人公章）</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支持对专网终端的数据访问链接进行分析，探查疑似连接互联网、网中网、WIFI热点等违规行为。</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可通过网络扫描，能够对网络内部的资产进行自动识别和分类，能够自动区分终端PC、应用服务器，网络设备、网络打印机、视频监控设备及安全运维类设备等。</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支持对终端仿冒、私接、带宽超限、弱口令、开放违规端口、异常网络行为、异常协议、安全漏洞等方面的异常网络行为进行管控。可以设置相应参数、设定执行相应的处理动作和记录。</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支持主动扫描发现在线IPC、NVR、PC终端的HTTP敏感信息明文传输、TCP时间戳等安全漏洞。可根据不同的资产类型选择不同的漏扫脚本，可以生成漏扫报告，生成资产风险统计报表。</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支持在拓扑上进行IP或MAC的定位；支持拓扑展示，可根据设备物理位置进行拓扑展示。</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具备互联网取证平台，接收被监控专网终端的违规外联告警信息。不同单位注册不同的用户账号，可接收各单位的告警信息，进行统一告警展示。支持短信、邮件推送告警信息。（提供功能证明截图并加盖投标人公章）</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服务期限：</w:t>
      </w:r>
      <w:r>
        <w:rPr>
          <w:rFonts w:hint="eastAsia" w:ascii="Times New Roman" w:hAnsi="Times New Roman" w:eastAsia="宋体" w:cs="Times New Roman"/>
          <w:color w:val="000000"/>
          <w:sz w:val="24"/>
          <w:szCs w:val="24"/>
          <w:highlight w:val="none"/>
          <w:lang w:val="en-US" w:eastAsia="zh-CN" w:bidi="ar-SA"/>
        </w:rPr>
        <w:t xml:space="preserve">自合同签订之日起三年。</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交付物：签署合同后30个工作日内，完成</w:t>
      </w:r>
      <w:r>
        <w:rPr>
          <w:rFonts w:hint="eastAsia" w:ascii="Times New Roman" w:hAnsi="Times New Roman" w:eastAsia="宋体" w:cs="Times New Roman"/>
          <w:color w:val="000000"/>
          <w:sz w:val="24"/>
          <w:szCs w:val="24"/>
          <w:highlight w:val="none"/>
          <w:lang w:val="en-US" w:eastAsia="zh-CN" w:bidi="ar-SA"/>
        </w:rPr>
        <w:t xml:space="preserve">系统</w:t>
      </w:r>
      <w:r>
        <w:rPr>
          <w:rFonts w:ascii="Times New Roman" w:hAnsi="Times New Roman" w:eastAsia="宋体" w:cs="Times New Roman"/>
          <w:color w:val="000000"/>
          <w:sz w:val="24"/>
          <w:szCs w:val="24"/>
          <w:highlight w:val="none"/>
          <w:lang w:val="en-US" w:eastAsia="zh-CN" w:bidi="ar-SA"/>
        </w:rPr>
        <w:t xml:space="preserve">部署并提供《违规外联系统部署报告》；部署完成后，每月提供《违规外联监测成果月报》。</w:t>
      </w:r>
      <w:r>
        <w:rPr>
          <w:rFonts w:ascii="Times New Roman" w:hAnsi="Times New Roman" w:eastAsia="宋体" w:cs="Times New Roman"/>
          <w:color w:val="000000"/>
          <w:sz w:val="24"/>
          <w:szCs w:val="24"/>
          <w:highlight w:val="none"/>
          <w:lang w:val="en-US" w:eastAsia="zh-CN" w:bidi="ar-SA"/>
        </w:rPr>
      </w:r>
      <w:r/>
    </w:p>
    <w:p>
      <w:pPr>
        <w:pStyle w:val="807"/>
        <w:ind w:left="0" w:right="0" w:firstLine="482"/>
        <w:jc w:val="left"/>
        <w:keepLines w:val="0"/>
        <w:keepNext w:val="0"/>
        <w:pageBreakBefore w:val="0"/>
        <w:spacing w:before="0" w:beforeAutospacing="0" w:after="0" w:afterAutospacing="0" w:line="480" w:lineRule="exact"/>
        <w:widowControl/>
        <w:rPr>
          <w:rFonts w:ascii="Times New Roman" w:hAnsi="Times New Roman" w:eastAsia="宋体" w:cs="Times New Roman"/>
          <w:b/>
          <w:bCs/>
          <w:color w:val="000000"/>
          <w:sz w:val="24"/>
          <w:szCs w:val="24"/>
          <w:highlight w:val="none"/>
          <w:lang w:val="en-US" w:eastAsia="zh-CN" w:bidi="ar-SA"/>
        </w:rPr>
        <w:suppressLineNumbers w:val="0"/>
      </w:pPr>
      <w:r>
        <w:rPr>
          <w:rFonts w:hint="eastAsia" w:cs="Times New Roman"/>
          <w:b/>
          <w:bCs/>
          <w:color w:val="000000"/>
          <w:sz w:val="24"/>
          <w:szCs w:val="24"/>
          <w:highlight w:val="none"/>
          <w:lang w:val="en-US" w:eastAsia="zh-CN" w:bidi="ar-SA"/>
        </w:rPr>
        <w:t xml:space="preserve">（3）</w:t>
      </w:r>
      <w:r>
        <w:rPr>
          <w:rFonts w:ascii="Times New Roman" w:hAnsi="Times New Roman" w:eastAsia="宋体" w:cs="Times New Roman"/>
          <w:b/>
          <w:bCs/>
          <w:color w:val="000000"/>
          <w:sz w:val="24"/>
          <w:szCs w:val="24"/>
          <w:highlight w:val="none"/>
          <w:lang w:val="en-US" w:eastAsia="zh-CN" w:bidi="ar-SA"/>
        </w:rPr>
        <w:t xml:space="preserve">网络安全准入系统服务</w:t>
      </w:r>
      <w:r>
        <w:rPr>
          <w:rFonts w:ascii="Times New Roman" w:hAnsi="Times New Roman" w:eastAsia="宋体" w:cs="Times New Roman"/>
          <w:b/>
          <w:bCs/>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在姜堰区政务外网核心处旁路部署1台国产化网络安全准入系统，为全区政务外网接入用户提供入网准入控制服务。</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设备标配千兆电接口≥6个，千兆光口≥4个；最大吞吐</w:t>
      </w:r>
      <w:r>
        <w:rPr>
          <w:rFonts w:hint="eastAsia" w:ascii="Times New Roman" w:hAnsi="Times New Roman" w:eastAsia="宋体" w:cs="Times New Roman"/>
          <w:color w:val="000000"/>
          <w:sz w:val="24"/>
          <w:szCs w:val="24"/>
          <w:highlight w:val="none"/>
          <w:lang w:val="en-US" w:eastAsia="zh-CN" w:bidi="ar-SA"/>
        </w:rPr>
        <w:t xml:space="preserve">量</w:t>
      </w:r>
      <w:r>
        <w:rPr>
          <w:rFonts w:ascii="Times New Roman" w:hAnsi="Times New Roman" w:eastAsia="宋体" w:cs="Times New Roman"/>
          <w:color w:val="000000"/>
          <w:sz w:val="24"/>
          <w:szCs w:val="24"/>
          <w:highlight w:val="none"/>
          <w:lang w:val="en-US" w:eastAsia="zh-CN" w:bidi="ar-SA"/>
        </w:rPr>
        <w:t xml:space="preserve">不低于15G；支持不少于1000个终端</w:t>
      </w:r>
      <w:r>
        <w:rPr>
          <w:rFonts w:hint="eastAsia" w:ascii="Times New Roman" w:hAnsi="Times New Roman" w:eastAsia="宋体" w:cs="Times New Roman"/>
          <w:color w:val="000000"/>
          <w:sz w:val="24"/>
          <w:szCs w:val="24"/>
          <w:highlight w:val="none"/>
          <w:lang w:val="en-US" w:eastAsia="zh-CN" w:bidi="ar-SA"/>
        </w:rPr>
        <w:t xml:space="preserve">授权</w:t>
      </w:r>
      <w:r>
        <w:rPr>
          <w:rFonts w:ascii="Times New Roman" w:hAnsi="Times New Roman" w:eastAsia="宋体" w:cs="Times New Roman"/>
          <w:color w:val="000000"/>
          <w:sz w:val="24"/>
          <w:szCs w:val="24"/>
          <w:highlight w:val="none"/>
          <w:lang w:val="en-US" w:eastAsia="zh-CN" w:bidi="ar-SA"/>
        </w:rPr>
        <w:t xml:space="preserve">准入。</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支持准入配置向导，将网络准入的所有配置项串联为一个完整过程。通过页面引导即可便捷完成准入管理。</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支持对入网终端下发基于交换机ACL和动态VLAN机制的网络访问范围控制。</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支持设置保留IP与MAC地址绑定，当绑定的终端上线时，确保保留IP地址分配给此终端。</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服务期限：</w:t>
      </w:r>
      <w:r>
        <w:rPr>
          <w:rFonts w:hint="eastAsia" w:ascii="Times New Roman" w:hAnsi="Times New Roman" w:eastAsia="宋体" w:cs="Times New Roman"/>
          <w:color w:val="000000"/>
          <w:sz w:val="24"/>
          <w:szCs w:val="24"/>
          <w:highlight w:val="none"/>
          <w:lang w:val="en-US" w:eastAsia="zh-CN" w:bidi="ar-SA"/>
        </w:rPr>
        <w:t xml:space="preserve">自合同签订之日起三年</w:t>
      </w:r>
      <w:r>
        <w:rPr>
          <w:rFonts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交付物：签署合同后30个工作日内，完成</w:t>
      </w:r>
      <w:r>
        <w:rPr>
          <w:rFonts w:hint="eastAsia" w:ascii="Times New Roman" w:hAnsi="Times New Roman" w:eastAsia="宋体" w:cs="Times New Roman"/>
          <w:color w:val="000000"/>
          <w:sz w:val="24"/>
          <w:szCs w:val="24"/>
          <w:highlight w:val="none"/>
          <w:lang w:val="en-US" w:eastAsia="zh-CN" w:bidi="ar-SA"/>
        </w:rPr>
        <w:t xml:space="preserve">系统</w:t>
      </w:r>
      <w:r>
        <w:rPr>
          <w:rFonts w:ascii="Times New Roman" w:hAnsi="Times New Roman" w:eastAsia="宋体" w:cs="Times New Roman"/>
          <w:color w:val="000000"/>
          <w:sz w:val="24"/>
          <w:szCs w:val="24"/>
          <w:highlight w:val="none"/>
          <w:lang w:val="en-US" w:eastAsia="zh-CN" w:bidi="ar-SA"/>
        </w:rPr>
        <w:t xml:space="preserve">部署并提供《网络准入系统部署报告》；完成部署后，</w:t>
      </w:r>
      <w:r>
        <w:rPr>
          <w:rFonts w:hint="eastAsia" w:ascii="Times New Roman" w:hAnsi="Times New Roman" w:eastAsia="宋体" w:cs="Times New Roman"/>
          <w:color w:val="000000"/>
          <w:sz w:val="24"/>
          <w:szCs w:val="24"/>
          <w:highlight w:val="none"/>
          <w:lang w:val="en-US" w:eastAsia="zh-CN" w:bidi="ar-SA"/>
        </w:rPr>
        <w:t xml:space="preserve">每月提供</w:t>
      </w:r>
      <w:r>
        <w:rPr>
          <w:rFonts w:ascii="Times New Roman" w:hAnsi="Times New Roman" w:eastAsia="宋体" w:cs="Times New Roman"/>
          <w:color w:val="000000"/>
          <w:sz w:val="24"/>
          <w:szCs w:val="24"/>
          <w:highlight w:val="none"/>
          <w:lang w:val="en-US" w:eastAsia="zh-CN" w:bidi="ar-SA"/>
        </w:rPr>
        <w:t xml:space="preserve">《网络安全准入月报》。</w:t>
      </w:r>
      <w:r>
        <w:rPr>
          <w:rFonts w:ascii="Times New Roman" w:hAnsi="Times New Roman" w:eastAsia="宋体" w:cs="Times New Roman"/>
          <w:color w:val="000000"/>
          <w:sz w:val="24"/>
          <w:szCs w:val="24"/>
          <w:highlight w:val="none"/>
          <w:lang w:val="en-US" w:eastAsia="zh-CN" w:bidi="ar-SA"/>
        </w:rPr>
      </w:r>
      <w:r/>
    </w:p>
    <w:p>
      <w:pPr>
        <w:pStyle w:val="807"/>
        <w:ind w:left="0" w:right="0" w:firstLine="482"/>
        <w:jc w:val="left"/>
        <w:keepLines w:val="0"/>
        <w:keepNext w:val="0"/>
        <w:pageBreakBefore w:val="0"/>
        <w:spacing w:before="0" w:beforeAutospacing="0" w:after="0" w:afterAutospacing="0" w:line="480" w:lineRule="exact"/>
        <w:widowControl/>
        <w:rPr>
          <w:rFonts w:ascii="Times New Roman" w:hAnsi="Times New Roman" w:eastAsia="宋体" w:cs="Times New Roman"/>
          <w:b/>
          <w:bCs/>
          <w:color w:val="000000"/>
          <w:sz w:val="24"/>
          <w:szCs w:val="24"/>
          <w:highlight w:val="none"/>
          <w:lang w:val="en-US" w:eastAsia="zh-CN" w:bidi="ar-SA"/>
        </w:rPr>
        <w:suppressLineNumbers w:val="0"/>
      </w:pPr>
      <w:r>
        <w:rPr>
          <w:rFonts w:hint="eastAsia" w:cs="Times New Roman"/>
          <w:b/>
          <w:bCs/>
          <w:color w:val="000000"/>
          <w:sz w:val="24"/>
          <w:szCs w:val="24"/>
          <w:highlight w:val="none"/>
          <w:lang w:val="en-US" w:eastAsia="zh-CN" w:bidi="ar-SA"/>
        </w:rPr>
        <w:t xml:space="preserve">（4）</w:t>
      </w:r>
      <w:r>
        <w:rPr>
          <w:rFonts w:ascii="Times New Roman" w:hAnsi="Times New Roman" w:eastAsia="宋体" w:cs="Times New Roman"/>
          <w:b/>
          <w:bCs/>
          <w:color w:val="000000"/>
          <w:sz w:val="24"/>
          <w:szCs w:val="24"/>
          <w:highlight w:val="none"/>
          <w:lang w:val="en-US" w:eastAsia="zh-CN" w:bidi="ar-SA"/>
        </w:rPr>
        <w:t xml:space="preserve">未知威胁检测系统服务</w:t>
      </w:r>
      <w:r>
        <w:rPr>
          <w:rFonts w:ascii="Times New Roman" w:hAnsi="Times New Roman" w:eastAsia="宋体" w:cs="Times New Roman"/>
          <w:b/>
          <w:bCs/>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提供未知威胁检测探针1台，开启沙箱、威胁情报功能，适配新一代政务外网改造建设需求。同时接入市级平台开展全流量深度检测分析，精准甄别隐藏在正常流量中的恶意代码、隐蔽攻击行为。</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设备标配千兆电口≥8个，千兆光口≥4个；吞吐</w:t>
      </w:r>
      <w:r>
        <w:rPr>
          <w:rFonts w:hint="eastAsia" w:ascii="Times New Roman" w:hAnsi="Times New Roman" w:eastAsia="宋体" w:cs="Times New Roman"/>
          <w:color w:val="000000"/>
          <w:sz w:val="24"/>
          <w:szCs w:val="24"/>
          <w:highlight w:val="none"/>
          <w:lang w:val="en-US" w:eastAsia="zh-CN" w:bidi="ar-SA"/>
        </w:rPr>
        <w:t xml:space="preserve">量</w:t>
      </w:r>
      <w:r>
        <w:rPr>
          <w:rFonts w:ascii="Times New Roman" w:hAnsi="Times New Roman" w:eastAsia="宋体" w:cs="Times New Roman"/>
          <w:color w:val="000000"/>
          <w:sz w:val="24"/>
          <w:szCs w:val="24"/>
          <w:highlight w:val="none"/>
          <w:lang w:val="en-US" w:eastAsia="zh-CN" w:bidi="ar-SA"/>
        </w:rPr>
        <w:t xml:space="preserve">不低于1G，</w:t>
      </w:r>
      <w:r>
        <w:rPr>
          <w:rFonts w:hint="eastAsia" w:ascii="Times New Roman" w:hAnsi="Times New Roman" w:eastAsia="宋体" w:cs="Times New Roman"/>
          <w:color w:val="000000"/>
          <w:sz w:val="24"/>
          <w:szCs w:val="24"/>
          <w:highlight w:val="none"/>
          <w:lang w:val="en-US" w:eastAsia="zh-CN" w:bidi="ar-SA"/>
        </w:rPr>
        <w:t xml:space="preserve">此次</w:t>
      </w:r>
      <w:r>
        <w:rPr>
          <w:rFonts w:ascii="Times New Roman" w:hAnsi="Times New Roman" w:eastAsia="宋体" w:cs="Times New Roman"/>
          <w:color w:val="000000"/>
          <w:sz w:val="24"/>
          <w:szCs w:val="24"/>
          <w:highlight w:val="none"/>
          <w:lang w:val="en-US" w:eastAsia="zh-CN" w:bidi="ar-SA"/>
        </w:rPr>
        <w:t xml:space="preserve">包含攻击规则检测、威胁情报检测以及沙箱检测功能。</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具备样本静态检测能力，包括AV、流行威胁库（YARA）、文件静态检测引擎（漏洞利用office检测、内嵌文件PE检测）、黑名单（恶意样本库）、威胁检测（威胁情报检测）、深度学习（机器学习）等；支持中文标签展示恶意代码类型，并支持按照中文标签检索。（</w:t>
      </w:r>
      <w:r>
        <w:rPr>
          <w:rFonts w:hint="eastAsia" w:ascii="Times New Roman" w:hAnsi="Times New Roman" w:eastAsia="宋体" w:cs="Times New Roman"/>
          <w:color w:val="000000"/>
          <w:sz w:val="24"/>
          <w:szCs w:val="24"/>
          <w:highlight w:val="none"/>
          <w:lang w:val="en-US" w:eastAsia="zh-CN" w:bidi="ar-SA"/>
        </w:rPr>
        <w:t xml:space="preserve">投标文件中提供具有CMA标识的第三方检测机构检测报告扫描件</w:t>
      </w:r>
      <w:r>
        <w:rPr>
          <w:rFonts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▲具备样本动态检测</w:t>
      </w:r>
      <w:r>
        <w:rPr>
          <w:rFonts w:ascii="Times New Roman" w:hAnsi="Times New Roman" w:eastAsia="宋体" w:cs="Times New Roman"/>
          <w:color w:val="000000"/>
          <w:sz w:val="24"/>
          <w:szCs w:val="24"/>
          <w:highlight w:val="none"/>
          <w:lang w:val="en-US" w:eastAsia="zh-CN" w:bidi="ar-SA"/>
        </w:rPr>
        <w:t xml:space="preserve">能力，包括代码反混淆加壳检测，可自动识别加壳程序，包括UPX、Aspack、PECompact、Petite、WinUpack；常见APT组织样本行为检测，至少包含海莲花、曼灵花、摩诃草、响尾蛇等；样本持久化行为检测，包含计划任务、安装自启动等；样本敏感操作检测，包含注入其他进程、创建远程线程、写入远程进程内存数据、创建傀儡进程等；对样本常规动态行为监控，包括文件操作、进程操作、网络操作、注册表操作等、样本隐蔽信道检测；沙箱操作系统蓝屏检测；反检测、反调试、反虚拟机、反检测行为等支持不低于20种检测动作。（</w:t>
      </w:r>
      <w:r>
        <w:rPr>
          <w:rFonts w:hint="eastAsia" w:ascii="Times New Roman" w:hAnsi="Times New Roman" w:eastAsia="宋体" w:cs="Times New Roman"/>
          <w:color w:val="000000"/>
          <w:sz w:val="24"/>
          <w:szCs w:val="24"/>
          <w:highlight w:val="none"/>
          <w:lang w:val="en-US" w:eastAsia="zh-CN" w:bidi="ar-SA"/>
        </w:rPr>
        <w:t xml:space="preserve">投标文件中提供具有CMA标识的第三方检测机构检测报告扫描件</w:t>
      </w:r>
      <w:r>
        <w:rPr>
          <w:rFonts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具备流量防逃逸检测功能，支持数据包完整性、碎片重组、AET进行检测，编解码能力支持URL、HTML、JSON、XML、Base64、Unicode、十六进制、斜杆反转义、Chr识别、UTF-7解码，最大支持解码层级不少于5级。（提供功能证明截图并加盖投标人公章）</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▲具备隐蔽隧道检测能力，通过智能分析模型对接入流量进行自学习，有效识别出DNS、ICMP隧道流量，进而发现可疑隧道流量通信行为。（</w:t>
      </w:r>
      <w:r>
        <w:rPr>
          <w:rFonts w:hint="eastAsia" w:ascii="Times New Roman" w:hAnsi="Times New Roman" w:eastAsia="宋体" w:cs="Times New Roman"/>
          <w:color w:val="000000"/>
          <w:sz w:val="24"/>
          <w:szCs w:val="24"/>
          <w:highlight w:val="none"/>
          <w:lang w:val="en-US" w:eastAsia="zh-CN" w:bidi="ar-SA"/>
        </w:rPr>
        <w:t xml:space="preserve">投标文件中提供具有CMA标识的第三方检测机构检测报告扫描件</w:t>
      </w:r>
      <w:r>
        <w:rPr>
          <w:rFonts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具备敏感数据传输场景化分析，支持对流量中传输的身份证号、手机号、银行卡号、邮箱、姓名、地址等相关敏感数据进行检测告警。可自定义敏感数据的关键字，支持通过流检测和文件检测两种方式对敏感数据进行识别。（</w:t>
      </w:r>
      <w:r>
        <w:rPr>
          <w:rFonts w:hint="eastAsia" w:ascii="Times New Roman" w:hAnsi="Times New Roman" w:eastAsia="宋体" w:cs="Times New Roman"/>
          <w:color w:val="000000"/>
          <w:sz w:val="24"/>
          <w:szCs w:val="24"/>
          <w:highlight w:val="none"/>
          <w:lang w:val="en-US" w:eastAsia="zh-CN" w:bidi="ar-SA"/>
        </w:rPr>
        <w:t xml:space="preserve">投标文件中提供具有CMA标识的第三方检测机构检测报告扫描件</w:t>
      </w:r>
      <w:r>
        <w:rPr>
          <w:rFonts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具备关联分析能力，通过基于WEB界面的自动化关联分析，可清晰展示攻击路径、攻击过程触发告警，可对漏洞利用攻击、木马后门攻击、WEBSHELL访问、可疑行为、文件传输、横向移动、挖矿行为、隧道代理等攻击类型进行攻击链还原。支持基于时间序列刷新待分析攻击链事件，可对已分析攻击链事件进行保存或导出。（</w:t>
      </w:r>
      <w:r>
        <w:rPr>
          <w:rFonts w:hint="eastAsia" w:ascii="Times New Roman" w:hAnsi="Times New Roman" w:eastAsia="宋体" w:cs="Times New Roman"/>
          <w:color w:val="000000"/>
          <w:sz w:val="24"/>
          <w:szCs w:val="24"/>
          <w:highlight w:val="none"/>
          <w:lang w:val="en-US" w:eastAsia="zh-CN" w:bidi="ar-SA"/>
        </w:rPr>
        <w:t xml:space="preserve">投标文件中提供具有CMA标识的第三方检测机构检测报告扫描件</w:t>
      </w:r>
      <w:r>
        <w:rPr>
          <w:rFonts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支持Andromeda、Gafgyt、MyKings、Mozi、BlackNet、Moobot、Freakout、Enemybot等僵尸网络入侵检测。</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内置情报狩猎能力，支持导入包含IP地址、MD5校验值、域名（domain）在内的私有情报数据集，通过日志碰撞算法与历史日志进行全量精准比对，实现对历史日志碰撞匹配情况的自动化狩猎、检索与分析。</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hint="eastAsia"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bidi="ar-SA"/>
        </w:rPr>
        <w:t xml:space="preserve">▲具备全流量审计能力，支持WEB界面对协议元数据进行全流量监测，监</w:t>
      </w:r>
      <w:r>
        <w:rPr>
          <w:rFonts w:hint="eastAsia" w:ascii="Times New Roman" w:hAnsi="Times New Roman" w:eastAsia="宋体" w:cs="Times New Roman"/>
          <w:color w:val="000000"/>
          <w:sz w:val="24"/>
          <w:szCs w:val="24"/>
          <w:highlight w:val="none"/>
          <w:lang w:val="en-US" w:eastAsia="zh-CN" w:bidi="ar-SA"/>
        </w:rPr>
        <w:t xml:space="preserve">测颗粒度包括源IP、目的IP、源端口、目的端口、http请求方法、host、http_uri、httpuser_agent、http_cookie、http_referer、http_origin、网卡名、源IP城市、目的IP城市、源IP国家、目的IP国家、源IP经度、目的IP经度、源IP纬度、目的IP纬度、VLANID、MPLS、传输深度、请求头、请求体、响应头、响应体、请求体长度、响应体长度、响应码、响应信息、响应文件名、请求传输数据格式、响应传输数据格式、信息码、信息详情、用户名、密码、代理信息等。（</w:t>
      </w:r>
      <w:r>
        <w:rPr>
          <w:rFonts w:hint="eastAsia" w:cs="Times New Roman"/>
          <w:color w:val="000000"/>
          <w:sz w:val="24"/>
          <w:szCs w:val="24"/>
          <w:highlight w:val="none"/>
          <w:lang w:val="en-US" w:eastAsia="zh-CN" w:bidi="ar-SA"/>
        </w:rPr>
        <w:t xml:space="preserve">供应商需针对此</w:t>
      </w:r>
      <w:r>
        <w:rPr>
          <w:rFonts w:hint="eastAsia" w:ascii="Times New Roman" w:hAnsi="Times New Roman" w:eastAsia="宋体" w:cs="Times New Roman"/>
          <w:color w:val="000000"/>
          <w:sz w:val="24"/>
          <w:szCs w:val="24"/>
          <w:highlight w:val="none"/>
          <w:lang w:val="en-US" w:eastAsia="zh-CN" w:bidi="ar-SA"/>
        </w:rPr>
        <w:t xml:space="preserve">功</w:t>
      </w:r>
      <w:r>
        <w:rPr>
          <w:rFonts w:hint="eastAsia" w:cs="Times New Roman"/>
          <w:color w:val="000000"/>
          <w:sz w:val="24"/>
          <w:szCs w:val="24"/>
          <w:highlight w:val="none"/>
          <w:lang w:val="en-US" w:eastAsia="zh-CN" w:bidi="ar-SA"/>
        </w:rPr>
        <w:t xml:space="preserve">能录制演示视频，随投标文件一并上传至苏采云系统</w:t>
      </w:r>
      <w:r>
        <w:rPr>
          <w:rFonts w:hint="eastAsia"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bidi="ar-SA"/>
        </w:rPr>
        <w:t xml:space="preserve">▲具备内置沙箱检测能力，支持120种以上文件格式类型，涵盖Windows、Linux、Android多种操作系统，支持自定义文件类型。沙箱检测环境支持WPS等常见应用软件。（供应商需针对此功能录制演示视频，随投标文件一并上传至苏采云系统）</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服务期限：</w:t>
      </w:r>
      <w:r>
        <w:rPr>
          <w:rFonts w:hint="eastAsia" w:ascii="Times New Roman" w:hAnsi="Times New Roman" w:eastAsia="宋体" w:cs="Times New Roman"/>
          <w:color w:val="000000"/>
          <w:sz w:val="24"/>
          <w:szCs w:val="24"/>
          <w:highlight w:val="none"/>
          <w:lang w:val="en-US" w:eastAsia="zh-CN" w:bidi="ar-SA"/>
        </w:rPr>
        <w:t xml:space="preserve">自合同签订之日起三年</w:t>
      </w:r>
      <w:r>
        <w:rPr>
          <w:rFonts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交付物：签署合同后30个工作日内，完成</w:t>
      </w:r>
      <w:r>
        <w:rPr>
          <w:rFonts w:hint="eastAsia" w:ascii="Times New Roman" w:hAnsi="Times New Roman" w:eastAsia="宋体" w:cs="Times New Roman"/>
          <w:color w:val="000000"/>
          <w:sz w:val="24"/>
          <w:szCs w:val="24"/>
          <w:highlight w:val="none"/>
          <w:lang w:val="en-US" w:eastAsia="zh-CN" w:bidi="ar-SA"/>
        </w:rPr>
        <w:t xml:space="preserve">系统</w:t>
      </w:r>
      <w:r>
        <w:rPr>
          <w:rFonts w:ascii="Times New Roman" w:hAnsi="Times New Roman" w:eastAsia="宋体" w:cs="Times New Roman"/>
          <w:color w:val="000000"/>
          <w:sz w:val="24"/>
          <w:szCs w:val="24"/>
          <w:highlight w:val="none"/>
          <w:lang w:val="en-US" w:eastAsia="zh-CN" w:bidi="ar-SA"/>
        </w:rPr>
        <w:t xml:space="preserve">部署并提供《未知威胁检测系统部署报告》；完成部署后，</w:t>
      </w:r>
      <w:r>
        <w:rPr>
          <w:rFonts w:hint="eastAsia" w:ascii="Times New Roman" w:hAnsi="Times New Roman" w:eastAsia="宋体" w:cs="Times New Roman"/>
          <w:color w:val="000000"/>
          <w:sz w:val="24"/>
          <w:szCs w:val="24"/>
          <w:highlight w:val="none"/>
          <w:lang w:val="en-US" w:eastAsia="zh-CN" w:bidi="ar-SA"/>
        </w:rPr>
        <w:t xml:space="preserve">每月提供</w:t>
      </w:r>
      <w:r>
        <w:rPr>
          <w:rFonts w:ascii="Times New Roman" w:hAnsi="Times New Roman" w:eastAsia="宋体" w:cs="Times New Roman"/>
          <w:color w:val="000000"/>
          <w:sz w:val="24"/>
          <w:szCs w:val="24"/>
          <w:highlight w:val="none"/>
          <w:lang w:val="en-US" w:eastAsia="zh-CN" w:bidi="ar-SA"/>
        </w:rPr>
        <w:t xml:space="preserve">《未知威胁监测月报》。</w:t>
      </w:r>
      <w:r>
        <w:rPr>
          <w:rFonts w:ascii="Times New Roman" w:hAnsi="Times New Roman" w:eastAsia="宋体" w:cs="Times New Roman"/>
          <w:color w:val="000000"/>
          <w:sz w:val="24"/>
          <w:szCs w:val="24"/>
          <w:highlight w:val="none"/>
          <w:lang w:val="en-US" w:eastAsia="zh-CN" w:bidi="ar-SA"/>
        </w:rPr>
      </w:r>
      <w:r/>
    </w:p>
    <w:p>
      <w:pPr>
        <w:pStyle w:val="807"/>
        <w:ind w:left="0" w:right="0" w:firstLine="482"/>
        <w:jc w:val="left"/>
        <w:keepLines w:val="0"/>
        <w:keepNext w:val="0"/>
        <w:pageBreakBefore w:val="0"/>
        <w:spacing w:before="0" w:beforeAutospacing="0" w:after="0" w:afterAutospacing="0" w:line="480" w:lineRule="exact"/>
        <w:widowControl/>
        <w:rPr>
          <w:rFonts w:ascii="Times New Roman" w:hAnsi="Times New Roman" w:eastAsia="宋体" w:cs="Times New Roman"/>
          <w:b/>
          <w:bCs/>
          <w:color w:val="000000"/>
          <w:sz w:val="24"/>
          <w:szCs w:val="24"/>
          <w:highlight w:val="none"/>
          <w:lang w:val="en-US" w:eastAsia="zh-CN" w:bidi="ar-SA"/>
        </w:rPr>
        <w:suppressLineNumbers w:val="0"/>
      </w:pPr>
      <w:r>
        <w:rPr>
          <w:rFonts w:hint="eastAsia" w:cs="Times New Roman"/>
          <w:b/>
          <w:bCs/>
          <w:color w:val="000000"/>
          <w:sz w:val="24"/>
          <w:szCs w:val="24"/>
          <w:highlight w:val="none"/>
          <w:lang w:val="en-US" w:eastAsia="zh-CN" w:bidi="ar-SA"/>
        </w:rPr>
        <w:t xml:space="preserve">（5）</w:t>
      </w:r>
      <w:r>
        <w:rPr>
          <w:rFonts w:ascii="Times New Roman" w:hAnsi="Times New Roman" w:eastAsia="宋体" w:cs="Times New Roman"/>
          <w:b/>
          <w:bCs/>
          <w:color w:val="000000"/>
          <w:sz w:val="24"/>
          <w:szCs w:val="24"/>
          <w:highlight w:val="none"/>
          <w:lang w:val="en-US" w:eastAsia="zh-CN" w:bidi="ar-SA"/>
        </w:rPr>
        <w:t xml:space="preserve">终端安全防护系统服务</w:t>
      </w:r>
      <w:r>
        <w:rPr>
          <w:rFonts w:ascii="Times New Roman" w:hAnsi="Times New Roman" w:eastAsia="宋体" w:cs="Times New Roman"/>
          <w:b/>
          <w:bCs/>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全区政务网终端部署终端安全防护系统，采用具备实时防护、病毒查杀、漏洞修复等核心功能的安全产品，覆盖全区政务办公电脑。通过集中管理平台实现病毒库每日自动更新、恶意行为智能拦截、异常进程主动监测等功能。</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提供至少1000个终端点位授权，同时提供配套的云服务器CPU≥8C；内存≥16G；硬盘≥500G。</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支持终端用户提交故障信息并可上传相关附件，管理员收到信息后可查阅并处理。支持终端用户提交意见反馈信息，管理员收到信息后可查阅并处理。</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▲支持远程协助功能，可支持直接远程或者终端确认两种远程模式，满足远程控制录屏，对管理员远程控制的行为进行录屏，支持下载查看录屏文件。（提供功能证明截图并加盖投标人公章）</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支持采集进程资产、开放端口、账户资产、启动项、计划任务、环境变量、运行服务等资产。支持终端、资产两个维度来查看，并支持一键检索。</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支持设置客户端资产登记功能，可制定资产类型、资产用途、归属部门、使用人、手机、邮箱等信息，可设置登记项是否必填、是否显示等。</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具备云端样本鉴定能力，云端具备300亿+样本数据，提供针对域名、IP、URL、文件hash、邮箱地址等信息进行威胁查询，可获取解析记录、相关证书、子域名信息、WHOIS日志、通讯样本、资产状态、恶意网址、公开报告等信息。（提供功能证明截图并加盖投标人公章）</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具备宏病毒查杀能力，提供宏病毒专项扫描功能，终端用户可对客户端执行宏病毒扫描，发现是否存在宏病毒。</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结合情报，可对终端是否失陷进行快速检测，管理员可分发指定APT排查脚本到终端执行，并可下载脚本执行结果进行分析。支持对全盘文件或指定目录下的PE文件发起APT特征分析和检测。</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支持终端漏洞扫描功能，可按照操作系统版本（包含WindowsXP、Windows7、Windows8、Windows10及国产操作系统）、Office版本、第三方软件（包括Adobe）进行扫描及定时修复。</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支持多种补丁更新模式：联网模式下，可通过云端升级源或者上级管控中心最新的漏洞库、补丁文件，支持选择自动更新或定时更新，支持开启带宽控制，限制服务端联网下载占用的最大带宽。</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hint="eastAsia"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产品需支持多引擎查杀技术，至少包括云查杀引擎、大数据特征引擎、人工智能引擎、脚本引擎等4个引擎，客户端支持以图形化方式展示各个引擎的信息,以确保产品可适应不同环境。（供应商需针对此功能录制演示视频，随投标文件一并上传至苏采云系统）</w:t>
      </w:r>
      <w:r>
        <w:rPr>
          <w:rFonts w:hint="eastAsia"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hint="eastAsia"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系统内置独立发现的APT组织情报，包括介绍、MD5、CC域名、常用漏洞等情报。APT组织不少于40个。（供应商需针对此功能录制演示视频，随投标文件一并上传至苏采云系统）</w:t>
      </w:r>
      <w:r>
        <w:rPr>
          <w:rFonts w:hint="eastAsia"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bidi="ar-SA"/>
        </w:rPr>
        <w:t xml:space="preserve">▲支持对终端资产是否存在风险进行检测，包括是否存在指定高危端口、是否存在不合规账户、是否存在不合规启动项、计划任务，是否使用未激活系统等，风险支持实时展示以及分类统计。（供应商需针对此功能录制演示视频，随投标文件一并上传至苏采云系统）</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服务期限：</w:t>
      </w:r>
      <w:r>
        <w:rPr>
          <w:rFonts w:hint="eastAsia" w:ascii="Times New Roman" w:hAnsi="Times New Roman" w:eastAsia="宋体" w:cs="Times New Roman"/>
          <w:color w:val="000000"/>
          <w:sz w:val="24"/>
          <w:szCs w:val="24"/>
          <w:highlight w:val="none"/>
          <w:lang w:val="en-US" w:eastAsia="zh-CN" w:bidi="ar-SA"/>
        </w:rPr>
        <w:t xml:space="preserve">自合同签订之日起三年</w:t>
      </w:r>
      <w:r>
        <w:rPr>
          <w:rFonts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交付物：签署合同后30个工作日内，完成</w:t>
      </w:r>
      <w:r>
        <w:rPr>
          <w:rFonts w:hint="eastAsia" w:ascii="Times New Roman" w:hAnsi="Times New Roman" w:eastAsia="宋体" w:cs="Times New Roman"/>
          <w:color w:val="000000"/>
          <w:sz w:val="24"/>
          <w:szCs w:val="24"/>
          <w:highlight w:val="none"/>
          <w:lang w:val="en-US" w:eastAsia="zh-CN" w:bidi="ar-SA"/>
        </w:rPr>
        <w:t xml:space="preserve">系统管理端</w:t>
      </w:r>
      <w:r>
        <w:rPr>
          <w:rFonts w:ascii="Times New Roman" w:hAnsi="Times New Roman" w:eastAsia="宋体" w:cs="Times New Roman"/>
          <w:color w:val="000000"/>
          <w:sz w:val="24"/>
          <w:szCs w:val="24"/>
          <w:highlight w:val="none"/>
          <w:lang w:val="en-US" w:eastAsia="zh-CN" w:bidi="ar-SA"/>
        </w:rPr>
        <w:t xml:space="preserve">部署并提供《终端安全防护</w:t>
      </w:r>
      <w:r>
        <w:rPr>
          <w:rFonts w:hint="eastAsia" w:ascii="Times New Roman" w:hAnsi="Times New Roman" w:eastAsia="宋体" w:cs="Times New Roman"/>
          <w:color w:val="000000"/>
          <w:sz w:val="24"/>
          <w:szCs w:val="24"/>
          <w:highlight w:val="none"/>
          <w:lang w:val="en-US" w:eastAsia="zh-CN" w:bidi="ar-SA"/>
        </w:rPr>
        <w:t xml:space="preserve">系统管理端</w:t>
      </w:r>
      <w:r>
        <w:rPr>
          <w:rFonts w:ascii="Times New Roman" w:hAnsi="Times New Roman" w:eastAsia="宋体" w:cs="Times New Roman"/>
          <w:color w:val="000000"/>
          <w:sz w:val="24"/>
          <w:szCs w:val="24"/>
          <w:highlight w:val="none"/>
          <w:lang w:val="en-US" w:eastAsia="zh-CN" w:bidi="ar-SA"/>
        </w:rPr>
        <w:t xml:space="preserve">部署报告》；完成部署后，</w:t>
      </w:r>
      <w:r>
        <w:rPr>
          <w:rFonts w:hint="eastAsia" w:ascii="Times New Roman" w:hAnsi="Times New Roman" w:eastAsia="宋体" w:cs="Times New Roman"/>
          <w:color w:val="000000"/>
          <w:sz w:val="24"/>
          <w:szCs w:val="24"/>
          <w:highlight w:val="none"/>
          <w:lang w:val="en-US" w:eastAsia="zh-CN" w:bidi="ar-SA"/>
        </w:rPr>
        <w:t xml:space="preserve">每月提供</w:t>
      </w:r>
      <w:r>
        <w:rPr>
          <w:rFonts w:ascii="Times New Roman" w:hAnsi="Times New Roman" w:eastAsia="宋体" w:cs="Times New Roman"/>
          <w:color w:val="000000"/>
          <w:sz w:val="24"/>
          <w:szCs w:val="24"/>
          <w:highlight w:val="none"/>
          <w:lang w:val="en-US" w:eastAsia="zh-CN" w:bidi="ar-SA"/>
        </w:rPr>
        <w:t xml:space="preserve">《终端威胁监测防护月报》。</w:t>
      </w:r>
      <w:r>
        <w:rPr>
          <w:rFonts w:ascii="Times New Roman" w:hAnsi="Times New Roman" w:eastAsia="宋体" w:cs="Times New Roman"/>
          <w:color w:val="000000"/>
          <w:sz w:val="24"/>
          <w:szCs w:val="24"/>
          <w:highlight w:val="none"/>
          <w:lang w:val="en-US" w:eastAsia="zh-CN" w:bidi="ar-SA"/>
        </w:rPr>
      </w:r>
      <w:r/>
    </w:p>
    <w:p>
      <w:pPr>
        <w:pStyle w:val="807"/>
        <w:ind w:left="0" w:right="0" w:firstLine="482"/>
        <w:jc w:val="left"/>
        <w:keepLines w:val="0"/>
        <w:keepNext w:val="0"/>
        <w:pageBreakBefore w:val="0"/>
        <w:spacing w:before="0" w:beforeAutospacing="0" w:after="0" w:afterAutospacing="0" w:line="480" w:lineRule="exact"/>
        <w:widowControl/>
        <w:rPr>
          <w:rFonts w:ascii="Times New Roman" w:hAnsi="Times New Roman" w:eastAsia="宋体" w:cs="Times New Roman"/>
          <w:b/>
          <w:bCs/>
          <w:color w:val="000000"/>
          <w:sz w:val="24"/>
          <w:szCs w:val="24"/>
          <w:highlight w:val="none"/>
          <w:lang w:val="en-US" w:eastAsia="zh-CN" w:bidi="ar-SA"/>
        </w:rPr>
        <w:suppressLineNumbers w:val="0"/>
      </w:pPr>
      <w:r>
        <w:rPr>
          <w:rFonts w:hint="eastAsia" w:cs="Times New Roman"/>
          <w:b/>
          <w:bCs/>
          <w:color w:val="000000"/>
          <w:sz w:val="24"/>
          <w:szCs w:val="24"/>
          <w:highlight w:val="none"/>
          <w:lang w:val="en-US" w:eastAsia="zh-CN" w:bidi="ar-SA"/>
        </w:rPr>
        <w:t xml:space="preserve">（6）</w:t>
      </w:r>
      <w:r>
        <w:rPr>
          <w:rFonts w:ascii="Times New Roman" w:hAnsi="Times New Roman" w:eastAsia="宋体" w:cs="Times New Roman"/>
          <w:b/>
          <w:bCs/>
          <w:color w:val="000000"/>
          <w:sz w:val="24"/>
          <w:szCs w:val="24"/>
          <w:highlight w:val="none"/>
          <w:lang w:val="en-US" w:eastAsia="zh-CN" w:bidi="ar-SA"/>
        </w:rPr>
        <w:t xml:space="preserve">安全引流交换机服务</w:t>
      </w:r>
      <w:r>
        <w:rPr>
          <w:rFonts w:ascii="Times New Roman" w:hAnsi="Times New Roman" w:eastAsia="宋体" w:cs="Times New Roman"/>
          <w:b/>
          <w:bCs/>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在主备线路与市对接的核心</w:t>
      </w:r>
      <w:r>
        <w:rPr>
          <w:rFonts w:hint="eastAsia" w:ascii="Times New Roman" w:hAnsi="Times New Roman" w:eastAsia="宋体" w:cs="Times New Roman"/>
          <w:color w:val="000000"/>
          <w:sz w:val="24"/>
          <w:szCs w:val="24"/>
          <w:highlight w:val="none"/>
          <w:lang w:val="en-US" w:eastAsia="zh-CN" w:bidi="ar-SA"/>
        </w:rPr>
        <w:t xml:space="preserve">设备</w:t>
      </w:r>
      <w:r>
        <w:rPr>
          <w:rFonts w:ascii="Times New Roman" w:hAnsi="Times New Roman" w:eastAsia="宋体" w:cs="Times New Roman"/>
          <w:color w:val="000000"/>
          <w:sz w:val="24"/>
          <w:szCs w:val="24"/>
          <w:highlight w:val="none"/>
          <w:lang w:val="en-US" w:eastAsia="zh-CN" w:bidi="ar-SA"/>
        </w:rPr>
        <w:t xml:space="preserve">各旁挂一台交换机做安全接入，将流量牵引至安全运维区，同时也作为安全运维区的接入交换机。</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hint="eastAsia"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bidi="ar-SA"/>
        </w:rPr>
        <w:t xml:space="preserve">设备标配千兆电口≥4个，千兆光口≥4个，万兆光口≥2个；吞吐量不低于10G。</w:t>
      </w:r>
      <w:r>
        <w:rPr>
          <w:rFonts w:hint="eastAsia"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设备支持在输入端口和输出端口之间实现一对一、一对多、多对一等汇聚方式，支持将输入端口流量复制到其它端口或端口组输出。</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支持包过滤功能，提供基于源MAC地址、目的MAC地址、源</w:t>
      </w:r>
      <w:r>
        <w:rPr>
          <w:rFonts w:hint="eastAsia" w:ascii="Times New Roman" w:hAnsi="Times New Roman" w:eastAsia="宋体" w:cs="Times New Roman"/>
          <w:color w:val="000000"/>
          <w:sz w:val="24"/>
          <w:szCs w:val="24"/>
          <w:highlight w:val="none"/>
          <w:lang w:val="en-US" w:eastAsia="zh-CN" w:bidi="ar-SA"/>
        </w:rPr>
        <w:t xml:space="preserve">I</w:t>
      </w:r>
      <w:r>
        <w:rPr>
          <w:rFonts w:ascii="Times New Roman" w:hAnsi="Times New Roman" w:eastAsia="宋体" w:cs="Times New Roman"/>
          <w:color w:val="000000"/>
          <w:sz w:val="24"/>
          <w:szCs w:val="24"/>
          <w:highlight w:val="none"/>
          <w:lang w:val="en-US" w:eastAsia="zh-CN" w:bidi="ar-SA"/>
        </w:rPr>
        <w:t xml:space="preserve">P地址、目的P地址、T协议类型的流分类。</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服务期限：</w:t>
      </w:r>
      <w:r>
        <w:rPr>
          <w:rFonts w:hint="eastAsia" w:ascii="Times New Roman" w:hAnsi="Times New Roman" w:eastAsia="宋体" w:cs="Times New Roman"/>
          <w:color w:val="000000"/>
          <w:sz w:val="24"/>
          <w:szCs w:val="24"/>
          <w:highlight w:val="none"/>
          <w:lang w:val="en-US" w:eastAsia="zh-CN" w:bidi="ar-SA"/>
        </w:rPr>
        <w:t xml:space="preserve">自合同签订之日起三年</w:t>
      </w:r>
      <w:r>
        <w:rPr>
          <w:rFonts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交付物：签署合同后30个工作日内，完成设备部署并</w:t>
      </w:r>
      <w:r>
        <w:rPr>
          <w:rFonts w:hint="eastAsia" w:ascii="Times New Roman" w:hAnsi="Times New Roman" w:cs="Times New Roman"/>
          <w:color w:val="000000"/>
          <w:sz w:val="24"/>
          <w:szCs w:val="24"/>
          <w:highlight w:val="none"/>
          <w:lang w:val="en-US" w:eastAsia="zh-CN" w:bidi="ar-SA"/>
        </w:rPr>
        <w:t xml:space="preserve">提交</w:t>
      </w:r>
      <w:r>
        <w:rPr>
          <w:rFonts w:ascii="Times New Roman" w:hAnsi="Times New Roman" w:eastAsia="宋体" w:cs="Times New Roman"/>
          <w:color w:val="000000"/>
          <w:sz w:val="24"/>
          <w:szCs w:val="24"/>
          <w:highlight w:val="none"/>
          <w:lang w:val="en-US" w:eastAsia="zh-CN" w:bidi="ar-SA"/>
        </w:rPr>
        <w:t xml:space="preserve">《安全引流交换机部署报告》。</w:t>
      </w:r>
      <w:r>
        <w:rPr>
          <w:rFonts w:ascii="Times New Roman" w:hAnsi="Times New Roman" w:eastAsia="宋体" w:cs="Times New Roman"/>
          <w:color w:val="000000"/>
          <w:sz w:val="24"/>
          <w:szCs w:val="24"/>
          <w:highlight w:val="none"/>
          <w:lang w:val="en-US" w:eastAsia="zh-CN" w:bidi="ar-SA"/>
        </w:rPr>
      </w:r>
      <w:r/>
    </w:p>
    <w:p>
      <w:pPr>
        <w:pStyle w:val="762"/>
        <w:numPr>
          <w:ilvl w:val="0"/>
          <w:numId w:val="0"/>
        </w:numPr>
        <w:ind w:left="0" w:firstLine="562"/>
        <w:jc w:val="left"/>
        <w:pageBreakBefore w:val="0"/>
        <w:spacing w:line="480" w:lineRule="exact"/>
        <w:rPr>
          <w:rFonts w:ascii="宋体" w:hAnsi="宋体" w:eastAsia="宋体" w:cs="Times New Roman"/>
          <w:b/>
          <w:color w:val="000000"/>
          <w:sz w:val="28"/>
          <w:szCs w:val="28"/>
          <w:highlight w:val="none"/>
          <w:lang w:val="en-US" w:eastAsia="zh-CN"/>
        </w:rPr>
      </w:pPr>
      <w:r>
        <w:rPr>
          <w:rFonts w:hint="eastAsia" w:ascii="宋体" w:hAnsi="宋体" w:eastAsia="宋体" w:cs="Times New Roman"/>
          <w:b/>
          <w:color w:val="000000"/>
          <w:sz w:val="28"/>
          <w:szCs w:val="28"/>
          <w:highlight w:val="none"/>
          <w:lang w:val="en-US" w:eastAsia="zh-CN"/>
        </w:rPr>
        <w:t xml:space="preserve">2.</w:t>
      </w:r>
      <w:r>
        <w:rPr>
          <w:rFonts w:ascii="宋体" w:hAnsi="宋体" w:eastAsia="宋体" w:cs="Times New Roman"/>
          <w:b/>
          <w:color w:val="000000"/>
          <w:sz w:val="28"/>
          <w:szCs w:val="28"/>
          <w:highlight w:val="none"/>
          <w:lang w:val="en-US" w:eastAsia="zh-CN"/>
        </w:rPr>
        <w:t xml:space="preserve">网络安全运营服务要求如下：</w:t>
      </w:r>
      <w:r>
        <w:rPr>
          <w:rFonts w:ascii="宋体" w:hAnsi="宋体" w:eastAsia="宋体" w:cs="Times New Roman"/>
          <w:b/>
          <w:color w:val="000000"/>
          <w:sz w:val="28"/>
          <w:szCs w:val="28"/>
          <w:highlight w:val="none"/>
          <w:lang w:val="en-US" w:eastAsia="zh-CN"/>
        </w:rPr>
      </w:r>
      <w:r/>
    </w:p>
    <w:p>
      <w:pPr>
        <w:pStyle w:val="807"/>
        <w:ind w:left="0" w:right="0" w:firstLine="482"/>
        <w:jc w:val="left"/>
        <w:keepLines w:val="0"/>
        <w:keepNext w:val="0"/>
        <w:pageBreakBefore w:val="0"/>
        <w:spacing w:before="0" w:beforeAutospacing="0" w:after="0" w:afterAutospacing="0" w:line="480" w:lineRule="exact"/>
        <w:widowControl/>
        <w:rPr>
          <w:rFonts w:ascii="Times New Roman" w:hAnsi="Times New Roman" w:eastAsia="宋体" w:cs="Times New Roman"/>
          <w:b/>
          <w:bCs/>
          <w:color w:val="000000"/>
          <w:sz w:val="24"/>
          <w:szCs w:val="24"/>
          <w:highlight w:val="none"/>
          <w:lang w:val="en-US" w:eastAsia="zh-CN" w:bidi="ar-SA"/>
        </w:rPr>
        <w:suppressLineNumbers w:val="0"/>
      </w:pPr>
      <w:r>
        <w:rPr>
          <w:rFonts w:hint="eastAsia" w:cs="Times New Roman"/>
          <w:b/>
          <w:bCs/>
          <w:color w:val="000000"/>
          <w:sz w:val="24"/>
          <w:szCs w:val="24"/>
          <w:highlight w:val="none"/>
          <w:lang w:val="en-US" w:eastAsia="zh-CN" w:bidi="ar-SA"/>
        </w:rPr>
        <w:t xml:space="preserve">（1）</w:t>
      </w:r>
      <w:r>
        <w:rPr>
          <w:rFonts w:ascii="Times New Roman" w:hAnsi="Times New Roman" w:eastAsia="宋体" w:cs="Times New Roman"/>
          <w:b/>
          <w:bCs/>
          <w:color w:val="000000"/>
          <w:sz w:val="24"/>
          <w:szCs w:val="24"/>
          <w:highlight w:val="none"/>
          <w:lang w:val="en-US" w:eastAsia="zh-CN" w:bidi="ar-SA"/>
        </w:rPr>
        <w:t xml:space="preserve">资产测绘服务</w:t>
      </w:r>
      <w:r>
        <w:rPr>
          <w:rFonts w:ascii="Times New Roman" w:hAnsi="Times New Roman" w:eastAsia="宋体" w:cs="Times New Roman"/>
          <w:b/>
          <w:bCs/>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针对姜堰区电子政务外网IT资产提供资产测绘专业资产测绘服务，包括但不限于对政务外网内的服务器、网络设备、终端设备、应用系统等IT资产进行全面扫描与识别，明确资产的类型、型号、IP地址、操作系统版本、应用程序名称及版本等核心属性；建立统一的资产台账，实现资产的可视化管理与分类统计；定期对资产进行动态更新，及时发现新增、变更或下线的资产，确保资产信息的准确性和完整性。</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服务频率：一年一次；</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服务期限：</w:t>
      </w:r>
      <w:r>
        <w:rPr>
          <w:rFonts w:hint="eastAsia" w:ascii="Times New Roman" w:hAnsi="Times New Roman" w:eastAsia="宋体" w:cs="Times New Roman"/>
          <w:color w:val="000000"/>
          <w:sz w:val="24"/>
          <w:szCs w:val="24"/>
          <w:highlight w:val="none"/>
          <w:lang w:val="en-US" w:eastAsia="zh-CN" w:bidi="ar-SA"/>
        </w:rPr>
        <w:t xml:space="preserve">自合同签订之日起三年</w:t>
      </w:r>
      <w:r>
        <w:rPr>
          <w:rFonts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交付物：</w:t>
      </w:r>
      <w:r>
        <w:rPr>
          <w:rFonts w:hint="eastAsia" w:ascii="Times New Roman" w:hAnsi="Times New Roman" w:eastAsia="宋体" w:cs="Times New Roman"/>
          <w:color w:val="000000"/>
          <w:sz w:val="24"/>
          <w:szCs w:val="24"/>
          <w:highlight w:val="none"/>
          <w:lang w:val="en-US" w:eastAsia="zh-CN" w:bidi="ar-SA"/>
        </w:rPr>
        <w:t xml:space="preserve">每年度</w:t>
      </w:r>
      <w:r>
        <w:rPr>
          <w:rFonts w:ascii="Times New Roman" w:hAnsi="Times New Roman" w:eastAsia="宋体" w:cs="Times New Roman"/>
          <w:color w:val="000000"/>
          <w:sz w:val="24"/>
          <w:szCs w:val="24"/>
          <w:highlight w:val="none"/>
          <w:lang w:val="en-US" w:eastAsia="zh-CN" w:bidi="ar-SA"/>
        </w:rPr>
        <w:t xml:space="preserve">完成</w:t>
      </w:r>
      <w:r>
        <w:rPr>
          <w:rFonts w:hint="eastAsia" w:cs="Times New Roman"/>
          <w:color w:val="000000"/>
          <w:sz w:val="24"/>
          <w:szCs w:val="24"/>
          <w:highlight w:val="none"/>
          <w:lang w:val="en-US" w:eastAsia="zh-CN" w:bidi="ar-SA"/>
        </w:rPr>
        <w:t xml:space="preserve">资产测绘</w:t>
      </w:r>
      <w:r>
        <w:rPr>
          <w:rFonts w:ascii="Times New Roman" w:hAnsi="Times New Roman" w:eastAsia="宋体" w:cs="Times New Roman"/>
          <w:color w:val="000000"/>
          <w:sz w:val="24"/>
          <w:szCs w:val="24"/>
          <w:highlight w:val="none"/>
          <w:lang w:val="en-US" w:eastAsia="zh-CN" w:bidi="ar-SA"/>
        </w:rPr>
        <w:t xml:space="preserve">服务后，7个工作日内提供《资产测绘报告》。</w:t>
      </w:r>
      <w:r>
        <w:rPr>
          <w:rFonts w:ascii="Times New Roman" w:hAnsi="Times New Roman" w:eastAsia="宋体" w:cs="Times New Roman"/>
          <w:color w:val="000000"/>
          <w:sz w:val="24"/>
          <w:szCs w:val="24"/>
          <w:highlight w:val="none"/>
          <w:lang w:val="en-US" w:eastAsia="zh-CN" w:bidi="ar-SA"/>
        </w:rPr>
      </w:r>
      <w:r/>
    </w:p>
    <w:p>
      <w:pPr>
        <w:pStyle w:val="807"/>
        <w:ind w:left="0" w:right="0" w:firstLine="482"/>
        <w:jc w:val="left"/>
        <w:keepLines w:val="0"/>
        <w:keepNext w:val="0"/>
        <w:pageBreakBefore w:val="0"/>
        <w:spacing w:before="0" w:beforeAutospacing="0" w:after="0" w:afterAutospacing="0" w:line="480" w:lineRule="exact"/>
        <w:widowControl/>
        <w:rPr>
          <w:rFonts w:ascii="Times New Roman" w:hAnsi="Times New Roman" w:eastAsia="宋体" w:cs="Times New Roman"/>
          <w:b/>
          <w:bCs/>
          <w:color w:val="000000"/>
          <w:sz w:val="24"/>
          <w:szCs w:val="24"/>
          <w:highlight w:val="none"/>
          <w:lang w:val="en-US" w:eastAsia="zh-CN" w:bidi="ar-SA"/>
        </w:rPr>
        <w:suppressLineNumbers w:val="0"/>
      </w:pPr>
      <w:r>
        <w:rPr>
          <w:rFonts w:hint="eastAsia" w:cs="Times New Roman"/>
          <w:b/>
          <w:bCs/>
          <w:color w:val="000000"/>
          <w:sz w:val="24"/>
          <w:szCs w:val="24"/>
          <w:highlight w:val="none"/>
          <w:lang w:val="en-US" w:eastAsia="zh-CN" w:bidi="ar-SA"/>
        </w:rPr>
        <w:t xml:space="preserve">（2）</w:t>
      </w:r>
      <w:r>
        <w:rPr>
          <w:rFonts w:ascii="Times New Roman" w:hAnsi="Times New Roman" w:eastAsia="宋体" w:cs="Times New Roman"/>
          <w:b/>
          <w:bCs/>
          <w:color w:val="000000"/>
          <w:sz w:val="24"/>
          <w:szCs w:val="24"/>
          <w:highlight w:val="none"/>
          <w:lang w:val="en-US" w:eastAsia="zh-CN" w:bidi="ar-SA"/>
        </w:rPr>
        <w:t xml:space="preserve">红队评估服务</w:t>
      </w:r>
      <w:r>
        <w:rPr>
          <w:rFonts w:ascii="Times New Roman" w:hAnsi="Times New Roman" w:eastAsia="宋体" w:cs="Times New Roman"/>
          <w:b/>
          <w:bCs/>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在市级及以上电子政务网攻防演练前，通过安全测试提前发现信息系统存在的安全隐患，及时采取必要的防护措施，减少安全事件通报。具体包括红队安全整体评估、弱口令专项评估、API安全专项评估、高危端口专项评估各一次。</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服务频率：一年一次；</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服务期限：</w:t>
      </w:r>
      <w:r>
        <w:rPr>
          <w:rFonts w:hint="eastAsia" w:ascii="Times New Roman" w:hAnsi="Times New Roman" w:eastAsia="宋体" w:cs="Times New Roman"/>
          <w:color w:val="000000"/>
          <w:sz w:val="24"/>
          <w:szCs w:val="24"/>
          <w:highlight w:val="none"/>
          <w:lang w:val="en-US" w:eastAsia="zh-CN" w:bidi="ar-SA"/>
        </w:rPr>
        <w:t xml:space="preserve">自合同签订之日起三年</w:t>
      </w:r>
      <w:r>
        <w:rPr>
          <w:rFonts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交付物：</w:t>
      </w:r>
      <w:r>
        <w:rPr>
          <w:rFonts w:hint="eastAsia" w:ascii="Times New Roman" w:hAnsi="Times New Roman" w:eastAsia="宋体" w:cs="Times New Roman"/>
          <w:color w:val="000000"/>
          <w:sz w:val="24"/>
          <w:szCs w:val="24"/>
          <w:highlight w:val="none"/>
          <w:lang w:val="en-US" w:eastAsia="zh-CN" w:bidi="ar-SA"/>
        </w:rPr>
        <w:t xml:space="preserve">每年度</w:t>
      </w:r>
      <w:r>
        <w:rPr>
          <w:rFonts w:ascii="Times New Roman" w:hAnsi="Times New Roman" w:eastAsia="宋体" w:cs="Times New Roman"/>
          <w:color w:val="000000"/>
          <w:sz w:val="24"/>
          <w:szCs w:val="24"/>
          <w:highlight w:val="none"/>
          <w:lang w:val="en-US" w:eastAsia="zh-CN" w:bidi="ar-SA"/>
        </w:rPr>
        <w:t xml:space="preserve">完成</w:t>
      </w:r>
      <w:r>
        <w:rPr>
          <w:rFonts w:hint="eastAsia" w:ascii="Times New Roman" w:hAnsi="Times New Roman" w:eastAsia="宋体" w:cs="Times New Roman"/>
          <w:color w:val="000000"/>
          <w:sz w:val="24"/>
          <w:szCs w:val="24"/>
          <w:highlight w:val="none"/>
          <w:lang w:val="en-US" w:eastAsia="zh-CN" w:bidi="ar-SA"/>
        </w:rPr>
        <w:t xml:space="preserve">安全测试</w:t>
      </w:r>
      <w:r>
        <w:rPr>
          <w:rFonts w:ascii="Times New Roman" w:hAnsi="Times New Roman" w:eastAsia="宋体" w:cs="Times New Roman"/>
          <w:color w:val="000000"/>
          <w:sz w:val="24"/>
          <w:szCs w:val="24"/>
          <w:highlight w:val="none"/>
          <w:lang w:val="en-US" w:eastAsia="zh-CN" w:bidi="ar-SA"/>
        </w:rPr>
        <w:t xml:space="preserve">后，15个工作日内提供《红队评估综合服务报告》。</w:t>
      </w:r>
      <w:r>
        <w:rPr>
          <w:rFonts w:ascii="Times New Roman" w:hAnsi="Times New Roman" w:eastAsia="宋体" w:cs="Times New Roman"/>
          <w:color w:val="000000"/>
          <w:sz w:val="24"/>
          <w:szCs w:val="24"/>
          <w:highlight w:val="none"/>
          <w:lang w:val="en-US" w:eastAsia="zh-CN" w:bidi="ar-SA"/>
        </w:rPr>
      </w:r>
      <w:r/>
    </w:p>
    <w:p>
      <w:pPr>
        <w:pStyle w:val="807"/>
        <w:ind w:left="0" w:right="0" w:firstLine="482"/>
        <w:jc w:val="left"/>
        <w:keepLines w:val="0"/>
        <w:keepNext w:val="0"/>
        <w:pageBreakBefore w:val="0"/>
        <w:spacing w:before="0" w:beforeAutospacing="0" w:after="0" w:afterAutospacing="0" w:line="480" w:lineRule="exact"/>
        <w:widowControl/>
        <w:rPr>
          <w:rFonts w:ascii="Times New Roman" w:hAnsi="Times New Roman" w:eastAsia="宋体" w:cs="Times New Roman"/>
          <w:b/>
          <w:bCs/>
          <w:color w:val="000000"/>
          <w:sz w:val="24"/>
          <w:szCs w:val="24"/>
          <w:highlight w:val="none"/>
          <w:lang w:val="en-US" w:eastAsia="zh-CN" w:bidi="ar-SA"/>
        </w:rPr>
        <w:suppressLineNumbers w:val="0"/>
      </w:pPr>
      <w:r>
        <w:rPr>
          <w:rFonts w:hint="eastAsia" w:cs="Times New Roman"/>
          <w:b/>
          <w:bCs/>
          <w:color w:val="000000"/>
          <w:sz w:val="24"/>
          <w:szCs w:val="24"/>
          <w:highlight w:val="none"/>
          <w:lang w:val="en-US" w:eastAsia="zh-CN" w:bidi="ar-SA"/>
        </w:rPr>
        <w:t xml:space="preserve">（3）</w:t>
      </w:r>
      <w:r>
        <w:rPr>
          <w:rFonts w:ascii="Times New Roman" w:hAnsi="Times New Roman" w:eastAsia="宋体" w:cs="Times New Roman"/>
          <w:b/>
          <w:bCs/>
          <w:color w:val="000000"/>
          <w:sz w:val="24"/>
          <w:szCs w:val="24"/>
          <w:highlight w:val="none"/>
          <w:lang w:val="en-US" w:eastAsia="zh-CN" w:bidi="ar-SA"/>
        </w:rPr>
        <w:t xml:space="preserve">漏洞扫描服务</w:t>
      </w:r>
      <w:r>
        <w:rPr>
          <w:rFonts w:ascii="Times New Roman" w:hAnsi="Times New Roman" w:eastAsia="宋体" w:cs="Times New Roman"/>
          <w:b/>
          <w:bCs/>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利用专业的漏洞扫描评估工具采取远程或现场的方式，对姜堰区电子政务外网网络中重点的应用系统、服务器等以及对姜堰区政务业务系统进行扫描，发现潜在的脆弱点，识别出能被入侵者用来非法进入网络或者非法获取信息资产的漏洞。</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服务频率：</w:t>
      </w:r>
      <w:r>
        <w:rPr>
          <w:rFonts w:hint="eastAsia" w:ascii="Times New Roman" w:hAnsi="Times New Roman" w:eastAsia="宋体" w:cs="Times New Roman"/>
          <w:color w:val="000000"/>
          <w:sz w:val="24"/>
          <w:szCs w:val="24"/>
          <w:highlight w:val="none"/>
          <w:lang w:val="en-US" w:eastAsia="zh-CN" w:bidi="ar-SA"/>
        </w:rPr>
        <w:t xml:space="preserve">一季度一次</w:t>
      </w:r>
      <w:r>
        <w:rPr>
          <w:rFonts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服务期限：</w:t>
      </w:r>
      <w:r>
        <w:rPr>
          <w:rFonts w:hint="eastAsia" w:ascii="Times New Roman" w:hAnsi="Times New Roman" w:eastAsia="宋体" w:cs="Times New Roman"/>
          <w:color w:val="000000"/>
          <w:sz w:val="24"/>
          <w:szCs w:val="24"/>
          <w:highlight w:val="none"/>
          <w:lang w:val="en-US" w:eastAsia="zh-CN" w:bidi="ar-SA"/>
        </w:rPr>
        <w:t xml:space="preserve">自合同签订之日起三年</w:t>
      </w:r>
      <w:r>
        <w:rPr>
          <w:rFonts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交付物：</w:t>
      </w:r>
      <w:r>
        <w:rPr>
          <w:rFonts w:hint="eastAsia" w:ascii="Times New Roman" w:hAnsi="Times New Roman" w:eastAsia="宋体" w:cs="Times New Roman"/>
          <w:color w:val="000000"/>
          <w:sz w:val="24"/>
          <w:szCs w:val="24"/>
          <w:highlight w:val="none"/>
          <w:lang w:val="en-US" w:eastAsia="zh-CN" w:bidi="ar-SA"/>
        </w:rPr>
        <w:t xml:space="preserve">每季度</w:t>
      </w:r>
      <w:r>
        <w:rPr>
          <w:rFonts w:ascii="Times New Roman" w:hAnsi="Times New Roman" w:eastAsia="宋体" w:cs="Times New Roman"/>
          <w:color w:val="000000"/>
          <w:sz w:val="24"/>
          <w:szCs w:val="24"/>
          <w:highlight w:val="none"/>
          <w:lang w:val="en-US" w:eastAsia="zh-CN" w:bidi="ar-SA"/>
        </w:rPr>
        <w:t xml:space="preserve">完成</w:t>
      </w:r>
      <w:r>
        <w:rPr>
          <w:rFonts w:hint="eastAsia" w:ascii="Times New Roman" w:hAnsi="Times New Roman" w:eastAsia="宋体" w:cs="Times New Roman"/>
          <w:color w:val="000000"/>
          <w:sz w:val="24"/>
          <w:szCs w:val="24"/>
          <w:highlight w:val="none"/>
          <w:lang w:val="en-US" w:eastAsia="zh-CN" w:bidi="ar-SA"/>
        </w:rPr>
        <w:t xml:space="preserve">漏洞扫描</w:t>
      </w:r>
      <w:r>
        <w:rPr>
          <w:rFonts w:ascii="Times New Roman" w:hAnsi="Times New Roman" w:eastAsia="宋体" w:cs="Times New Roman"/>
          <w:color w:val="000000"/>
          <w:sz w:val="24"/>
          <w:szCs w:val="24"/>
          <w:highlight w:val="none"/>
          <w:lang w:val="en-US" w:eastAsia="zh-CN" w:bidi="ar-SA"/>
        </w:rPr>
        <w:t xml:space="preserve">后，7个工作日内提供《系统漏洞扫描报告》。</w:t>
      </w:r>
      <w:r>
        <w:rPr>
          <w:rFonts w:ascii="Times New Roman" w:hAnsi="Times New Roman" w:eastAsia="宋体" w:cs="Times New Roman"/>
          <w:color w:val="000000"/>
          <w:sz w:val="24"/>
          <w:szCs w:val="24"/>
          <w:highlight w:val="none"/>
          <w:lang w:val="en-US" w:eastAsia="zh-CN" w:bidi="ar-SA"/>
        </w:rPr>
      </w:r>
      <w:r/>
    </w:p>
    <w:p>
      <w:pPr>
        <w:pStyle w:val="807"/>
        <w:ind w:left="0" w:right="0" w:firstLine="482"/>
        <w:jc w:val="left"/>
        <w:keepLines w:val="0"/>
        <w:keepNext w:val="0"/>
        <w:pageBreakBefore w:val="0"/>
        <w:spacing w:before="0" w:beforeAutospacing="0" w:after="0" w:afterAutospacing="0" w:line="480" w:lineRule="exact"/>
        <w:widowControl/>
        <w:rPr>
          <w:rFonts w:ascii="Times New Roman" w:hAnsi="Times New Roman" w:eastAsia="宋体" w:cs="Times New Roman"/>
          <w:b/>
          <w:bCs/>
          <w:color w:val="000000"/>
          <w:sz w:val="24"/>
          <w:szCs w:val="24"/>
          <w:highlight w:val="none"/>
          <w:lang w:val="en-US" w:eastAsia="zh-CN" w:bidi="ar-SA"/>
        </w:rPr>
        <w:suppressLineNumbers w:val="0"/>
      </w:pPr>
      <w:r>
        <w:rPr>
          <w:rFonts w:hint="eastAsia" w:cs="Times New Roman"/>
          <w:b/>
          <w:bCs/>
          <w:color w:val="000000"/>
          <w:sz w:val="24"/>
          <w:szCs w:val="24"/>
          <w:highlight w:val="none"/>
          <w:lang w:val="en-US" w:eastAsia="zh-CN" w:bidi="ar-SA"/>
        </w:rPr>
        <w:t xml:space="preserve">（4）</w:t>
      </w:r>
      <w:r>
        <w:rPr>
          <w:rFonts w:ascii="Times New Roman" w:hAnsi="Times New Roman" w:eastAsia="宋体" w:cs="Times New Roman"/>
          <w:b/>
          <w:bCs/>
          <w:color w:val="000000"/>
          <w:sz w:val="24"/>
          <w:szCs w:val="24"/>
          <w:highlight w:val="none"/>
          <w:lang w:val="en-US" w:eastAsia="zh-CN" w:bidi="ar-SA"/>
        </w:rPr>
        <w:t xml:space="preserve">应急演练服务</w:t>
      </w:r>
      <w:r>
        <w:rPr>
          <w:rFonts w:ascii="Times New Roman" w:hAnsi="Times New Roman" w:eastAsia="宋体" w:cs="Times New Roman"/>
          <w:b/>
          <w:bCs/>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明确姜堰区数据局选定的目标系统作为演练的目标，制定详细的演练计划，确保所有相关人员都清楚自己的职责和任务。模拟的网络安全事件场景应具有真实性，包括黑客攻击、恶意软件传播、数据泄露等。</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服务频率：一年一次；</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服务期限：</w:t>
      </w:r>
      <w:r>
        <w:rPr>
          <w:rFonts w:hint="eastAsia" w:ascii="Times New Roman" w:hAnsi="Times New Roman" w:eastAsia="宋体" w:cs="Times New Roman"/>
          <w:color w:val="000000"/>
          <w:sz w:val="24"/>
          <w:szCs w:val="24"/>
          <w:highlight w:val="none"/>
          <w:lang w:val="en-US" w:eastAsia="zh-CN" w:bidi="ar-SA"/>
        </w:rPr>
        <w:t xml:space="preserve">自合同签订之日起三年</w:t>
      </w:r>
      <w:r>
        <w:rPr>
          <w:rFonts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交付物：</w:t>
      </w:r>
      <w:r>
        <w:rPr>
          <w:rFonts w:hint="eastAsia" w:ascii="Times New Roman" w:hAnsi="Times New Roman" w:eastAsia="宋体" w:cs="Times New Roman"/>
          <w:color w:val="000000"/>
          <w:sz w:val="24"/>
          <w:szCs w:val="24"/>
          <w:highlight w:val="none"/>
          <w:lang w:val="en-US" w:eastAsia="zh-CN" w:bidi="ar-SA"/>
        </w:rPr>
        <w:t xml:space="preserve">每年度应急</w:t>
      </w:r>
      <w:r>
        <w:rPr>
          <w:rFonts w:ascii="Times New Roman" w:hAnsi="Times New Roman" w:eastAsia="宋体" w:cs="Times New Roman"/>
          <w:color w:val="000000"/>
          <w:sz w:val="24"/>
          <w:szCs w:val="24"/>
          <w:highlight w:val="none"/>
          <w:lang w:val="en-US" w:eastAsia="zh-CN" w:bidi="ar-SA"/>
        </w:rPr>
        <w:t xml:space="preserve">演练前，提供《应急演练服务方案》。</w:t>
      </w:r>
      <w:r>
        <w:rPr>
          <w:rFonts w:ascii="Times New Roman" w:hAnsi="Times New Roman" w:eastAsia="宋体" w:cs="Times New Roman"/>
          <w:color w:val="000000"/>
          <w:sz w:val="24"/>
          <w:szCs w:val="24"/>
          <w:highlight w:val="none"/>
          <w:lang w:val="en-US" w:eastAsia="zh-CN" w:bidi="ar-SA"/>
        </w:rPr>
      </w:r>
      <w:r/>
    </w:p>
    <w:p>
      <w:pPr>
        <w:pStyle w:val="807"/>
        <w:ind w:left="0" w:right="0" w:firstLine="482"/>
        <w:jc w:val="left"/>
        <w:keepLines w:val="0"/>
        <w:keepNext w:val="0"/>
        <w:pageBreakBefore w:val="0"/>
        <w:spacing w:before="0" w:beforeAutospacing="0" w:after="0" w:afterAutospacing="0" w:line="480" w:lineRule="exact"/>
        <w:widowControl/>
        <w:rPr>
          <w:rFonts w:ascii="Times New Roman" w:hAnsi="Times New Roman" w:eastAsia="宋体" w:cs="Times New Roman"/>
          <w:b/>
          <w:bCs/>
          <w:color w:val="000000"/>
          <w:sz w:val="24"/>
          <w:szCs w:val="24"/>
          <w:highlight w:val="none"/>
          <w:lang w:val="en-US" w:eastAsia="zh-CN" w:bidi="ar-SA"/>
        </w:rPr>
        <w:suppressLineNumbers w:val="0"/>
      </w:pPr>
      <w:r>
        <w:rPr>
          <w:rFonts w:hint="eastAsia" w:cs="Times New Roman"/>
          <w:b/>
          <w:bCs/>
          <w:color w:val="000000"/>
          <w:sz w:val="24"/>
          <w:szCs w:val="24"/>
          <w:highlight w:val="none"/>
          <w:lang w:val="en-US" w:eastAsia="zh-CN" w:bidi="ar-SA"/>
        </w:rPr>
        <w:t xml:space="preserve">（5）</w:t>
      </w:r>
      <w:r>
        <w:rPr>
          <w:rFonts w:ascii="Times New Roman" w:hAnsi="Times New Roman" w:eastAsia="宋体" w:cs="Times New Roman"/>
          <w:b/>
          <w:bCs/>
          <w:color w:val="000000"/>
          <w:sz w:val="24"/>
          <w:szCs w:val="24"/>
          <w:highlight w:val="none"/>
          <w:lang w:val="en-US" w:eastAsia="zh-CN" w:bidi="ar-SA"/>
        </w:rPr>
        <w:t xml:space="preserve">应急响应服务</w:t>
      </w:r>
      <w:r>
        <w:rPr>
          <w:rFonts w:ascii="Times New Roman" w:hAnsi="Times New Roman" w:eastAsia="宋体" w:cs="Times New Roman"/>
          <w:b/>
          <w:bCs/>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接到姜堰数据局的应急响应需求后，需第一时间安排专业安全响应工程师进行响应，发现重大网络安全事件后需赶赴现场，对发生的网络安全事件进行处置，通过专业技术手段排查事件根源，定位入侵入口、清除恶意程序与攻击残留、修复已发现的安全漏洞，同时梳理事件发生过程，梳理事件影响范围，协助用户落实后续安全加固措施，避免同类安全事件再次发生。</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服务频率：按需；</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服务期限：</w:t>
      </w:r>
      <w:r>
        <w:rPr>
          <w:rFonts w:hint="eastAsia" w:ascii="Times New Roman" w:hAnsi="Times New Roman" w:eastAsia="宋体" w:cs="Times New Roman"/>
          <w:color w:val="000000"/>
          <w:sz w:val="24"/>
          <w:szCs w:val="24"/>
          <w:highlight w:val="none"/>
          <w:lang w:val="en-US" w:eastAsia="zh-CN" w:bidi="ar-SA"/>
        </w:rPr>
        <w:t xml:space="preserve">自合同签订之日起三年</w:t>
      </w:r>
      <w:r>
        <w:rPr>
          <w:rFonts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交付物：发生</w:t>
      </w:r>
      <w:r>
        <w:rPr>
          <w:rFonts w:hint="eastAsia" w:ascii="Times New Roman" w:hAnsi="Times New Roman" w:eastAsia="宋体" w:cs="Times New Roman"/>
          <w:color w:val="000000"/>
          <w:sz w:val="24"/>
          <w:szCs w:val="24"/>
          <w:highlight w:val="none"/>
          <w:lang w:val="en-US" w:eastAsia="zh-CN" w:bidi="ar-SA"/>
        </w:rPr>
        <w:t xml:space="preserve">安全</w:t>
      </w:r>
      <w:r>
        <w:rPr>
          <w:rFonts w:ascii="Times New Roman" w:hAnsi="Times New Roman" w:eastAsia="宋体" w:cs="Times New Roman"/>
          <w:color w:val="000000"/>
          <w:sz w:val="24"/>
          <w:szCs w:val="24"/>
          <w:highlight w:val="none"/>
          <w:lang w:val="en-US" w:eastAsia="zh-CN" w:bidi="ar-SA"/>
        </w:rPr>
        <w:t xml:space="preserve">事件后，3个工作日内提供《网络安全应急响应报告》。</w:t>
      </w:r>
      <w:r>
        <w:rPr>
          <w:rFonts w:ascii="Times New Roman" w:hAnsi="Times New Roman" w:eastAsia="宋体" w:cs="Times New Roman"/>
          <w:color w:val="000000"/>
          <w:sz w:val="24"/>
          <w:szCs w:val="24"/>
          <w:highlight w:val="none"/>
          <w:lang w:val="en-US" w:eastAsia="zh-CN" w:bidi="ar-SA"/>
        </w:rPr>
      </w:r>
      <w:r/>
    </w:p>
    <w:p>
      <w:pPr>
        <w:pStyle w:val="807"/>
        <w:ind w:left="0" w:right="0" w:firstLine="482"/>
        <w:jc w:val="left"/>
        <w:keepLines w:val="0"/>
        <w:keepNext w:val="0"/>
        <w:pageBreakBefore w:val="0"/>
        <w:spacing w:before="0" w:beforeAutospacing="0" w:after="0" w:afterAutospacing="0" w:line="480" w:lineRule="exact"/>
        <w:widowControl/>
        <w:rPr>
          <w:rFonts w:ascii="Times New Roman" w:hAnsi="Times New Roman" w:eastAsia="宋体" w:cs="Times New Roman"/>
          <w:b/>
          <w:bCs/>
          <w:color w:val="000000"/>
          <w:sz w:val="24"/>
          <w:szCs w:val="24"/>
          <w:highlight w:val="none"/>
          <w:lang w:val="en-US" w:eastAsia="zh-CN" w:bidi="ar-SA"/>
        </w:rPr>
        <w:suppressLineNumbers w:val="0"/>
      </w:pPr>
      <w:r>
        <w:rPr>
          <w:rFonts w:hint="eastAsia" w:cs="Times New Roman"/>
          <w:b/>
          <w:bCs/>
          <w:color w:val="000000"/>
          <w:sz w:val="24"/>
          <w:szCs w:val="24"/>
          <w:highlight w:val="none"/>
          <w:lang w:val="en-US" w:eastAsia="zh-CN" w:bidi="ar-SA"/>
        </w:rPr>
        <w:t xml:space="preserve">（6）</w:t>
      </w:r>
      <w:r>
        <w:rPr>
          <w:rFonts w:ascii="Times New Roman" w:hAnsi="Times New Roman" w:eastAsia="宋体" w:cs="Times New Roman"/>
          <w:b/>
          <w:bCs/>
          <w:color w:val="000000"/>
          <w:sz w:val="24"/>
          <w:szCs w:val="24"/>
          <w:highlight w:val="none"/>
          <w:lang w:val="en-US" w:eastAsia="zh-CN" w:bidi="ar-SA"/>
        </w:rPr>
        <w:t xml:space="preserve">安全运维服务</w:t>
      </w:r>
      <w:r>
        <w:rPr>
          <w:rFonts w:ascii="Times New Roman" w:hAnsi="Times New Roman" w:eastAsia="宋体" w:cs="Times New Roman"/>
          <w:b/>
          <w:bCs/>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定期为姜堰区电子政务外网提供安全运维保障，针对网络安全设备、安全系统进行日常运行维护，定期检查各类安全设备的运行状态、规则版本、日志信息，及时发现并处理设备异常、规则失效等风险问题，同时根据实际业务需求调整安全策略配置，保障所有安全防护设施持续稳定运行，及时跟进安全设备的版本更新与补丁升级，持续优化整体防护效果。</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服务频率：</w:t>
      </w:r>
      <w:r>
        <w:rPr>
          <w:rFonts w:hint="eastAsia" w:ascii="Times New Roman" w:hAnsi="Times New Roman" w:eastAsia="宋体" w:cs="Times New Roman"/>
          <w:color w:val="000000"/>
          <w:sz w:val="24"/>
          <w:szCs w:val="24"/>
          <w:highlight w:val="none"/>
          <w:lang w:val="en-US" w:eastAsia="zh-CN" w:bidi="ar-SA"/>
        </w:rPr>
        <w:t xml:space="preserve">一</w:t>
      </w:r>
      <w:r>
        <w:rPr>
          <w:rFonts w:ascii="Times New Roman" w:hAnsi="Times New Roman" w:eastAsia="宋体" w:cs="Times New Roman"/>
          <w:color w:val="000000"/>
          <w:sz w:val="24"/>
          <w:szCs w:val="24"/>
          <w:highlight w:val="none"/>
          <w:lang w:val="en-US" w:eastAsia="zh-CN" w:bidi="ar-SA"/>
        </w:rPr>
        <w:t xml:space="preserve">月一次；</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服务期限：</w:t>
      </w:r>
      <w:r>
        <w:rPr>
          <w:rFonts w:hint="eastAsia" w:ascii="Times New Roman" w:hAnsi="Times New Roman" w:eastAsia="宋体" w:cs="Times New Roman"/>
          <w:color w:val="000000"/>
          <w:sz w:val="24"/>
          <w:szCs w:val="24"/>
          <w:highlight w:val="none"/>
          <w:lang w:val="en-US" w:eastAsia="zh-CN" w:bidi="ar-SA"/>
        </w:rPr>
        <w:t xml:space="preserve">自合同签订之日起三年</w:t>
      </w:r>
      <w:r>
        <w:rPr>
          <w:rFonts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交付物：服务期内，每月首个工作周内提交上月《安全运维月度服务报告》。</w:t>
      </w:r>
      <w:r>
        <w:rPr>
          <w:rFonts w:ascii="Times New Roman" w:hAnsi="Times New Roman" w:eastAsia="宋体" w:cs="Times New Roman"/>
          <w:color w:val="000000"/>
          <w:sz w:val="24"/>
          <w:szCs w:val="24"/>
          <w:highlight w:val="none"/>
          <w:lang w:val="en-US" w:eastAsia="zh-CN" w:bidi="ar-SA"/>
        </w:rPr>
      </w:r>
      <w:r/>
    </w:p>
    <w:p>
      <w:pPr>
        <w:pStyle w:val="807"/>
        <w:ind w:left="0" w:right="0" w:firstLine="482"/>
        <w:jc w:val="left"/>
        <w:keepLines w:val="0"/>
        <w:keepNext w:val="0"/>
        <w:pageBreakBefore w:val="0"/>
        <w:spacing w:before="0" w:beforeAutospacing="0" w:after="0" w:afterAutospacing="0" w:line="480" w:lineRule="exact"/>
        <w:widowControl/>
        <w:rPr>
          <w:rFonts w:ascii="Times New Roman" w:hAnsi="Times New Roman" w:eastAsia="宋体" w:cs="Times New Roman"/>
          <w:b/>
          <w:bCs/>
          <w:color w:val="000000"/>
          <w:sz w:val="24"/>
          <w:szCs w:val="24"/>
          <w:highlight w:val="none"/>
          <w:lang w:val="en-US" w:eastAsia="zh-CN" w:bidi="ar-SA"/>
        </w:rPr>
        <w:suppressLineNumbers w:val="0"/>
      </w:pPr>
      <w:r>
        <w:rPr>
          <w:rFonts w:hint="eastAsia" w:cs="Times New Roman"/>
          <w:b/>
          <w:bCs/>
          <w:color w:val="000000"/>
          <w:sz w:val="24"/>
          <w:szCs w:val="24"/>
          <w:highlight w:val="none"/>
          <w:lang w:val="en-US" w:eastAsia="zh-CN" w:bidi="ar-SA"/>
        </w:rPr>
        <w:t xml:space="preserve">（7）</w:t>
      </w:r>
      <w:r>
        <w:rPr>
          <w:rFonts w:ascii="Times New Roman" w:hAnsi="Times New Roman" w:eastAsia="宋体" w:cs="Times New Roman"/>
          <w:b/>
          <w:bCs/>
          <w:color w:val="000000"/>
          <w:sz w:val="24"/>
          <w:szCs w:val="24"/>
          <w:highlight w:val="none"/>
          <w:lang w:val="en-US" w:eastAsia="zh-CN" w:bidi="ar-SA"/>
        </w:rPr>
        <w:t xml:space="preserve">安全培训服务</w:t>
      </w:r>
      <w:r>
        <w:rPr>
          <w:rFonts w:ascii="Times New Roman" w:hAnsi="Times New Roman" w:eastAsia="宋体" w:cs="Times New Roman"/>
          <w:b/>
          <w:bCs/>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针对姜堰区超级数据员等人员开展网络安全意识与专业防护技能培训，结合政务网络的业务特点与常见安全风险，设置贴合实际工作需求的培训内容，覆盖网络安全法律法规、日常办公安全规范、钓鱼邮件识别防范、终端办公安全管理、常见网络攻击应对方法等内容，帮助相关人员建立安全工作思维，掌握基础安全防护实操技能，提升全区政务工作人员的整体网络安全防护水平。</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服务频率：一年一次；</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服务期限：</w:t>
      </w:r>
      <w:r>
        <w:rPr>
          <w:rFonts w:hint="eastAsia" w:ascii="Times New Roman" w:hAnsi="Times New Roman" w:eastAsia="宋体" w:cs="Times New Roman"/>
          <w:color w:val="000000"/>
          <w:sz w:val="24"/>
          <w:szCs w:val="24"/>
          <w:highlight w:val="none"/>
          <w:lang w:val="en-US" w:eastAsia="zh-CN" w:bidi="ar-SA"/>
        </w:rPr>
        <w:t xml:space="preserve">自合同签订之日起三年</w:t>
      </w:r>
      <w:r>
        <w:rPr>
          <w:rFonts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交付物：</w:t>
      </w:r>
      <w:r>
        <w:rPr>
          <w:rFonts w:hint="eastAsia" w:ascii="Times New Roman" w:hAnsi="Times New Roman" w:eastAsia="宋体" w:cs="Times New Roman"/>
          <w:color w:val="000000"/>
          <w:sz w:val="24"/>
          <w:szCs w:val="24"/>
          <w:highlight w:val="none"/>
          <w:lang w:val="en-US" w:eastAsia="zh-CN" w:bidi="ar-SA"/>
        </w:rPr>
        <w:t xml:space="preserve">每年度开展</w:t>
      </w:r>
      <w:r>
        <w:rPr>
          <w:rFonts w:ascii="Times New Roman" w:hAnsi="Times New Roman" w:eastAsia="宋体" w:cs="Times New Roman"/>
          <w:color w:val="000000"/>
          <w:sz w:val="24"/>
          <w:szCs w:val="24"/>
          <w:highlight w:val="none"/>
          <w:lang w:val="en-US" w:eastAsia="zh-CN" w:bidi="ar-SA"/>
        </w:rPr>
        <w:t xml:space="preserve">培训前，提供《安全培训PPT》。</w:t>
      </w:r>
      <w:r>
        <w:rPr>
          <w:rFonts w:ascii="Times New Roman" w:hAnsi="Times New Roman" w:eastAsia="宋体" w:cs="Times New Roman"/>
          <w:color w:val="000000"/>
          <w:sz w:val="24"/>
          <w:szCs w:val="24"/>
          <w:highlight w:val="none"/>
          <w:lang w:val="en-US" w:eastAsia="zh-CN" w:bidi="ar-SA"/>
        </w:rPr>
      </w:r>
      <w:r/>
    </w:p>
    <w:p>
      <w:pPr>
        <w:pStyle w:val="807"/>
        <w:ind w:left="0" w:right="0" w:firstLine="482"/>
        <w:jc w:val="left"/>
        <w:keepLines w:val="0"/>
        <w:keepNext w:val="0"/>
        <w:pageBreakBefore w:val="0"/>
        <w:spacing w:before="0" w:beforeAutospacing="0" w:after="0" w:afterAutospacing="0" w:line="480" w:lineRule="exact"/>
        <w:widowControl/>
        <w:rPr>
          <w:rFonts w:ascii="Times New Roman" w:hAnsi="Times New Roman" w:eastAsia="宋体" w:cs="Times New Roman"/>
          <w:b/>
          <w:bCs/>
          <w:color w:val="000000"/>
          <w:sz w:val="24"/>
          <w:szCs w:val="24"/>
          <w:highlight w:val="none"/>
          <w:lang w:val="en-US" w:eastAsia="zh-CN" w:bidi="ar-SA"/>
        </w:rPr>
        <w:suppressLineNumbers w:val="0"/>
      </w:pPr>
      <w:r>
        <w:rPr>
          <w:rFonts w:hint="eastAsia" w:cs="Times New Roman"/>
          <w:b/>
          <w:bCs/>
          <w:color w:val="000000"/>
          <w:sz w:val="24"/>
          <w:szCs w:val="24"/>
          <w:highlight w:val="none"/>
          <w:lang w:val="en-US" w:eastAsia="zh-CN" w:bidi="ar-SA"/>
        </w:rPr>
        <w:t xml:space="preserve">（8）</w:t>
      </w:r>
      <w:r>
        <w:rPr>
          <w:rFonts w:ascii="Times New Roman" w:hAnsi="Times New Roman" w:eastAsia="宋体" w:cs="Times New Roman"/>
          <w:b/>
          <w:bCs/>
          <w:color w:val="000000"/>
          <w:sz w:val="24"/>
          <w:szCs w:val="24"/>
          <w:highlight w:val="none"/>
          <w:lang w:val="en-US" w:eastAsia="zh-CN" w:bidi="ar-SA"/>
        </w:rPr>
        <w:t xml:space="preserve">安全咨询及人工服务</w:t>
      </w:r>
      <w:r>
        <w:rPr>
          <w:rFonts w:ascii="Times New Roman" w:hAnsi="Times New Roman" w:eastAsia="宋体" w:cs="Times New Roman"/>
          <w:b/>
          <w:bCs/>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常态化提供安全咨询、安全技术指导服务；若发生网络安全事件，同步开展事件研判、应急技术处置，并出具系统加固及整改优化建议。在违规外联监测、漏洞扫描等安全服务期间，指定具备专业资质及丰富从业经验的技术人员担任固定对接人，负责日常沟通对接、问题整改建议出具，实现事件闭环管理。</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服务频率：按需</w:t>
      </w:r>
      <w:r>
        <w:rPr>
          <w:rFonts w:hint="eastAsia"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服务期限：</w:t>
      </w:r>
      <w:r>
        <w:rPr>
          <w:rFonts w:hint="eastAsia" w:ascii="Times New Roman" w:hAnsi="Times New Roman" w:eastAsia="宋体" w:cs="Times New Roman"/>
          <w:color w:val="000000"/>
          <w:sz w:val="24"/>
          <w:szCs w:val="24"/>
          <w:highlight w:val="none"/>
          <w:lang w:val="en-US" w:eastAsia="zh-CN" w:bidi="ar-SA"/>
        </w:rPr>
        <w:t xml:space="preserve">自合同签订之日起三年</w:t>
      </w:r>
      <w:r>
        <w:rPr>
          <w:rFonts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807"/>
        <w:ind w:left="0" w:right="0" w:firstLine="480"/>
        <w:jc w:val="left"/>
        <w:keepLines w:val="0"/>
        <w:keepNext w:val="0"/>
        <w:pageBreakBefore w:val="0"/>
        <w:spacing w:before="0" w:beforeAutospacing="0" w:after="0" w:afterAutospacing="0" w:line="480" w:lineRule="exact"/>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val="en-US" w:eastAsia="zh-CN" w:bidi="ar-SA"/>
        </w:rPr>
        <w:t xml:space="preserve">交付物：咨询完成后，提供《咨询记录》。</w:t>
      </w:r>
      <w:r>
        <w:rPr>
          <w:rFonts w:ascii="Times New Roman" w:hAnsi="Times New Roman" w:eastAsia="宋体" w:cs="Times New Roman"/>
          <w:color w:val="000000"/>
          <w:sz w:val="24"/>
          <w:szCs w:val="24"/>
          <w:highlight w:val="none"/>
          <w:lang w:val="en-US" w:eastAsia="zh-CN" w:bidi="ar-SA"/>
        </w:rPr>
      </w:r>
      <w:r/>
    </w:p>
    <w:p>
      <w:pPr>
        <w:pStyle w:val="762"/>
        <w:numPr>
          <w:ilvl w:val="0"/>
          <w:numId w:val="0"/>
        </w:numPr>
        <w:ind w:left="0" w:firstLine="562"/>
        <w:jc w:val="left"/>
        <w:pageBreakBefore w:val="0"/>
        <w:spacing w:line="480" w:lineRule="exact"/>
        <w:rPr>
          <w:rFonts w:hint="eastAsia" w:ascii="宋体" w:hAnsi="宋体" w:eastAsia="宋体" w:cs="Times New Roman"/>
          <w:b/>
          <w:color w:val="000000"/>
          <w:sz w:val="28"/>
          <w:szCs w:val="28"/>
          <w:highlight w:val="none"/>
          <w:lang w:val="en-US" w:eastAsia="zh-CN"/>
        </w:rPr>
      </w:pPr>
      <w:r>
        <w:rPr>
          <w:rFonts w:hint="eastAsia" w:ascii="宋体" w:hAnsi="宋体" w:eastAsia="宋体" w:cs="Times New Roman"/>
          <w:b/>
          <w:color w:val="000000"/>
          <w:sz w:val="28"/>
          <w:szCs w:val="28"/>
          <w:highlight w:val="none"/>
          <w:lang w:val="en-US" w:eastAsia="zh-CN"/>
        </w:rPr>
        <w:t xml:space="preserve">三、商务要求</w:t>
      </w:r>
      <w:r>
        <w:rPr>
          <w:rFonts w:hint="eastAsia" w:ascii="宋体" w:hAnsi="宋体" w:eastAsia="宋体" w:cs="Times New Roman"/>
          <w:b/>
          <w:color w:val="000000"/>
          <w:sz w:val="28"/>
          <w:szCs w:val="28"/>
          <w:highlight w:val="none"/>
          <w:lang w:val="en-US" w:eastAsia="zh-CN"/>
        </w:rPr>
      </w:r>
      <w:r/>
    </w:p>
    <w:p>
      <w:pPr>
        <w:pStyle w:val="762"/>
        <w:ind w:left="0" w:firstLine="482"/>
        <w:keepLines w:val="0"/>
        <w:keepNext w:val="0"/>
        <w:pageBreakBefore w:val="0"/>
        <w:spacing w:line="480" w:lineRule="exact"/>
        <w:widowControl w:val="off"/>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1.部署要求</w:t>
      </w:r>
      <w:r>
        <w:rPr>
          <w:rFonts w:hint="eastAsia" w:ascii="宋体" w:hAnsi="宋体" w:eastAsia="宋体" w:cs="Times New Roman"/>
          <w:b/>
          <w:color w:val="000000"/>
          <w:sz w:val="24"/>
          <w:szCs w:val="24"/>
          <w:highlight w:val="none"/>
          <w:lang w:val="en-US" w:eastAsia="zh-CN"/>
        </w:rPr>
      </w:r>
      <w:r/>
    </w:p>
    <w:p>
      <w:pPr>
        <w:pStyle w:val="762"/>
        <w:ind w:left="0" w:firstLine="480"/>
        <w:keepLines w:val="0"/>
        <w:keepNext w:val="0"/>
        <w:pageBreakBefore w:val="0"/>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本项目涉及的硬件产品需在合同签订后30个工作日内完成部署，软件产品应在合同签订后90个自然日内完成部署，本项目所涉及的相关软硬件产品应满足国产技术路线及信创要求。</w:t>
      </w:r>
      <w:r>
        <w:rPr>
          <w:rFonts w:hint="eastAsia" w:ascii="Times New Roman" w:hAnsi="Times New Roman" w:eastAsia="宋体" w:cs="Times New Roman"/>
          <w:color w:val="000000"/>
          <w:sz w:val="24"/>
          <w:szCs w:val="24"/>
          <w:highlight w:val="none"/>
          <w:lang w:val="en-US" w:eastAsia="zh-CN" w:bidi="ar-SA"/>
        </w:rPr>
      </w:r>
      <w:r/>
    </w:p>
    <w:p>
      <w:pPr>
        <w:pStyle w:val="762"/>
        <w:ind w:left="0" w:firstLine="482"/>
        <w:keepLines w:val="0"/>
        <w:keepNext w:val="0"/>
        <w:pageBreakBefore w:val="0"/>
        <w:spacing w:line="480" w:lineRule="exact"/>
        <w:widowControl w:val="off"/>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2.服务要求</w:t>
      </w:r>
      <w:r>
        <w:rPr>
          <w:rFonts w:hint="eastAsia" w:ascii="宋体" w:hAnsi="宋体" w:eastAsia="宋体" w:cs="Times New Roman"/>
          <w:b/>
          <w:color w:val="000000"/>
          <w:sz w:val="24"/>
          <w:szCs w:val="24"/>
          <w:highlight w:val="none"/>
          <w:lang w:val="en-US" w:eastAsia="zh-CN"/>
        </w:rPr>
      </w:r>
      <w:r/>
    </w:p>
    <w:p>
      <w:pPr>
        <w:pStyle w:val="762"/>
        <w:ind w:left="0" w:firstLine="480"/>
        <w:keepLines w:val="0"/>
        <w:keepNext w:val="0"/>
        <w:pageBreakBefore w:val="0"/>
        <w:spacing w:line="480" w:lineRule="exact"/>
        <w:widowControl w:val="off"/>
        <w:rPr>
          <w:rFonts w:ascii="宋体" w:hAnsi="宋体" w:eastAsia="宋体" w:cs="宋体"/>
          <w:color w:val="000000"/>
          <w:sz w:val="24"/>
          <w:szCs w:val="22"/>
          <w:highlight w:val="none"/>
          <w:lang w:val="en-US" w:eastAsia="zh-CN"/>
        </w:rPr>
      </w:pPr>
      <w:r>
        <w:rPr>
          <w:rFonts w:ascii="宋体" w:hAnsi="宋体" w:eastAsia="宋体" w:cs="宋体"/>
          <w:color w:val="000000"/>
          <w:sz w:val="24"/>
          <w:szCs w:val="22"/>
          <w:highlight w:val="none"/>
          <w:lang w:val="en-US" w:eastAsia="zh-CN"/>
        </w:rPr>
        <w:t xml:space="preserve">供应商需按照采购人要求制定项目质量管理标准，确保项目全体成员理解并严格执行该标准。项目实施过程中，供应商需提供7×24小时响应服务，安排专人跟踪项目质量，通过监控、检查、纠错、贯彻等环节，及时纠正可能导致目标偏差的问题，保障项目实施过程符合预定质量管理标准，确保项目质量管理的完整性、正确性和可追溯性。</w:t>
      </w:r>
      <w:r>
        <w:rPr>
          <w:rFonts w:ascii="宋体" w:hAnsi="宋体" w:eastAsia="宋体" w:cs="宋体"/>
          <w:color w:val="000000"/>
          <w:sz w:val="24"/>
          <w:szCs w:val="22"/>
          <w:highlight w:val="none"/>
          <w:lang w:val="en-US" w:eastAsia="zh-CN"/>
        </w:rPr>
      </w:r>
      <w:r/>
    </w:p>
    <w:p>
      <w:pPr>
        <w:pStyle w:val="762"/>
        <w:ind w:left="0" w:firstLine="482"/>
        <w:keepLines w:val="0"/>
        <w:keepNext w:val="0"/>
        <w:pageBreakBefore w:val="0"/>
        <w:spacing w:line="480" w:lineRule="exact"/>
        <w:widowControl w:val="off"/>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3.项目验收要求</w:t>
      </w:r>
      <w:r>
        <w:rPr>
          <w:rFonts w:hint="eastAsia" w:ascii="宋体" w:hAnsi="宋体" w:eastAsia="宋体" w:cs="Times New Roman"/>
          <w:b/>
          <w:color w:val="000000"/>
          <w:sz w:val="24"/>
          <w:szCs w:val="24"/>
          <w:highlight w:val="none"/>
          <w:lang w:val="en-US" w:eastAsia="zh-CN"/>
        </w:rPr>
      </w:r>
      <w:r/>
    </w:p>
    <w:p>
      <w:pPr>
        <w:pStyle w:val="762"/>
        <w:ind w:left="0" w:firstLine="480"/>
        <w:keepLines w:val="0"/>
        <w:keepNext w:val="0"/>
        <w:pageBreakBefore w:val="0"/>
        <w:spacing w:line="480" w:lineRule="exact"/>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（1）验收申请：本项目涉及的软硬件设备部署、调试完毕，或服务期满，由中标人分别提出验收申请。</w:t>
      </w:r>
      <w:r>
        <w:rPr>
          <w:rFonts w:hint="eastAsia" w:ascii="宋体" w:hAnsi="宋体" w:eastAsia="宋体" w:cs="宋体"/>
          <w:color w:val="000000"/>
          <w:sz w:val="24"/>
          <w:szCs w:val="22"/>
          <w:highlight w:val="none"/>
          <w:lang w:val="en-US" w:eastAsia="zh-CN"/>
        </w:rPr>
      </w:r>
      <w:r/>
    </w:p>
    <w:p>
      <w:pPr>
        <w:pStyle w:val="762"/>
        <w:ind w:left="0" w:firstLine="480"/>
        <w:keepLines w:val="0"/>
        <w:keepNext w:val="0"/>
        <w:pageBreakBefore w:val="0"/>
        <w:spacing w:line="480" w:lineRule="exact"/>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2）初步验收：软、硬件完成部署和调试后，采购人组织履约初步验收，验收结果以采购人或实际使用人（最终用户）出具的验收报告为准；验收时发现未完成安装部署、未进行调试的，采购人有权要求供应商立即补充完善。</w:t>
      </w:r>
      <w:r>
        <w:rPr>
          <w:rFonts w:hint="eastAsia" w:ascii="宋体" w:hAnsi="宋体" w:eastAsia="宋体" w:cs="宋体"/>
          <w:color w:val="000000"/>
          <w:sz w:val="24"/>
          <w:szCs w:val="22"/>
          <w:highlight w:val="none"/>
          <w:lang w:val="en-US" w:eastAsia="zh-CN"/>
        </w:rPr>
      </w:r>
      <w:r/>
    </w:p>
    <w:p>
      <w:pPr>
        <w:pStyle w:val="762"/>
        <w:ind w:left="0" w:firstLine="480"/>
        <w:keepLines w:val="0"/>
        <w:keepNext w:val="0"/>
        <w:pageBreakBefore w:val="0"/>
        <w:spacing w:line="480" w:lineRule="exact"/>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3）最终验收：系统所有性能指标达到技术规范书要求后，可进行最终验收。终验中若发现因系统质量等问题导致部分指标未达标，允许供应商进行修复，终验顺延一个月；全部指标达标后，双方签署最终验收文件。供应商需根据系统业务需求，提供自测文档，列明系统功能、流程、接口清单，供验收核对，并提供采购人要求的完备验收材料。</w:t>
      </w:r>
      <w:r>
        <w:rPr>
          <w:rFonts w:hint="eastAsia" w:ascii="宋体" w:hAnsi="宋体" w:eastAsia="宋体" w:cs="宋体"/>
          <w:color w:val="000000"/>
          <w:sz w:val="24"/>
          <w:szCs w:val="22"/>
          <w:highlight w:val="none"/>
          <w:lang w:val="en-US" w:eastAsia="zh-CN"/>
        </w:rPr>
      </w:r>
      <w:r/>
    </w:p>
    <w:p>
      <w:pPr>
        <w:pStyle w:val="762"/>
        <w:ind w:left="0" w:firstLine="480"/>
        <w:keepLines w:val="0"/>
        <w:keepNext w:val="0"/>
        <w:pageBreakBefore w:val="0"/>
        <w:spacing w:line="480" w:lineRule="exact"/>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（4）验收流程：若项目满足验收标准，采购人在收到验收申请后15天内出具验收报告；若不满足验收标准，中标人须在规定时间内修改完善，直至满足采购人需求，具体细节由双方在合同中约定。</w:t>
      </w:r>
      <w:r>
        <w:rPr>
          <w:rFonts w:hint="eastAsia" w:ascii="宋体" w:hAnsi="宋体" w:eastAsia="宋体" w:cs="宋体"/>
          <w:color w:val="000000"/>
          <w:sz w:val="24"/>
          <w:szCs w:val="22"/>
          <w:highlight w:val="none"/>
          <w:lang w:val="en-US" w:eastAsia="zh-CN"/>
        </w:rPr>
      </w:r>
      <w:r/>
    </w:p>
    <w:p>
      <w:pPr>
        <w:pStyle w:val="762"/>
        <w:ind w:left="0" w:firstLine="480"/>
        <w:keepLines w:val="0"/>
        <w:keepNext w:val="0"/>
        <w:pageBreakBefore w:val="0"/>
        <w:spacing w:line="480" w:lineRule="exact"/>
        <w:widowControl w:val="off"/>
        <w:rPr>
          <w:rFonts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5）抽查检测：对于本项目涉及的相关设备、运维服务，采购人将在履约验收中进行抽查检测；根据项目实际情况，采购人有权委托具备相关资质的第三方机构进行检测、认证，或要求供应商在验收阶段提供相关检测报告、认证报告。</w:t>
      </w:r>
      <w:r>
        <w:rPr>
          <w:rFonts w:ascii="宋体" w:hAnsi="宋体" w:eastAsia="宋体" w:cs="宋体"/>
          <w:color w:val="000000"/>
          <w:sz w:val="24"/>
          <w:szCs w:val="22"/>
          <w:highlight w:val="none"/>
          <w:lang w:val="en-US" w:eastAsia="zh-CN"/>
        </w:rPr>
      </w:r>
      <w:r/>
    </w:p>
    <w:p>
      <w:pPr>
        <w:pStyle w:val="762"/>
        <w:ind w:left="0" w:firstLine="482"/>
        <w:keepLines w:val="0"/>
        <w:keepNext w:val="0"/>
        <w:pageBreakBefore w:val="0"/>
        <w:spacing w:line="480" w:lineRule="exact"/>
        <w:widowControl w:val="off"/>
        <w:rPr>
          <w:rFonts w:hint="eastAsia" w:ascii="宋体" w:hAnsi="宋体" w:eastAsia="宋体" w:cs="宋体"/>
          <w:b/>
          <w:bCs/>
          <w:color w:val="000000"/>
          <w:sz w:val="24"/>
          <w:szCs w:val="22"/>
          <w:highlight w:val="none"/>
          <w:lang w:val="en-US" w:eastAsia="zh-CN"/>
        </w:rPr>
      </w:pPr>
      <w:r>
        <w:rPr>
          <w:rFonts w:ascii="宋体" w:hAnsi="宋体" w:eastAsia="宋体" w:cs="宋体"/>
          <w:b/>
          <w:bCs/>
          <w:color w:val="000000"/>
          <w:sz w:val="24"/>
          <w:szCs w:val="22"/>
          <w:highlight w:val="none"/>
          <w:lang w:val="en-US" w:eastAsia="zh-CN"/>
        </w:rPr>
        <w:t xml:space="preserve">4.人员要求</w:t>
      </w:r>
      <w:r>
        <w:rPr>
          <w:rFonts w:hint="eastAsia" w:ascii="宋体" w:hAnsi="宋体" w:eastAsia="宋体" w:cs="宋体"/>
          <w:b/>
          <w:bCs/>
          <w:color w:val="000000"/>
          <w:sz w:val="24"/>
          <w:szCs w:val="22"/>
          <w:highlight w:val="none"/>
          <w:lang w:val="en-US" w:eastAsia="zh-CN"/>
        </w:rPr>
      </w:r>
      <w:r/>
    </w:p>
    <w:p>
      <w:pPr>
        <w:pStyle w:val="762"/>
        <w:ind w:left="0" w:firstLine="480"/>
        <w:keepLines w:val="0"/>
        <w:keepNext w:val="0"/>
        <w:pageBreakBefore w:val="0"/>
        <w:spacing w:line="480" w:lineRule="exact"/>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供应商需在投标文件中承诺，为本项目配置不少于5名专职交付实施团队人员。其中，项目经理1名，技术负责人1名，安全负责人1名，项目成员不少于2名（项目经理，技术负责人，安全负责人须为不同人员，不得互相兼任）。</w:t>
      </w:r>
      <w:r>
        <w:rPr>
          <w:rFonts w:hint="eastAsia" w:ascii="宋体" w:hAnsi="宋体" w:eastAsia="宋体" w:cs="宋体"/>
          <w:color w:val="000000"/>
          <w:sz w:val="24"/>
          <w:szCs w:val="22"/>
          <w:highlight w:val="none"/>
          <w:lang w:val="en-US" w:eastAsia="zh-CN"/>
        </w:rPr>
      </w:r>
      <w:r/>
    </w:p>
    <w:p>
      <w:pPr>
        <w:pStyle w:val="762"/>
        <w:ind w:left="0" w:firstLine="480"/>
        <w:keepLines w:val="0"/>
        <w:keepNext w:val="0"/>
        <w:pageBreakBefore w:val="0"/>
        <w:spacing w:line="480" w:lineRule="exact"/>
        <w:widowControl w:val="off"/>
        <w:rPr>
          <w:rFonts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★（2）供应商需在投标文件中承诺，</w:t>
      </w:r>
      <w:r>
        <w:rPr>
          <w:rFonts w:ascii="宋体" w:hAnsi="宋体" w:eastAsia="宋体" w:cs="宋体"/>
          <w:color w:val="000000"/>
          <w:sz w:val="24"/>
          <w:szCs w:val="22"/>
          <w:highlight w:val="none"/>
          <w:lang w:val="en-US" w:eastAsia="zh-CN"/>
        </w:rPr>
        <w:t xml:space="preserve">中标后拟派项目经理不得更换，如有特殊原因需更换，供应商应书面申请，并经采购人认可后，方可更换。</w:t>
      </w:r>
      <w:r>
        <w:rPr>
          <w:rFonts w:ascii="宋体" w:hAnsi="宋体" w:eastAsia="宋体" w:cs="宋体"/>
          <w:color w:val="000000"/>
          <w:sz w:val="24"/>
          <w:szCs w:val="22"/>
          <w:highlight w:val="none"/>
          <w:lang w:val="en-US" w:eastAsia="zh-CN"/>
        </w:rPr>
      </w:r>
      <w:r/>
    </w:p>
    <w:p>
      <w:pPr>
        <w:pStyle w:val="762"/>
        <w:ind w:left="0" w:firstLine="480"/>
        <w:keepLines w:val="0"/>
        <w:keepNext w:val="0"/>
        <w:pageBreakBefore w:val="0"/>
        <w:spacing w:line="480" w:lineRule="exact"/>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（3）岗位人员任职要求：</w:t>
      </w:r>
      <w:r>
        <w:rPr>
          <w:rFonts w:hint="eastAsia" w:ascii="宋体" w:hAnsi="宋体" w:eastAsia="宋体" w:cs="宋体"/>
          <w:color w:val="000000"/>
          <w:sz w:val="24"/>
          <w:szCs w:val="22"/>
          <w:highlight w:val="none"/>
          <w:lang w:val="en-US" w:eastAsia="zh-CN"/>
        </w:rPr>
      </w:r>
      <w:r/>
    </w:p>
    <w:p>
      <w:pPr>
        <w:pStyle w:val="762"/>
        <w:ind w:left="0" w:firstLine="480"/>
        <w:keepLines w:val="0"/>
        <w:keepNext w:val="0"/>
        <w:pageBreakBefore w:val="0"/>
        <w:spacing w:line="480" w:lineRule="exact"/>
        <w:widowControl w:val="off"/>
        <w:rPr>
          <w:rFonts w:ascii="宋体" w:hAnsi="宋体" w:eastAsia="宋体" w:cs="宋体"/>
          <w:color w:val="000000"/>
          <w:sz w:val="24"/>
          <w:szCs w:val="22"/>
          <w:highlight w:val="none"/>
          <w:lang w:val="en-US" w:eastAsia="zh-CN"/>
        </w:rPr>
      </w:pPr>
      <w:r>
        <w:rPr>
          <w:rFonts w:ascii="宋体" w:hAnsi="宋体" w:eastAsia="宋体" w:cs="宋体"/>
          <w:color w:val="000000"/>
          <w:sz w:val="24"/>
          <w:szCs w:val="22"/>
          <w:highlight w:val="none"/>
          <w:lang w:val="en-US" w:eastAsia="zh-CN"/>
        </w:rPr>
        <w:t xml:space="preserve">①项目经理：具有5年以上信息化项目管理工作经验；</w:t>
      </w:r>
      <w:r>
        <w:rPr>
          <w:rFonts w:ascii="宋体" w:hAnsi="宋体" w:eastAsia="宋体" w:cs="宋体"/>
          <w:color w:val="000000"/>
          <w:sz w:val="24"/>
          <w:szCs w:val="22"/>
          <w:highlight w:val="none"/>
          <w:lang w:val="en-US" w:eastAsia="zh-CN"/>
        </w:rPr>
      </w:r>
      <w:r/>
    </w:p>
    <w:p>
      <w:pPr>
        <w:pStyle w:val="762"/>
        <w:ind w:left="0" w:firstLine="480"/>
        <w:keepLines w:val="0"/>
        <w:keepNext w:val="0"/>
        <w:pageBreakBefore w:val="0"/>
        <w:spacing w:line="480" w:lineRule="exact"/>
        <w:widowControl w:val="off"/>
        <w:rPr>
          <w:rFonts w:ascii="宋体" w:hAnsi="宋体" w:eastAsia="宋体" w:cs="宋体"/>
          <w:color w:val="000000"/>
          <w:sz w:val="24"/>
          <w:szCs w:val="22"/>
          <w:highlight w:val="none"/>
          <w:lang w:val="en-US" w:eastAsia="zh-CN"/>
        </w:rPr>
      </w:pPr>
      <w:r>
        <w:rPr>
          <w:rFonts w:ascii="宋体" w:hAnsi="宋体" w:eastAsia="宋体" w:cs="宋体"/>
          <w:color w:val="000000"/>
          <w:sz w:val="24"/>
          <w:szCs w:val="22"/>
          <w:highlight w:val="none"/>
          <w:lang w:val="en-US" w:eastAsia="zh-CN"/>
        </w:rPr>
        <w:t xml:space="preserve">②技术负责人：具有3年以上信息化技术管理工作经验；</w:t>
      </w:r>
      <w:r>
        <w:rPr>
          <w:rFonts w:ascii="宋体" w:hAnsi="宋体" w:eastAsia="宋体" w:cs="宋体"/>
          <w:color w:val="000000"/>
          <w:sz w:val="24"/>
          <w:szCs w:val="22"/>
          <w:highlight w:val="none"/>
          <w:lang w:val="en-US" w:eastAsia="zh-CN"/>
        </w:rPr>
      </w:r>
      <w:r/>
    </w:p>
    <w:p>
      <w:pPr>
        <w:pStyle w:val="762"/>
        <w:ind w:left="479" w:firstLine="0"/>
        <w:keepLines w:val="0"/>
        <w:keepNext w:val="0"/>
        <w:pageBreakBefore w:val="0"/>
        <w:spacing w:line="480" w:lineRule="exact"/>
        <w:widowControl w:val="off"/>
        <w:rPr>
          <w:rFonts w:hint="eastAsia" w:ascii="宋体" w:hAnsi="宋体" w:eastAsia="宋体" w:cs="宋体"/>
          <w:color w:val="000000"/>
          <w:sz w:val="24"/>
          <w:szCs w:val="22"/>
          <w:highlight w:val="none"/>
          <w:lang w:val="en-US" w:eastAsia="zh-CN"/>
        </w:rPr>
      </w:pPr>
      <w:r>
        <w:rPr>
          <w:rFonts w:ascii="宋体" w:hAnsi="宋体" w:eastAsia="宋体" w:cs="宋体"/>
          <w:color w:val="000000"/>
          <w:sz w:val="24"/>
          <w:szCs w:val="22"/>
          <w:highlight w:val="none"/>
          <w:lang w:val="en-US" w:eastAsia="zh-CN"/>
        </w:rPr>
        <w:t xml:space="preserve">③</w:t>
      </w:r>
      <w:r>
        <w:rPr>
          <w:rFonts w:hint="eastAsia" w:ascii="宋体" w:hAnsi="宋体" w:eastAsia="宋体" w:cs="宋体"/>
          <w:color w:val="000000"/>
          <w:sz w:val="24"/>
          <w:szCs w:val="22"/>
          <w:highlight w:val="none"/>
          <w:lang w:val="en-US" w:eastAsia="zh-CN"/>
        </w:rPr>
        <w:t xml:space="preserve">安全负责人：具有3年以上信息化安全管理工作经验。</w:t>
      </w:r>
      <w:r>
        <w:rPr>
          <w:rFonts w:hint="eastAsia" w:ascii="宋体" w:hAnsi="宋体" w:eastAsia="宋体" w:cs="宋体"/>
          <w:color w:val="000000"/>
          <w:sz w:val="24"/>
          <w:szCs w:val="22"/>
          <w:highlight w:val="none"/>
          <w:lang w:val="en-US" w:eastAsia="zh-CN"/>
        </w:rPr>
      </w:r>
      <w:r/>
    </w:p>
    <w:p>
      <w:pPr>
        <w:pStyle w:val="762"/>
        <w:ind w:left="479" w:firstLine="0"/>
        <w:keepLines w:val="0"/>
        <w:keepNext w:val="0"/>
        <w:pageBreakBefore w:val="0"/>
        <w:spacing w:line="480" w:lineRule="exact"/>
        <w:widowControl w:val="off"/>
        <w:rPr>
          <w:rFonts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④</w:t>
      </w:r>
      <w:r>
        <w:rPr>
          <w:rFonts w:ascii="宋体" w:hAnsi="宋体" w:eastAsia="宋体" w:cs="宋体"/>
          <w:color w:val="000000"/>
          <w:sz w:val="24"/>
          <w:szCs w:val="22"/>
          <w:highlight w:val="none"/>
          <w:lang w:val="en-US" w:eastAsia="zh-CN"/>
        </w:rPr>
        <w:t xml:space="preserve">项目成员：具有参与类似项目经验。</w:t>
      </w:r>
      <w:r>
        <w:rPr>
          <w:rFonts w:ascii="宋体" w:hAnsi="宋体" w:eastAsia="宋体" w:cs="宋体"/>
          <w:color w:val="000000"/>
          <w:sz w:val="24"/>
          <w:szCs w:val="22"/>
          <w:highlight w:val="none"/>
          <w:lang w:val="en-US" w:eastAsia="zh-CN"/>
        </w:rPr>
      </w:r>
      <w:r/>
    </w:p>
    <w:p>
      <w:pPr>
        <w:pStyle w:val="762"/>
        <w:ind w:left="0" w:firstLine="480"/>
        <w:keepLines w:val="0"/>
        <w:keepNext w:val="0"/>
        <w:pageBreakBefore w:val="0"/>
        <w:spacing w:line="480" w:lineRule="exact"/>
        <w:widowControl w:val="off"/>
        <w:rPr>
          <w:rFonts w:hint="eastAsia" w:ascii="宋体" w:hAnsi="宋体" w:eastAsia="宋体" w:cs="宋体"/>
          <w:color w:val="000000"/>
          <w:sz w:val="24"/>
          <w:szCs w:val="22"/>
          <w:highlight w:val="none"/>
          <w:lang w:val="en-US" w:eastAsia="zh-CN"/>
        </w:rPr>
      </w:pPr>
      <w:r>
        <w:rPr>
          <w:rFonts w:ascii="宋体" w:hAnsi="宋体" w:eastAsia="宋体" w:cs="宋体"/>
          <w:color w:val="000000"/>
          <w:sz w:val="24"/>
          <w:szCs w:val="22"/>
          <w:highlight w:val="none"/>
          <w:lang w:val="en-US" w:eastAsia="zh-CN"/>
        </w:rPr>
        <w:t xml:space="preserve">项目经理：统筹姜堰区电子政务外网安全项目全周期实施工作，管控项目进度、质量与成本，协调所有安全基础设施及运营服务的落地交付，保障项目在服务期内合规推进并按期完成验收。</w:t>
      </w:r>
      <w:r>
        <w:rPr>
          <w:rFonts w:hint="eastAsia" w:ascii="宋体" w:hAnsi="宋体" w:eastAsia="宋体" w:cs="宋体"/>
          <w:color w:val="000000"/>
          <w:sz w:val="24"/>
          <w:szCs w:val="22"/>
          <w:highlight w:val="none"/>
          <w:lang w:val="en-US" w:eastAsia="zh-CN"/>
        </w:rPr>
      </w:r>
      <w:r/>
    </w:p>
    <w:p>
      <w:pPr>
        <w:pStyle w:val="762"/>
        <w:ind w:left="0" w:firstLine="480"/>
        <w:keepLines w:val="0"/>
        <w:keepNext w:val="0"/>
        <w:pageBreakBefore w:val="0"/>
        <w:spacing w:line="480" w:lineRule="exact"/>
        <w:widowControl w:val="off"/>
        <w:rPr>
          <w:rFonts w:hint="eastAsia" w:ascii="宋体" w:hAnsi="宋体" w:eastAsia="宋体" w:cs="宋体"/>
          <w:color w:val="000000"/>
          <w:sz w:val="24"/>
          <w:szCs w:val="22"/>
          <w:highlight w:val="none"/>
          <w:lang w:val="en-US" w:eastAsia="zh-CN"/>
        </w:rPr>
      </w:pPr>
      <w:r>
        <w:rPr>
          <w:rFonts w:ascii="宋体" w:hAnsi="宋体" w:eastAsia="宋体" w:cs="宋体"/>
          <w:color w:val="000000"/>
          <w:sz w:val="24"/>
          <w:szCs w:val="22"/>
          <w:highlight w:val="none"/>
          <w:lang w:val="en-US" w:eastAsia="zh-CN"/>
        </w:rPr>
        <w:t xml:space="preserve">技术负责人：全面负责项目技术方案设计、架构实现与系统集成，统筹安全设备部署及漏洞扫描、运维等服务的技术执行，解决关键技术问题，确保系统稳定运行且防护效能达到规定标准。</w:t>
      </w:r>
      <w:r>
        <w:rPr>
          <w:rFonts w:hint="eastAsia" w:ascii="宋体" w:hAnsi="宋体" w:eastAsia="宋体" w:cs="宋体"/>
          <w:color w:val="000000"/>
          <w:sz w:val="24"/>
          <w:szCs w:val="22"/>
          <w:highlight w:val="none"/>
          <w:lang w:val="en-US" w:eastAsia="zh-CN"/>
        </w:rPr>
      </w:r>
      <w:r/>
    </w:p>
    <w:p>
      <w:pPr>
        <w:pStyle w:val="762"/>
        <w:ind w:left="0" w:firstLine="480"/>
        <w:keepLines w:val="0"/>
        <w:keepNext w:val="0"/>
        <w:pageBreakBefore w:val="0"/>
        <w:spacing w:line="480" w:lineRule="exact"/>
        <w:widowControl w:val="off"/>
        <w:rPr>
          <w:rFonts w:hint="eastAsia" w:ascii="宋体" w:hAnsi="宋体" w:eastAsia="宋体" w:cs="宋体"/>
          <w:color w:val="000000"/>
          <w:sz w:val="24"/>
          <w:szCs w:val="22"/>
          <w:highlight w:val="none"/>
          <w:lang w:val="en-US" w:eastAsia="zh-CN"/>
        </w:rPr>
      </w:pPr>
      <w:r>
        <w:rPr>
          <w:rFonts w:ascii="宋体" w:hAnsi="宋体" w:eastAsia="宋体" w:cs="宋体"/>
          <w:color w:val="000000"/>
          <w:sz w:val="24"/>
          <w:szCs w:val="22"/>
          <w:highlight w:val="none"/>
          <w:lang w:val="en-US" w:eastAsia="zh-CN"/>
        </w:rPr>
        <w:t xml:space="preserve">安全负责人：牵头项目全周期的安全合规管控工作，监督安全策略落地、风险整改及应急处置，确保项目所有安全服务符合政务外网及等级保护等相关规范要求。</w:t>
      </w:r>
      <w:r>
        <w:rPr>
          <w:rFonts w:hint="eastAsia" w:ascii="宋体" w:hAnsi="宋体" w:eastAsia="宋体" w:cs="宋体"/>
          <w:color w:val="000000"/>
          <w:sz w:val="24"/>
          <w:szCs w:val="22"/>
          <w:highlight w:val="none"/>
          <w:lang w:val="en-US" w:eastAsia="zh-CN"/>
        </w:rPr>
      </w:r>
      <w:r/>
    </w:p>
    <w:p>
      <w:pPr>
        <w:pStyle w:val="762"/>
        <w:ind w:left="0" w:firstLine="482"/>
        <w:keepLines w:val="0"/>
        <w:keepNext w:val="0"/>
        <w:pageBreakBefore w:val="0"/>
        <w:spacing w:line="480" w:lineRule="exact"/>
        <w:widowControl w:val="off"/>
        <w:tabs>
          <w:tab w:val="left" w:pos="1260" w:leader="none"/>
        </w:tabs>
        <w:rPr>
          <w:rFonts w:ascii="宋体" w:hAnsi="宋体" w:eastAsia="宋体" w:cs="方正仿宋_GBK"/>
          <w:b/>
          <w:color w:val="000000"/>
          <w:sz w:val="24"/>
          <w:szCs w:val="24"/>
          <w:highlight w:val="none"/>
        </w:rPr>
      </w:pPr>
      <w:r>
        <w:rPr>
          <w:rFonts w:hint="eastAsia" w:ascii="宋体" w:hAnsi="宋体" w:eastAsia="宋体" w:cs="方正仿宋_GBK"/>
          <w:b/>
          <w:color w:val="000000"/>
          <w:sz w:val="24"/>
          <w:szCs w:val="24"/>
          <w:highlight w:val="none"/>
          <w:lang w:val="en-US" w:eastAsia="zh-CN"/>
        </w:rPr>
        <w:t xml:space="preserve">5.报价</w:t>
      </w:r>
      <w:r>
        <w:rPr>
          <w:rFonts w:hint="eastAsia" w:ascii="宋体" w:hAnsi="宋体" w:eastAsia="宋体" w:cs="方正仿宋_GBK"/>
          <w:b/>
          <w:color w:val="000000"/>
          <w:sz w:val="24"/>
          <w:szCs w:val="24"/>
          <w:highlight w:val="none"/>
        </w:rPr>
        <w:t xml:space="preserve">说明</w:t>
      </w:r>
      <w:r>
        <w:rPr>
          <w:rFonts w:ascii="宋体" w:hAnsi="宋体" w:eastAsia="宋体" w:cs="方正仿宋_GBK"/>
          <w:b/>
          <w:color w:val="000000"/>
          <w:sz w:val="24"/>
          <w:szCs w:val="24"/>
          <w:highlight w:val="none"/>
        </w:rPr>
      </w:r>
      <w:r/>
    </w:p>
    <w:p>
      <w:pPr>
        <w:pStyle w:val="762"/>
        <w:ind w:left="0" w:firstLine="480"/>
        <w:keepLines w:val="0"/>
        <w:keepNext w:val="0"/>
        <w:pageBreakBefore w:val="0"/>
        <w:spacing w:line="480" w:lineRule="exact"/>
        <w:tabs>
          <w:tab w:val="left" w:pos="1260" w:leader="none"/>
        </w:tabs>
        <w:rPr>
          <w:rFonts w:hint="eastAsia" w:ascii="宋体" w:hAnsi="宋体" w:eastAsia="宋体" w:cs="方正仿宋_GBK"/>
          <w:color w:val="000000"/>
          <w:sz w:val="24"/>
          <w:szCs w:val="24"/>
          <w:highlight w:val="none"/>
          <w:lang w:eastAsia="zh-CN"/>
        </w:rPr>
      </w:pPr>
      <w:r>
        <w:rPr>
          <w:rFonts w:hint="eastAsia" w:ascii="宋体" w:hAnsi="宋体" w:eastAsia="宋体" w:cs="方正仿宋_GBK"/>
          <w:color w:val="000000"/>
          <w:sz w:val="24"/>
          <w:szCs w:val="24"/>
          <w:highlight w:val="none"/>
          <w:lang w:eastAsia="zh-CN"/>
        </w:rPr>
        <w:t xml:space="preserve">（</w:t>
      </w:r>
      <w:r>
        <w:rPr>
          <w:rFonts w:hint="eastAsia" w:ascii="宋体" w:hAnsi="宋体" w:eastAsia="宋体" w:cs="方正仿宋_GBK"/>
          <w:color w:val="000000"/>
          <w:sz w:val="24"/>
          <w:szCs w:val="24"/>
          <w:highlight w:val="none"/>
          <w:lang w:val="en-US" w:eastAsia="zh-CN"/>
        </w:rPr>
        <w:t xml:space="preserve">1</w:t>
      </w:r>
      <w:r>
        <w:rPr>
          <w:rFonts w:hint="eastAsia" w:ascii="宋体" w:hAnsi="宋体" w:eastAsia="宋体" w:cs="方正仿宋_GBK"/>
          <w:color w:val="000000"/>
          <w:sz w:val="24"/>
          <w:szCs w:val="24"/>
          <w:highlight w:val="none"/>
          <w:lang w:eastAsia="zh-CN"/>
        </w:rPr>
        <w:t xml:space="preserve">）</w:t>
      </w:r>
      <w:r>
        <w:rPr>
          <w:rFonts w:hint="eastAsia" w:ascii="宋体" w:hAnsi="宋体" w:eastAsia="宋体" w:cs="方正仿宋_GBK"/>
          <w:color w:val="000000"/>
          <w:sz w:val="24"/>
          <w:szCs w:val="24"/>
          <w:highlight w:val="none"/>
        </w:rPr>
        <w:t xml:space="preserve">供应商应根据国家政策调整规律进行报价，充分考虑服务期内的市场因素和成本变化状况的风险，一旦成交，所报价格即为合同价一次性包干，不得以任何理由，要求变更合同价。</w:t>
      </w:r>
      <w:r>
        <w:rPr>
          <w:rFonts w:hint="eastAsia" w:ascii="宋体" w:hAnsi="宋体" w:eastAsia="宋体" w:cs="方正仿宋_GBK"/>
          <w:color w:val="000000"/>
          <w:sz w:val="24"/>
          <w:szCs w:val="24"/>
          <w:highlight w:val="none"/>
          <w:lang w:eastAsia="zh-CN"/>
        </w:rPr>
      </w:r>
      <w:r/>
    </w:p>
    <w:p>
      <w:pPr>
        <w:pStyle w:val="762"/>
        <w:ind w:left="0" w:firstLine="480"/>
        <w:keepLines w:val="0"/>
        <w:keepNext w:val="0"/>
        <w:pageBreakBefore w:val="0"/>
        <w:spacing w:line="480" w:lineRule="exact"/>
        <w:tabs>
          <w:tab w:val="left" w:pos="1260" w:leader="none"/>
        </w:tabs>
        <w:rPr>
          <w:rFonts w:hint="eastAsia" w:ascii="宋体" w:hAnsi="宋体" w:eastAsia="宋体" w:cs="方正仿宋_GBK"/>
          <w:color w:val="000000"/>
          <w:sz w:val="24"/>
          <w:szCs w:val="24"/>
          <w:highlight w:val="none"/>
        </w:rPr>
      </w:pPr>
      <w:r>
        <w:rPr>
          <w:rFonts w:hint="eastAsia" w:ascii="宋体" w:hAnsi="宋体" w:eastAsia="宋体" w:cs="方正仿宋_GBK"/>
          <w:color w:val="000000"/>
          <w:sz w:val="24"/>
          <w:szCs w:val="24"/>
          <w:highlight w:val="none"/>
          <w:lang w:eastAsia="zh-CN"/>
        </w:rPr>
        <w:t xml:space="preserve">（</w:t>
      </w:r>
      <w:r>
        <w:rPr>
          <w:rFonts w:hint="eastAsia" w:ascii="宋体" w:hAnsi="宋体" w:eastAsia="宋体" w:cs="方正仿宋_GBK"/>
          <w:color w:val="000000"/>
          <w:sz w:val="24"/>
          <w:szCs w:val="24"/>
          <w:highlight w:val="none"/>
          <w:lang w:val="en-US" w:eastAsia="zh-CN"/>
        </w:rPr>
        <w:t xml:space="preserve">2</w:t>
      </w:r>
      <w:r>
        <w:rPr>
          <w:rFonts w:hint="eastAsia" w:ascii="宋体" w:hAnsi="宋体" w:eastAsia="宋体" w:cs="方正仿宋_GBK"/>
          <w:color w:val="000000"/>
          <w:sz w:val="24"/>
          <w:szCs w:val="24"/>
          <w:highlight w:val="none"/>
          <w:lang w:eastAsia="zh-CN"/>
        </w:rPr>
        <w:t xml:space="preserve">）</w:t>
      </w:r>
      <w:r>
        <w:rPr>
          <w:rFonts w:hint="eastAsia" w:ascii="宋体" w:hAnsi="宋体" w:eastAsia="宋体" w:cs="方正仿宋_GBK"/>
          <w:color w:val="000000"/>
          <w:sz w:val="24"/>
          <w:szCs w:val="24"/>
          <w:highlight w:val="none"/>
        </w:rPr>
        <w:t xml:space="preserve">评标委员会认为投标人的报价明显低于其他通过符合性审查投标人的报价，有可能无法诚信履约的，评标委员会有权要求供应商提供书面证明材料。该供应商不能合理说明原因并提供证明材料，评标委员会有权将该供应商的投标文件作无效标处理。</w:t>
      </w:r>
      <w:r>
        <w:rPr>
          <w:rFonts w:hint="eastAsia" w:ascii="宋体" w:hAnsi="宋体" w:eastAsia="宋体" w:cs="方正仿宋_GBK"/>
          <w:color w:val="000000"/>
          <w:sz w:val="24"/>
          <w:szCs w:val="24"/>
          <w:highlight w:val="none"/>
        </w:rPr>
      </w:r>
      <w:r/>
    </w:p>
    <w:p>
      <w:pPr>
        <w:pStyle w:val="785"/>
        <w:ind w:left="0" w:firstLine="482"/>
        <w:keepLines w:val="0"/>
        <w:keepNext w:val="0"/>
        <w:pageBreakBefore w:val="0"/>
        <w:spacing w:line="480" w:lineRule="exact"/>
        <w:rPr>
          <w:rFonts w:hint="eastAsia" w:ascii="宋体" w:hAnsi="宋体" w:eastAsia="宋体" w:cs="方正仿宋_GBK"/>
          <w:color w:val="000000"/>
          <w:sz w:val="24"/>
          <w:szCs w:val="24"/>
          <w:highlight w:val="none"/>
          <w:lang w:val="en-US" w:eastAsia="zh-CN" w:bidi="ar-SA"/>
        </w:rPr>
      </w:pPr>
      <w:r>
        <w:rPr>
          <w:rFonts w:hint="eastAsia" w:ascii="宋体" w:hAnsi="宋体" w:eastAsia="宋体" w:cs="方正仿宋_GBK"/>
          <w:b/>
          <w:bCs/>
          <w:color w:val="000000"/>
          <w:sz w:val="24"/>
          <w:szCs w:val="24"/>
          <w:highlight w:val="none"/>
          <w:lang w:val="en-US" w:eastAsia="zh-CN" w:bidi="ar-SA"/>
        </w:rPr>
        <w:t xml:space="preserve">6.服务期限：</w:t>
      </w:r>
      <w:r>
        <w:rPr>
          <w:rFonts w:hint="eastAsia" w:ascii="宋体" w:hAnsi="宋体" w:eastAsia="宋体" w:cs="方正仿宋_GBK"/>
          <w:color w:val="000000"/>
          <w:sz w:val="24"/>
          <w:szCs w:val="24"/>
          <w:highlight w:val="none"/>
          <w:lang w:val="en-US" w:eastAsia="zh-CN" w:bidi="ar-SA"/>
        </w:rPr>
        <w:t xml:space="preserve">服务期限自首年合同签订之日起三年。合同一年一签，年度考核合格后，签订下一年度合同。</w:t>
      </w:r>
      <w:r>
        <w:rPr>
          <w:rFonts w:hint="eastAsia" w:ascii="宋体" w:hAnsi="宋体" w:cs="方正仿宋_GBK"/>
          <w:color w:val="000000"/>
          <w:sz w:val="24"/>
          <w:szCs w:val="24"/>
          <w:highlight w:val="none"/>
          <w:lang w:val="en-US" w:eastAsia="zh-CN" w:bidi="ar-SA"/>
        </w:rPr>
        <w:t xml:space="preserve">服务期内</w:t>
      </w:r>
      <w:r>
        <w:rPr>
          <w:rFonts w:hint="eastAsia" w:ascii="宋体" w:hAnsi="宋体" w:eastAsia="宋体" w:cs="方正仿宋_GBK"/>
          <w:color w:val="000000"/>
          <w:sz w:val="24"/>
          <w:szCs w:val="24"/>
          <w:highlight w:val="none"/>
          <w:lang w:val="en-US" w:eastAsia="zh-CN" w:bidi="ar-SA"/>
        </w:rPr>
        <w:t xml:space="preserve">同步提供软</w:t>
      </w:r>
      <w:r>
        <w:rPr>
          <w:rFonts w:hint="eastAsia" w:ascii="宋体" w:hAnsi="宋体" w:cs="方正仿宋_GBK"/>
          <w:color w:val="000000"/>
          <w:sz w:val="24"/>
          <w:szCs w:val="24"/>
          <w:highlight w:val="none"/>
          <w:lang w:val="en-US" w:eastAsia="zh-CN" w:bidi="ar-SA"/>
        </w:rPr>
        <w:t xml:space="preserve">硬</w:t>
      </w:r>
      <w:r>
        <w:rPr>
          <w:rFonts w:hint="eastAsia" w:ascii="宋体" w:hAnsi="宋体" w:eastAsia="宋体" w:cs="方正仿宋_GBK"/>
          <w:color w:val="000000"/>
          <w:sz w:val="24"/>
          <w:szCs w:val="24"/>
          <w:highlight w:val="none"/>
          <w:lang w:val="en-US" w:eastAsia="zh-CN" w:bidi="ar-SA"/>
        </w:rPr>
        <w:t xml:space="preserve">件升级更新服务。</w:t>
      </w:r>
      <w:r>
        <w:rPr>
          <w:rFonts w:hint="eastAsia" w:ascii="宋体" w:hAnsi="宋体" w:eastAsia="宋体" w:cs="方正仿宋_GBK"/>
          <w:color w:val="000000"/>
          <w:sz w:val="24"/>
          <w:szCs w:val="24"/>
          <w:highlight w:val="none"/>
          <w:lang w:val="en-US" w:eastAsia="zh-CN" w:bidi="ar-SA"/>
        </w:rPr>
      </w:r>
      <w:r/>
    </w:p>
    <w:p>
      <w:pPr>
        <w:pStyle w:val="762"/>
        <w:ind w:left="0" w:firstLine="482"/>
        <w:keepLines w:val="0"/>
        <w:keepNext w:val="0"/>
        <w:pageBreakBefore w:val="0"/>
        <w:spacing w:line="480" w:lineRule="exact"/>
        <w:tabs>
          <w:tab w:val="left" w:pos="1260" w:leader="none"/>
        </w:tabs>
        <w:rPr>
          <w:rFonts w:hint="eastAsia" w:ascii="宋体" w:hAnsi="宋体" w:eastAsia="宋体" w:cs="方正仿宋_GBK"/>
          <w:b/>
          <w:bCs/>
          <w:color w:val="000000"/>
          <w:sz w:val="24"/>
          <w:szCs w:val="24"/>
          <w:highlight w:val="none"/>
          <w:lang w:val="en-US" w:eastAsia="zh-CN" w:bidi="ar-SA"/>
        </w:rPr>
      </w:pPr>
      <w:r>
        <w:rPr>
          <w:rFonts w:hint="eastAsia" w:ascii="宋体" w:hAnsi="宋体" w:eastAsia="宋体" w:cs="方正仿宋_GBK"/>
          <w:b/>
          <w:bCs/>
          <w:color w:val="000000"/>
          <w:sz w:val="24"/>
          <w:szCs w:val="24"/>
          <w:highlight w:val="none"/>
          <w:lang w:val="en-US" w:eastAsia="zh-CN" w:bidi="ar-SA"/>
        </w:rPr>
        <w:t xml:space="preserve">7.绩效考核</w:t>
      </w:r>
      <w:r>
        <w:rPr>
          <w:rFonts w:hint="eastAsia" w:ascii="宋体" w:hAnsi="宋体" w:eastAsia="宋体" w:cs="方正仿宋_GBK"/>
          <w:b/>
          <w:bCs/>
          <w:color w:val="000000"/>
          <w:sz w:val="24"/>
          <w:szCs w:val="24"/>
          <w:highlight w:val="none"/>
          <w:lang w:val="en-US" w:eastAsia="zh-CN" w:bidi="ar-SA"/>
        </w:rPr>
      </w:r>
      <w:r/>
    </w:p>
    <w:p>
      <w:pPr>
        <w:pStyle w:val="762"/>
        <w:ind w:firstLine="482"/>
        <w:keepLines w:val="0"/>
        <w:keepNext w:val="0"/>
        <w:pageBreakBefore w:val="0"/>
        <w:spacing w:line="460" w:lineRule="exact"/>
        <w:rPr>
          <w:rFonts w:ascii="宋体" w:hAnsi="宋体" w:eastAsia="宋体" w:cs="方正仿宋_GBK"/>
          <w:color w:val="000000"/>
          <w:sz w:val="24"/>
          <w:szCs w:val="24"/>
          <w:highlight w:val="none"/>
          <w:lang w:val="en-US" w:eastAsia="zh-CN" w:bidi="ar-SA"/>
        </w:rPr>
      </w:pPr>
      <w:r>
        <w:rPr>
          <w:rFonts w:hint="eastAsia" w:ascii="宋体" w:hAnsi="宋体" w:eastAsia="宋体" w:cs="方正仿宋_GBK"/>
          <w:color w:val="000000"/>
          <w:sz w:val="24"/>
          <w:szCs w:val="24"/>
          <w:highlight w:val="none"/>
          <w:lang w:val="en-US" w:eastAsia="zh-CN" w:bidi="ar-SA"/>
        </w:rPr>
        <w:t xml:space="preserve">为保障中标供应商提供的网络安全服务符合我局的要求，采购人按年度开展服务绩效考核工作。绩效考核实行百分制，考核结果与年度服务费用直接挂钩。采购人根据考核细则中的对应标准对供应商进行扣分处理，并依据扣分结果核减相应款项，年度考核扣款总额不超过当年度合同金额的10%。</w:t>
      </w:r>
      <w:r>
        <w:rPr>
          <w:rFonts w:ascii="宋体" w:hAnsi="宋体" w:eastAsia="宋体" w:cs="方正仿宋_GBK"/>
          <w:color w:val="000000"/>
          <w:sz w:val="24"/>
          <w:szCs w:val="24"/>
          <w:highlight w:val="none"/>
          <w:lang w:val="en-US" w:eastAsia="zh-CN" w:bidi="ar-SA"/>
        </w:rPr>
      </w:r>
      <w:r/>
    </w:p>
    <w:p>
      <w:pPr>
        <w:pStyle w:val="762"/>
        <w:ind w:left="0" w:firstLine="482"/>
        <w:keepLines w:val="0"/>
        <w:keepNext w:val="0"/>
        <w:pageBreakBefore w:val="0"/>
        <w:spacing w:line="480" w:lineRule="exact"/>
        <w:tabs>
          <w:tab w:val="left" w:pos="1260" w:leader="none"/>
        </w:tabs>
        <w:rPr>
          <w:rFonts w:hint="eastAsia" w:ascii="宋体" w:hAnsi="宋体" w:eastAsia="宋体" w:cs="方正仿宋_GBK"/>
          <w:b/>
          <w:bCs/>
          <w:color w:val="000000"/>
          <w:sz w:val="24"/>
          <w:szCs w:val="24"/>
          <w:highlight w:val="none"/>
          <w:lang w:val="en-US" w:eastAsia="zh-CN" w:bidi="ar-SA"/>
        </w:rPr>
      </w:pPr>
      <w:r>
        <w:rPr>
          <w:rFonts w:hint="eastAsia" w:ascii="宋体" w:hAnsi="宋体" w:eastAsia="宋体" w:cs="方正仿宋_GBK"/>
          <w:b/>
          <w:bCs/>
          <w:color w:val="000000"/>
          <w:sz w:val="24"/>
          <w:szCs w:val="24"/>
          <w:highlight w:val="none"/>
          <w:lang w:val="en-US" w:eastAsia="zh-CN" w:bidi="ar-SA"/>
        </w:rPr>
        <w:t xml:space="preserve">8.付款方式</w:t>
      </w:r>
      <w:r>
        <w:rPr>
          <w:rFonts w:hint="eastAsia" w:ascii="宋体" w:hAnsi="宋体" w:eastAsia="宋体" w:cs="方正仿宋_GBK"/>
          <w:b/>
          <w:bCs/>
          <w:color w:val="000000"/>
          <w:sz w:val="24"/>
          <w:szCs w:val="24"/>
          <w:highlight w:val="none"/>
          <w:lang w:val="en-US" w:eastAsia="zh-CN" w:bidi="ar-SA"/>
        </w:rPr>
      </w:r>
      <w:r/>
    </w:p>
    <w:p>
      <w:pPr>
        <w:pStyle w:val="785"/>
        <w:ind w:left="0" w:firstLine="480"/>
        <w:keepLines w:val="0"/>
        <w:keepNext w:val="0"/>
        <w:pageBreakBefore w:val="0"/>
        <w:spacing w:line="480" w:lineRule="exact"/>
        <w:rPr>
          <w:rFonts w:hint="eastAsia" w:ascii="宋体" w:hAnsi="宋体" w:eastAsia="宋体" w:cs="方正仿宋_GBK"/>
          <w:color w:val="000000"/>
          <w:sz w:val="24"/>
          <w:szCs w:val="24"/>
          <w:highlight w:val="none"/>
          <w:lang w:val="en-US" w:eastAsia="zh-CN" w:bidi="ar-SA"/>
        </w:rPr>
      </w:pPr>
      <w:r>
        <w:rPr>
          <w:rFonts w:hint="eastAsia" w:ascii="宋体" w:hAnsi="宋体" w:eastAsia="宋体" w:cs="方正仿宋_GBK"/>
          <w:color w:val="000000"/>
          <w:sz w:val="24"/>
          <w:szCs w:val="24"/>
          <w:highlight w:val="none"/>
          <w:lang w:val="en-US" w:eastAsia="zh-CN" w:bidi="ar-SA"/>
        </w:rPr>
        <w:t xml:space="preserve">每年度合同签订后，采购人支付当年合同金额50%的预付款；每年11月30日之前，采购人支付该年度合同金额的40%；每年度合同期满，采购人将根据项目考核结果，按约定支付剩余款项。</w:t>
      </w:r>
      <w:r>
        <w:rPr>
          <w:rFonts w:hint="eastAsia" w:ascii="宋体" w:hAnsi="宋体" w:eastAsia="宋体" w:cs="方正仿宋_GBK"/>
          <w:color w:val="000000"/>
          <w:sz w:val="24"/>
          <w:szCs w:val="24"/>
          <w:highlight w:val="none"/>
          <w:lang w:val="en-US" w:eastAsia="zh-CN" w:bidi="ar-SA"/>
        </w:rPr>
      </w:r>
      <w:r/>
    </w:p>
    <w:p>
      <w:pPr>
        <w:pStyle w:val="762"/>
        <w:ind w:firstLine="482"/>
        <w:keepLines w:val="0"/>
        <w:keepNext w:val="0"/>
        <w:pageBreakBefore w:val="0"/>
        <w:spacing w:line="480" w:lineRule="exact"/>
        <w:rPr>
          <w:rFonts w:hint="eastAsia" w:ascii="宋体" w:hAnsi="宋体" w:eastAsia="宋体" w:cs="Times New Roman"/>
          <w:color w:val="000000"/>
          <w:sz w:val="24"/>
          <w:szCs w:val="24"/>
          <w:highlight w:val="none"/>
          <w:shd w:val="clear" w:color="auto" w:fill="auto"/>
          <w:lang w:eastAsia="zh-CN"/>
        </w:rPr>
      </w:pPr>
      <w:r>
        <w:rPr>
          <w:rFonts w:hint="eastAsia" w:ascii="Times New Roman" w:hAnsi="Times New Roman" w:eastAsia="宋体" w:cs="Times New Roman"/>
          <w:color w:val="000000"/>
          <w:sz w:val="24"/>
          <w:szCs w:val="24"/>
          <w:highlight w:val="none"/>
        </w:rPr>
        <w:t xml:space="preserve">中标人应当在规定时间节点及时提供有效发票，采购人自收到发票后15个工作日内将资金支付到指定的供应商账户。</w:t>
      </w:r>
      <w:r>
        <w:rPr>
          <w:rFonts w:hint="eastAsia" w:ascii="宋体" w:hAnsi="宋体" w:eastAsia="宋体" w:cs="Times New Roman"/>
          <w:color w:val="000000"/>
          <w:sz w:val="24"/>
          <w:szCs w:val="24"/>
          <w:highlight w:val="none"/>
          <w:shd w:val="clear" w:color="auto" w:fill="auto"/>
          <w:lang w:eastAsia="zh-CN"/>
        </w:rPr>
      </w:r>
      <w:r/>
    </w:p>
    <w:p>
      <w:pPr>
        <w:pStyle w:val="762"/>
        <w:ind w:left="0" w:firstLine="482"/>
        <w:keepLines w:val="0"/>
        <w:keepNext w:val="0"/>
        <w:pageBreakBefore w:val="0"/>
        <w:spacing w:line="480" w:lineRule="exact"/>
        <w:rPr>
          <w:rFonts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9.履约保证金</w:t>
      </w:r>
      <w:r>
        <w:rPr>
          <w:rFonts w:ascii="宋体" w:hAnsi="宋体" w:eastAsia="宋体" w:cs="Times New Roman"/>
          <w:b/>
          <w:bCs/>
          <w:color w:val="000000"/>
          <w:sz w:val="24"/>
          <w:szCs w:val="24"/>
          <w:highlight w:val="none"/>
          <w:lang w:val="en-US" w:eastAsia="zh-CN"/>
        </w:rPr>
      </w:r>
      <w:r/>
    </w:p>
    <w:p>
      <w:pPr>
        <w:pStyle w:val="762"/>
        <w:ind w:left="0" w:firstLine="480"/>
        <w:keepLines w:val="0"/>
        <w:keepNext w:val="0"/>
        <w:pageBreakBefore w:val="0"/>
        <w:spacing w:line="480" w:lineRule="exact"/>
        <w:rPr>
          <w:rFonts w:hint="eastAsia" w:ascii="宋体" w:hAnsi="宋体" w:eastAsia="宋体" w:cs="Times New Roman"/>
          <w:b/>
          <w:bCs/>
          <w:color w:val="000000"/>
          <w:sz w:val="36"/>
          <w:szCs w:val="36"/>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本项目不收取履约保证金。</w:t>
      </w:r>
      <w:r>
        <w:rPr>
          <w:rFonts w:hint="eastAsia" w:ascii="宋体" w:hAnsi="宋体" w:eastAsia="宋体" w:cs="Times New Roman"/>
          <w:b/>
          <w:bCs/>
          <w:color w:val="000000"/>
          <w:sz w:val="36"/>
          <w:szCs w:val="36"/>
          <w:highlight w:val="none"/>
          <w:lang w:val="en-US" w:eastAsia="zh-CN"/>
        </w:rPr>
      </w:r>
      <w:r/>
    </w:p>
    <w:p>
      <w:pPr>
        <w:pStyle w:val="762"/>
        <w:numPr>
          <w:ilvl w:val="0"/>
          <w:numId w:val="0"/>
        </w:numPr>
        <w:ind w:left="0" w:firstLine="560"/>
        <w:jc w:val="left"/>
        <w:pageBreakBefore w:val="0"/>
        <w:spacing w:line="480" w:lineRule="exact"/>
        <w:rPr>
          <w:rFonts w:hint="eastAsia" w:ascii="黑体" w:hAnsi="黑体" w:eastAsia="黑体" w:cs="黑体"/>
          <w:b w:val="0"/>
          <w:bCs/>
          <w:color w:val="000000"/>
          <w:sz w:val="28"/>
          <w:szCs w:val="28"/>
          <w:highlight w:val="none"/>
          <w:lang w:val="en-US" w:eastAsia="zh-CN"/>
        </w:rPr>
      </w:pPr>
      <w:r>
        <w:rPr>
          <w:rFonts w:hint="eastAsia" w:ascii="黑体" w:hAnsi="黑体" w:eastAsia="黑体" w:cs="黑体"/>
          <w:b w:val="0"/>
          <w:bCs/>
          <w:color w:val="000000"/>
          <w:sz w:val="28"/>
          <w:szCs w:val="28"/>
          <w:highlight w:val="none"/>
          <w:lang w:val="en-US" w:eastAsia="zh-CN"/>
        </w:rPr>
        <w:t xml:space="preserve">四、其他要求</w:t>
      </w:r>
      <w:r>
        <w:rPr>
          <w:rFonts w:hint="eastAsia" w:ascii="黑体" w:hAnsi="黑体" w:eastAsia="黑体" w:cs="黑体"/>
          <w:b w:val="0"/>
          <w:bCs/>
          <w:color w:val="000000"/>
          <w:sz w:val="28"/>
          <w:szCs w:val="28"/>
          <w:highlight w:val="none"/>
          <w:lang w:val="en-US" w:eastAsia="zh-CN"/>
        </w:rPr>
      </w:r>
      <w:r/>
    </w:p>
    <w:p>
      <w:pPr>
        <w:pStyle w:val="762"/>
        <w:numPr>
          <w:ilvl w:val="0"/>
          <w:numId w:val="0"/>
        </w:numPr>
        <w:ind w:left="0" w:firstLine="482"/>
        <w:jc w:val="both"/>
        <w:keepLines w:val="0"/>
        <w:keepNext w:val="0"/>
        <w:pageBreakBefore w:val="0"/>
        <w:spacing w:line="480" w:lineRule="exact"/>
        <w:widowControl w:val="off"/>
        <w:rPr>
          <w:rFonts w:hint="eastAsia" w:ascii="宋体" w:hAnsi="宋体" w:eastAsia="宋体" w:cs="方正仿宋_GBK"/>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bidi="ar-SA"/>
        </w:rPr>
        <w:t xml:space="preserve">1.项</w:t>
      </w:r>
      <w:r>
        <w:rPr>
          <w:rFonts w:hint="eastAsia" w:ascii="宋体" w:hAnsi="宋体" w:eastAsia="宋体" w:cs="方正仿宋_GBK"/>
          <w:b/>
          <w:bCs/>
          <w:color w:val="000000"/>
          <w:sz w:val="24"/>
          <w:szCs w:val="24"/>
          <w:highlight w:val="none"/>
          <w:lang w:val="en-US" w:eastAsia="zh-CN"/>
        </w:rPr>
        <w:t xml:space="preserve">目属性</w:t>
      </w:r>
      <w:r>
        <w:rPr>
          <w:rFonts w:hint="eastAsia" w:ascii="宋体" w:hAnsi="宋体" w:eastAsia="宋体" w:cs="方正仿宋_GBK"/>
          <w:color w:val="000000"/>
          <w:sz w:val="24"/>
          <w:szCs w:val="24"/>
          <w:highlight w:val="none"/>
          <w:lang w:val="en-US" w:eastAsia="zh-CN"/>
        </w:rPr>
        <w:t xml:space="preserve">:服务类项目</w:t>
      </w:r>
      <w:r>
        <w:rPr>
          <w:rFonts w:hint="eastAsia" w:ascii="宋体" w:hAnsi="宋体" w:eastAsia="宋体" w:cs="方正仿宋_GBK"/>
          <w:color w:val="000000"/>
          <w:sz w:val="24"/>
          <w:szCs w:val="24"/>
          <w:highlight w:val="none"/>
          <w:lang w:val="en-US" w:eastAsia="zh-CN"/>
        </w:rPr>
      </w:r>
      <w:r/>
    </w:p>
    <w:p>
      <w:pPr>
        <w:pStyle w:val="762"/>
        <w:numPr>
          <w:ilvl w:val="0"/>
          <w:numId w:val="0"/>
        </w:numPr>
        <w:ind w:left="0" w:firstLine="482"/>
        <w:jc w:val="both"/>
        <w:keepLines w:val="0"/>
        <w:keepNext w:val="0"/>
        <w:pageBreakBefore w:val="0"/>
        <w:spacing w:line="480" w:lineRule="exact"/>
        <w:widowControl w:val="off"/>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2.演示说明</w:t>
      </w:r>
      <w:r>
        <w:rPr>
          <w:rFonts w:hint="eastAsia" w:ascii="宋体" w:hAnsi="宋体" w:eastAsia="宋体" w:cs="Times New Roman"/>
          <w:b/>
          <w:bCs/>
          <w:color w:val="000000"/>
          <w:sz w:val="24"/>
          <w:szCs w:val="24"/>
          <w:highlight w:val="none"/>
          <w:lang w:val="en-US" w:eastAsia="zh-CN" w:bidi="ar-SA"/>
        </w:rPr>
      </w:r>
      <w:r/>
    </w:p>
    <w:p>
      <w:pPr>
        <w:pStyle w:val="762"/>
        <w:ind w:left="0" w:firstLine="480"/>
        <w:keepLines w:val="0"/>
        <w:keepNext w:val="0"/>
        <w:pageBreakBefore w:val="0"/>
        <w:spacing w:line="480" w:lineRule="exact"/>
        <w:widowControl w:val="off"/>
        <w:rPr>
          <w:rFonts w:hint="eastAsia" w:ascii="宋体" w:hAnsi="宋体" w:eastAsia="宋体" w:cs="方正仿宋_GBK"/>
          <w:color w:val="000000"/>
          <w:sz w:val="24"/>
          <w:szCs w:val="24"/>
          <w:highlight w:val="none"/>
          <w:lang w:val="en-US" w:eastAsia="zh-CN"/>
        </w:rPr>
      </w:pPr>
      <w:r>
        <w:rPr>
          <w:rFonts w:hint="eastAsia" w:ascii="宋体" w:hAnsi="宋体" w:eastAsia="宋体" w:cs="方正仿宋_GBK"/>
          <w:color w:val="000000"/>
          <w:sz w:val="24"/>
          <w:szCs w:val="24"/>
          <w:highlight w:val="none"/>
          <w:lang w:val="en-US" w:eastAsia="zh-CN"/>
        </w:rPr>
        <w:t xml:space="preserve">为了帮助评审专家真实地感受投标人提供服务及产品能满足招标需求，在此次项目评审过程中加入系统演示环节，演示要求如下：</w:t>
      </w:r>
      <w:r>
        <w:rPr>
          <w:rFonts w:hint="eastAsia" w:ascii="宋体" w:hAnsi="宋体" w:eastAsia="宋体" w:cs="方正仿宋_GBK"/>
          <w:color w:val="000000"/>
          <w:sz w:val="24"/>
          <w:szCs w:val="24"/>
          <w:highlight w:val="none"/>
          <w:lang w:val="en-US" w:eastAsia="zh-CN"/>
        </w:rPr>
      </w:r>
      <w:r/>
    </w:p>
    <w:p>
      <w:pPr>
        <w:pStyle w:val="762"/>
        <w:ind w:left="0" w:firstLine="480"/>
        <w:keepLines w:val="0"/>
        <w:keepNext w:val="0"/>
        <w:pageBreakBefore w:val="0"/>
        <w:spacing w:line="480" w:lineRule="exact"/>
        <w:widowControl w:val="off"/>
        <w:rPr>
          <w:rFonts w:ascii="宋体" w:hAnsi="宋体" w:eastAsia="宋体" w:cs="方正仿宋_GBK"/>
          <w:color w:val="000000"/>
          <w:sz w:val="24"/>
          <w:szCs w:val="24"/>
          <w:highlight w:val="none"/>
          <w:lang w:val="en-US" w:eastAsia="zh-CN"/>
        </w:rPr>
      </w:pPr>
      <w:r>
        <w:rPr>
          <w:rFonts w:hint="eastAsia" w:ascii="宋体" w:hAnsi="宋体" w:eastAsia="宋体" w:cs="方正仿宋_GBK"/>
          <w:color w:val="000000"/>
          <w:sz w:val="24"/>
          <w:szCs w:val="24"/>
          <w:highlight w:val="none"/>
          <w:lang w:val="en-US" w:eastAsia="zh-CN"/>
        </w:rPr>
        <w:t xml:space="preserve">（1）投标人需按照招标文件规定的演示内容制作演示视频文件，视频文件的格式为</w:t>
      </w:r>
      <w:r>
        <w:rPr>
          <w:rFonts w:ascii="宋体" w:hAnsi="宋体" w:eastAsia="宋体" w:cs="方正仿宋_GBK"/>
          <w:color w:val="000000"/>
          <w:sz w:val="24"/>
          <w:szCs w:val="24"/>
          <w:highlight w:val="none"/>
          <w:lang w:val="en-US" w:eastAsia="zh-CN"/>
        </w:rPr>
        <w:t xml:space="preserve">*</w:t>
      </w:r>
      <w:r>
        <w:rPr>
          <w:rFonts w:hint="eastAsia" w:ascii="宋体" w:hAnsi="宋体" w:eastAsia="宋体" w:cs="方正仿宋_GBK"/>
          <w:color w:val="000000"/>
          <w:sz w:val="24"/>
          <w:szCs w:val="24"/>
          <w:highlight w:val="none"/>
          <w:lang w:val="en-US" w:eastAsia="zh-CN"/>
        </w:rPr>
        <w:t xml:space="preserve">.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ascii="宋体" w:hAnsi="宋体" w:eastAsia="宋体" w:cs="方正仿宋_GBK"/>
          <w:color w:val="000000"/>
          <w:sz w:val="24"/>
          <w:szCs w:val="24"/>
          <w:highlight w:val="none"/>
          <w:lang w:val="en-US" w:eastAsia="zh-CN"/>
        </w:rPr>
      </w:r>
      <w:r/>
    </w:p>
    <w:p>
      <w:pPr>
        <w:pStyle w:val="762"/>
        <w:ind w:left="0" w:firstLine="480"/>
        <w:keepLines w:val="0"/>
        <w:keepNext w:val="0"/>
        <w:pageBreakBefore w:val="0"/>
        <w:spacing w:line="480" w:lineRule="exact"/>
        <w:widowControl w:val="off"/>
        <w:rPr>
          <w:rFonts w:ascii="宋体" w:hAnsi="宋体" w:eastAsia="宋体" w:cs="方正仿宋_GBK"/>
          <w:color w:val="000000"/>
          <w:sz w:val="24"/>
          <w:szCs w:val="24"/>
          <w:highlight w:val="none"/>
          <w:lang w:val="en-US" w:eastAsia="zh-CN"/>
        </w:rPr>
      </w:pPr>
      <w:r>
        <w:rPr>
          <w:rFonts w:hint="eastAsia" w:ascii="宋体" w:hAnsi="宋体" w:eastAsia="宋体" w:cs="方正仿宋_GBK"/>
          <w:color w:val="000000"/>
          <w:sz w:val="24"/>
          <w:szCs w:val="24"/>
          <w:highlight w:val="none"/>
          <w:lang w:val="en-US" w:eastAsia="zh-CN"/>
        </w:rPr>
        <w:t xml:space="preserve">（2）演示内容详见“第五章  评标方法与评标标准”。</w:t>
      </w:r>
      <w:r>
        <w:rPr>
          <w:rFonts w:ascii="宋体" w:hAnsi="宋体" w:eastAsia="宋体" w:cs="方正仿宋_GBK"/>
          <w:color w:val="000000"/>
          <w:sz w:val="24"/>
          <w:szCs w:val="24"/>
          <w:highlight w:val="none"/>
          <w:lang w:val="en-US" w:eastAsia="zh-CN"/>
        </w:rPr>
      </w:r>
      <w:r/>
    </w:p>
    <w:p>
      <w:pPr>
        <w:pStyle w:val="762"/>
        <w:numPr>
          <w:ilvl w:val="0"/>
          <w:numId w:val="0"/>
        </w:numPr>
        <w:ind w:left="0" w:firstLine="482"/>
        <w:jc w:val="both"/>
        <w:keepLines w:val="0"/>
        <w:keepNext w:val="0"/>
        <w:pageBreakBefore w:val="0"/>
        <w:spacing w:line="480" w:lineRule="exact"/>
        <w:widowControl w:val="off"/>
        <w:rPr>
          <w:rFonts w:ascii="宋体" w:hAnsi="宋体" w:eastAsia="宋体" w:cs="方正仿宋_GBK"/>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3.政府绿色采购相关要求</w:t>
      </w:r>
      <w:r>
        <w:rPr>
          <w:rFonts w:ascii="宋体" w:hAnsi="宋体" w:eastAsia="宋体" w:cs="方正仿宋_GBK"/>
          <w:color w:val="000000"/>
          <w:sz w:val="24"/>
          <w:szCs w:val="24"/>
          <w:highlight w:val="none"/>
          <w:lang w:val="en-US" w:eastAsia="zh-CN" w:bidi="ar-SA"/>
        </w:rPr>
      </w:r>
      <w:r/>
    </w:p>
    <w:p>
      <w:pPr>
        <w:pStyle w:val="762"/>
        <w:ind w:left="0" w:firstLine="480"/>
        <w:keepLines w:val="0"/>
        <w:keepNext w:val="0"/>
        <w:pageBreakBefore w:val="0"/>
        <w:spacing w:line="480" w:lineRule="exact"/>
        <w:widowControl w:val="off"/>
        <w:rPr>
          <w:rFonts w:ascii="宋体" w:hAnsi="宋体" w:eastAsia="宋体" w:cs="方正仿宋_GBK"/>
          <w:color w:val="000000"/>
          <w:sz w:val="24"/>
          <w:szCs w:val="24"/>
          <w:highlight w:val="none"/>
          <w:lang w:val="en-US" w:eastAsia="zh-CN"/>
        </w:rPr>
      </w:pPr>
      <w:r>
        <w:rPr>
          <w:rFonts w:hint="eastAsia" w:ascii="宋体" w:hAnsi="宋体" w:eastAsia="宋体" w:cs="方正仿宋_GBK"/>
          <w:color w:val="000000"/>
          <w:sz w:val="24"/>
          <w:szCs w:val="24"/>
          <w:highlight w:val="none"/>
          <w:lang w:val="en-US" w:eastAsia="zh-CN"/>
        </w:rPr>
        <w:t xml:space="preserve">（1）</w:t>
      </w:r>
      <w:r>
        <w:rPr>
          <w:rFonts w:ascii="宋体" w:hAnsi="宋体" w:eastAsia="宋体" w:cs="方正仿宋_GBK"/>
          <w:color w:val="000000"/>
          <w:sz w:val="24"/>
          <w:szCs w:val="24"/>
          <w:highlight w:val="none"/>
          <w:lang w:val="en-US" w:eastAsia="zh-CN"/>
        </w:rPr>
        <w:t xml:space="preserve">本项目中如有涉及商品包装、快递包装要求的，应当按《关于印发〈商品包装政府采购需求标准（试行）〉、〈快递包装政府采购需求标准（试行）〉的通知》（财办库〔2020〕123号）文件执行。采购人对商品包装和快递包装提出具体要求的，在政府采购合同中应当载明对政府采购供应商提供产品及相关快递服务的具体包装要求和履约验收相关条款，</w:t>
      </w:r>
      <w:r>
        <w:rPr>
          <w:rFonts w:hint="eastAsia" w:ascii="宋体" w:hAnsi="宋体" w:eastAsia="宋体" w:cs="方正仿宋_GBK"/>
          <w:color w:val="000000"/>
          <w:sz w:val="24"/>
          <w:szCs w:val="24"/>
          <w:highlight w:val="none"/>
          <w:lang w:val="en-US" w:eastAsia="zh-CN"/>
        </w:rPr>
        <w:t xml:space="preserve">中标（成交）</w:t>
      </w:r>
      <w:r>
        <w:rPr>
          <w:rFonts w:ascii="宋体" w:hAnsi="宋体" w:eastAsia="宋体" w:cs="方正仿宋_GBK"/>
          <w:color w:val="000000"/>
          <w:sz w:val="24"/>
          <w:szCs w:val="24"/>
          <w:highlight w:val="none"/>
          <w:lang w:val="en-US" w:eastAsia="zh-CN"/>
        </w:rPr>
        <w:t xml:space="preserve">供应商须严格执行，必要时应按照要求在履约验收环节出具检测报告。</w:t>
      </w:r>
      <w:r>
        <w:rPr>
          <w:rFonts w:ascii="宋体" w:hAnsi="宋体" w:eastAsia="宋体" w:cs="方正仿宋_GBK"/>
          <w:color w:val="000000"/>
          <w:sz w:val="24"/>
          <w:szCs w:val="24"/>
          <w:highlight w:val="none"/>
          <w:lang w:val="en-US" w:eastAsia="zh-CN"/>
        </w:rPr>
      </w:r>
      <w:r/>
    </w:p>
    <w:p>
      <w:pPr>
        <w:pStyle w:val="762"/>
        <w:ind w:left="0" w:firstLine="480"/>
        <w:keepLines w:val="0"/>
        <w:keepNext w:val="0"/>
        <w:pageBreakBefore w:val="0"/>
        <w:spacing w:line="480" w:lineRule="exact"/>
        <w:widowControl w:val="off"/>
        <w:rPr>
          <w:rFonts w:ascii="宋体" w:hAnsi="宋体" w:eastAsia="宋体" w:cs="方正仿宋_GBK"/>
          <w:color w:val="000000"/>
          <w:sz w:val="24"/>
          <w:szCs w:val="24"/>
          <w:highlight w:val="none"/>
          <w:lang w:val="en-US" w:eastAsia="zh-CN"/>
        </w:rPr>
      </w:pPr>
      <w:r>
        <w:rPr>
          <w:rFonts w:hint="eastAsia" w:ascii="宋体" w:hAnsi="宋体" w:eastAsia="宋体" w:cs="方正仿宋_GBK"/>
          <w:color w:val="000000"/>
          <w:sz w:val="24"/>
          <w:szCs w:val="24"/>
          <w:highlight w:val="none"/>
          <w:lang w:val="en-US" w:eastAsia="zh-CN"/>
        </w:rPr>
        <w:t xml:space="preserve">（2）</w:t>
      </w:r>
      <w:r>
        <w:rPr>
          <w:rFonts w:ascii="宋体" w:hAnsi="宋体" w:eastAsia="宋体" w:cs="方正仿宋_GBK"/>
          <w:color w:val="000000"/>
          <w:sz w:val="24"/>
          <w:szCs w:val="24"/>
          <w:highlight w:val="none"/>
          <w:lang w:val="en-US" w:eastAsia="zh-CN"/>
        </w:rPr>
        <w:t xml:space="preserve">本项目中如有涉及采购数据中心相关设备、运维服务的，应当按《关于印发〈绿色数据中心政府采购需求标准（试行）〉的通知》（财办库〔2023〕7号）文件执行。在政府采购合同中，采购人应明确对相关指标的验收方式和违约责任，中标（成交）供应商应按合同约定提供设备或服务。</w:t>
      </w:r>
      <w:r>
        <w:rPr>
          <w:rFonts w:ascii="宋体" w:hAnsi="宋体" w:eastAsia="宋体" w:cs="方正仿宋_GBK"/>
          <w:color w:val="000000"/>
          <w:sz w:val="24"/>
          <w:szCs w:val="24"/>
          <w:highlight w:val="none"/>
          <w:lang w:val="en-US" w:eastAsia="zh-CN"/>
        </w:rPr>
      </w:r>
      <w:r/>
    </w:p>
    <w:p>
      <w:pPr>
        <w:pStyle w:val="762"/>
        <w:ind w:left="0" w:firstLine="480"/>
        <w:keepLines w:val="0"/>
        <w:keepNext w:val="0"/>
        <w:pageBreakBefore w:val="0"/>
        <w:spacing w:line="480" w:lineRule="exact"/>
        <w:widowControl w:val="off"/>
        <w:rPr>
          <w:rFonts w:ascii="宋体" w:hAnsi="宋体" w:eastAsia="宋体" w:cs="方正仿宋_GBK"/>
          <w:color w:val="000000"/>
          <w:sz w:val="24"/>
          <w:szCs w:val="24"/>
          <w:highlight w:val="none"/>
          <w:lang w:val="en-US" w:eastAsia="zh-CN"/>
        </w:rPr>
      </w:pPr>
      <w:r>
        <w:rPr>
          <w:rFonts w:hint="eastAsia" w:ascii="宋体" w:hAnsi="宋体" w:eastAsia="宋体" w:cs="方正仿宋_GBK"/>
          <w:color w:val="000000"/>
          <w:sz w:val="24"/>
          <w:szCs w:val="24"/>
          <w:highlight w:val="none"/>
          <w:lang w:val="en-US" w:eastAsia="zh-CN"/>
        </w:rPr>
        <w:t xml:space="preserve">（3）</w:t>
      </w:r>
      <w:r>
        <w:rPr>
          <w:rFonts w:ascii="宋体" w:hAnsi="宋体" w:eastAsia="宋体" w:cs="方正仿宋_GBK"/>
          <w:color w:val="000000"/>
          <w:sz w:val="24"/>
          <w:szCs w:val="24"/>
          <w:highlight w:val="none"/>
          <w:lang w:val="en-US" w:eastAsia="zh-CN"/>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ascii="宋体" w:hAnsi="宋体" w:eastAsia="宋体" w:cs="方正仿宋_GBK"/>
          <w:color w:val="000000"/>
          <w:sz w:val="24"/>
          <w:szCs w:val="24"/>
          <w:highlight w:val="none"/>
          <w:lang w:val="en-US" w:eastAsia="zh-CN"/>
        </w:rPr>
      </w:r>
      <w:r/>
    </w:p>
    <w:p>
      <w:pPr>
        <w:pStyle w:val="762"/>
        <w:ind w:left="0" w:firstLine="482"/>
        <w:keepLines w:val="0"/>
        <w:keepNext w:val="0"/>
        <w:pageBreakBefore w:val="0"/>
        <w:spacing w:line="480" w:lineRule="exact"/>
        <w:widowControl w:val="off"/>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4.</w:t>
      </w:r>
      <w:r>
        <w:rPr>
          <w:rFonts w:hint="eastAsia" w:ascii="宋体" w:hAnsi="宋体" w:eastAsia="宋体" w:cs="Times New Roman"/>
          <w:b/>
          <w:color w:val="000000"/>
          <w:sz w:val="24"/>
          <w:szCs w:val="24"/>
          <w:highlight w:val="none"/>
        </w:rPr>
        <w:t xml:space="preserve">政府采购中实施本国产品标准及相关政策</w:t>
      </w:r>
      <w:r>
        <w:rPr>
          <w:rFonts w:hint="eastAsia" w:ascii="宋体" w:hAnsi="宋体" w:eastAsia="宋体" w:cs="Times New Roman"/>
          <w:b/>
          <w:color w:val="000000"/>
          <w:sz w:val="24"/>
          <w:szCs w:val="24"/>
          <w:highlight w:val="none"/>
        </w:rPr>
      </w:r>
      <w:r/>
    </w:p>
    <w:p>
      <w:pPr>
        <w:pStyle w:val="762"/>
        <w:ind w:left="0" w:firstLine="480"/>
        <w:keepLines w:val="0"/>
        <w:keepNext w:val="0"/>
        <w:pageBreakBefore w:val="0"/>
        <w:spacing w:line="480" w:lineRule="exact"/>
        <w:widowControl w:val="off"/>
        <w:rPr>
          <w:rFonts w:hint="eastAsia" w:ascii="宋体" w:hAnsi="宋体" w:eastAsia="宋体" w:cs="方正仿宋_GBK"/>
          <w:color w:val="000000"/>
          <w:sz w:val="24"/>
          <w:szCs w:val="24"/>
          <w:highlight w:val="none"/>
          <w:lang w:val="en-US" w:eastAsia="zh-CN"/>
        </w:rPr>
      </w:pPr>
      <w:r>
        <w:rPr>
          <w:rFonts w:hint="eastAsia" w:ascii="宋体" w:hAnsi="宋体" w:eastAsia="宋体" w:cs="方正仿宋_GBK"/>
          <w:color w:val="000000"/>
          <w:sz w:val="24"/>
          <w:szCs w:val="24"/>
          <w:highlight w:val="none"/>
          <w:lang w:val="en-US" w:eastAsia="zh-CN"/>
        </w:rPr>
        <w:t xml:space="preserve">（1）本项目对采购本国产品给予政策支持，具体内容见招标文件“第五章评标方法与评标标准”。</w:t>
      </w:r>
      <w:r>
        <w:rPr>
          <w:rFonts w:hint="eastAsia" w:ascii="宋体" w:hAnsi="宋体" w:eastAsia="宋体" w:cs="方正仿宋_GBK"/>
          <w:color w:val="000000"/>
          <w:sz w:val="24"/>
          <w:szCs w:val="24"/>
          <w:highlight w:val="none"/>
          <w:lang w:val="en-US" w:eastAsia="zh-CN"/>
        </w:rPr>
      </w:r>
      <w:r/>
    </w:p>
    <w:p>
      <w:pPr>
        <w:pStyle w:val="762"/>
        <w:ind w:left="0" w:firstLine="480"/>
        <w:keepLines w:val="0"/>
        <w:keepNext w:val="0"/>
        <w:pageBreakBefore w:val="0"/>
        <w:spacing w:line="480" w:lineRule="exact"/>
        <w:widowControl w:val="off"/>
        <w:rPr>
          <w:rFonts w:hint="eastAsia" w:ascii="宋体" w:hAnsi="宋体" w:eastAsia="宋体" w:cs="方正仿宋_GBK"/>
          <w:color w:val="000000"/>
          <w:sz w:val="24"/>
          <w:szCs w:val="24"/>
          <w:highlight w:val="none"/>
          <w:lang w:val="en-US" w:eastAsia="zh-CN"/>
        </w:rPr>
      </w:pPr>
      <w:r>
        <w:rPr>
          <w:rFonts w:hint="eastAsia" w:ascii="宋体" w:hAnsi="宋体" w:eastAsia="宋体" w:cs="方正仿宋_GBK"/>
          <w:color w:val="000000"/>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方正仿宋_GBK"/>
          <w:color w:val="000000"/>
          <w:sz w:val="24"/>
          <w:szCs w:val="24"/>
          <w:highlight w:val="none"/>
          <w:lang w:val="en-US" w:eastAsia="zh-CN"/>
        </w:rPr>
      </w:r>
      <w:r/>
    </w:p>
    <w:p>
      <w:pPr>
        <w:pStyle w:val="762"/>
        <w:ind w:left="0" w:firstLine="480"/>
        <w:keepLines w:val="0"/>
        <w:keepNext w:val="0"/>
        <w:pageBreakBefore w:val="0"/>
        <w:spacing w:line="480" w:lineRule="exact"/>
        <w:widowControl w:val="off"/>
        <w:rPr>
          <w:rFonts w:hint="eastAsia" w:ascii="宋体" w:hAnsi="宋体" w:eastAsia="宋体" w:cs="方正仿宋_GBK"/>
          <w:color w:val="000000"/>
          <w:sz w:val="24"/>
          <w:szCs w:val="24"/>
          <w:highlight w:val="none"/>
          <w:lang w:val="en-US" w:eastAsia="zh-CN"/>
        </w:rPr>
      </w:pPr>
      <w:r>
        <w:rPr>
          <w:rFonts w:hint="eastAsia" w:ascii="宋体" w:hAnsi="宋体" w:eastAsia="宋体" w:cs="方正仿宋_GBK"/>
          <w:color w:val="000000"/>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方正仿宋_GBK"/>
          <w:color w:val="000000"/>
          <w:sz w:val="24"/>
          <w:szCs w:val="24"/>
          <w:highlight w:val="none"/>
          <w:lang w:val="en-US" w:eastAsia="zh-CN"/>
        </w:rPr>
      </w:r>
      <w:r/>
    </w:p>
    <w:p>
      <w:pPr>
        <w:pStyle w:val="762"/>
        <w:ind w:left="0" w:firstLine="482"/>
        <w:keepLines w:val="0"/>
        <w:keepNext w:val="0"/>
        <w:pageBreakBefore w:val="0"/>
        <w:spacing w:line="480" w:lineRule="exact"/>
        <w:widowControl w:val="off"/>
        <w:rPr>
          <w:rFonts w:hint="eastAsia" w:ascii="宋体" w:hAnsi="宋体" w:eastAsia="宋体" w:cs="方正仿宋_GBK"/>
          <w:b/>
          <w:bCs/>
          <w:color w:val="000000"/>
          <w:sz w:val="24"/>
          <w:szCs w:val="24"/>
          <w:highlight w:val="none"/>
          <w:lang w:val="en-US" w:eastAsia="zh-CN"/>
        </w:rPr>
      </w:pPr>
      <w:r>
        <w:rPr>
          <w:rFonts w:hint="eastAsia" w:ascii="宋体" w:hAnsi="宋体" w:eastAsia="宋体" w:cs="方正仿宋_GBK"/>
          <w:b/>
          <w:bCs/>
          <w:color w:val="000000"/>
          <w:sz w:val="24"/>
          <w:szCs w:val="24"/>
          <w:highlight w:val="none"/>
          <w:lang w:val="en-US" w:eastAsia="zh-CN"/>
        </w:rPr>
        <w:t xml:space="preserve">5.采购标的所属行业</w:t>
      </w:r>
      <w:r>
        <w:rPr>
          <w:rFonts w:hint="eastAsia" w:ascii="宋体" w:hAnsi="宋体" w:eastAsia="宋体" w:cs="方正仿宋_GBK"/>
          <w:b/>
          <w:bCs/>
          <w:color w:val="000000"/>
          <w:sz w:val="24"/>
          <w:szCs w:val="24"/>
          <w:highlight w:val="none"/>
          <w:lang w:val="en-US" w:eastAsia="zh-CN"/>
        </w:rPr>
      </w:r>
      <w:r/>
    </w:p>
    <w:p>
      <w:pPr>
        <w:pStyle w:val="762"/>
        <w:ind w:left="0" w:firstLine="480"/>
        <w:keepLines w:val="0"/>
        <w:keepNext w:val="0"/>
        <w:pageBreakBefore w:val="0"/>
        <w:spacing w:line="480" w:lineRule="exact"/>
        <w:widowControl w:val="off"/>
        <w:rPr>
          <w:rFonts w:hint="eastAsia" w:ascii="宋体" w:hAnsi="宋体" w:eastAsia="宋体" w:cs="方正仿宋_GBK"/>
          <w:sz w:val="24"/>
          <w:szCs w:val="24"/>
          <w:highlight w:val="none"/>
          <w:lang w:val="en-US" w:eastAsia="zh-CN"/>
        </w:rPr>
      </w:pPr>
      <w:r>
        <w:rPr>
          <w:rFonts w:hint="eastAsia" w:ascii="宋体" w:hAnsi="宋体" w:eastAsia="宋体" w:cs="方正仿宋_GBK"/>
          <w:color w:val="000000"/>
          <w:sz w:val="24"/>
          <w:szCs w:val="24"/>
          <w:highlight w:val="none"/>
          <w:lang w:val="en-US" w:eastAsia="zh-CN"/>
        </w:rPr>
        <w:t xml:space="preserve">参照《关于印发中小企业划型标准规定的通知》（工信部联企业〔2011〕300号）文件，本项目采购标的所属行业为：</w:t>
      </w:r>
      <w:r>
        <w:rPr>
          <w:rFonts w:hint="eastAsia" w:ascii="宋体" w:hAnsi="宋体" w:eastAsia="宋体" w:cs="Times New Roman"/>
          <w:color w:val="000000"/>
          <w:sz w:val="24"/>
          <w:szCs w:val="24"/>
          <w:highlight w:val="none"/>
          <w:u w:val="single"/>
          <w:lang w:val="en-US" w:eastAsia="zh-CN"/>
        </w:rPr>
        <w:t xml:space="preserve">软件和信息技术服务业</w:t>
      </w:r>
      <w:r>
        <w:rPr>
          <w:rFonts w:hint="eastAsia" w:ascii="Times New Roman" w:hAnsi="Times New Roman" w:eastAsia="宋体" w:cs="Times New Roman"/>
          <w:color w:val="000000"/>
          <w:highlight w:val="none"/>
          <w:lang w:eastAsia="zh-CN"/>
        </w:rPr>
        <w:t xml:space="preserve">。</w:t>
      </w:r>
      <w:r>
        <w:rPr>
          <w:rFonts w:hint="eastAsia" w:ascii="宋体" w:hAnsi="宋体" w:eastAsia="宋体" w:cs="方正仿宋_GBK"/>
          <w:sz w:val="24"/>
          <w:szCs w:val="24"/>
          <w:highlight w:val="none"/>
          <w:lang w:val="en-US" w:eastAsia="zh-CN"/>
        </w:rPr>
      </w:r>
      <w:r/>
    </w:p>
    <w:p>
      <w:pPr>
        <w:pStyle w:val="763"/>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63"/>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第五章评标方法与评标标准</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ind w:firstLine="480"/>
        <w:jc w:val="left"/>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w:t>
      </w:r>
      <w:r>
        <w:rPr>
          <w:rFonts w:hint="eastAsia" w:ascii="Times New Roman" w:hAnsi="Times New Roman" w:eastAsia="宋体" w:cs="Times New Roman"/>
          <w:color w:val="000000"/>
          <w:sz w:val="24"/>
          <w:szCs w:val="24"/>
          <w:highlight w:val="none"/>
          <w:lang w:val="en-US" w:eastAsia="zh-CN" w:bidi="ar-SA"/>
        </w:rPr>
        <w:t xml:space="preserve">采购包</w:t>
      </w:r>
      <w:r>
        <w:rPr>
          <w:rFonts w:ascii="Times New Roman" w:hAnsi="Times New Roman" w:eastAsia="宋体" w:cs="Times New Roman"/>
          <w:color w:val="000000"/>
          <w:sz w:val="24"/>
          <w:szCs w:val="24"/>
          <w:highlight w:val="none"/>
          <w:lang w:val="en-US" w:eastAsia="zh-CN" w:bidi="ar-SA"/>
        </w:rPr>
        <w:t xml:space="preserve">一取1名中标候选人</w:t>
      </w:r>
      <w:r>
        <w:rPr>
          <w:rFonts w:hint="eastAsia" w:ascii="Times New Roman" w:hAnsi="Times New Roman" w:eastAsia="宋体" w:cs="Times New Roman"/>
          <w:color w:val="000000"/>
          <w:sz w:val="24"/>
          <w:szCs w:val="24"/>
          <w:highlight w:val="none"/>
          <w:lang w:val="en-US" w:eastAsia="zh-CN" w:bidi="ar-SA"/>
        </w:rPr>
        <w:t xml:space="preserve">、采购包二</w:t>
      </w:r>
      <w:r>
        <w:rPr>
          <w:rFonts w:ascii="Times New Roman" w:hAnsi="Times New Roman" w:eastAsia="宋体" w:cs="Times New Roman"/>
          <w:color w:val="000000"/>
          <w:sz w:val="24"/>
          <w:szCs w:val="24"/>
          <w:highlight w:val="none"/>
          <w:lang w:val="en-US" w:eastAsia="zh-CN" w:bidi="ar-SA"/>
        </w:rPr>
        <w:t xml:space="preserve">取1名中标候选人</w:t>
      </w:r>
      <w:r>
        <w:rPr>
          <w:rFonts w:hint="eastAsia" w:ascii="Times New Roman" w:hAnsi="Times New Roman" w:eastAsia="宋体" w:cs="Times New Roman"/>
          <w:color w:val="000000"/>
          <w:sz w:val="24"/>
          <w:szCs w:val="24"/>
          <w:highlight w:val="none"/>
          <w:lang w:val="en-US" w:eastAsia="zh-CN" w:bidi="ar-SA"/>
        </w:rPr>
        <w:t xml:space="preserve">、采购包三</w:t>
      </w:r>
      <w:r>
        <w:rPr>
          <w:rFonts w:ascii="Times New Roman" w:hAnsi="Times New Roman" w:eastAsia="宋体" w:cs="Times New Roman"/>
          <w:color w:val="000000"/>
          <w:sz w:val="24"/>
          <w:szCs w:val="24"/>
          <w:highlight w:val="none"/>
          <w:lang w:val="en-US" w:eastAsia="zh-CN" w:bidi="ar-SA"/>
        </w:rPr>
        <w:t xml:space="preserve">取1名中标候选人</w:t>
      </w:r>
      <w:r>
        <w:rPr>
          <w:rFonts w:hint="eastAsia"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r>
      <w:r/>
    </w:p>
    <w:p>
      <w:pPr>
        <w:pStyle w:val="762"/>
        <w:ind w:firstLine="480"/>
        <w:jc w:val="left"/>
        <w:keepLines w:val="0"/>
        <w:keepNext w:val="0"/>
        <w:pageBreakBefore w:val="0"/>
        <w:spacing w:line="40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同一供应商可同时参与本项目多个采购包投标（允许多包兼投），中标资格限定如下：供应商若被推荐为采购包一中标候选人，则不得作为采购包二</w:t>
      </w:r>
      <w:r>
        <w:rPr>
          <w:rFonts w:hint="eastAsia" w:ascii="Times New Roman" w:hAnsi="Times New Roman" w:eastAsia="宋体" w:cs="Times New Roman"/>
          <w:color w:val="000000"/>
          <w:sz w:val="24"/>
          <w:szCs w:val="24"/>
          <w:highlight w:val="none"/>
          <w:lang w:val="en-US" w:eastAsia="zh-CN" w:bidi="ar-SA"/>
        </w:rPr>
        <w:t xml:space="preserve">的中标候选人，</w:t>
      </w:r>
      <w:r>
        <w:rPr>
          <w:rFonts w:ascii="Times New Roman" w:hAnsi="Times New Roman" w:eastAsia="宋体" w:cs="Times New Roman"/>
          <w:color w:val="000000"/>
          <w:sz w:val="24"/>
          <w:szCs w:val="24"/>
          <w:highlight w:val="none"/>
          <w:lang w:val="en-US" w:eastAsia="zh-CN" w:bidi="ar-SA"/>
        </w:rPr>
        <w:t xml:space="preserve">供应商无论是否取得采购包一、采购包二中标候选人资格，均不影响其参与采购包三投标及其中标候选人资格认定。</w:t>
      </w:r>
      <w:r>
        <w:rPr>
          <w:rFonts w:ascii="Times New Roman" w:hAnsi="Times New Roman" w:eastAsia="宋体" w:cs="Times New Roman"/>
          <w:color w:val="000000"/>
          <w:sz w:val="24"/>
          <w:szCs w:val="24"/>
          <w:highlight w:val="none"/>
          <w:lang w:val="en-US" w:eastAsia="zh-CN" w:bidi="ar-SA"/>
        </w:rPr>
      </w:r>
      <w:r/>
    </w:p>
    <w:p>
      <w:pPr>
        <w:pStyle w:val="762"/>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pStyle w:val="762"/>
        <w:ind w:firstLine="482"/>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rPr>
          <w:rFonts w:ascii="宋体" w:hAnsi="宋体" w:eastAsia="宋体" w:cs="宋体"/>
          <w:color w:val="000000"/>
          <w:sz w:val="24"/>
        </w:rPr>
      </w:r>
      <w:r/>
    </w:p>
    <w:p>
      <w:pPr>
        <w:pStyle w:val="762"/>
        <w:ind w:firstLine="482"/>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（1）本项目对小型和微型企业提供的服务给予10%的扣除价格，用扣除后的价格参与评审。</w:t>
      </w:r>
      <w:r>
        <w:rPr>
          <w:rFonts w:ascii="宋体" w:hAnsi="宋体" w:eastAsia="宋体" w:cs="宋体"/>
          <w:color w:val="000000"/>
          <w:sz w:val="24"/>
        </w:rPr>
      </w:r>
      <w:r/>
    </w:p>
    <w:p>
      <w:pPr>
        <w:pStyle w:val="762"/>
        <w:ind w:firstLine="482"/>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rPr>
          <w:rFonts w:ascii="宋体" w:hAnsi="宋体" w:eastAsia="宋体" w:cs="宋体"/>
          <w:color w:val="000000"/>
          <w:sz w:val="24"/>
        </w:rPr>
      </w:r>
      <w:r/>
    </w:p>
    <w:p>
      <w:pPr>
        <w:pStyle w:val="762"/>
        <w:ind w:firstLine="482"/>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rPr>
          <w:rFonts w:ascii="宋体" w:hAnsi="宋体" w:eastAsia="宋体" w:cs="宋体"/>
          <w:color w:val="000000"/>
          <w:sz w:val="24"/>
        </w:rPr>
      </w:r>
      <w:r/>
    </w:p>
    <w:p>
      <w:pPr>
        <w:pStyle w:val="762"/>
        <w:ind w:firstLine="482"/>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rPr>
          <w:rFonts w:ascii="宋体" w:hAnsi="宋体" w:eastAsia="宋体" w:cs="宋体"/>
          <w:color w:val="000000"/>
          <w:sz w:val="24"/>
        </w:rPr>
      </w:r>
      <w:r/>
    </w:p>
    <w:p>
      <w:pPr>
        <w:pStyle w:val="762"/>
        <w:ind w:firstLine="482"/>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（1）本项目对残疾人福利性单位视同小型、微型企业，给予10%的价格扣除，用扣除后的价格参与评审。</w:t>
      </w:r>
      <w:r>
        <w:rPr>
          <w:rFonts w:ascii="宋体" w:hAnsi="宋体" w:eastAsia="宋体" w:cs="宋体"/>
          <w:color w:val="000000"/>
          <w:sz w:val="24"/>
        </w:rPr>
      </w:r>
      <w:r/>
    </w:p>
    <w:p>
      <w:pPr>
        <w:pStyle w:val="762"/>
        <w:ind w:firstLine="482"/>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rPr>
          <w:rFonts w:ascii="宋体" w:hAnsi="宋体" w:eastAsia="宋体" w:cs="宋体"/>
          <w:color w:val="000000"/>
          <w:sz w:val="24"/>
        </w:rPr>
      </w:r>
      <w:r/>
    </w:p>
    <w:p>
      <w:pPr>
        <w:pStyle w:val="762"/>
        <w:ind w:firstLine="482"/>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rPr>
          <w:rFonts w:ascii="宋体" w:hAnsi="宋体" w:eastAsia="宋体" w:cs="宋体"/>
          <w:color w:val="000000"/>
          <w:sz w:val="24"/>
        </w:rPr>
      </w:r>
      <w:r/>
    </w:p>
    <w:p>
      <w:pPr>
        <w:pStyle w:val="762"/>
        <w:ind w:firstLine="482"/>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rPr>
          <w:rFonts w:ascii="宋体" w:hAnsi="宋体" w:eastAsia="宋体" w:cs="宋体"/>
          <w:color w:val="000000"/>
          <w:sz w:val="24"/>
        </w:rPr>
      </w:r>
      <w:r/>
    </w:p>
    <w:p>
      <w:pPr>
        <w:pStyle w:val="762"/>
        <w:ind w:firstLine="482"/>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（1）本项目对监狱和戒毒企业（简称监狱企业）视同小型、微型企业，给予10%的价格扣除，用扣除后的价格参与评审。</w:t>
      </w:r>
      <w:r>
        <w:rPr>
          <w:rFonts w:ascii="宋体" w:hAnsi="宋体" w:eastAsia="宋体" w:cs="宋体"/>
          <w:color w:val="000000"/>
          <w:sz w:val="24"/>
        </w:rPr>
      </w:r>
      <w:r/>
    </w:p>
    <w:p>
      <w:pPr>
        <w:pStyle w:val="762"/>
        <w:ind w:firstLine="482"/>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eastAsia="宋体" w:cs="宋体"/>
          <w:color w:val="000000"/>
          <w:sz w:val="24"/>
        </w:rPr>
      </w:r>
      <w:r/>
    </w:p>
    <w:p>
      <w:pPr>
        <w:pStyle w:val="762"/>
        <w:ind w:firstLine="482"/>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rPr>
          <w:rFonts w:ascii="宋体" w:hAnsi="宋体" w:eastAsia="宋体" w:cs="宋体"/>
          <w:color w:val="000000"/>
          <w:sz w:val="24"/>
        </w:rPr>
      </w:r>
      <w:r/>
    </w:p>
    <w:p>
      <w:pPr>
        <w:pStyle w:val="762"/>
        <w:ind w:firstLine="482"/>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rPr>
          <w:rFonts w:ascii="宋体" w:hAnsi="宋体" w:eastAsia="宋体" w:cs="宋体"/>
          <w:color w:val="000000"/>
          <w:sz w:val="24"/>
        </w:rPr>
      </w:r>
      <w:r/>
    </w:p>
    <w:p>
      <w:pPr>
        <w:pStyle w:val="762"/>
        <w:ind w:firstLine="482"/>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ascii="宋体" w:hAnsi="宋体" w:eastAsia="宋体" w:cs="宋体"/>
          <w:color w:val="000000"/>
          <w:sz w:val="24"/>
        </w:rPr>
      </w:r>
      <w:r/>
    </w:p>
    <w:p>
      <w:pPr>
        <w:pStyle w:val="762"/>
        <w:ind w:firstLine="482"/>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6、联合体各方均为小型、微型企业（残疾人福利单位、监狱企业）的，联合体享受10%价格扣除，用扣除后的价格参与评审。</w:t>
      </w:r>
      <w:r>
        <w:rPr>
          <w:rFonts w:ascii="宋体" w:hAnsi="宋体" w:eastAsia="宋体" w:cs="宋体"/>
          <w:color w:val="000000"/>
          <w:sz w:val="24"/>
        </w:rPr>
      </w:r>
      <w:r/>
    </w:p>
    <w:p>
      <w:pPr>
        <w:pStyle w:val="762"/>
        <w:ind w:firstLine="482"/>
        <w:keepLines w:val="0"/>
        <w:keepNext w:val="0"/>
        <w:pageBreakBefore w:val="0"/>
        <w:spacing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7、专门面向中小企业采购的项目，小微企业不再享受价格扣除优惠政策。</w:t>
      </w:r>
      <w:r>
        <w:rPr>
          <w:rFonts w:ascii="宋体" w:hAnsi="宋体" w:eastAsia="宋体" w:cs="宋体"/>
          <w:color w:val="000000"/>
          <w:sz w:val="24"/>
        </w:rPr>
      </w:r>
      <w:r/>
    </w:p>
    <w:p>
      <w:pPr>
        <w:pStyle w:val="762"/>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8、采购本国产品的支持政策</w:t>
      </w:r>
      <w:r/>
    </w:p>
    <w:p>
      <w:pPr>
        <w:pStyle w:val="762"/>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本项目政府采购活动中既有本国产品又有非本国产品参与竞争的，依法对本国产品给予价格评审优惠，对本国产品的报价给予 20%的价格扣除，用扣除后的价格参与评审。</w:t>
      </w:r>
      <w:r/>
    </w:p>
    <w:p>
      <w:pPr>
        <w:pStyle w:val="762"/>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62"/>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8.3 供应商需按照招标文件的要求提供《关于符合本国产品标准的声明函》（以下简称《声明函》），如不提供将不享受本国产品价格评审优惠。</w:t>
      </w:r>
      <w:r/>
    </w:p>
    <w:p>
      <w:pPr>
        <w:pStyle w:val="762"/>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62"/>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ind w:firstLine="482"/>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评标方法与评标标准（如有）</w:t>
      </w:r>
      <w:r/>
    </w:p>
    <w:p>
      <w:pPr>
        <w:pStyle w:val="762"/>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本项目采用 □最低评标价法；</w:t>
      </w:r>
      <w:r>
        <w:rPr>
          <w:rFonts w:hint="eastAsia" w:ascii="宋体" w:hAnsi="宋体" w:cs="宋体"/>
          <w:color w:val="000000"/>
          <w:sz w:val="24"/>
          <w:lang w:eastAsia="zh-CN"/>
        </w:rPr>
        <w:t xml:space="preserve">☑</w:t>
      </w:r>
      <w:r>
        <w:rPr>
          <w:rFonts w:ascii="宋体" w:hAnsi="宋体" w:cs="宋体"/>
          <w:color w:val="000000"/>
          <w:sz w:val="24"/>
        </w:rPr>
        <w:t xml:space="preserve">综合评分法，评标标准如下：</w:t>
      </w:r>
      <w:r/>
    </w:p>
    <w:p>
      <w:pPr>
        <w:pStyle w:val="762"/>
        <w:jc w:val="center"/>
        <w:rPr>
          <w:rFonts w:ascii="Times New Roman" w:hAnsi="Times New Roman" w:eastAsia="方正黑体_GBK" w:cs="Times New Roman"/>
          <w:color w:val="000000"/>
          <w:sz w:val="24"/>
          <w:szCs w:val="24"/>
          <w:highlight w:val="none"/>
        </w:rPr>
      </w:pPr>
      <w:r>
        <w:rPr>
          <w:rFonts w:ascii="宋体" w:hAnsi="宋体" w:cs="宋体"/>
          <w:color w:val="000000"/>
        </w:rPr>
        <w:t xml:space="preserve"> </w:t>
      </w:r>
      <w:r>
        <w:rPr>
          <w:rFonts w:hint="eastAsia" w:ascii="宋体" w:hAnsi="宋体" w:eastAsia="宋体" w:cs="Times New Roman"/>
          <w:color w:val="000000"/>
          <w:sz w:val="32"/>
          <w:szCs w:val="32"/>
          <w:highlight w:val="none"/>
          <w:lang w:val="en-US" w:eastAsia="zh-CN" w:bidi="ar-SA"/>
        </w:rPr>
        <w:t xml:space="preserve"> 采购包一</w:t>
      </w:r>
      <w:r>
        <w:rPr>
          <w:rFonts w:ascii="Times New Roman" w:hAnsi="Times New Roman" w:eastAsia="方正黑体_GBK" w:cs="Times New Roman"/>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40"/>
        <w:gridCol w:w="6505"/>
        <w:gridCol w:w="810"/>
      </w:tblGrid>
      <w:tr>
        <w:trPr>
          <w:trHeight w:val="540"/>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62"/>
              <w:jc w:val="center"/>
              <w:spacing w:line="320" w:lineRule="exact"/>
              <w:widowControl/>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lang w:bidi="ar"/>
              </w:rPr>
              <w:t xml:space="preserve">评分项</w:t>
            </w:r>
            <w:r>
              <w:rPr>
                <w:rFonts w:ascii="Times New Roman" w:hAnsi="Times New Roman" w:eastAsia="宋体" w:cs="Times New Roman"/>
                <w:b/>
                <w:bCs/>
                <w:color w:val="000000"/>
                <w:highlight w:val="none"/>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pStyle w:val="762"/>
              <w:jc w:val="center"/>
              <w:spacing w:line="320" w:lineRule="exact"/>
              <w:widowControl/>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lang w:bidi="ar"/>
              </w:rPr>
              <w:t xml:space="preserve">评审标准</w:t>
            </w:r>
            <w:r>
              <w:rPr>
                <w:rFonts w:ascii="Times New Roman" w:hAnsi="Times New Roman" w:eastAsia="宋体" w:cs="Times New Roman"/>
                <w:b/>
                <w:bCs/>
                <w:color w:val="000000"/>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2"/>
              <w:jc w:val="center"/>
              <w:spacing w:line="320" w:lineRule="exact"/>
              <w:widowControl/>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lang w:bidi="ar"/>
              </w:rPr>
              <w:t xml:space="preserve">分值</w:t>
            </w:r>
            <w:r>
              <w:rPr>
                <w:rFonts w:ascii="Times New Roman" w:hAnsi="Times New Roman" w:eastAsia="宋体" w:cs="Times New Roman"/>
                <w:b/>
                <w:bCs/>
                <w:color w:val="000000"/>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bidi="ar"/>
              </w:rPr>
              <w:t xml:space="preserve">价格</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pStyle w:val="762"/>
              <w:spacing w:line="32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bidi="ar"/>
              </w:rPr>
              <w:t xml:space="preserve">文件要求且最终报价最低的投标报价为评标基准价，其价格分为满分1</w:t>
            </w:r>
            <w:r>
              <w:rPr>
                <w:rFonts w:hint="eastAsia" w:ascii="Times New Roman" w:hAnsi="Times New Roman" w:eastAsia="宋体" w:cs="Times New Roman"/>
                <w:color w:val="000000"/>
                <w:highlight w:val="none"/>
                <w:lang w:val="en-US" w:eastAsia="zh-CN" w:bidi="ar"/>
              </w:rPr>
              <w:t xml:space="preserve">0</w:t>
            </w:r>
            <w:r>
              <w:rPr>
                <w:rFonts w:ascii="Times New Roman" w:hAnsi="Times New Roman" w:eastAsia="宋体" w:cs="Times New Roman"/>
                <w:color w:val="000000"/>
                <w:highlight w:val="none"/>
                <w:lang w:bidi="ar"/>
              </w:rPr>
              <w:t xml:space="preserve">分。价格分按以下公式计算：价格分=评标基准价/投标报价×1</w:t>
            </w:r>
            <w:r>
              <w:rPr>
                <w:rFonts w:hint="eastAsia" w:ascii="Times New Roman" w:hAnsi="Times New Roman" w:eastAsia="宋体" w:cs="Times New Roman"/>
                <w:color w:val="000000"/>
                <w:highlight w:val="none"/>
                <w:lang w:val="en-US" w:eastAsia="zh-CN" w:bidi="ar"/>
              </w:rPr>
              <w:t xml:space="preserve">0</w:t>
            </w:r>
            <w:r>
              <w:rPr>
                <w:rFonts w:ascii="Times New Roman" w:hAnsi="Times New Roman" w:eastAsia="宋体" w:cs="Times New Roman"/>
                <w:color w:val="000000"/>
                <w:highlight w:val="none"/>
                <w:lang w:bidi="ar"/>
              </w:rPr>
              <w:t xml:space="preserve">。</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10</w:t>
            </w:r>
            <w:r>
              <w:rPr>
                <w:rFonts w:ascii="Times New Roman" w:hAnsi="Times New Roman" w:eastAsia="宋体" w:cs="Times New Roman"/>
                <w:color w:val="000000"/>
                <w:highlight w:val="none"/>
                <w:lang w:val="en-US" w:eastAsia="zh-CN"/>
              </w:rPr>
            </w:r>
            <w:r/>
          </w:p>
        </w:tc>
      </w:tr>
      <w:tr>
        <w:trPr>
          <w:trHeight w:val="965"/>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bidi="ar"/>
              </w:rPr>
              <w:t xml:space="preserve">技术参数要求</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pStyle w:val="762"/>
              <w:jc w:val="left"/>
              <w:spacing w:line="320" w:lineRule="exact"/>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bidi="ar"/>
              </w:rPr>
              <w:t xml:space="preserve">所有技术指标均满足招标文件技术参数要求得30分。标注▲的内容，有1项不满足，扣2分；未标注▲的内容，有1项不满足，扣1分，扣完为止。</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bidi="ar"/>
              </w:rPr>
              <w:t xml:space="preserve">30</w:t>
            </w:r>
            <w:r>
              <w:rPr>
                <w:rFonts w:ascii="Times New Roman" w:hAnsi="Times New Roman" w:eastAsia="宋体" w:cs="Times New Roman"/>
                <w:color w:val="000000"/>
                <w:highlight w:val="none"/>
                <w:lang w:val="en-US" w:eastAsia="zh-CN"/>
              </w:rPr>
            </w:r>
            <w:r/>
          </w:p>
        </w:tc>
      </w:tr>
      <w:tr>
        <w:trPr>
          <w:trHeight w:val="1075"/>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bidi="ar"/>
              </w:rPr>
              <w:t xml:space="preserve">拟投入项目人员</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pStyle w:val="762"/>
              <w:jc w:val="left"/>
              <w:spacing w:line="320" w:lineRule="exact"/>
              <w:widowControl/>
              <w:rPr>
                <w:rFonts w:hint="eastAsia"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1.项目经理：</w:t>
            </w:r>
            <w:r>
              <w:rPr>
                <w:rFonts w:hint="eastAsia" w:ascii="Times New Roman" w:hAnsi="Times New Roman" w:eastAsia="宋体" w:cs="Times New Roman"/>
                <w:color w:val="000000"/>
                <w:highlight w:val="none"/>
              </w:rPr>
            </w:r>
            <w:r/>
          </w:p>
          <w:p>
            <w:pPr>
              <w:pStyle w:val="762"/>
              <w:jc w:val="left"/>
              <w:spacing w:line="320" w:lineRule="exact"/>
              <w:widowControl/>
              <w:rPr>
                <w:rFonts w:hint="eastAsia"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具有</w:t>
            </w:r>
            <w:r>
              <w:rPr>
                <w:rFonts w:hint="eastAsia" w:ascii="Times New Roman" w:hAnsi="Times New Roman" w:eastAsia="宋体" w:cs="Times New Roman"/>
                <w:color w:val="000000"/>
                <w:highlight w:val="none"/>
              </w:rPr>
              <w:t xml:space="preserve">高级工程师（</w:t>
            </w:r>
            <w:r>
              <w:rPr>
                <w:rFonts w:hint="eastAsia" w:ascii="Times New Roman" w:hAnsi="Times New Roman" w:eastAsia="宋体" w:cs="Times New Roman"/>
                <w:color w:val="000000"/>
                <w:highlight w:val="none"/>
                <w:lang w:val="en-US" w:eastAsia="zh-CN"/>
              </w:rPr>
              <w:t xml:space="preserve">通信类</w:t>
            </w:r>
            <w:r>
              <w:rPr>
                <w:rFonts w:hint="eastAsia" w:ascii="Times New Roman" w:hAnsi="Times New Roman" w:eastAsia="宋体" w:cs="Times New Roman"/>
                <w:color w:val="000000"/>
                <w:highlight w:val="none"/>
              </w:rPr>
              <w:t xml:space="preserve">）、信息系统项目管理师</w:t>
            </w:r>
            <w:r>
              <w:rPr>
                <w:rFonts w:hint="eastAsia" w:ascii="Times New Roman" w:hAnsi="Times New Roman" w:eastAsia="宋体" w:cs="Times New Roman"/>
                <w:color w:val="000000"/>
                <w:highlight w:val="none"/>
                <w:lang w:val="en-US" w:eastAsia="zh-CN"/>
              </w:rPr>
              <w:t xml:space="preserve">证书</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每提供</w:t>
            </w:r>
            <w:r>
              <w:rPr>
                <w:rFonts w:hint="eastAsia" w:ascii="Times New Roman" w:hAnsi="Times New Roman" w:eastAsia="宋体" w:cs="Times New Roman"/>
                <w:color w:val="000000"/>
                <w:highlight w:val="none"/>
              </w:rPr>
              <w:t xml:space="preserve">1个得</w:t>
            </w:r>
            <w:r>
              <w:rPr>
                <w:rFonts w:hint="eastAsia" w:ascii="Times New Roman" w:hAnsi="Times New Roman" w:eastAsia="宋体" w:cs="Times New Roman"/>
                <w:color w:val="000000"/>
                <w:highlight w:val="none"/>
                <w:lang w:val="en-US" w:eastAsia="zh-CN"/>
              </w:rPr>
              <w:t xml:space="preserve">3</w:t>
            </w:r>
            <w:r>
              <w:rPr>
                <w:rFonts w:hint="eastAsia" w:ascii="Times New Roman" w:hAnsi="Times New Roman" w:eastAsia="宋体" w:cs="Times New Roman"/>
                <w:color w:val="000000"/>
                <w:highlight w:val="none"/>
              </w:rPr>
              <w:t xml:space="preserve">分，本项最高得</w:t>
            </w:r>
            <w:r>
              <w:rPr>
                <w:rFonts w:hint="eastAsia" w:ascii="Times New Roman" w:hAnsi="Times New Roman" w:eastAsia="宋体" w:cs="Times New Roman"/>
                <w:color w:val="000000"/>
                <w:highlight w:val="none"/>
                <w:lang w:val="en-US" w:eastAsia="zh-CN"/>
              </w:rPr>
              <w:t xml:space="preserve">6</w:t>
            </w:r>
            <w:r>
              <w:rPr>
                <w:rFonts w:hint="eastAsia"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r>
            <w:r/>
          </w:p>
          <w:p>
            <w:pPr>
              <w:pStyle w:val="762"/>
              <w:jc w:val="left"/>
              <w:spacing w:line="320" w:lineRule="exact"/>
              <w:widowControl/>
              <w:rPr>
                <w:rFonts w:hint="eastAsia"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2.团队</w:t>
            </w:r>
            <w:r>
              <w:rPr>
                <w:rFonts w:hint="eastAsia" w:ascii="Times New Roman" w:hAnsi="Times New Roman" w:eastAsia="宋体" w:cs="Times New Roman"/>
                <w:color w:val="000000"/>
                <w:highlight w:val="none"/>
                <w:lang w:val="en-US" w:eastAsia="zh-CN"/>
              </w:rPr>
              <w:t xml:space="preserve">成员</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r>
            <w:r/>
          </w:p>
          <w:p>
            <w:pPr>
              <w:pStyle w:val="762"/>
              <w:jc w:val="left"/>
              <w:spacing w:line="320" w:lineRule="exact"/>
              <w:widowControl/>
              <w:rPr>
                <w:rFonts w:hint="eastAsia"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具有</w:t>
            </w:r>
            <w:r>
              <w:rPr>
                <w:rFonts w:hint="eastAsia" w:ascii="Times New Roman" w:hAnsi="Times New Roman" w:eastAsia="宋体" w:cs="Times New Roman"/>
                <w:color w:val="000000"/>
                <w:highlight w:val="none"/>
              </w:rPr>
              <w:t xml:space="preserve">高级工程师（通信</w:t>
            </w:r>
            <w:r>
              <w:rPr>
                <w:rFonts w:hint="eastAsia" w:ascii="Times New Roman" w:hAnsi="Times New Roman" w:eastAsia="宋体" w:cs="Times New Roman"/>
                <w:color w:val="000000"/>
                <w:highlight w:val="none"/>
                <w:lang w:val="en-US" w:eastAsia="zh-CN"/>
              </w:rPr>
              <w:t xml:space="preserve">类</w:t>
            </w:r>
            <w:r>
              <w:rPr>
                <w:rFonts w:hint="eastAsia" w:ascii="Times New Roman" w:hAnsi="Times New Roman" w:eastAsia="宋体" w:cs="Times New Roman"/>
                <w:color w:val="000000"/>
                <w:highlight w:val="none"/>
              </w:rPr>
              <w:t xml:space="preserve">）、信息系统项目管理师</w:t>
            </w:r>
            <w:r>
              <w:rPr>
                <w:rFonts w:hint="eastAsia" w:ascii="Times New Roman" w:hAnsi="Times New Roman" w:eastAsia="宋体" w:cs="Times New Roman"/>
                <w:color w:val="000000"/>
                <w:highlight w:val="none"/>
                <w:lang w:val="en-US" w:eastAsia="zh-CN"/>
              </w:rPr>
              <w:t xml:space="preserve">证书</w:t>
            </w:r>
            <w:r>
              <w:rPr>
                <w:rFonts w:hint="eastAsia" w:ascii="Times New Roman" w:hAnsi="Times New Roman" w:eastAsia="宋体" w:cs="Times New Roman"/>
                <w:color w:val="000000"/>
                <w:highlight w:val="none"/>
                <w:lang w:eastAsia="zh-CN"/>
              </w:rPr>
              <w:t xml:space="preserve">，每提供1个得2分，最高得</w:t>
            </w:r>
            <w:r>
              <w:rPr>
                <w:rFonts w:hint="eastAsia" w:ascii="Times New Roman" w:hAnsi="Times New Roman" w:eastAsia="宋体" w:cs="Times New Roman"/>
                <w:color w:val="000000"/>
                <w:highlight w:val="none"/>
                <w:lang w:val="en-US" w:eastAsia="zh-CN"/>
              </w:rPr>
              <w:t xml:space="preserve">4</w:t>
            </w:r>
            <w:r>
              <w:rPr>
                <w:rFonts w:hint="eastAsia" w:ascii="Times New Roman" w:hAnsi="Times New Roman" w:eastAsia="宋体" w:cs="Times New Roman"/>
                <w:color w:val="000000"/>
                <w:highlight w:val="none"/>
                <w:lang w:eastAsia="zh-CN"/>
              </w:rPr>
              <w:t xml:space="preserve">分；</w:t>
            </w:r>
            <w:r>
              <w:rPr>
                <w:rFonts w:hint="eastAsia" w:ascii="Times New Roman" w:hAnsi="Times New Roman" w:eastAsia="宋体" w:cs="Times New Roman"/>
                <w:color w:val="000000"/>
                <w:highlight w:val="none"/>
                <w:lang w:eastAsia="zh-CN"/>
              </w:rPr>
            </w:r>
            <w:r/>
          </w:p>
          <w:p>
            <w:pPr>
              <w:pStyle w:val="762"/>
              <w:jc w:val="left"/>
              <w:spacing w:line="320" w:lineRule="exact"/>
              <w:widowControl/>
              <w:rPr>
                <w:rFonts w:hint="eastAsia"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具有通信专业技术人员职业</w:t>
            </w:r>
            <w:r>
              <w:rPr>
                <w:rFonts w:hint="eastAsia" w:ascii="Times New Roman" w:hAnsi="Times New Roman" w:eastAsia="宋体" w:cs="Times New Roman"/>
                <w:color w:val="000000"/>
                <w:highlight w:val="none"/>
                <w:lang w:val="en-US" w:eastAsia="zh-CN"/>
              </w:rPr>
              <w:t xml:space="preserve">证书</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t xml:space="preserve">中级</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t xml:space="preserve">网络工程师（中级），</w:t>
            </w:r>
            <w:r>
              <w:rPr>
                <w:rFonts w:hint="eastAsia" w:ascii="Times New Roman" w:hAnsi="Times New Roman" w:eastAsia="宋体" w:cs="Times New Roman"/>
                <w:color w:val="000000"/>
                <w:highlight w:val="none"/>
                <w:lang w:eastAsia="zh-CN"/>
              </w:rPr>
              <w:t xml:space="preserve">每提供1个得</w:t>
            </w:r>
            <w:r>
              <w:rPr>
                <w:rFonts w:hint="eastAsia" w:ascii="Times New Roman" w:hAnsi="Times New Roman" w:eastAsia="宋体" w:cs="Times New Roman"/>
                <w:color w:val="000000"/>
                <w:highlight w:val="none"/>
                <w:lang w:val="en-US" w:eastAsia="zh-CN"/>
              </w:rPr>
              <w:t xml:space="preserve">1</w:t>
            </w:r>
            <w:r>
              <w:rPr>
                <w:rFonts w:hint="eastAsia" w:ascii="Times New Roman" w:hAnsi="Times New Roman" w:eastAsia="宋体" w:cs="Times New Roman"/>
                <w:color w:val="000000"/>
                <w:highlight w:val="none"/>
                <w:lang w:eastAsia="zh-CN"/>
              </w:rPr>
              <w:t xml:space="preserve">分，最高得</w:t>
            </w:r>
            <w:r>
              <w:rPr>
                <w:rFonts w:hint="eastAsia" w:ascii="Times New Roman" w:hAnsi="Times New Roman" w:eastAsia="宋体" w:cs="Times New Roman"/>
                <w:color w:val="000000"/>
                <w:highlight w:val="none"/>
                <w:lang w:val="en-US" w:eastAsia="zh-CN"/>
              </w:rPr>
              <w:t xml:space="preserve">2</w:t>
            </w:r>
            <w:r>
              <w:rPr>
                <w:rFonts w:hint="eastAsia" w:ascii="Times New Roman" w:hAnsi="Times New Roman" w:eastAsia="宋体" w:cs="Times New Roman"/>
                <w:color w:val="000000"/>
                <w:highlight w:val="none"/>
                <w:lang w:eastAsia="zh-CN"/>
              </w:rPr>
              <w:t xml:space="preserve">分；</w:t>
            </w:r>
            <w:r>
              <w:rPr>
                <w:rFonts w:hint="eastAsia" w:ascii="Times New Roman" w:hAnsi="Times New Roman" w:eastAsia="宋体" w:cs="Times New Roman"/>
                <w:color w:val="000000"/>
                <w:highlight w:val="none"/>
              </w:rPr>
            </w:r>
            <w:r/>
          </w:p>
          <w:p>
            <w:pPr>
              <w:pStyle w:val="762"/>
              <w:jc w:val="left"/>
              <w:spacing w:line="32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注：</w:t>
            </w:r>
            <w:r>
              <w:rPr>
                <w:rFonts w:ascii="Times New Roman" w:hAnsi="Times New Roman" w:eastAsia="宋体" w:cs="Times New Roman"/>
                <w:color w:val="000000"/>
                <w:highlight w:val="none"/>
              </w:rPr>
            </w:r>
            <w:r/>
          </w:p>
          <w:p>
            <w:pPr>
              <w:pStyle w:val="762"/>
              <w:jc w:val="left"/>
              <w:spacing w:line="320" w:lineRule="exact"/>
              <w:widowControl/>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rPr>
              <w:t xml:space="preserve">1.</w:t>
            </w:r>
            <w:r>
              <w:rPr>
                <w:rFonts w:ascii="Times New Roman" w:hAnsi="Times New Roman" w:eastAsia="宋体" w:cs="Times New Roman"/>
                <w:color w:val="000000"/>
                <w:highlight w:val="none"/>
              </w:rPr>
              <w:t xml:space="preserve">提供上述证书及</w:t>
            </w:r>
            <w:r>
              <w:rPr>
                <w:rFonts w:hint="eastAsia" w:ascii="Times New Roman" w:hAnsi="Times New Roman" w:eastAsia="宋体" w:cs="Times New Roman"/>
                <w:color w:val="000000"/>
                <w:highlight w:val="none"/>
              </w:rPr>
              <w:t xml:space="preserve">近6个月内任意一个月投标</w:t>
            </w:r>
            <w:r>
              <w:rPr>
                <w:rFonts w:ascii="Times New Roman" w:hAnsi="Times New Roman" w:eastAsia="宋体" w:cs="Times New Roman"/>
                <w:color w:val="000000"/>
                <w:highlight w:val="none"/>
              </w:rPr>
              <w:t xml:space="preserve">人为其缴纳社保</w:t>
            </w:r>
            <w:r>
              <w:rPr>
                <w:rFonts w:hint="eastAsia" w:ascii="Times New Roman" w:hAnsi="Times New Roman" w:eastAsia="宋体" w:cs="Times New Roman"/>
                <w:color w:val="000000"/>
                <w:highlight w:val="none"/>
                <w:lang w:val="en-US" w:eastAsia="zh-CN"/>
              </w:rPr>
              <w:t xml:space="preserve">的</w:t>
            </w:r>
            <w:r>
              <w:rPr>
                <w:rFonts w:ascii="Times New Roman" w:hAnsi="Times New Roman" w:eastAsia="宋体" w:cs="Times New Roman"/>
                <w:color w:val="000000"/>
                <w:highlight w:val="none"/>
              </w:rPr>
              <w:t xml:space="preserve">证明扫描件</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（如投标人拟投入项目人员由投标人上级机构统一缴纳社保，也可提供相关情况说明加盖投标人公章，以及上级机构为该人员缴纳社保的证明扫描件）</w:t>
            </w:r>
            <w:r>
              <w:rPr>
                <w:rFonts w:ascii="Times New Roman" w:hAnsi="Times New Roman" w:eastAsia="宋体" w:cs="Times New Roman"/>
                <w:color w:val="000000"/>
                <w:highlight w:val="none"/>
                <w:lang w:val="en-US" w:eastAsia="zh-CN"/>
              </w:rPr>
            </w:r>
            <w:r/>
          </w:p>
          <w:p>
            <w:pPr>
              <w:pStyle w:val="762"/>
              <w:jc w:val="left"/>
              <w:spacing w:line="320" w:lineRule="exact"/>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2.实施团队中提供不同成员的同类证书，该同类证书视为1个。</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rPr>
              <w:t xml:space="preserve">1</w:t>
            </w:r>
            <w:r>
              <w:rPr>
                <w:rFonts w:hint="eastAsia" w:ascii="Times New Roman" w:hAnsi="Times New Roman" w:eastAsia="宋体" w:cs="Times New Roman"/>
                <w:color w:val="000000"/>
                <w:highlight w:val="none"/>
                <w:lang w:val="en-US" w:eastAsia="zh-CN"/>
              </w:rPr>
              <w:t xml:space="preserve">2</w:t>
            </w:r>
            <w:r>
              <w:rPr>
                <w:rFonts w:hint="eastAsia" w:ascii="Times New Roman" w:hAnsi="Times New Roman" w:eastAsia="宋体" w:cs="Times New Roman"/>
                <w:color w:val="000000"/>
                <w:highlight w:val="none"/>
                <w:lang w:eastAsia="zh-CN"/>
              </w:rPr>
            </w:r>
            <w:r/>
          </w:p>
        </w:tc>
      </w:tr>
      <w:tr>
        <w:trPr>
          <w:trHeight w:val="1095"/>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bidi="ar"/>
              </w:rPr>
              <w:t xml:space="preserve">总体方案</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pStyle w:val="762"/>
              <w:spacing w:line="320" w:lineRule="exact"/>
              <w:widowControl/>
              <w:rPr>
                <w:rFonts w:ascii="Calibri" w:hAnsi="Calibri" w:eastAsia="宋体" w:cs="Times New Roman"/>
                <w:color w:val="000000"/>
                <w:sz w:val="21"/>
                <w:szCs w:val="21"/>
                <w:highlight w:val="none"/>
                <w:lang w:val="en-US" w:eastAsia="zh-CN" w:bidi="ar-SA"/>
              </w:rPr>
            </w:pPr>
            <w:r>
              <w:rPr>
                <w:rFonts w:hint="eastAsia" w:ascii="Calibri" w:hAnsi="Calibri" w:eastAsia="宋体" w:cs="Times New Roman"/>
                <w:color w:val="000000"/>
                <w:highlight w:val="none"/>
                <w:lang w:val="en-US" w:eastAsia="zh-CN"/>
              </w:rPr>
              <w:t xml:space="preserve">投标人应根据项目建设目标、要求、内容等制定实施及建设总体方案。方案设计内容全面详尽得6分；方案设计内容简单一般得3分；方案设计内容不完整得1分。</w:t>
            </w:r>
            <w:r>
              <w:rPr>
                <w:rFonts w:ascii="Calibri" w:hAnsi="Calibri"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val="en-US" w:eastAsia="zh-CN" w:bidi="ar"/>
              </w:rPr>
              <w:t xml:space="preserve">6</w:t>
            </w:r>
            <w:r>
              <w:rPr>
                <w:rFonts w:hint="eastAsia" w:ascii="Times New Roman" w:hAnsi="Times New Roman" w:eastAsia="宋体" w:cs="Times New Roman"/>
                <w:color w:val="000000"/>
                <w:highlight w:val="none"/>
                <w:lang w:eastAsia="zh-CN"/>
              </w:rPr>
            </w:r>
            <w:r/>
          </w:p>
        </w:tc>
      </w:tr>
      <w:tr>
        <w:trPr>
          <w:trHeight w:val="540"/>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lang w:bidi="ar"/>
              </w:rPr>
            </w:pPr>
            <w:r>
              <w:rPr>
                <w:rFonts w:hint="eastAsia" w:ascii="Times New Roman" w:hAnsi="Times New Roman" w:eastAsia="宋体" w:cs="Times New Roman"/>
                <w:color w:val="000000"/>
                <w:highlight w:val="none"/>
                <w:lang w:bidi="ar"/>
              </w:rPr>
              <w:t xml:space="preserve">业务服务方案</w:t>
            </w:r>
            <w:r>
              <w:rPr>
                <w:rFonts w:ascii="Times New Roman" w:hAnsi="Times New Roman" w:eastAsia="宋体" w:cs="Times New Roman"/>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pStyle w:val="762"/>
              <w:spacing w:line="320" w:lineRule="exact"/>
              <w:widowControl/>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供应商提供不中断服务方案，包括但不限于网络出口的负载均衡和冗余。方案全面详尽、可行性强得5分；方案一般、可行性一般得3分；方案不全面、可行性差得1分。未提供不得分。</w:t>
            </w:r>
            <w:r>
              <w:rPr>
                <w:rFonts w:ascii="Calibri" w:hAnsi="Calibri"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eastAsia="zh-CN" w:bidi="ar"/>
              </w:rPr>
            </w:pPr>
            <w:r>
              <w:rPr>
                <w:rFonts w:hint="eastAsia" w:ascii="Times New Roman" w:hAnsi="Times New Roman" w:eastAsia="宋体" w:cs="Times New Roman"/>
                <w:color w:val="000000"/>
                <w:highlight w:val="none"/>
                <w:lang w:val="en-US" w:eastAsia="zh-CN" w:bidi="ar"/>
              </w:rPr>
              <w:t xml:space="preserve">6</w:t>
            </w:r>
            <w:r>
              <w:rPr>
                <w:rFonts w:hint="eastAsia" w:ascii="Times New Roman" w:hAnsi="Times New Roman" w:eastAsia="宋体" w:cs="Times New Roman"/>
                <w:color w:val="000000"/>
                <w:highlight w:val="none"/>
                <w:lang w:eastAsia="zh-CN" w:bidi="ar"/>
              </w:rPr>
            </w:r>
            <w:r/>
          </w:p>
        </w:tc>
      </w:tr>
      <w:tr>
        <w:trPr>
          <w:trHeight w:val="540"/>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lang w:bidi="ar"/>
              </w:rPr>
            </w:pPr>
            <w:r>
              <w:rPr>
                <w:rFonts w:hint="eastAsia" w:ascii="Times New Roman" w:hAnsi="Times New Roman" w:eastAsia="宋体" w:cs="Times New Roman"/>
                <w:color w:val="000000"/>
                <w:highlight w:val="none"/>
                <w:lang w:bidi="ar"/>
              </w:rPr>
              <w:t xml:space="preserve">日常服务方案</w:t>
            </w:r>
            <w:r>
              <w:rPr>
                <w:rFonts w:ascii="Times New Roman" w:hAnsi="Times New Roman" w:eastAsia="宋体" w:cs="Times New Roman"/>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pStyle w:val="762"/>
              <w:spacing w:line="320" w:lineRule="exact"/>
              <w:widowControl/>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投标人提供日常服务方案，包括但不限于服务标准、日常监控、服务报告等。方案合理、可行性强得</w:t>
            </w:r>
            <w:r>
              <w:rPr>
                <w:rFonts w:hint="eastAsia" w:ascii="Calibri" w:hAnsi="Calibri" w:eastAsia="宋体" w:cs="Times New Roman"/>
                <w:color w:val="000000"/>
                <w:highlight w:val="none"/>
                <w:lang w:val="en-US" w:eastAsia="zh-CN"/>
              </w:rPr>
              <w:t xml:space="preserve">6</w:t>
            </w:r>
            <w:r>
              <w:rPr>
                <w:rFonts w:hint="eastAsia" w:ascii="Calibri" w:hAnsi="Calibri" w:eastAsia="宋体" w:cs="Times New Roman"/>
                <w:color w:val="000000"/>
                <w:highlight w:val="none"/>
              </w:rPr>
              <w:t xml:space="preserve">分；方案一般、可行性一般得3分；方案不合理、可行性差得1分。未提供不得分。</w:t>
            </w:r>
            <w:r>
              <w:rPr>
                <w:rFonts w:ascii="Calibri" w:hAnsi="Calibri"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eastAsia="zh-CN" w:bidi="ar"/>
              </w:rPr>
            </w:pPr>
            <w:r>
              <w:rPr>
                <w:rFonts w:hint="eastAsia" w:ascii="Times New Roman" w:hAnsi="Times New Roman" w:eastAsia="宋体" w:cs="Times New Roman"/>
                <w:color w:val="000000"/>
                <w:highlight w:val="none"/>
                <w:lang w:val="en-US" w:eastAsia="zh-CN" w:bidi="ar"/>
              </w:rPr>
              <w:t xml:space="preserve">6</w:t>
            </w:r>
            <w:r>
              <w:rPr>
                <w:rFonts w:hint="eastAsia" w:ascii="Times New Roman" w:hAnsi="Times New Roman" w:eastAsia="宋体" w:cs="Times New Roman"/>
                <w:color w:val="000000"/>
                <w:highlight w:val="none"/>
                <w:lang w:eastAsia="zh-CN" w:bidi="ar"/>
              </w:rPr>
            </w:r>
            <w:r/>
          </w:p>
        </w:tc>
      </w:tr>
      <w:tr>
        <w:trPr>
          <w:trHeight w:val="540"/>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lang w:bidi="ar"/>
              </w:rPr>
            </w:pPr>
            <w:r>
              <w:rPr>
                <w:rFonts w:hint="eastAsia" w:ascii="Times New Roman" w:hAnsi="Times New Roman" w:eastAsia="宋体" w:cs="Times New Roman"/>
                <w:color w:val="000000"/>
                <w:highlight w:val="none"/>
                <w:lang w:bidi="ar"/>
              </w:rPr>
              <w:t xml:space="preserve">线路服务保障方案</w:t>
            </w:r>
            <w:r>
              <w:rPr>
                <w:rFonts w:ascii="Times New Roman" w:hAnsi="Times New Roman" w:eastAsia="宋体" w:cs="Times New Roman"/>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pStyle w:val="762"/>
              <w:spacing w:line="320" w:lineRule="exact"/>
              <w:widowControl/>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投标人提供维护服务方案，包括定期现场巡检、重大节假日排查、详细的组网和设备技术文档、配合进行网络结构调整割接等。方案全面详尽、可行性强得</w:t>
            </w:r>
            <w:r>
              <w:rPr>
                <w:rFonts w:hint="eastAsia" w:ascii="Calibri" w:hAnsi="Calibri" w:eastAsia="宋体" w:cs="Times New Roman"/>
                <w:color w:val="000000"/>
                <w:highlight w:val="none"/>
                <w:lang w:val="en-US" w:eastAsia="zh-CN"/>
              </w:rPr>
              <w:t xml:space="preserve">6</w:t>
            </w:r>
            <w:r>
              <w:rPr>
                <w:rFonts w:hint="eastAsia" w:ascii="Calibri" w:hAnsi="Calibri" w:eastAsia="宋体" w:cs="Times New Roman"/>
                <w:color w:val="000000"/>
                <w:highlight w:val="none"/>
              </w:rPr>
              <w:t xml:space="preserve">分；方案设计一般、可行性一般得3分；方案设计不全、可行性差得1分。未提供不得分。</w:t>
            </w:r>
            <w:r>
              <w:rPr>
                <w:rFonts w:ascii="Calibri" w:hAnsi="Calibri"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eastAsia="zh-CN" w:bidi="ar"/>
              </w:rPr>
            </w:pPr>
            <w:r>
              <w:rPr>
                <w:rFonts w:hint="eastAsia" w:ascii="Times New Roman" w:hAnsi="Times New Roman" w:eastAsia="宋体" w:cs="Times New Roman"/>
                <w:color w:val="000000"/>
                <w:highlight w:val="none"/>
                <w:lang w:val="en-US" w:eastAsia="zh-CN" w:bidi="ar"/>
              </w:rPr>
              <w:t xml:space="preserve">6</w:t>
            </w:r>
            <w:r>
              <w:rPr>
                <w:rFonts w:hint="eastAsia" w:ascii="Times New Roman" w:hAnsi="Times New Roman" w:eastAsia="宋体" w:cs="Times New Roman"/>
                <w:color w:val="000000"/>
                <w:highlight w:val="none"/>
                <w:lang w:eastAsia="zh-CN" w:bidi="ar"/>
              </w:rPr>
            </w:r>
            <w:r/>
          </w:p>
        </w:tc>
      </w:tr>
      <w:tr>
        <w:trPr>
          <w:trHeight w:val="540"/>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lang w:bidi="ar"/>
              </w:rPr>
            </w:pPr>
            <w:r>
              <w:rPr>
                <w:rFonts w:hint="eastAsia" w:ascii="Times New Roman" w:hAnsi="Times New Roman" w:eastAsia="宋体" w:cs="Times New Roman"/>
                <w:color w:val="000000"/>
                <w:highlight w:val="none"/>
                <w:lang w:bidi="ar"/>
              </w:rPr>
              <w:t xml:space="preserve">应急处理方案</w:t>
            </w:r>
            <w:r>
              <w:rPr>
                <w:rFonts w:ascii="Times New Roman" w:hAnsi="Times New Roman" w:eastAsia="宋体" w:cs="Times New Roman"/>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pStyle w:val="762"/>
              <w:spacing w:line="320" w:lineRule="exact"/>
              <w:widowControl/>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投标人提供应急处理方案，包括但不限于应急保障机制、突发事件应急预案、故障处理、故障报告等。方案科学合理、可行性强得</w:t>
            </w:r>
            <w:r>
              <w:rPr>
                <w:rFonts w:hint="eastAsia" w:ascii="Calibri" w:hAnsi="Calibri" w:eastAsia="宋体" w:cs="Times New Roman"/>
                <w:color w:val="000000"/>
                <w:highlight w:val="none"/>
                <w:lang w:val="en-US" w:eastAsia="zh-CN"/>
              </w:rPr>
              <w:t xml:space="preserve">6</w:t>
            </w:r>
            <w:r>
              <w:rPr>
                <w:rFonts w:hint="eastAsia" w:ascii="Calibri" w:hAnsi="Calibri" w:eastAsia="宋体" w:cs="Times New Roman"/>
                <w:color w:val="000000"/>
                <w:highlight w:val="none"/>
              </w:rPr>
              <w:t xml:space="preserve">分；方案设计一般、可行性一般得3分；方案不合理、可行性差得1分。未提供不得分。</w:t>
            </w:r>
            <w:r>
              <w:rPr>
                <w:rFonts w:ascii="Calibri" w:hAnsi="Calibri"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eastAsia="zh-CN" w:bidi="ar"/>
              </w:rPr>
            </w:pPr>
            <w:r>
              <w:rPr>
                <w:rFonts w:hint="eastAsia" w:ascii="Times New Roman" w:hAnsi="Times New Roman" w:eastAsia="宋体" w:cs="Times New Roman"/>
                <w:color w:val="000000"/>
                <w:highlight w:val="none"/>
                <w:lang w:val="en-US" w:eastAsia="zh-CN" w:bidi="ar"/>
              </w:rPr>
              <w:t xml:space="preserve">6</w:t>
            </w:r>
            <w:r>
              <w:rPr>
                <w:rFonts w:hint="eastAsia" w:ascii="Times New Roman" w:hAnsi="Times New Roman" w:eastAsia="宋体" w:cs="Times New Roman"/>
                <w:color w:val="000000"/>
                <w:highlight w:val="none"/>
                <w:lang w:eastAsia="zh-CN" w:bidi="ar"/>
              </w:rPr>
            </w:r>
            <w:r/>
          </w:p>
        </w:tc>
      </w:tr>
      <w:tr>
        <w:trPr>
          <w:trHeight w:val="540"/>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bidi="ar"/>
              </w:rPr>
              <w:t xml:space="preserve">业务过渡平滑性</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pStyle w:val="762"/>
              <w:spacing w:line="32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为保障采购人业务的连续性，</w:t>
            </w:r>
            <w:r>
              <w:rPr>
                <w:rFonts w:hint="eastAsia" w:ascii="Times New Roman" w:hAnsi="Times New Roman" w:eastAsia="宋体" w:cs="Times New Roman"/>
                <w:color w:val="000000"/>
                <w:highlight w:val="none"/>
              </w:rPr>
              <w:t xml:space="preserve">投标人</w:t>
            </w:r>
            <w:r>
              <w:rPr>
                <w:rFonts w:ascii="Times New Roman" w:hAnsi="Times New Roman" w:eastAsia="宋体" w:cs="Times New Roman"/>
                <w:color w:val="000000"/>
                <w:highlight w:val="none"/>
              </w:rPr>
              <w:t xml:space="preserve">应在充分调研客户业务架构和运行情况的基础上，就电子政务外网制定符合项目需求的组网方案，尽可能降低实施过程对现有网络运行的影响。</w:t>
            </w:r>
            <w:r>
              <w:rPr>
                <w:rFonts w:ascii="Times New Roman" w:hAnsi="Times New Roman" w:eastAsia="宋体" w:cs="Times New Roman"/>
                <w:color w:val="000000"/>
                <w:highlight w:val="none"/>
              </w:rPr>
            </w:r>
            <w:r/>
          </w:p>
          <w:p>
            <w:pPr>
              <w:pStyle w:val="762"/>
              <w:spacing w:line="32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方案合理性、可行性高，得</w:t>
            </w:r>
            <w:r>
              <w:rPr>
                <w:rFonts w:hint="eastAsia" w:ascii="Times New Roman" w:hAnsi="Times New Roman" w:eastAsia="宋体" w:cs="Times New Roman"/>
                <w:color w:val="000000"/>
                <w:highlight w:val="none"/>
                <w:lang w:val="en-US" w:eastAsia="zh-CN"/>
              </w:rPr>
              <w:t xml:space="preserve">6</w:t>
            </w:r>
            <w:r>
              <w:rPr>
                <w:rFonts w:ascii="Times New Roman" w:hAnsi="Times New Roman" w:eastAsia="宋体" w:cs="Times New Roman"/>
                <w:color w:val="000000"/>
                <w:highlight w:val="none"/>
              </w:rPr>
              <w:t xml:space="preserve">分；方案合理性一般、可行性一般，得</w:t>
            </w:r>
            <w:r>
              <w:rPr>
                <w:rFonts w:hint="eastAsia" w:ascii="Times New Roman" w:hAnsi="Times New Roman" w:eastAsia="宋体" w:cs="Times New Roman"/>
                <w:color w:val="000000"/>
                <w:highlight w:val="none"/>
              </w:rPr>
              <w:t xml:space="preserve">3</w:t>
            </w:r>
            <w:r>
              <w:rPr>
                <w:rFonts w:ascii="Times New Roman" w:hAnsi="Times New Roman" w:eastAsia="宋体" w:cs="Times New Roman"/>
                <w:color w:val="000000"/>
                <w:highlight w:val="none"/>
              </w:rPr>
              <w:t xml:space="preserve">分；方案合理性差、可行性差，得1分</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未提供不得分。</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val="en-US" w:eastAsia="zh-CN" w:bidi="ar"/>
              </w:rPr>
              <w:t xml:space="preserve">6</w:t>
            </w:r>
            <w:r>
              <w:rPr>
                <w:rFonts w:hint="eastAsia" w:ascii="Times New Roman" w:hAnsi="Times New Roman" w:eastAsia="宋体" w:cs="Times New Roman"/>
                <w:color w:val="000000"/>
                <w:highlight w:val="none"/>
                <w:lang w:eastAsia="zh-CN"/>
              </w:rPr>
            </w:r>
            <w:r/>
          </w:p>
        </w:tc>
      </w:tr>
      <w:tr>
        <w:trPr>
          <w:trHeight w:val="540"/>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bidi="ar"/>
              </w:rPr>
              <w:t xml:space="preserve">业绩</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pStyle w:val="762"/>
              <w:jc w:val="left"/>
              <w:spacing w:line="320" w:lineRule="exact"/>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投标人</w:t>
            </w:r>
            <w:r>
              <w:rPr>
                <w:rFonts w:ascii="Times New Roman" w:hAnsi="Times New Roman" w:eastAsia="宋体" w:cs="Times New Roman"/>
                <w:color w:val="000000"/>
                <w:highlight w:val="none"/>
              </w:rPr>
              <w:t xml:space="preserve">提供自20</w:t>
            </w:r>
            <w:r>
              <w:rPr>
                <w:rFonts w:hint="eastAsia" w:ascii="Times New Roman" w:hAnsi="Times New Roman" w:eastAsia="宋体" w:cs="Times New Roman"/>
                <w:color w:val="000000"/>
                <w:highlight w:val="none"/>
              </w:rPr>
              <w:t xml:space="preserve">2</w:t>
            </w:r>
            <w:r>
              <w:rPr>
                <w:rFonts w:hint="eastAsia" w:ascii="Times New Roman" w:hAnsi="Times New Roman" w:eastAsia="宋体" w:cs="Times New Roman"/>
                <w:color w:val="000000"/>
                <w:highlight w:val="none"/>
                <w:lang w:val="en-US" w:eastAsia="zh-CN"/>
              </w:rPr>
              <w:t xml:space="preserve">3</w:t>
            </w:r>
            <w:r>
              <w:rPr>
                <w:rFonts w:ascii="Times New Roman" w:hAnsi="Times New Roman" w:eastAsia="宋体" w:cs="Times New Roman"/>
                <w:color w:val="000000"/>
                <w:highlight w:val="none"/>
              </w:rPr>
              <w:t xml:space="preserve">年1月1日以来专线组网类合同（或协议）：</w:t>
            </w:r>
            <w:r>
              <w:rPr>
                <w:rFonts w:ascii="Times New Roman" w:hAnsi="Times New Roman" w:eastAsia="宋体" w:cs="Times New Roman"/>
                <w:color w:val="000000"/>
                <w:highlight w:val="none"/>
              </w:rPr>
            </w:r>
            <w:r/>
          </w:p>
          <w:p>
            <w:pPr>
              <w:pStyle w:val="762"/>
              <w:jc w:val="left"/>
              <w:spacing w:line="32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（1）每提供一个电子政务网类合同案例，得</w:t>
            </w:r>
            <w:r>
              <w:rPr>
                <w:rFonts w:hint="eastAsia" w:ascii="Times New Roman" w:hAnsi="Times New Roman" w:eastAsia="宋体" w:cs="Times New Roman"/>
                <w:color w:val="000000"/>
                <w:highlight w:val="none"/>
              </w:rPr>
              <w:t xml:space="preserve">3</w:t>
            </w:r>
            <w:r>
              <w:rPr>
                <w:rFonts w:ascii="Times New Roman" w:hAnsi="Times New Roman" w:eastAsia="宋体" w:cs="Times New Roman"/>
                <w:color w:val="000000"/>
                <w:highlight w:val="none"/>
              </w:rPr>
              <w:t xml:space="preserve">分</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本项最高得</w:t>
            </w:r>
            <w:r>
              <w:rPr>
                <w:rFonts w:hint="eastAsia" w:ascii="Times New Roman" w:hAnsi="Times New Roman" w:eastAsia="宋体" w:cs="Times New Roman"/>
                <w:color w:val="000000"/>
                <w:highlight w:val="none"/>
                <w:lang w:val="en-US" w:eastAsia="zh-CN"/>
              </w:rPr>
              <w:t xml:space="preserve">9</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762"/>
              <w:jc w:val="left"/>
              <w:spacing w:line="320" w:lineRule="exact"/>
              <w:widowControl/>
              <w:rPr>
                <w:rFonts w:hint="eastAsia"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（2）每提供一个除电子政务网类合同案例的其他业务专线合同案例，得1分</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本项最高得</w:t>
            </w:r>
            <w:r>
              <w:rPr>
                <w:rFonts w:hint="eastAsia" w:ascii="Times New Roman" w:hAnsi="Times New Roman" w:eastAsia="宋体" w:cs="Times New Roman"/>
                <w:color w:val="000000"/>
                <w:highlight w:val="none"/>
              </w:rPr>
              <w:t xml:space="preserve">3</w:t>
            </w:r>
            <w:r>
              <w:rPr>
                <w:rFonts w:ascii="Times New Roman" w:hAnsi="Times New Roman" w:eastAsia="宋体" w:cs="Times New Roman"/>
                <w:color w:val="000000"/>
                <w:highlight w:val="none"/>
              </w:rPr>
              <w:t xml:space="preserve">分。</w:t>
            </w:r>
            <w:r>
              <w:rPr>
                <w:rFonts w:hint="eastAsia" w:ascii="Times New Roman" w:hAnsi="Times New Roman" w:eastAsia="宋体" w:cs="Times New Roman"/>
                <w:color w:val="000000"/>
                <w:highlight w:val="none"/>
              </w:rPr>
            </w:r>
            <w:r/>
          </w:p>
          <w:p>
            <w:pPr>
              <w:pStyle w:val="762"/>
              <w:jc w:val="left"/>
              <w:spacing w:line="32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注：</w:t>
            </w:r>
            <w:r>
              <w:rPr>
                <w:rFonts w:hint="eastAsia" w:ascii="Times New Roman" w:hAnsi="Times New Roman" w:eastAsia="宋体" w:cs="Times New Roman"/>
                <w:color w:val="000000"/>
                <w:highlight w:val="none"/>
              </w:rPr>
              <w:t xml:space="preserve">须提供有效合同复印件并加盖投标人公章。</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bidi="ar"/>
              </w:rPr>
              <w:t xml:space="preserve">12</w:t>
            </w:r>
            <w:r>
              <w:rPr>
                <w:rFonts w:ascii="Times New Roman" w:hAnsi="Times New Roman" w:eastAsia="宋体" w:cs="Times New Roman"/>
                <w:color w:val="000000"/>
                <w:highlight w:val="none"/>
                <w:lang w:val="en-US" w:eastAsia="zh-CN"/>
              </w:rPr>
            </w:r>
            <w:r/>
          </w:p>
        </w:tc>
      </w:tr>
    </w:tbl>
    <w:p>
      <w:pPr>
        <w:pStyle w:val="762"/>
        <w:rPr>
          <w:rFonts w:ascii="Times New Roman" w:hAnsi="Times New Roman" w:eastAsia="宋体" w:cs="Times New Roman"/>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highlight w:val="none"/>
        </w:rPr>
      </w:r>
      <w:r/>
    </w:p>
    <w:p>
      <w:pPr>
        <w:pStyle w:val="762"/>
        <w:jc w:val="both"/>
        <w:rPr>
          <w:rFonts w:ascii="宋体" w:hAnsi="宋体" w:eastAsia="宋体" w:cs="宋体"/>
          <w:color w:val="000000"/>
          <w:highlight w:val="none"/>
        </w:rPr>
      </w:pPr>
      <w:r>
        <w:rPr>
          <w:rFonts w:ascii="宋体" w:hAnsi="宋体" w:eastAsia="宋体" w:cs="宋体"/>
          <w:color w:val="000000"/>
          <w:highlight w:val="none"/>
        </w:rPr>
      </w:r>
      <w:r/>
    </w:p>
    <w:p>
      <w:pPr>
        <w:pStyle w:val="762"/>
        <w:jc w:val="center"/>
        <w:rPr>
          <w:rFonts w:ascii="宋体" w:hAnsi="宋体" w:eastAsia="宋体" w:cs="宋体"/>
          <w:color w:val="000000"/>
          <w:highlight w:val="none"/>
        </w:rPr>
      </w:pPr>
      <w:r>
        <w:rPr>
          <w:rFonts w:ascii="宋体" w:hAnsi="宋体" w:eastAsia="宋体" w:cs="宋体"/>
          <w:color w:val="000000"/>
          <w:highlight w:val="none"/>
        </w:rPr>
      </w:r>
      <w:r/>
    </w:p>
    <w:p>
      <w:pPr>
        <w:pStyle w:val="762"/>
        <w:jc w:val="center"/>
        <w:rPr>
          <w:rFonts w:hint="eastAsia" w:ascii="宋体" w:hAnsi="宋体" w:eastAsia="宋体" w:cs="Times New Roman"/>
          <w:color w:val="000000"/>
          <w:sz w:val="32"/>
          <w:szCs w:val="32"/>
          <w:highlight w:val="none"/>
          <w:lang w:val="en-US" w:eastAsia="zh-CN" w:bidi="ar-SA"/>
        </w:rPr>
      </w:pPr>
      <w:r>
        <w:rPr>
          <w:rFonts w:ascii="宋体" w:hAnsi="宋体" w:eastAsia="宋体" w:cs="宋体"/>
          <w:color w:val="000000"/>
          <w:highlight w:val="none"/>
        </w:rPr>
        <w:t xml:space="preserve"> </w:t>
      </w:r>
      <w:r>
        <w:rPr>
          <w:rFonts w:hint="eastAsia" w:ascii="宋体" w:hAnsi="宋体" w:eastAsia="宋体" w:cs="Times New Roman"/>
          <w:color w:val="000000"/>
          <w:sz w:val="32"/>
          <w:szCs w:val="32"/>
          <w:highlight w:val="none"/>
          <w:lang w:val="en-US" w:eastAsia="zh-CN" w:bidi="ar-SA"/>
        </w:rPr>
        <w:t xml:space="preserve">采购包二</w:t>
      </w:r>
      <w:r>
        <w:rPr>
          <w:rFonts w:hint="eastAsia" w:ascii="宋体" w:hAnsi="宋体" w:eastAsia="宋体" w:cs="Times New Roman"/>
          <w:color w:val="000000"/>
          <w:sz w:val="32"/>
          <w:szCs w:val="32"/>
          <w:highlight w:val="none"/>
          <w:lang w:val="en-US" w:eastAsia="zh-CN" w:bidi="ar-SA"/>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40"/>
        <w:gridCol w:w="6505"/>
        <w:gridCol w:w="810"/>
      </w:tblGrid>
      <w:tr>
        <w:trPr>
          <w:trHeight w:val="540"/>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62"/>
              <w:jc w:val="center"/>
              <w:spacing w:line="320" w:lineRule="exact"/>
              <w:widowControl/>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lang w:bidi="ar"/>
              </w:rPr>
              <w:t xml:space="preserve">评分项</w:t>
            </w:r>
            <w:r>
              <w:rPr>
                <w:rFonts w:ascii="Times New Roman" w:hAnsi="Times New Roman" w:eastAsia="宋体" w:cs="Times New Roman"/>
                <w:b/>
                <w:bCs/>
                <w:color w:val="000000"/>
                <w:highlight w:val="none"/>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pStyle w:val="762"/>
              <w:jc w:val="center"/>
              <w:spacing w:line="320" w:lineRule="exact"/>
              <w:widowControl/>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lang w:bidi="ar"/>
              </w:rPr>
              <w:t xml:space="preserve">评审标准</w:t>
            </w:r>
            <w:r>
              <w:rPr>
                <w:rFonts w:ascii="Times New Roman" w:hAnsi="Times New Roman" w:eastAsia="宋体" w:cs="Times New Roman"/>
                <w:b/>
                <w:bCs/>
                <w:color w:val="000000"/>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2"/>
              <w:jc w:val="center"/>
              <w:spacing w:line="320" w:lineRule="exact"/>
              <w:widowControl/>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lang w:bidi="ar"/>
              </w:rPr>
              <w:t xml:space="preserve">分值</w:t>
            </w:r>
            <w:r>
              <w:rPr>
                <w:rFonts w:ascii="Times New Roman" w:hAnsi="Times New Roman" w:eastAsia="宋体" w:cs="Times New Roman"/>
                <w:b/>
                <w:bCs/>
                <w:color w:val="000000"/>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bidi="ar"/>
              </w:rPr>
              <w:t xml:space="preserve">价格</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pStyle w:val="762"/>
              <w:spacing w:line="32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bidi="ar"/>
              </w:rPr>
              <w:t xml:space="preserve">文件要求且最终报价最低的投标报价为评标基准价，其价格分为满分1</w:t>
            </w:r>
            <w:r>
              <w:rPr>
                <w:rFonts w:hint="eastAsia" w:ascii="Times New Roman" w:hAnsi="Times New Roman" w:eastAsia="宋体" w:cs="Times New Roman"/>
                <w:color w:val="000000"/>
                <w:highlight w:val="none"/>
                <w:lang w:val="en-US" w:eastAsia="zh-CN" w:bidi="ar"/>
              </w:rPr>
              <w:t xml:space="preserve">0</w:t>
            </w:r>
            <w:r>
              <w:rPr>
                <w:rFonts w:ascii="Times New Roman" w:hAnsi="Times New Roman" w:eastAsia="宋体" w:cs="Times New Roman"/>
                <w:color w:val="000000"/>
                <w:highlight w:val="none"/>
                <w:lang w:bidi="ar"/>
              </w:rPr>
              <w:t xml:space="preserve">分。价格分按以下公式计算：价格分=评标基准价/投标报价×1</w:t>
            </w:r>
            <w:r>
              <w:rPr>
                <w:rFonts w:hint="eastAsia" w:ascii="Times New Roman" w:hAnsi="Times New Roman" w:eastAsia="宋体" w:cs="Times New Roman"/>
                <w:color w:val="000000"/>
                <w:highlight w:val="none"/>
                <w:lang w:val="en-US" w:eastAsia="zh-CN" w:bidi="ar"/>
              </w:rPr>
              <w:t xml:space="preserve">0</w:t>
            </w:r>
            <w:r>
              <w:rPr>
                <w:rFonts w:ascii="Times New Roman" w:hAnsi="Times New Roman" w:eastAsia="宋体" w:cs="Times New Roman"/>
                <w:color w:val="000000"/>
                <w:highlight w:val="none"/>
                <w:lang w:bidi="ar"/>
              </w:rPr>
              <w:t xml:space="preserve">。</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10</w:t>
            </w:r>
            <w:r>
              <w:rPr>
                <w:rFonts w:ascii="Times New Roman" w:hAnsi="Times New Roman" w:eastAsia="宋体" w:cs="Times New Roman"/>
                <w:color w:val="000000"/>
                <w:highlight w:val="none"/>
                <w:lang w:val="en-US" w:eastAsia="zh-CN"/>
              </w:rPr>
            </w:r>
            <w:r/>
          </w:p>
        </w:tc>
      </w:tr>
      <w:tr>
        <w:trPr>
          <w:trHeight w:val="1220"/>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bidi="ar"/>
              </w:rPr>
              <w:t xml:space="preserve">技术参数要求</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pStyle w:val="762"/>
              <w:jc w:val="left"/>
              <w:spacing w:line="320" w:lineRule="exact"/>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bidi="ar"/>
              </w:rPr>
              <w:t xml:space="preserve">所有技术指标均满足招标文件技术参数要求得30分。标注▲的内容，有1项不满足，扣2分；未标注▲的内容，有1项不满足，扣1分，扣完为止。</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bidi="ar"/>
              </w:rPr>
              <w:t xml:space="preserve">30</w:t>
            </w:r>
            <w:r>
              <w:rPr>
                <w:rFonts w:ascii="Times New Roman" w:hAnsi="Times New Roman" w:eastAsia="宋体" w:cs="Times New Roman"/>
                <w:color w:val="000000"/>
                <w:highlight w:val="none"/>
                <w:lang w:val="en-US" w:eastAsia="zh-CN"/>
              </w:rPr>
            </w:r>
            <w:r/>
          </w:p>
        </w:tc>
      </w:tr>
      <w:tr>
        <w:trPr>
          <w:trHeight w:val="5015"/>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bidi="ar"/>
              </w:rPr>
              <w:t xml:space="preserve">拟投入项目人员</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pStyle w:val="762"/>
              <w:jc w:val="left"/>
              <w:spacing w:line="320" w:lineRule="exact"/>
              <w:widowControl/>
              <w:rPr>
                <w:rFonts w:hint="eastAsia"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1.项目经理：</w:t>
            </w:r>
            <w:r>
              <w:rPr>
                <w:rFonts w:hint="eastAsia" w:ascii="Times New Roman" w:hAnsi="Times New Roman" w:eastAsia="宋体" w:cs="Times New Roman"/>
                <w:color w:val="000000"/>
                <w:highlight w:val="none"/>
              </w:rPr>
            </w:r>
            <w:r/>
          </w:p>
          <w:p>
            <w:pPr>
              <w:pStyle w:val="762"/>
              <w:jc w:val="left"/>
              <w:spacing w:line="320" w:lineRule="exact"/>
              <w:widowControl/>
              <w:rPr>
                <w:rFonts w:hint="eastAsia"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具有</w:t>
            </w:r>
            <w:r>
              <w:rPr>
                <w:rFonts w:hint="eastAsia" w:ascii="Times New Roman" w:hAnsi="Times New Roman" w:eastAsia="宋体" w:cs="Times New Roman"/>
                <w:color w:val="000000"/>
                <w:highlight w:val="none"/>
              </w:rPr>
              <w:t xml:space="preserve">高级工程师（</w:t>
            </w:r>
            <w:r>
              <w:rPr>
                <w:rFonts w:hint="eastAsia" w:ascii="Times New Roman" w:hAnsi="Times New Roman" w:eastAsia="宋体" w:cs="Times New Roman"/>
                <w:color w:val="000000"/>
                <w:highlight w:val="none"/>
                <w:lang w:val="en-US" w:eastAsia="zh-CN"/>
              </w:rPr>
              <w:t xml:space="preserve">通信类</w:t>
            </w:r>
            <w:r>
              <w:rPr>
                <w:rFonts w:hint="eastAsia" w:ascii="Times New Roman" w:hAnsi="Times New Roman" w:eastAsia="宋体" w:cs="Times New Roman"/>
                <w:color w:val="000000"/>
                <w:highlight w:val="none"/>
              </w:rPr>
              <w:t xml:space="preserve">）、信息系统项目管理师</w:t>
            </w:r>
            <w:r>
              <w:rPr>
                <w:rFonts w:hint="eastAsia" w:ascii="Times New Roman" w:hAnsi="Times New Roman" w:eastAsia="宋体" w:cs="Times New Roman"/>
                <w:color w:val="000000"/>
                <w:highlight w:val="none"/>
                <w:lang w:val="en-US" w:eastAsia="zh-CN"/>
              </w:rPr>
              <w:t xml:space="preserve">证书</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每提供</w:t>
            </w:r>
            <w:r>
              <w:rPr>
                <w:rFonts w:hint="eastAsia" w:ascii="Times New Roman" w:hAnsi="Times New Roman" w:eastAsia="宋体" w:cs="Times New Roman"/>
                <w:color w:val="000000"/>
                <w:highlight w:val="none"/>
              </w:rPr>
              <w:t xml:space="preserve">1个得</w:t>
            </w:r>
            <w:r>
              <w:rPr>
                <w:rFonts w:hint="eastAsia" w:ascii="Times New Roman" w:hAnsi="Times New Roman" w:eastAsia="宋体" w:cs="Times New Roman"/>
                <w:color w:val="000000"/>
                <w:highlight w:val="none"/>
                <w:lang w:val="en-US" w:eastAsia="zh-CN"/>
              </w:rPr>
              <w:t xml:space="preserve">3</w:t>
            </w:r>
            <w:r>
              <w:rPr>
                <w:rFonts w:hint="eastAsia" w:ascii="Times New Roman" w:hAnsi="Times New Roman" w:eastAsia="宋体" w:cs="Times New Roman"/>
                <w:color w:val="000000"/>
                <w:highlight w:val="none"/>
              </w:rPr>
              <w:t xml:space="preserve">分，本项最高得</w:t>
            </w:r>
            <w:r>
              <w:rPr>
                <w:rFonts w:hint="eastAsia" w:ascii="Times New Roman" w:hAnsi="Times New Roman" w:eastAsia="宋体" w:cs="Times New Roman"/>
                <w:color w:val="000000"/>
                <w:highlight w:val="none"/>
                <w:lang w:val="en-US" w:eastAsia="zh-CN"/>
              </w:rPr>
              <w:t xml:space="preserve">6</w:t>
            </w:r>
            <w:r>
              <w:rPr>
                <w:rFonts w:hint="eastAsia"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r>
            <w:r/>
          </w:p>
          <w:p>
            <w:pPr>
              <w:pStyle w:val="762"/>
              <w:jc w:val="left"/>
              <w:spacing w:line="320" w:lineRule="exact"/>
              <w:widowControl/>
              <w:rPr>
                <w:rFonts w:hint="eastAsia"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2.团队</w:t>
            </w:r>
            <w:r>
              <w:rPr>
                <w:rFonts w:hint="eastAsia" w:ascii="Times New Roman" w:hAnsi="Times New Roman" w:eastAsia="宋体" w:cs="Times New Roman"/>
                <w:color w:val="000000"/>
                <w:highlight w:val="none"/>
                <w:lang w:val="en-US" w:eastAsia="zh-CN"/>
              </w:rPr>
              <w:t xml:space="preserve">成员</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r>
            <w:r/>
          </w:p>
          <w:p>
            <w:pPr>
              <w:pStyle w:val="762"/>
              <w:jc w:val="left"/>
              <w:spacing w:line="320" w:lineRule="exact"/>
              <w:widowControl/>
              <w:rPr>
                <w:rFonts w:hint="eastAsia"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具有</w:t>
            </w:r>
            <w:r>
              <w:rPr>
                <w:rFonts w:hint="eastAsia" w:ascii="Times New Roman" w:hAnsi="Times New Roman" w:eastAsia="宋体" w:cs="Times New Roman"/>
                <w:color w:val="000000"/>
                <w:highlight w:val="none"/>
              </w:rPr>
              <w:t xml:space="preserve">高级工程师（通信</w:t>
            </w:r>
            <w:r>
              <w:rPr>
                <w:rFonts w:hint="eastAsia" w:ascii="Times New Roman" w:hAnsi="Times New Roman" w:eastAsia="宋体" w:cs="Times New Roman"/>
                <w:color w:val="000000"/>
                <w:highlight w:val="none"/>
                <w:lang w:val="en-US" w:eastAsia="zh-CN"/>
              </w:rPr>
              <w:t xml:space="preserve">类</w:t>
            </w:r>
            <w:r>
              <w:rPr>
                <w:rFonts w:hint="eastAsia" w:ascii="Times New Roman" w:hAnsi="Times New Roman" w:eastAsia="宋体" w:cs="Times New Roman"/>
                <w:color w:val="000000"/>
                <w:highlight w:val="none"/>
              </w:rPr>
              <w:t xml:space="preserve">）、信息系统项目管理师</w:t>
            </w:r>
            <w:r>
              <w:rPr>
                <w:rFonts w:hint="eastAsia" w:ascii="Times New Roman" w:hAnsi="Times New Roman" w:eastAsia="宋体" w:cs="Times New Roman"/>
                <w:color w:val="000000"/>
                <w:highlight w:val="none"/>
                <w:lang w:val="en-US" w:eastAsia="zh-CN"/>
              </w:rPr>
              <w:t xml:space="preserve">证书</w:t>
            </w:r>
            <w:r>
              <w:rPr>
                <w:rFonts w:hint="eastAsia" w:ascii="Times New Roman" w:hAnsi="Times New Roman" w:eastAsia="宋体" w:cs="Times New Roman"/>
                <w:color w:val="000000"/>
                <w:highlight w:val="none"/>
                <w:lang w:eastAsia="zh-CN"/>
              </w:rPr>
              <w:t xml:space="preserve">，每提供1个得2分，最高得</w:t>
            </w:r>
            <w:r>
              <w:rPr>
                <w:rFonts w:hint="eastAsia" w:ascii="Times New Roman" w:hAnsi="Times New Roman" w:eastAsia="宋体" w:cs="Times New Roman"/>
                <w:color w:val="000000"/>
                <w:highlight w:val="none"/>
                <w:lang w:val="en-US" w:eastAsia="zh-CN"/>
              </w:rPr>
              <w:t xml:space="preserve">4</w:t>
            </w:r>
            <w:r>
              <w:rPr>
                <w:rFonts w:hint="eastAsia" w:ascii="Times New Roman" w:hAnsi="Times New Roman" w:eastAsia="宋体" w:cs="Times New Roman"/>
                <w:color w:val="000000"/>
                <w:highlight w:val="none"/>
                <w:lang w:eastAsia="zh-CN"/>
              </w:rPr>
              <w:t xml:space="preserve">分；</w:t>
            </w:r>
            <w:r>
              <w:rPr>
                <w:rFonts w:hint="eastAsia" w:ascii="Times New Roman" w:hAnsi="Times New Roman" w:eastAsia="宋体" w:cs="Times New Roman"/>
                <w:color w:val="000000"/>
                <w:highlight w:val="none"/>
                <w:lang w:eastAsia="zh-CN"/>
              </w:rPr>
            </w:r>
            <w:r/>
          </w:p>
          <w:p>
            <w:pPr>
              <w:pStyle w:val="762"/>
              <w:jc w:val="left"/>
              <w:spacing w:line="320" w:lineRule="exact"/>
              <w:widowControl/>
              <w:rPr>
                <w:rFonts w:hint="eastAsia"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具有通信专业技术人员职业</w:t>
            </w:r>
            <w:r>
              <w:rPr>
                <w:rFonts w:hint="eastAsia" w:ascii="Times New Roman" w:hAnsi="Times New Roman" w:eastAsia="宋体" w:cs="Times New Roman"/>
                <w:color w:val="000000"/>
                <w:highlight w:val="none"/>
                <w:lang w:val="en-US" w:eastAsia="zh-CN"/>
              </w:rPr>
              <w:t xml:space="preserve">证书</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t xml:space="preserve">中级</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t xml:space="preserve">网络工程师（中级），</w:t>
            </w:r>
            <w:r>
              <w:rPr>
                <w:rFonts w:hint="eastAsia" w:ascii="Times New Roman" w:hAnsi="Times New Roman" w:eastAsia="宋体" w:cs="Times New Roman"/>
                <w:color w:val="000000"/>
                <w:highlight w:val="none"/>
                <w:lang w:eastAsia="zh-CN"/>
              </w:rPr>
              <w:t xml:space="preserve">每提供1个得</w:t>
            </w:r>
            <w:r>
              <w:rPr>
                <w:rFonts w:hint="eastAsia" w:ascii="Times New Roman" w:hAnsi="Times New Roman" w:eastAsia="宋体" w:cs="Times New Roman"/>
                <w:color w:val="000000"/>
                <w:highlight w:val="none"/>
                <w:lang w:val="en-US" w:eastAsia="zh-CN"/>
              </w:rPr>
              <w:t xml:space="preserve">1</w:t>
            </w:r>
            <w:r>
              <w:rPr>
                <w:rFonts w:hint="eastAsia" w:ascii="Times New Roman" w:hAnsi="Times New Roman" w:eastAsia="宋体" w:cs="Times New Roman"/>
                <w:color w:val="000000"/>
                <w:highlight w:val="none"/>
                <w:lang w:eastAsia="zh-CN"/>
              </w:rPr>
              <w:t xml:space="preserve">分，最高得</w:t>
            </w:r>
            <w:r>
              <w:rPr>
                <w:rFonts w:hint="eastAsia" w:ascii="Times New Roman" w:hAnsi="Times New Roman" w:eastAsia="宋体" w:cs="Times New Roman"/>
                <w:color w:val="000000"/>
                <w:highlight w:val="none"/>
                <w:lang w:val="en-US" w:eastAsia="zh-CN"/>
              </w:rPr>
              <w:t xml:space="preserve">2</w:t>
            </w:r>
            <w:r>
              <w:rPr>
                <w:rFonts w:hint="eastAsia" w:ascii="Times New Roman" w:hAnsi="Times New Roman" w:eastAsia="宋体" w:cs="Times New Roman"/>
                <w:color w:val="000000"/>
                <w:highlight w:val="none"/>
                <w:lang w:eastAsia="zh-CN"/>
              </w:rPr>
              <w:t xml:space="preserve">分；</w:t>
            </w:r>
            <w:r>
              <w:rPr>
                <w:rFonts w:hint="eastAsia" w:ascii="Times New Roman" w:hAnsi="Times New Roman" w:eastAsia="宋体" w:cs="Times New Roman"/>
                <w:color w:val="000000"/>
                <w:highlight w:val="none"/>
              </w:rPr>
            </w:r>
            <w:r/>
          </w:p>
          <w:p>
            <w:pPr>
              <w:pStyle w:val="762"/>
              <w:jc w:val="left"/>
              <w:spacing w:line="32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注：</w:t>
            </w:r>
            <w:r>
              <w:rPr>
                <w:rFonts w:ascii="Times New Roman" w:hAnsi="Times New Roman" w:eastAsia="宋体" w:cs="Times New Roman"/>
                <w:color w:val="000000"/>
                <w:highlight w:val="none"/>
              </w:rPr>
            </w:r>
            <w:r/>
          </w:p>
          <w:p>
            <w:pPr>
              <w:pStyle w:val="762"/>
              <w:jc w:val="left"/>
              <w:spacing w:line="320" w:lineRule="exact"/>
              <w:widowControl/>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rPr>
              <w:t xml:space="preserve">1.</w:t>
            </w:r>
            <w:r>
              <w:rPr>
                <w:rFonts w:ascii="Times New Roman" w:hAnsi="Times New Roman" w:eastAsia="宋体" w:cs="Times New Roman"/>
                <w:color w:val="000000"/>
                <w:highlight w:val="none"/>
              </w:rPr>
              <w:t xml:space="preserve">提供上述证书及</w:t>
            </w:r>
            <w:r>
              <w:rPr>
                <w:rFonts w:hint="eastAsia" w:ascii="Times New Roman" w:hAnsi="Times New Roman" w:eastAsia="宋体" w:cs="Times New Roman"/>
                <w:color w:val="000000"/>
                <w:highlight w:val="none"/>
              </w:rPr>
              <w:t xml:space="preserve">近6个月内任意一个月投标</w:t>
            </w:r>
            <w:r>
              <w:rPr>
                <w:rFonts w:ascii="Times New Roman" w:hAnsi="Times New Roman" w:eastAsia="宋体" w:cs="Times New Roman"/>
                <w:color w:val="000000"/>
                <w:highlight w:val="none"/>
              </w:rPr>
              <w:t xml:space="preserve">人为其缴纳社保</w:t>
            </w:r>
            <w:r>
              <w:rPr>
                <w:rFonts w:hint="eastAsia" w:ascii="Times New Roman" w:hAnsi="Times New Roman" w:eastAsia="宋体" w:cs="Times New Roman"/>
                <w:color w:val="000000"/>
                <w:highlight w:val="none"/>
                <w:lang w:val="en-US" w:eastAsia="zh-CN"/>
              </w:rPr>
              <w:t xml:space="preserve">的</w:t>
            </w:r>
            <w:r>
              <w:rPr>
                <w:rFonts w:ascii="Times New Roman" w:hAnsi="Times New Roman" w:eastAsia="宋体" w:cs="Times New Roman"/>
                <w:color w:val="000000"/>
                <w:highlight w:val="none"/>
              </w:rPr>
              <w:t xml:space="preserve">证明扫描件</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（如投标人拟投入项目人员由投标人上级机构统一缴纳社保，也可提供相关情况说明加盖投标人公章，以及上级机构为该人员缴纳社保的证明扫描件）</w:t>
            </w:r>
            <w:r>
              <w:rPr>
                <w:rFonts w:ascii="Times New Roman" w:hAnsi="Times New Roman" w:eastAsia="宋体" w:cs="Times New Roman"/>
                <w:color w:val="000000"/>
                <w:highlight w:val="none"/>
                <w:lang w:val="en-US" w:eastAsia="zh-CN"/>
              </w:rPr>
            </w:r>
            <w:r/>
          </w:p>
          <w:p>
            <w:pPr>
              <w:pStyle w:val="762"/>
              <w:jc w:val="left"/>
              <w:spacing w:line="320" w:lineRule="exact"/>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2.实施团队中提供不同成员的同类证书，该同类证书视为1个。</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rPr>
              <w:t xml:space="preserve">1</w:t>
            </w:r>
            <w:r>
              <w:rPr>
                <w:rFonts w:hint="eastAsia" w:ascii="Times New Roman" w:hAnsi="Times New Roman" w:eastAsia="宋体" w:cs="Times New Roman"/>
                <w:color w:val="000000"/>
                <w:highlight w:val="none"/>
                <w:lang w:val="en-US" w:eastAsia="zh-CN"/>
              </w:rPr>
              <w:t xml:space="preserve">2</w:t>
            </w:r>
            <w:r>
              <w:rPr>
                <w:rFonts w:hint="eastAsia" w:ascii="Times New Roman" w:hAnsi="Times New Roman" w:eastAsia="宋体" w:cs="Times New Roman"/>
                <w:color w:val="000000"/>
                <w:highlight w:val="none"/>
                <w:lang w:eastAsia="zh-CN"/>
              </w:rPr>
            </w:r>
            <w:r/>
          </w:p>
        </w:tc>
      </w:tr>
      <w:tr>
        <w:trPr>
          <w:trHeight w:val="1095"/>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bidi="ar"/>
              </w:rPr>
              <w:t xml:space="preserve">总体方案</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pStyle w:val="762"/>
              <w:spacing w:line="320" w:lineRule="exact"/>
              <w:widowControl/>
              <w:rPr>
                <w:rFonts w:ascii="Calibri" w:hAnsi="Calibri" w:eastAsia="宋体" w:cs="Times New Roman"/>
                <w:color w:val="000000"/>
                <w:sz w:val="21"/>
                <w:szCs w:val="21"/>
                <w:highlight w:val="none"/>
                <w:lang w:val="en-US" w:eastAsia="zh-CN" w:bidi="ar-SA"/>
              </w:rPr>
            </w:pPr>
            <w:r>
              <w:rPr>
                <w:rFonts w:hint="eastAsia" w:ascii="Calibri" w:hAnsi="Calibri" w:eastAsia="宋体" w:cs="Times New Roman"/>
                <w:color w:val="000000"/>
                <w:highlight w:val="none"/>
                <w:lang w:val="en-US" w:eastAsia="zh-CN"/>
              </w:rPr>
              <w:t xml:space="preserve">投标人应根据项目建设目标、要求、内容等制定实施及建设总体方案。方案设计内容全面详尽得6分；方案设计内容简单一般得3分；方案设计内容不完整得1分。</w:t>
            </w:r>
            <w:r>
              <w:rPr>
                <w:rFonts w:ascii="Calibri" w:hAnsi="Calibri"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val="en-US" w:eastAsia="zh-CN" w:bidi="ar"/>
              </w:rPr>
              <w:t xml:space="preserve">6</w:t>
            </w:r>
            <w:r>
              <w:rPr>
                <w:rFonts w:hint="eastAsia" w:ascii="Times New Roman" w:hAnsi="Times New Roman" w:eastAsia="宋体" w:cs="Times New Roman"/>
                <w:color w:val="000000"/>
                <w:highlight w:val="none"/>
                <w:lang w:eastAsia="zh-CN"/>
              </w:rPr>
            </w:r>
            <w:r/>
          </w:p>
        </w:tc>
      </w:tr>
      <w:tr>
        <w:trPr>
          <w:trHeight w:val="1430"/>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lang w:bidi="ar"/>
              </w:rPr>
            </w:pPr>
            <w:r>
              <w:rPr>
                <w:rFonts w:hint="eastAsia" w:ascii="Times New Roman" w:hAnsi="Times New Roman" w:eastAsia="宋体" w:cs="Times New Roman"/>
                <w:color w:val="000000"/>
                <w:highlight w:val="none"/>
                <w:lang w:bidi="ar"/>
              </w:rPr>
              <w:t xml:space="preserve">业务服务方案</w:t>
            </w:r>
            <w:r>
              <w:rPr>
                <w:rFonts w:ascii="Times New Roman" w:hAnsi="Times New Roman" w:eastAsia="宋体" w:cs="Times New Roman"/>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pStyle w:val="762"/>
              <w:spacing w:line="320" w:lineRule="exact"/>
              <w:widowControl/>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供应商提供不中断服务方案，包括但不限于网络出口的负载均衡和冗余。方案全面详尽、可行性强得5分；方案一般、可行性一般得3分；方案不全面、可行性差得1分。未提供不得分。</w:t>
            </w:r>
            <w:r>
              <w:rPr>
                <w:rFonts w:ascii="Calibri" w:hAnsi="Calibri"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eastAsia="zh-CN" w:bidi="ar"/>
              </w:rPr>
            </w:pPr>
            <w:r>
              <w:rPr>
                <w:rFonts w:hint="eastAsia" w:ascii="Times New Roman" w:hAnsi="Times New Roman" w:eastAsia="宋体" w:cs="Times New Roman"/>
                <w:color w:val="000000"/>
                <w:highlight w:val="none"/>
                <w:lang w:val="en-US" w:eastAsia="zh-CN" w:bidi="ar"/>
              </w:rPr>
              <w:t xml:space="preserve">6</w:t>
            </w:r>
            <w:r>
              <w:rPr>
                <w:rFonts w:hint="eastAsia" w:ascii="Times New Roman" w:hAnsi="Times New Roman" w:eastAsia="宋体" w:cs="Times New Roman"/>
                <w:color w:val="000000"/>
                <w:highlight w:val="none"/>
                <w:lang w:eastAsia="zh-CN" w:bidi="ar"/>
              </w:rPr>
            </w:r>
            <w:r/>
          </w:p>
        </w:tc>
      </w:tr>
      <w:tr>
        <w:trPr>
          <w:trHeight w:val="1390"/>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lang w:bidi="ar"/>
              </w:rPr>
            </w:pPr>
            <w:r>
              <w:rPr>
                <w:rFonts w:hint="eastAsia" w:ascii="Times New Roman" w:hAnsi="Times New Roman" w:eastAsia="宋体" w:cs="Times New Roman"/>
                <w:color w:val="000000"/>
                <w:highlight w:val="none"/>
                <w:lang w:bidi="ar"/>
              </w:rPr>
              <w:t xml:space="preserve">日常服务方案</w:t>
            </w:r>
            <w:r>
              <w:rPr>
                <w:rFonts w:ascii="Times New Roman" w:hAnsi="Times New Roman" w:eastAsia="宋体" w:cs="Times New Roman"/>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pStyle w:val="762"/>
              <w:spacing w:line="320" w:lineRule="exact"/>
              <w:widowControl/>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投标人提供日常服务方案，包括但不限于服务标准、日常监控、服务报告等。方案合理、可行性强得</w:t>
            </w:r>
            <w:r>
              <w:rPr>
                <w:rFonts w:hint="eastAsia" w:ascii="Calibri" w:hAnsi="Calibri" w:eastAsia="宋体" w:cs="Times New Roman"/>
                <w:color w:val="000000"/>
                <w:highlight w:val="none"/>
                <w:lang w:val="en-US" w:eastAsia="zh-CN"/>
              </w:rPr>
              <w:t xml:space="preserve">6</w:t>
            </w:r>
            <w:r>
              <w:rPr>
                <w:rFonts w:hint="eastAsia" w:ascii="Calibri" w:hAnsi="Calibri" w:eastAsia="宋体" w:cs="Times New Roman"/>
                <w:color w:val="000000"/>
                <w:highlight w:val="none"/>
              </w:rPr>
              <w:t xml:space="preserve">分；方案一般、可行性一般得3分；方案不合理、可行性差得1分。未提供不得分。</w:t>
            </w:r>
            <w:r>
              <w:rPr>
                <w:rFonts w:ascii="Calibri" w:hAnsi="Calibri"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eastAsia="zh-CN" w:bidi="ar"/>
              </w:rPr>
            </w:pPr>
            <w:r>
              <w:rPr>
                <w:rFonts w:hint="eastAsia" w:ascii="Times New Roman" w:hAnsi="Times New Roman" w:eastAsia="宋体" w:cs="Times New Roman"/>
                <w:color w:val="000000"/>
                <w:highlight w:val="none"/>
                <w:lang w:val="en-US" w:eastAsia="zh-CN" w:bidi="ar"/>
              </w:rPr>
              <w:t xml:space="preserve">6</w:t>
            </w:r>
            <w:r>
              <w:rPr>
                <w:rFonts w:hint="eastAsia" w:ascii="Times New Roman" w:hAnsi="Times New Roman" w:eastAsia="宋体" w:cs="Times New Roman"/>
                <w:color w:val="000000"/>
                <w:highlight w:val="none"/>
                <w:lang w:eastAsia="zh-CN" w:bidi="ar"/>
              </w:rPr>
            </w:r>
            <w:r/>
          </w:p>
        </w:tc>
      </w:tr>
      <w:tr>
        <w:trPr>
          <w:trHeight w:val="1570"/>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lang w:bidi="ar"/>
              </w:rPr>
            </w:pPr>
            <w:r>
              <w:rPr>
                <w:rFonts w:hint="eastAsia" w:ascii="Times New Roman" w:hAnsi="Times New Roman" w:eastAsia="宋体" w:cs="Times New Roman"/>
                <w:color w:val="000000"/>
                <w:highlight w:val="none"/>
                <w:lang w:bidi="ar"/>
              </w:rPr>
              <w:t xml:space="preserve">线路服务保障方案</w:t>
            </w:r>
            <w:r>
              <w:rPr>
                <w:rFonts w:ascii="Times New Roman" w:hAnsi="Times New Roman" w:eastAsia="宋体" w:cs="Times New Roman"/>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pStyle w:val="762"/>
              <w:spacing w:line="320" w:lineRule="exact"/>
              <w:widowControl/>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投标人提供维护服务方案，包括定期现场巡检、重大节假日排查、详细的组网和设备技术文档、配合进行网络结构调整割接等。方案全面详尽、可行性强得</w:t>
            </w:r>
            <w:r>
              <w:rPr>
                <w:rFonts w:hint="eastAsia" w:ascii="Calibri" w:hAnsi="Calibri" w:eastAsia="宋体" w:cs="Times New Roman"/>
                <w:color w:val="000000"/>
                <w:highlight w:val="none"/>
                <w:lang w:val="en-US" w:eastAsia="zh-CN"/>
              </w:rPr>
              <w:t xml:space="preserve">6</w:t>
            </w:r>
            <w:r>
              <w:rPr>
                <w:rFonts w:hint="eastAsia" w:ascii="Calibri" w:hAnsi="Calibri" w:eastAsia="宋体" w:cs="Times New Roman"/>
                <w:color w:val="000000"/>
                <w:highlight w:val="none"/>
              </w:rPr>
              <w:t xml:space="preserve">分；方案设计一般、可行性一般得3分；方案设计不全、可行性差得1分。未提供不得分。</w:t>
            </w:r>
            <w:r>
              <w:rPr>
                <w:rFonts w:ascii="Calibri" w:hAnsi="Calibri"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eastAsia="zh-CN" w:bidi="ar"/>
              </w:rPr>
            </w:pPr>
            <w:r>
              <w:rPr>
                <w:rFonts w:hint="eastAsia" w:ascii="Times New Roman" w:hAnsi="Times New Roman" w:eastAsia="宋体" w:cs="Times New Roman"/>
                <w:color w:val="000000"/>
                <w:highlight w:val="none"/>
                <w:lang w:val="en-US" w:eastAsia="zh-CN" w:bidi="ar"/>
              </w:rPr>
              <w:t xml:space="preserve">6</w:t>
            </w:r>
            <w:r>
              <w:rPr>
                <w:rFonts w:hint="eastAsia" w:ascii="Times New Roman" w:hAnsi="Times New Roman" w:eastAsia="宋体" w:cs="Times New Roman"/>
                <w:color w:val="000000"/>
                <w:highlight w:val="none"/>
                <w:lang w:eastAsia="zh-CN" w:bidi="ar"/>
              </w:rPr>
            </w:r>
            <w:r/>
          </w:p>
        </w:tc>
      </w:tr>
      <w:tr>
        <w:trPr>
          <w:trHeight w:val="1630"/>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lang w:bidi="ar"/>
              </w:rPr>
            </w:pPr>
            <w:r>
              <w:rPr>
                <w:rFonts w:hint="eastAsia" w:ascii="Times New Roman" w:hAnsi="Times New Roman" w:eastAsia="宋体" w:cs="Times New Roman"/>
                <w:color w:val="000000"/>
                <w:highlight w:val="none"/>
                <w:lang w:bidi="ar"/>
              </w:rPr>
              <w:t xml:space="preserve">应急处理方案</w:t>
            </w:r>
            <w:r>
              <w:rPr>
                <w:rFonts w:ascii="Times New Roman" w:hAnsi="Times New Roman" w:eastAsia="宋体" w:cs="Times New Roman"/>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pStyle w:val="762"/>
              <w:spacing w:line="320" w:lineRule="exact"/>
              <w:widowControl/>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投标人提供应急处理方案，包括但不限于应急保障机制、突发事件应急预案、故障处理、故障报告等。方案科学合理、可行性强得</w:t>
            </w:r>
            <w:r>
              <w:rPr>
                <w:rFonts w:hint="eastAsia" w:ascii="Calibri" w:hAnsi="Calibri" w:eastAsia="宋体" w:cs="Times New Roman"/>
                <w:color w:val="000000"/>
                <w:highlight w:val="none"/>
                <w:lang w:val="en-US" w:eastAsia="zh-CN"/>
              </w:rPr>
              <w:t xml:space="preserve">6</w:t>
            </w:r>
            <w:r>
              <w:rPr>
                <w:rFonts w:hint="eastAsia" w:ascii="Calibri" w:hAnsi="Calibri" w:eastAsia="宋体" w:cs="Times New Roman"/>
                <w:color w:val="000000"/>
                <w:highlight w:val="none"/>
              </w:rPr>
              <w:t xml:space="preserve">分；方案设计一般、可行性一般得3分；方案不合理、可行性差得1分。未提供不得分。</w:t>
            </w:r>
            <w:r>
              <w:rPr>
                <w:rFonts w:ascii="Calibri" w:hAnsi="Calibri"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eastAsia="zh-CN" w:bidi="ar"/>
              </w:rPr>
            </w:pPr>
            <w:r>
              <w:rPr>
                <w:rFonts w:hint="eastAsia" w:ascii="Times New Roman" w:hAnsi="Times New Roman" w:eastAsia="宋体" w:cs="Times New Roman"/>
                <w:color w:val="000000"/>
                <w:highlight w:val="none"/>
                <w:lang w:val="en-US" w:eastAsia="zh-CN" w:bidi="ar"/>
              </w:rPr>
              <w:t xml:space="preserve">6</w:t>
            </w:r>
            <w:r>
              <w:rPr>
                <w:rFonts w:hint="eastAsia" w:ascii="Times New Roman" w:hAnsi="Times New Roman" w:eastAsia="宋体" w:cs="Times New Roman"/>
                <w:color w:val="000000"/>
                <w:highlight w:val="none"/>
                <w:lang w:eastAsia="zh-CN" w:bidi="ar"/>
              </w:rPr>
            </w:r>
            <w:r/>
          </w:p>
        </w:tc>
      </w:tr>
      <w:tr>
        <w:trPr>
          <w:trHeight w:val="2085"/>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bidi="ar"/>
              </w:rPr>
              <w:t xml:space="preserve">业务过渡平滑性</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pStyle w:val="762"/>
              <w:spacing w:line="32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为保障采购人业务的连续性，</w:t>
            </w:r>
            <w:r>
              <w:rPr>
                <w:rFonts w:hint="eastAsia" w:ascii="Times New Roman" w:hAnsi="Times New Roman" w:eastAsia="宋体" w:cs="Times New Roman"/>
                <w:color w:val="000000"/>
                <w:highlight w:val="none"/>
              </w:rPr>
              <w:t xml:space="preserve">投标人</w:t>
            </w:r>
            <w:r>
              <w:rPr>
                <w:rFonts w:ascii="Times New Roman" w:hAnsi="Times New Roman" w:eastAsia="宋体" w:cs="Times New Roman"/>
                <w:color w:val="000000"/>
                <w:highlight w:val="none"/>
              </w:rPr>
              <w:t xml:space="preserve">应在充分调研客户业务架构和运行情况的基础上，就电子政务外网制定符合项目需求的组网方案，尽可能降低实施过程对现有网络运行的影响。</w:t>
            </w:r>
            <w:r>
              <w:rPr>
                <w:rFonts w:ascii="Times New Roman" w:hAnsi="Times New Roman" w:eastAsia="宋体" w:cs="Times New Roman"/>
                <w:color w:val="000000"/>
                <w:highlight w:val="none"/>
              </w:rPr>
            </w:r>
            <w:r/>
          </w:p>
          <w:p>
            <w:pPr>
              <w:pStyle w:val="762"/>
              <w:spacing w:line="32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方案合理性、可行性高，得</w:t>
            </w:r>
            <w:r>
              <w:rPr>
                <w:rFonts w:hint="eastAsia" w:ascii="Times New Roman" w:hAnsi="Times New Roman" w:eastAsia="宋体" w:cs="Times New Roman"/>
                <w:color w:val="000000"/>
                <w:highlight w:val="none"/>
                <w:lang w:val="en-US" w:eastAsia="zh-CN"/>
              </w:rPr>
              <w:t xml:space="preserve">6</w:t>
            </w:r>
            <w:r>
              <w:rPr>
                <w:rFonts w:ascii="Times New Roman" w:hAnsi="Times New Roman" w:eastAsia="宋体" w:cs="Times New Roman"/>
                <w:color w:val="000000"/>
                <w:highlight w:val="none"/>
              </w:rPr>
              <w:t xml:space="preserve">分；方案合理性一般、可行性一般，得</w:t>
            </w:r>
            <w:r>
              <w:rPr>
                <w:rFonts w:hint="eastAsia" w:ascii="Times New Roman" w:hAnsi="Times New Roman" w:eastAsia="宋体" w:cs="Times New Roman"/>
                <w:color w:val="000000"/>
                <w:highlight w:val="none"/>
              </w:rPr>
              <w:t xml:space="preserve">3</w:t>
            </w:r>
            <w:r>
              <w:rPr>
                <w:rFonts w:ascii="Times New Roman" w:hAnsi="Times New Roman" w:eastAsia="宋体" w:cs="Times New Roman"/>
                <w:color w:val="000000"/>
                <w:highlight w:val="none"/>
              </w:rPr>
              <w:t xml:space="preserve">分；方案合理性差、可行性差，得1分</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未提供不得分。</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val="en-US" w:eastAsia="zh-CN" w:bidi="ar"/>
              </w:rPr>
              <w:t xml:space="preserve">6</w:t>
            </w:r>
            <w:r>
              <w:rPr>
                <w:rFonts w:hint="eastAsia" w:ascii="Times New Roman" w:hAnsi="Times New Roman" w:eastAsia="宋体" w:cs="Times New Roman"/>
                <w:color w:val="000000"/>
                <w:highlight w:val="none"/>
                <w:lang w:eastAsia="zh-CN"/>
              </w:rPr>
            </w:r>
            <w:r/>
          </w:p>
        </w:tc>
      </w:tr>
      <w:tr>
        <w:trPr>
          <w:trHeight w:val="1885"/>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bidi="ar"/>
              </w:rPr>
              <w:t xml:space="preserve">业绩</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6505" w:type="dxa"/>
            <w:vAlign w:val="center"/>
            <w:textDirection w:val="lrTb"/>
            <w:noWrap w:val="false"/>
          </w:tcPr>
          <w:p>
            <w:pPr>
              <w:pStyle w:val="762"/>
              <w:jc w:val="left"/>
              <w:spacing w:line="320" w:lineRule="exact"/>
              <w:widowControl/>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投标人</w:t>
            </w:r>
            <w:r>
              <w:rPr>
                <w:rFonts w:ascii="Times New Roman" w:hAnsi="Times New Roman" w:eastAsia="宋体" w:cs="Times New Roman"/>
                <w:color w:val="000000"/>
                <w:highlight w:val="none"/>
              </w:rPr>
              <w:t xml:space="preserve">提供自20</w:t>
            </w:r>
            <w:r>
              <w:rPr>
                <w:rFonts w:hint="eastAsia" w:ascii="Times New Roman" w:hAnsi="Times New Roman" w:eastAsia="宋体" w:cs="Times New Roman"/>
                <w:color w:val="000000"/>
                <w:highlight w:val="none"/>
              </w:rPr>
              <w:t xml:space="preserve">2</w:t>
            </w:r>
            <w:r>
              <w:rPr>
                <w:rFonts w:hint="eastAsia" w:ascii="Times New Roman" w:hAnsi="Times New Roman" w:eastAsia="宋体" w:cs="Times New Roman"/>
                <w:color w:val="000000"/>
                <w:highlight w:val="none"/>
                <w:lang w:val="en-US" w:eastAsia="zh-CN"/>
              </w:rPr>
              <w:t xml:space="preserve">3</w:t>
            </w:r>
            <w:r>
              <w:rPr>
                <w:rFonts w:ascii="Times New Roman" w:hAnsi="Times New Roman" w:eastAsia="宋体" w:cs="Times New Roman"/>
                <w:color w:val="000000"/>
                <w:highlight w:val="none"/>
              </w:rPr>
              <w:t xml:space="preserve">年1月1日以来专线组网类合同（或协议）：</w:t>
            </w:r>
            <w:r>
              <w:rPr>
                <w:rFonts w:ascii="Times New Roman" w:hAnsi="Times New Roman" w:eastAsia="宋体" w:cs="Times New Roman"/>
                <w:color w:val="000000"/>
                <w:highlight w:val="none"/>
              </w:rPr>
            </w:r>
            <w:r/>
          </w:p>
          <w:p>
            <w:pPr>
              <w:pStyle w:val="762"/>
              <w:jc w:val="left"/>
              <w:spacing w:line="32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（1）每提供一个电子政务网类合同案例，得</w:t>
            </w:r>
            <w:r>
              <w:rPr>
                <w:rFonts w:hint="eastAsia" w:ascii="Times New Roman" w:hAnsi="Times New Roman" w:eastAsia="宋体" w:cs="Times New Roman"/>
                <w:color w:val="000000"/>
                <w:highlight w:val="none"/>
              </w:rPr>
              <w:t xml:space="preserve">3</w:t>
            </w:r>
            <w:r>
              <w:rPr>
                <w:rFonts w:ascii="Times New Roman" w:hAnsi="Times New Roman" w:eastAsia="宋体" w:cs="Times New Roman"/>
                <w:color w:val="000000"/>
                <w:highlight w:val="none"/>
              </w:rPr>
              <w:t xml:space="preserve">分</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本项最高得</w:t>
            </w:r>
            <w:r>
              <w:rPr>
                <w:rFonts w:hint="eastAsia" w:ascii="Times New Roman" w:hAnsi="Times New Roman" w:eastAsia="宋体" w:cs="Times New Roman"/>
                <w:color w:val="000000"/>
                <w:highlight w:val="none"/>
                <w:lang w:val="en-US" w:eastAsia="zh-CN"/>
              </w:rPr>
              <w:t xml:space="preserve">9</w:t>
            </w:r>
            <w:r>
              <w:rPr>
                <w:rFonts w:ascii="Times New Roman" w:hAnsi="Times New Roman" w:eastAsia="宋体" w:cs="Times New Roman"/>
                <w:color w:val="000000"/>
                <w:highlight w:val="none"/>
              </w:rPr>
              <w:t xml:space="preserve">分。</w:t>
            </w:r>
            <w:r>
              <w:rPr>
                <w:rFonts w:ascii="Times New Roman" w:hAnsi="Times New Roman" w:eastAsia="宋体" w:cs="Times New Roman"/>
                <w:color w:val="000000"/>
                <w:highlight w:val="none"/>
              </w:rPr>
            </w:r>
            <w:r/>
          </w:p>
          <w:p>
            <w:pPr>
              <w:pStyle w:val="762"/>
              <w:jc w:val="left"/>
              <w:spacing w:line="320" w:lineRule="exact"/>
              <w:widowControl/>
              <w:rPr>
                <w:rFonts w:hint="eastAsia"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（2）每提供一个除电子政务网类合同案例的其他业务专线合同案例，得1分</w:t>
            </w: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t xml:space="preserve">本项最高得</w:t>
            </w:r>
            <w:r>
              <w:rPr>
                <w:rFonts w:hint="eastAsia" w:ascii="Times New Roman" w:hAnsi="Times New Roman" w:eastAsia="宋体" w:cs="Times New Roman"/>
                <w:color w:val="000000"/>
                <w:highlight w:val="none"/>
              </w:rPr>
              <w:t xml:space="preserve">3</w:t>
            </w:r>
            <w:r>
              <w:rPr>
                <w:rFonts w:ascii="Times New Roman" w:hAnsi="Times New Roman" w:eastAsia="宋体" w:cs="Times New Roman"/>
                <w:color w:val="000000"/>
                <w:highlight w:val="none"/>
              </w:rPr>
              <w:t xml:space="preserve">分。</w:t>
            </w:r>
            <w:r>
              <w:rPr>
                <w:rFonts w:hint="eastAsia" w:ascii="Times New Roman" w:hAnsi="Times New Roman" w:eastAsia="宋体" w:cs="Times New Roman"/>
                <w:color w:val="000000"/>
                <w:highlight w:val="none"/>
              </w:rPr>
            </w:r>
            <w:r/>
          </w:p>
          <w:p>
            <w:pPr>
              <w:pStyle w:val="762"/>
              <w:jc w:val="left"/>
              <w:spacing w:line="320" w:lineRule="exact"/>
              <w:widowControl/>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注：</w:t>
            </w:r>
            <w:r>
              <w:rPr>
                <w:rFonts w:hint="eastAsia" w:ascii="Times New Roman" w:hAnsi="Times New Roman" w:eastAsia="宋体" w:cs="Times New Roman"/>
                <w:color w:val="000000"/>
                <w:highlight w:val="none"/>
              </w:rPr>
              <w:t xml:space="preserve">须提供有效合同复印件并加盖投标人公章。</w:t>
            </w:r>
            <w:r>
              <w:rPr>
                <w:rFonts w:ascii="Times New Roman" w:hAnsi="Times New Roman" w:eastAsia="宋体"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bidi="ar"/>
              </w:rPr>
              <w:t xml:space="preserve">12</w:t>
            </w:r>
            <w:r>
              <w:rPr>
                <w:rFonts w:ascii="Times New Roman" w:hAnsi="Times New Roman" w:eastAsia="宋体" w:cs="Times New Roman"/>
                <w:color w:val="000000"/>
                <w:highlight w:val="none"/>
                <w:lang w:val="en-US" w:eastAsia="zh-CN"/>
              </w:rPr>
            </w:r>
            <w:r/>
          </w:p>
        </w:tc>
      </w:tr>
    </w:tbl>
    <w:p>
      <w:pPr>
        <w:pStyle w:val="762"/>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1059"/>
        <w:rPr>
          <w:rFonts w:hint="eastAsia"/>
          <w:color w:val="000000"/>
          <w:sz w:val="32"/>
          <w:szCs w:val="32"/>
          <w:highlight w:val="none"/>
          <w:lang w:eastAsia="zh-CN"/>
        </w:rPr>
      </w:pPr>
      <w:r>
        <w:rPr>
          <w:rFonts w:hint="eastAsia"/>
          <w:color w:val="000000"/>
          <w:sz w:val="32"/>
          <w:szCs w:val="32"/>
          <w:highlight w:val="none"/>
          <w:lang w:eastAsia="zh-CN"/>
        </w:rPr>
      </w:r>
      <w:r/>
    </w:p>
    <w:p>
      <w:pPr>
        <w:pStyle w:val="762"/>
        <w:jc w:val="center"/>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t xml:space="preserve">采购包三</w:t>
      </w:r>
      <w:r>
        <w:rPr>
          <w:rFonts w:hint="eastAsia" w:ascii="宋体" w:hAnsi="宋体" w:eastAsia="宋体" w:cs="宋体"/>
          <w:color w:val="000000"/>
          <w:sz w:val="32"/>
          <w:szCs w:val="32"/>
          <w:highlight w:val="none"/>
          <w:lang w:eastAsia="zh-CN"/>
        </w:rPr>
      </w:r>
      <w:r/>
    </w:p>
    <w:tbl>
      <w:tblPr>
        <w:tblW w:w="84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3"/>
        <w:gridCol w:w="5478"/>
        <w:gridCol w:w="988"/>
      </w:tblGrid>
      <w:tr>
        <w:trPr>
          <w:trHeight w:val="580"/>
        </w:trPr>
        <w:tc>
          <w:tcPr>
            <w:tcW w:w="1943"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评分项</w:t>
            </w:r>
            <w:r>
              <w:rPr>
                <w:rFonts w:ascii="Times New Roman" w:hAnsi="Times New Roman" w:eastAsia="宋体" w:cs="Times New Roman"/>
                <w:color w:val="000000"/>
                <w:highlight w:val="none"/>
                <w:lang w:val="en-US" w:eastAsia="zh-CN" w:bidi="ar"/>
              </w:rPr>
            </w:r>
            <w:r/>
          </w:p>
        </w:tc>
        <w:tc>
          <w:tcPr>
            <w:tcW w:w="5478"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bidi="ar"/>
              </w:rPr>
            </w:pPr>
            <w:r>
              <w:rPr>
                <w:rFonts w:hint="eastAsia" w:ascii="Times New Roman" w:hAnsi="Times New Roman" w:eastAsia="宋体" w:cs="Times New Roman"/>
                <w:color w:val="000000"/>
                <w:highlight w:val="none"/>
                <w:lang w:bidi="ar"/>
              </w:rPr>
              <w:t xml:space="preserve">评审标准</w:t>
            </w:r>
            <w:r>
              <w:rPr>
                <w:rFonts w:hint="eastAsia" w:ascii="Times New Roman" w:hAnsi="Times New Roman" w:eastAsia="宋体" w:cs="Times New Roman"/>
                <w:color w:val="000000"/>
                <w:highlight w:val="none"/>
                <w:lang w:bidi="ar"/>
              </w:rPr>
            </w:r>
            <w:r/>
          </w:p>
        </w:tc>
        <w:tc>
          <w:tcPr>
            <w:tcW w:w="988"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分值</w:t>
            </w:r>
            <w:r>
              <w:rPr>
                <w:rFonts w:hint="eastAsia" w:ascii="Times New Roman" w:hAnsi="Times New Roman" w:eastAsia="宋体" w:cs="Times New Roman"/>
                <w:color w:val="000000"/>
                <w:highlight w:val="none"/>
                <w:lang w:val="en-US" w:eastAsia="zh-CN" w:bidi="ar"/>
              </w:rPr>
            </w:r>
            <w:r/>
          </w:p>
        </w:tc>
      </w:tr>
      <w:tr>
        <w:trPr>
          <w:trHeight w:val="1460"/>
        </w:trPr>
        <w:tc>
          <w:tcPr>
            <w:tcW w:w="1943"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eastAsia="zh-CN" w:bidi="ar"/>
              </w:rPr>
            </w:pPr>
            <w:r>
              <w:rPr>
                <w:rFonts w:hint="eastAsia" w:ascii="Times New Roman" w:hAnsi="Times New Roman" w:eastAsia="宋体" w:cs="Times New Roman"/>
                <w:color w:val="000000"/>
                <w:highlight w:val="none"/>
                <w:lang w:eastAsia="zh-CN" w:bidi="ar"/>
              </w:rPr>
              <w:t xml:space="preserve">价格</w:t>
            </w:r>
            <w:r>
              <w:rPr>
                <w:rFonts w:hint="eastAsia" w:ascii="Times New Roman" w:hAnsi="Times New Roman" w:eastAsia="宋体" w:cs="Times New Roman"/>
                <w:color w:val="000000"/>
                <w:highlight w:val="none"/>
                <w:lang w:eastAsia="zh-CN" w:bidi="ar"/>
              </w:rPr>
            </w:r>
            <w:r/>
          </w:p>
        </w:tc>
        <w:tc>
          <w:tcPr>
            <w:tcW w:w="5478" w:type="dxa"/>
            <w:vAlign w:val="center"/>
            <w:textDirection w:val="lrTb"/>
            <w:noWrap w:val="false"/>
          </w:tcPr>
          <w:p>
            <w:pPr>
              <w:pStyle w:val="762"/>
              <w:jc w:val="left"/>
              <w:spacing w:line="320" w:lineRule="exact"/>
              <w:widowControl/>
              <w:rPr>
                <w:rFonts w:hint="eastAsia" w:ascii="Times New Roman" w:hAnsi="Times New Roman" w:eastAsia="宋体" w:cs="Times New Roman"/>
                <w:color w:val="000000"/>
                <w:highlight w:val="none"/>
                <w:lang w:bidi="ar"/>
              </w:rPr>
            </w:pPr>
            <w:r>
              <w:rPr>
                <w:rFonts w:hint="eastAsia" w:ascii="Times New Roman" w:hAnsi="Times New Roman" w:eastAsia="宋体" w:cs="Times New Roman"/>
                <w:color w:val="000000"/>
                <w:highlight w:val="none"/>
                <w:lang w:bidi="ar"/>
              </w:rPr>
              <w:t xml:space="preserve">价格分统一采用低价优先法计算，即满足招标文件要求且投标价格最低的投标报价为评标基准价，其价格分为满分</w:t>
            </w:r>
            <w:r>
              <w:rPr>
                <w:rFonts w:hint="eastAsia" w:ascii="Times New Roman" w:hAnsi="Times New Roman" w:eastAsia="宋体" w:cs="Times New Roman"/>
                <w:color w:val="000000"/>
                <w:highlight w:val="none"/>
                <w:lang w:val="en-US" w:eastAsia="zh-CN" w:bidi="ar"/>
              </w:rPr>
              <w:t xml:space="preserve">15</w:t>
            </w:r>
            <w:r>
              <w:rPr>
                <w:rFonts w:hint="eastAsia" w:ascii="Times New Roman" w:hAnsi="Times New Roman" w:eastAsia="宋体" w:cs="Times New Roman"/>
                <w:color w:val="000000"/>
                <w:highlight w:val="none"/>
                <w:lang w:bidi="ar"/>
              </w:rPr>
              <w:t xml:space="preserve">分。其他投标人的价格分统一按照下列公式计算：报价得分=</w:t>
            </w:r>
            <w:r>
              <w:rPr>
                <w:rFonts w:hint="eastAsia" w:ascii="Times New Roman" w:hAnsi="Times New Roman" w:eastAsia="宋体" w:cs="Times New Roman"/>
                <w:color w:val="000000"/>
                <w:highlight w:val="none"/>
                <w:lang w:val="en-US" w:eastAsia="zh-CN" w:bidi="ar"/>
              </w:rPr>
              <w:t xml:space="preserve">(</w:t>
            </w:r>
            <w:r>
              <w:rPr>
                <w:rFonts w:hint="eastAsia" w:ascii="Times New Roman" w:hAnsi="Times New Roman" w:eastAsia="宋体" w:cs="Times New Roman"/>
                <w:color w:val="000000"/>
                <w:highlight w:val="none"/>
                <w:lang w:bidi="ar"/>
              </w:rPr>
              <w:t xml:space="preserve">评标基准价／投标报价)×</w:t>
            </w:r>
            <w:r>
              <w:rPr>
                <w:rFonts w:hint="eastAsia" w:ascii="Times New Roman" w:hAnsi="Times New Roman" w:eastAsia="宋体" w:cs="Times New Roman"/>
                <w:color w:val="000000"/>
                <w:highlight w:val="none"/>
                <w:lang w:val="en-US" w:eastAsia="zh-CN" w:bidi="ar"/>
              </w:rPr>
              <w:t xml:space="preserve">15</w:t>
            </w:r>
            <w:r>
              <w:rPr>
                <w:rFonts w:hint="eastAsia" w:ascii="Times New Roman" w:hAnsi="Times New Roman" w:eastAsia="宋体" w:cs="Times New Roman"/>
                <w:color w:val="000000"/>
                <w:highlight w:val="none"/>
                <w:lang w:bidi="ar"/>
              </w:rPr>
              <w:t xml:space="preserve">。</w:t>
            </w:r>
            <w:r>
              <w:rPr>
                <w:rFonts w:hint="eastAsia" w:ascii="Times New Roman" w:hAnsi="Times New Roman" w:eastAsia="宋体" w:cs="Times New Roman"/>
                <w:color w:val="000000"/>
                <w:highlight w:val="none"/>
                <w:lang w:bidi="ar"/>
              </w:rPr>
            </w:r>
            <w:r/>
          </w:p>
        </w:tc>
        <w:tc>
          <w:tcPr>
            <w:tcW w:w="988"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r>
            <w:r/>
          </w:p>
          <w:p>
            <w:pPr>
              <w:pStyle w:val="762"/>
              <w:jc w:val="center"/>
              <w:spacing w:line="320" w:lineRule="exact"/>
              <w:widowControl/>
              <w:rPr>
                <w:rFonts w:hint="eastAsia"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15</w:t>
            </w:r>
            <w:r>
              <w:rPr>
                <w:rFonts w:hint="eastAsia" w:ascii="Times New Roman" w:hAnsi="Times New Roman" w:eastAsia="宋体" w:cs="Times New Roman"/>
                <w:color w:val="000000"/>
                <w:highlight w:val="none"/>
                <w:lang w:val="en-US" w:eastAsia="zh-CN" w:bidi="ar"/>
              </w:rPr>
            </w:r>
            <w:r/>
          </w:p>
        </w:tc>
      </w:tr>
      <w:tr>
        <w:trPr>
          <w:trHeight w:val="1555"/>
        </w:trPr>
        <w:tc>
          <w:tcPr>
            <w:tcW w:w="1943"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val="en-US" w:eastAsia="zh-CN" w:bidi="ar"/>
              </w:rPr>
            </w:pPr>
            <w:r>
              <w:rPr>
                <w:rFonts w:ascii="Times New Roman" w:hAnsi="Times New Roman" w:eastAsia="宋体" w:cs="Times New Roman"/>
                <w:color w:val="000000"/>
                <w:highlight w:val="none"/>
                <w:lang w:val="en-US" w:eastAsia="zh-CN" w:bidi="ar"/>
              </w:rPr>
              <w:t xml:space="preserve">技术参数</w:t>
            </w:r>
            <w:r>
              <w:rPr>
                <w:rFonts w:hint="eastAsia" w:ascii="Times New Roman" w:hAnsi="Times New Roman" w:eastAsia="宋体" w:cs="Times New Roman"/>
                <w:color w:val="000000"/>
                <w:highlight w:val="none"/>
                <w:lang w:val="en-US" w:eastAsia="zh-CN" w:bidi="ar"/>
              </w:rPr>
            </w:r>
            <w:r/>
          </w:p>
        </w:tc>
        <w:tc>
          <w:tcPr>
            <w:tcW w:w="5478" w:type="dxa"/>
            <w:vAlign w:val="center"/>
            <w:textDirection w:val="lrTb"/>
            <w:noWrap w:val="false"/>
          </w:tcPr>
          <w:p>
            <w:pPr>
              <w:pStyle w:val="762"/>
              <w:jc w:val="left"/>
              <w:spacing w:line="320" w:lineRule="exact"/>
              <w:widowControl/>
              <w:rPr>
                <w:rFonts w:hint="eastAsia" w:ascii="Times New Roman" w:hAnsi="Times New Roman" w:eastAsia="宋体" w:cs="Times New Roman"/>
                <w:color w:val="000000"/>
                <w:highlight w:val="none"/>
                <w:lang w:val="en-US" w:eastAsia="zh-CN" w:bidi="ar"/>
              </w:rPr>
            </w:pPr>
            <w:r>
              <w:rPr>
                <w:rFonts w:ascii="Times New Roman" w:hAnsi="Times New Roman" w:eastAsia="宋体" w:cs="Times New Roman"/>
                <w:color w:val="000000"/>
                <w:highlight w:val="none"/>
                <w:lang w:val="en-US" w:eastAsia="zh-CN" w:bidi="ar"/>
              </w:rPr>
              <w:t xml:space="preserve">根据投标人招标文件的技术</w:t>
            </w:r>
            <w:r>
              <w:rPr>
                <w:rFonts w:hint="eastAsia" w:ascii="Times New Roman" w:hAnsi="Times New Roman" w:eastAsia="宋体" w:cs="Times New Roman"/>
                <w:color w:val="000000"/>
                <w:highlight w:val="none"/>
                <w:lang w:val="en-US" w:eastAsia="zh-CN" w:bidi="ar"/>
              </w:rPr>
              <w:t xml:space="preserve">要求</w:t>
            </w:r>
            <w:r>
              <w:rPr>
                <w:rFonts w:ascii="Times New Roman" w:hAnsi="Times New Roman" w:eastAsia="宋体" w:cs="Times New Roman"/>
                <w:color w:val="000000"/>
                <w:highlight w:val="none"/>
                <w:lang w:val="en-US" w:eastAsia="zh-CN" w:bidi="ar"/>
              </w:rPr>
              <w:t xml:space="preserve">进行比较，参数满足招标文件要求得</w:t>
            </w:r>
            <w:r>
              <w:rPr>
                <w:rFonts w:hint="eastAsia" w:ascii="Times New Roman" w:hAnsi="Times New Roman" w:eastAsia="宋体" w:cs="Times New Roman"/>
                <w:color w:val="000000"/>
                <w:highlight w:val="none"/>
                <w:lang w:val="en-US" w:eastAsia="zh-CN" w:bidi="ar"/>
              </w:rPr>
              <w:t xml:space="preserve">30</w:t>
            </w:r>
            <w:r>
              <w:rPr>
                <w:rFonts w:ascii="Times New Roman" w:hAnsi="Times New Roman" w:eastAsia="宋体" w:cs="Times New Roman"/>
                <w:color w:val="000000"/>
                <w:highlight w:val="none"/>
                <w:lang w:val="en-US" w:eastAsia="zh-CN" w:bidi="ar"/>
              </w:rPr>
              <w:t xml:space="preserve">分。其中，加▲项为重要技术要求，有一项负偏离扣</w:t>
            </w:r>
            <w:r>
              <w:rPr>
                <w:rFonts w:hint="eastAsia" w:ascii="Times New Roman" w:hAnsi="Times New Roman" w:eastAsia="宋体" w:cs="Times New Roman"/>
                <w:color w:val="000000"/>
                <w:highlight w:val="none"/>
                <w:lang w:val="en-US" w:eastAsia="zh-CN" w:bidi="ar"/>
              </w:rPr>
              <w:t xml:space="preserve">1.5</w:t>
            </w:r>
            <w:r>
              <w:rPr>
                <w:rFonts w:ascii="Times New Roman" w:hAnsi="Times New Roman" w:eastAsia="宋体" w:cs="Times New Roman"/>
                <w:color w:val="000000"/>
                <w:highlight w:val="none"/>
                <w:lang w:val="en-US" w:eastAsia="zh-CN" w:bidi="ar"/>
              </w:rPr>
              <w:t xml:space="preserve">分；其他参数每有一条负偏离的扣</w:t>
            </w:r>
            <w:r>
              <w:rPr>
                <w:rFonts w:hint="eastAsia" w:ascii="Times New Roman" w:hAnsi="Times New Roman" w:eastAsia="宋体" w:cs="Times New Roman"/>
                <w:color w:val="000000"/>
                <w:highlight w:val="none"/>
                <w:lang w:val="en-US" w:eastAsia="zh-CN" w:bidi="ar"/>
              </w:rPr>
              <w:t xml:space="preserve">1</w:t>
            </w:r>
            <w:r>
              <w:rPr>
                <w:rFonts w:ascii="Times New Roman" w:hAnsi="Times New Roman" w:eastAsia="宋体" w:cs="Times New Roman"/>
                <w:color w:val="000000"/>
                <w:highlight w:val="none"/>
                <w:lang w:val="en-US" w:eastAsia="zh-CN" w:bidi="ar"/>
              </w:rPr>
              <w:t xml:space="preserve">分，扣完为止。</w:t>
            </w:r>
            <w:r>
              <w:rPr>
                <w:rFonts w:hint="eastAsia" w:ascii="Times New Roman" w:hAnsi="Times New Roman" w:eastAsia="宋体" w:cs="Times New Roman"/>
                <w:color w:val="000000"/>
                <w:highlight w:val="none"/>
                <w:lang w:val="en-US" w:eastAsia="zh-CN" w:bidi="ar"/>
              </w:rPr>
            </w:r>
            <w:r/>
          </w:p>
        </w:tc>
        <w:tc>
          <w:tcPr>
            <w:tcW w:w="988"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30</w:t>
            </w:r>
            <w:r>
              <w:rPr>
                <w:rFonts w:ascii="Times New Roman" w:hAnsi="Times New Roman" w:eastAsia="宋体" w:cs="Times New Roman"/>
                <w:color w:val="000000"/>
                <w:highlight w:val="none"/>
                <w:lang w:val="en-US" w:eastAsia="zh-CN" w:bidi="ar"/>
              </w:rPr>
            </w:r>
            <w:r/>
          </w:p>
        </w:tc>
      </w:tr>
      <w:tr>
        <w:trPr>
          <w:trHeight w:val="626"/>
        </w:trPr>
        <w:tc>
          <w:tcPr>
            <w:tcW w:w="1943"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拟投入项目人员</w:t>
            </w:r>
            <w:r>
              <w:rPr>
                <w:rFonts w:hint="eastAsia" w:ascii="Times New Roman" w:hAnsi="Times New Roman" w:eastAsia="宋体" w:cs="Times New Roman"/>
                <w:color w:val="000000"/>
                <w:highlight w:val="none"/>
                <w:lang w:val="en-US" w:eastAsia="zh-CN" w:bidi="ar"/>
              </w:rPr>
            </w:r>
            <w:r/>
          </w:p>
        </w:tc>
        <w:tc>
          <w:tcPr>
            <w:tcW w:w="5478" w:type="dxa"/>
            <w:vAlign w:val="center"/>
            <w:textDirection w:val="lrTb"/>
            <w:noWrap w:val="false"/>
          </w:tcPr>
          <w:p>
            <w:pPr>
              <w:pStyle w:val="762"/>
              <w:numPr>
                <w:ilvl w:val="0"/>
                <w:numId w:val="0"/>
              </w:numPr>
              <w:jc w:val="left"/>
              <w:spacing w:line="320" w:lineRule="exact"/>
              <w:widowControl/>
              <w:rPr>
                <w:rFonts w:hint="eastAsia"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1.</w:t>
            </w:r>
            <w:r>
              <w:rPr>
                <w:rFonts w:ascii="Times New Roman" w:hAnsi="Times New Roman" w:eastAsia="宋体" w:cs="Times New Roman"/>
                <w:color w:val="000000"/>
                <w:highlight w:val="none"/>
                <w:lang w:val="en-US" w:eastAsia="zh-CN" w:bidi="ar"/>
              </w:rPr>
              <w:t xml:space="preserve">投标人拟投入本项目的项目经理具有高级工程师（数字经济类）</w:t>
            </w:r>
            <w:r>
              <w:rPr>
                <w:rFonts w:hint="eastAsia" w:ascii="Times New Roman" w:hAnsi="Times New Roman" w:eastAsia="宋体" w:cs="Times New Roman"/>
                <w:color w:val="000000"/>
                <w:highlight w:val="none"/>
                <w:lang w:val="en-US" w:eastAsia="zh-CN" w:bidi="ar"/>
              </w:rPr>
              <w:t xml:space="preserve">或以上</w:t>
            </w:r>
            <w:r>
              <w:rPr>
                <w:rFonts w:ascii="Times New Roman" w:hAnsi="Times New Roman" w:eastAsia="宋体" w:cs="Times New Roman"/>
                <w:color w:val="000000"/>
                <w:highlight w:val="none"/>
                <w:lang w:val="en-US" w:eastAsia="zh-CN" w:bidi="ar"/>
              </w:rPr>
              <w:t xml:space="preserve">职称、信息系统项目管理师、软件工程师、系统规划与管理师、注册信息安全专业人员（CISP）；每提供1个得1分，本项最高5分；</w:t>
            </w:r>
            <w:r>
              <w:rPr>
                <w:rFonts w:hint="eastAsia" w:ascii="Times New Roman" w:hAnsi="Times New Roman" w:eastAsia="宋体" w:cs="Times New Roman"/>
                <w:color w:val="000000"/>
                <w:highlight w:val="none"/>
                <w:lang w:val="en-US" w:eastAsia="zh-CN" w:bidi="ar"/>
              </w:rPr>
            </w:r>
            <w:r/>
          </w:p>
          <w:p>
            <w:pPr>
              <w:pStyle w:val="762"/>
              <w:numPr>
                <w:ilvl w:val="0"/>
                <w:numId w:val="0"/>
              </w:numPr>
              <w:jc w:val="left"/>
              <w:spacing w:line="320" w:lineRule="exact"/>
              <w:widowControl/>
              <w:rPr>
                <w:rFonts w:ascii="Times New Roman" w:hAnsi="Times New Roman" w:eastAsia="宋体" w:cs="Times New Roman"/>
                <w:color w:val="000000"/>
                <w:highlight w:val="none"/>
                <w:lang w:val="en-US" w:eastAsia="zh-CN" w:bidi="ar"/>
              </w:rPr>
            </w:pPr>
            <w:r>
              <w:rPr>
                <w:rFonts w:ascii="Times New Roman" w:hAnsi="Times New Roman" w:eastAsia="宋体" w:cs="Times New Roman"/>
                <w:color w:val="000000"/>
                <w:highlight w:val="none"/>
                <w:lang w:val="en-US" w:eastAsia="zh-CN" w:bidi="ar"/>
              </w:rPr>
              <w:t xml:space="preserve">2.</w:t>
            </w:r>
            <w:r>
              <w:rPr>
                <w:rFonts w:hint="eastAsia" w:ascii="Times New Roman" w:hAnsi="Times New Roman" w:eastAsia="宋体" w:cs="Times New Roman"/>
                <w:color w:val="000000"/>
                <w:highlight w:val="none"/>
                <w:lang w:val="en-US" w:eastAsia="zh-CN" w:bidi="ar"/>
              </w:rPr>
              <w:t xml:space="preserve">投标人拟投入本项目的</w:t>
            </w:r>
            <w:r>
              <w:rPr>
                <w:rFonts w:ascii="Times New Roman" w:hAnsi="Times New Roman" w:eastAsia="宋体" w:cs="Times New Roman"/>
                <w:color w:val="000000"/>
                <w:highlight w:val="none"/>
                <w:lang w:val="en-US" w:eastAsia="zh-CN" w:bidi="ar"/>
              </w:rPr>
              <w:t xml:space="preserve">技术负责人：具有高级工程师（</w:t>
            </w:r>
            <w:r>
              <w:rPr>
                <w:rFonts w:hint="eastAsia" w:ascii="Times New Roman" w:hAnsi="Times New Roman" w:eastAsia="宋体" w:cs="Times New Roman"/>
                <w:color w:val="000000"/>
                <w:highlight w:val="none"/>
                <w:lang w:val="en-US" w:eastAsia="zh-CN" w:bidi="ar"/>
              </w:rPr>
              <w:t xml:space="preserve">数字经济类</w:t>
            </w:r>
            <w:r>
              <w:rPr>
                <w:rFonts w:ascii="Times New Roman" w:hAnsi="Times New Roman" w:eastAsia="宋体" w:cs="Times New Roman"/>
                <w:color w:val="000000"/>
                <w:highlight w:val="none"/>
                <w:lang w:val="en-US" w:eastAsia="zh-CN" w:bidi="ar"/>
              </w:rPr>
              <w:t xml:space="preserve">）</w:t>
            </w:r>
            <w:r>
              <w:rPr>
                <w:rFonts w:hint="eastAsia" w:ascii="Times New Roman" w:hAnsi="Times New Roman" w:eastAsia="宋体" w:cs="Times New Roman"/>
                <w:color w:val="000000"/>
                <w:highlight w:val="none"/>
                <w:lang w:val="en-US" w:eastAsia="zh-CN" w:bidi="ar"/>
              </w:rPr>
              <w:t xml:space="preserve">或以上职称</w:t>
            </w:r>
            <w:r>
              <w:rPr>
                <w:rFonts w:ascii="Times New Roman" w:hAnsi="Times New Roman" w:eastAsia="宋体" w:cs="Times New Roman"/>
                <w:color w:val="000000"/>
                <w:highlight w:val="none"/>
                <w:lang w:val="en-US" w:eastAsia="zh-CN" w:bidi="ar"/>
              </w:rPr>
              <w:t xml:space="preserve">、</w:t>
            </w:r>
            <w:r>
              <w:rPr>
                <w:rFonts w:hint="eastAsia" w:ascii="Times New Roman" w:hAnsi="Times New Roman" w:eastAsia="宋体" w:cs="Times New Roman"/>
                <w:color w:val="000000"/>
                <w:highlight w:val="none"/>
                <w:lang w:val="en-US" w:eastAsia="zh-CN" w:bidi="ar"/>
              </w:rPr>
              <w:t xml:space="preserve">信息系统项目管理师</w:t>
            </w:r>
            <w:r>
              <w:rPr>
                <w:rFonts w:ascii="Times New Roman" w:hAnsi="Times New Roman" w:eastAsia="宋体" w:cs="Times New Roman"/>
                <w:color w:val="000000"/>
                <w:highlight w:val="none"/>
                <w:lang w:val="en-US" w:eastAsia="zh-CN" w:bidi="ar"/>
              </w:rPr>
              <w:t xml:space="preserve">、信息安全</w:t>
            </w:r>
            <w:r>
              <w:rPr>
                <w:rFonts w:hint="eastAsia" w:ascii="Times New Roman" w:hAnsi="Times New Roman" w:eastAsia="宋体" w:cs="Times New Roman"/>
                <w:color w:val="000000"/>
                <w:highlight w:val="none"/>
                <w:lang w:val="en-US" w:eastAsia="zh-CN" w:bidi="ar"/>
              </w:rPr>
              <w:t xml:space="preserve">技术</w:t>
            </w:r>
            <w:r>
              <w:rPr>
                <w:rFonts w:ascii="Times New Roman" w:hAnsi="Times New Roman" w:eastAsia="宋体" w:cs="Times New Roman"/>
                <w:color w:val="000000"/>
                <w:highlight w:val="none"/>
                <w:lang w:val="en-US" w:eastAsia="zh-CN" w:bidi="ar"/>
              </w:rPr>
              <w:t xml:space="preserve">人员</w:t>
            </w:r>
            <w:r>
              <w:rPr>
                <w:rFonts w:hint="eastAsia" w:ascii="Times New Roman" w:hAnsi="Times New Roman" w:eastAsia="宋体" w:cs="Times New Roman"/>
                <w:color w:val="000000"/>
                <w:highlight w:val="none"/>
                <w:lang w:val="en-US" w:eastAsia="zh-CN" w:bidi="ar"/>
              </w:rPr>
              <w:t xml:space="preserve">（CISAW安全软件认证方向）</w:t>
            </w:r>
            <w:r>
              <w:rPr>
                <w:rFonts w:ascii="Times New Roman" w:hAnsi="Times New Roman" w:eastAsia="宋体" w:cs="Times New Roman"/>
                <w:color w:val="000000"/>
                <w:highlight w:val="none"/>
                <w:lang w:val="en-US" w:eastAsia="zh-CN" w:bidi="ar"/>
              </w:rPr>
              <w:t xml:space="preserve">证书。每提供1个得</w:t>
            </w:r>
            <w:r>
              <w:rPr>
                <w:rFonts w:hint="eastAsia" w:ascii="Times New Roman" w:hAnsi="Times New Roman" w:eastAsia="宋体" w:cs="Times New Roman"/>
                <w:color w:val="000000"/>
                <w:highlight w:val="none"/>
                <w:lang w:val="en-US" w:eastAsia="zh-CN" w:bidi="ar"/>
              </w:rPr>
              <w:t xml:space="preserve">1</w:t>
            </w:r>
            <w:r>
              <w:rPr>
                <w:rFonts w:ascii="Times New Roman" w:hAnsi="Times New Roman" w:eastAsia="宋体" w:cs="Times New Roman"/>
                <w:color w:val="000000"/>
                <w:highlight w:val="none"/>
                <w:lang w:val="en-US" w:eastAsia="zh-CN" w:bidi="ar"/>
              </w:rPr>
              <w:t xml:space="preserve">分，最高得</w:t>
            </w:r>
            <w:r>
              <w:rPr>
                <w:rFonts w:hint="eastAsia" w:ascii="Times New Roman" w:hAnsi="Times New Roman" w:eastAsia="宋体" w:cs="Times New Roman"/>
                <w:color w:val="000000"/>
                <w:highlight w:val="none"/>
                <w:lang w:val="en-US" w:eastAsia="zh-CN" w:bidi="ar"/>
              </w:rPr>
              <w:t xml:space="preserve">3</w:t>
            </w:r>
            <w:r>
              <w:rPr>
                <w:rFonts w:ascii="Times New Roman" w:hAnsi="Times New Roman" w:eastAsia="宋体" w:cs="Times New Roman"/>
                <w:color w:val="000000"/>
                <w:highlight w:val="none"/>
                <w:lang w:val="en-US" w:eastAsia="zh-CN" w:bidi="ar"/>
              </w:rPr>
              <w:t xml:space="preserve">分；</w:t>
            </w:r>
            <w:r>
              <w:rPr>
                <w:rFonts w:ascii="Times New Roman" w:hAnsi="Times New Roman" w:eastAsia="宋体" w:cs="Times New Roman"/>
                <w:color w:val="000000"/>
                <w:highlight w:val="none"/>
                <w:lang w:val="en-US" w:eastAsia="zh-CN" w:bidi="ar"/>
              </w:rPr>
            </w:r>
            <w:r/>
          </w:p>
          <w:p>
            <w:pPr>
              <w:pStyle w:val="762"/>
              <w:jc w:val="left"/>
              <w:spacing w:line="320" w:lineRule="exact"/>
              <w:widowControl/>
              <w:rPr>
                <w:rFonts w:hint="eastAsia"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3.投标人拟投入本项目的安全负责人具有高级工程师（数字经济类）或以上职称、信息系统项目管理师、注册信息安全专业人员（CISP）、信息安全保障人员（CISAW安全运维认证方向）证书，每提供1个证书得1分，最多得4分。</w:t>
            </w:r>
            <w:r>
              <w:rPr>
                <w:rFonts w:hint="eastAsia" w:ascii="Times New Roman" w:hAnsi="Times New Roman" w:eastAsia="宋体" w:cs="Times New Roman"/>
                <w:color w:val="000000"/>
                <w:highlight w:val="none"/>
                <w:lang w:val="en-US" w:eastAsia="zh-CN" w:bidi="ar"/>
              </w:rPr>
            </w:r>
            <w:r/>
          </w:p>
          <w:p>
            <w:pPr>
              <w:pStyle w:val="762"/>
              <w:jc w:val="left"/>
              <w:keepLines w:val="0"/>
              <w:keepNext w:val="0"/>
              <w:widowControl/>
              <w:rPr>
                <w:rFonts w:hint="eastAsia" w:ascii="Times New Roman" w:hAnsi="Times New Roman" w:eastAsia="宋体" w:cs="Times New Roman"/>
                <w:color w:val="000000"/>
                <w:highlight w:val="none"/>
                <w:lang w:val="en-US" w:eastAsia="zh-CN" w:bidi="ar"/>
              </w:rPr>
              <w:suppressLineNumbers w:val="0"/>
            </w:pPr>
            <w:r>
              <w:rPr>
                <w:rFonts w:ascii="Times New Roman" w:hAnsi="Times New Roman" w:eastAsia="宋体" w:cs="Times New Roman"/>
                <w:color w:val="000000"/>
                <w:highlight w:val="none"/>
                <w:lang w:val="en-US" w:eastAsia="zh-CN" w:bidi="ar"/>
              </w:rPr>
              <w:t xml:space="preserve">注：</w:t>
            </w:r>
            <w:r>
              <w:rPr>
                <w:rFonts w:hint="eastAsia" w:ascii="Times New Roman" w:hAnsi="Times New Roman" w:eastAsia="宋体" w:cs="Times New Roman"/>
                <w:color w:val="000000"/>
                <w:highlight w:val="none"/>
                <w:lang w:val="en-US" w:eastAsia="zh-CN" w:bidi="ar"/>
              </w:rPr>
              <w:t xml:space="preserve">1.</w:t>
            </w:r>
            <w:r>
              <w:rPr>
                <w:rFonts w:ascii="Times New Roman" w:hAnsi="Times New Roman" w:eastAsia="宋体" w:cs="Times New Roman"/>
                <w:color w:val="000000"/>
                <w:highlight w:val="none"/>
                <w:lang w:val="en-US" w:eastAsia="zh-CN" w:bidi="ar"/>
              </w:rPr>
              <w:t xml:space="preserve">项目经理、技术负责人、安全负责人须为不同人员，不得相互兼任</w:t>
            </w:r>
            <w:r>
              <w:rPr>
                <w:rFonts w:hint="eastAsia" w:ascii="Times New Roman" w:hAnsi="Times New Roman" w:eastAsia="宋体" w:cs="Times New Roman"/>
                <w:color w:val="000000"/>
                <w:highlight w:val="none"/>
                <w:lang w:val="en-US" w:eastAsia="zh-CN" w:bidi="ar"/>
              </w:rPr>
              <w:t xml:space="preserve">。2</w:t>
            </w:r>
            <w:r>
              <w:rPr>
                <w:rFonts w:ascii="Times New Roman" w:hAnsi="Times New Roman" w:eastAsia="宋体" w:cs="Times New Roman"/>
                <w:color w:val="000000"/>
                <w:highlight w:val="none"/>
                <w:lang w:val="en-US" w:eastAsia="zh-CN" w:bidi="ar"/>
              </w:rPr>
              <w:t xml:space="preserve">.须提供相关证书复印件以及供应商近六个月中任意一个月为相关人员缴纳社保的证明材料，未提供或未按要求提供不得分。</w:t>
            </w:r>
            <w:r>
              <w:rPr>
                <w:rFonts w:hint="eastAsia" w:ascii="Times New Roman" w:hAnsi="Times New Roman" w:eastAsia="宋体" w:cs="Times New Roman"/>
                <w:color w:val="000000"/>
                <w:highlight w:val="none"/>
                <w:lang w:val="en-US" w:eastAsia="zh-CN" w:bidi="ar"/>
              </w:rPr>
            </w:r>
            <w:r/>
          </w:p>
        </w:tc>
        <w:tc>
          <w:tcPr>
            <w:tcW w:w="988" w:type="dxa"/>
            <w:vAlign w:val="center"/>
            <w:textDirection w:val="lrTb"/>
            <w:noWrap w:val="false"/>
          </w:tcPr>
          <w:p>
            <w:pPr>
              <w:pStyle w:val="762"/>
              <w:ind w:left="0" w:right="0" w:firstLine="0"/>
              <w:jc w:val="center"/>
              <w:keepLines w:val="0"/>
              <w:keepNext w:val="0"/>
              <w:spacing w:line="240" w:lineRule="auto"/>
              <w:widowControl/>
              <w:rPr>
                <w:rFonts w:ascii="Times New Roman" w:hAnsi="Times New Roman" w:eastAsia="宋体" w:cs="Times New Roman"/>
                <w:color w:val="000000"/>
                <w:highlight w:val="none"/>
                <w:lang w:val="en-US" w:eastAsia="zh-CN" w:bidi="ar"/>
              </w:rPr>
              <w:suppressLineNumbers w:val="0"/>
            </w:pPr>
            <w:r>
              <w:rPr>
                <w:rFonts w:hint="eastAsia" w:ascii="Times New Roman" w:hAnsi="Times New Roman" w:eastAsia="宋体" w:cs="Times New Roman"/>
                <w:color w:val="000000"/>
                <w:highlight w:val="none"/>
                <w:lang w:val="en-US" w:eastAsia="zh-CN" w:bidi="ar"/>
              </w:rPr>
              <w:t xml:space="preserve">12</w:t>
            </w:r>
            <w:r>
              <w:rPr>
                <w:rFonts w:ascii="Times New Roman" w:hAnsi="Times New Roman" w:eastAsia="宋体" w:cs="Times New Roman"/>
                <w:color w:val="000000"/>
                <w:highlight w:val="none"/>
                <w:lang w:val="en-US" w:eastAsia="zh-CN" w:bidi="ar"/>
              </w:rPr>
            </w:r>
            <w:r/>
          </w:p>
        </w:tc>
      </w:tr>
      <w:tr>
        <w:trPr>
          <w:trHeight w:val="3645"/>
        </w:trPr>
        <w:tc>
          <w:tcPr>
            <w:tcW w:w="1943"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项目理解和需求分析方案</w:t>
            </w:r>
            <w:r>
              <w:rPr>
                <w:rFonts w:hint="eastAsia" w:ascii="Times New Roman" w:hAnsi="Times New Roman" w:eastAsia="宋体" w:cs="Times New Roman"/>
                <w:color w:val="000000"/>
                <w:highlight w:val="none"/>
                <w:lang w:val="en-US" w:eastAsia="zh-CN" w:bidi="ar"/>
              </w:rPr>
            </w:r>
            <w:r/>
          </w:p>
        </w:tc>
        <w:tc>
          <w:tcPr>
            <w:tcW w:w="5478" w:type="dxa"/>
            <w:vAlign w:val="center"/>
            <w:textDirection w:val="lrTb"/>
            <w:noWrap w:val="false"/>
          </w:tcPr>
          <w:p>
            <w:pPr>
              <w:pStyle w:val="762"/>
              <w:jc w:val="left"/>
              <w:spacing w:line="320" w:lineRule="exact"/>
              <w:widowControl/>
              <w:rPr>
                <w:rFonts w:hint="eastAsia" w:ascii="Times New Roman" w:hAnsi="Times New Roman" w:eastAsia="宋体" w:cs="Times New Roman"/>
                <w:color w:val="000000"/>
                <w:highlight w:val="none"/>
                <w:lang w:val="en-US" w:eastAsia="zh-CN" w:bidi="ar"/>
              </w:rPr>
            </w:pPr>
            <w:r>
              <w:rPr>
                <w:rFonts w:ascii="Times New Roman" w:hAnsi="Times New Roman" w:eastAsia="宋体" w:cs="Times New Roman"/>
                <w:color w:val="000000"/>
                <w:highlight w:val="none"/>
                <w:lang w:val="en-US" w:eastAsia="zh-CN" w:bidi="ar"/>
              </w:rPr>
              <w:t xml:space="preserve">对投标人提供的</w:t>
            </w:r>
            <w:r>
              <w:rPr>
                <w:rFonts w:hint="eastAsia" w:ascii="Times New Roman" w:hAnsi="Times New Roman" w:eastAsia="宋体" w:cs="Times New Roman"/>
                <w:color w:val="000000"/>
                <w:highlight w:val="none"/>
                <w:lang w:val="en-US" w:eastAsia="zh-CN" w:bidi="ar"/>
              </w:rPr>
              <w:t xml:space="preserve">项目理解与需求分析</w:t>
            </w:r>
            <w:r>
              <w:rPr>
                <w:rFonts w:ascii="Times New Roman" w:hAnsi="Times New Roman" w:eastAsia="宋体" w:cs="Times New Roman"/>
                <w:color w:val="000000"/>
                <w:highlight w:val="none"/>
                <w:lang w:val="en-US" w:eastAsia="zh-CN" w:bidi="ar"/>
              </w:rPr>
              <w:t xml:space="preserve">方案进行横向综合比较与评价。投标人需深度理解本项目网络安全</w:t>
            </w:r>
            <w:r>
              <w:rPr>
                <w:rFonts w:hint="eastAsia" w:ascii="Times New Roman" w:hAnsi="Times New Roman" w:eastAsia="宋体" w:cs="Times New Roman"/>
                <w:color w:val="000000"/>
                <w:highlight w:val="none"/>
                <w:lang w:val="en-US" w:eastAsia="zh-CN" w:bidi="ar"/>
              </w:rPr>
              <w:t xml:space="preserve">服务背景及现状、</w:t>
            </w:r>
            <w:r>
              <w:rPr>
                <w:rFonts w:ascii="Times New Roman" w:hAnsi="Times New Roman" w:eastAsia="宋体" w:cs="Times New Roman"/>
                <w:color w:val="000000"/>
                <w:highlight w:val="none"/>
                <w:lang w:val="en-US" w:eastAsia="zh-CN" w:bidi="ar"/>
              </w:rPr>
              <w:t xml:space="preserve">服务范围、服务场景、业务特点及核心安全需求</w:t>
            </w:r>
            <w:r>
              <w:rPr>
                <w:rFonts w:hint="eastAsia" w:ascii="Times New Roman" w:hAnsi="Times New Roman" w:eastAsia="宋体" w:cs="Times New Roman"/>
                <w:color w:val="000000"/>
                <w:highlight w:val="none"/>
                <w:lang w:val="en-US" w:eastAsia="zh-CN" w:bidi="ar"/>
              </w:rPr>
              <w:t xml:space="preserve">。</w:t>
            </w:r>
            <w:r>
              <w:rPr>
                <w:rFonts w:hint="eastAsia" w:ascii="Times New Roman" w:hAnsi="Times New Roman" w:eastAsia="宋体" w:cs="Times New Roman"/>
                <w:color w:val="000000"/>
                <w:highlight w:val="none"/>
                <w:lang w:val="en-US" w:eastAsia="zh-CN" w:bidi="ar"/>
              </w:rPr>
            </w:r>
            <w:r/>
          </w:p>
          <w:p>
            <w:pPr>
              <w:pStyle w:val="762"/>
              <w:jc w:val="left"/>
              <w:spacing w:line="320" w:lineRule="exact"/>
              <w:widowControl/>
              <w:rPr>
                <w:rFonts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（1）对项目背景现状、业务场景、安全需求理解透彻，重难点研判精准，需求分析全面深入，针对性极强的</w:t>
            </w:r>
            <w:r>
              <w:rPr>
                <w:rFonts w:ascii="Times New Roman" w:hAnsi="Times New Roman" w:eastAsia="宋体" w:cs="Times New Roman"/>
                <w:color w:val="000000"/>
                <w:highlight w:val="none"/>
                <w:lang w:val="en-US" w:eastAsia="zh-CN" w:bidi="ar"/>
              </w:rPr>
              <w:t xml:space="preserve">得10分；</w:t>
            </w:r>
            <w:r>
              <w:rPr>
                <w:rFonts w:ascii="Times New Roman" w:hAnsi="Times New Roman" w:eastAsia="宋体" w:cs="Times New Roman"/>
                <w:color w:val="000000"/>
                <w:highlight w:val="none"/>
                <w:lang w:val="en-US" w:eastAsia="zh-CN" w:bidi="ar"/>
              </w:rPr>
            </w:r>
            <w:r/>
          </w:p>
          <w:p>
            <w:pPr>
              <w:pStyle w:val="762"/>
              <w:jc w:val="left"/>
              <w:spacing w:line="320" w:lineRule="exact"/>
              <w:widowControl/>
              <w:rPr>
                <w:rFonts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（2）基本理解项目主要内容与安全需求，重难点识别较合理，需求分析较完整，具备一定针对性的</w:t>
            </w:r>
            <w:r>
              <w:rPr>
                <w:rFonts w:ascii="Times New Roman" w:hAnsi="Times New Roman" w:eastAsia="宋体" w:cs="Times New Roman"/>
                <w:color w:val="000000"/>
                <w:highlight w:val="none"/>
                <w:lang w:val="en-US" w:eastAsia="zh-CN" w:bidi="ar"/>
              </w:rPr>
              <w:t xml:space="preserve">得7分；</w:t>
            </w:r>
            <w:r>
              <w:rPr>
                <w:rFonts w:ascii="Times New Roman" w:hAnsi="Times New Roman" w:eastAsia="宋体" w:cs="Times New Roman"/>
                <w:color w:val="000000"/>
                <w:highlight w:val="none"/>
                <w:lang w:val="en-US" w:eastAsia="zh-CN" w:bidi="ar"/>
              </w:rPr>
            </w:r>
            <w:r/>
          </w:p>
          <w:p>
            <w:pPr>
              <w:pStyle w:val="762"/>
              <w:jc w:val="left"/>
              <w:spacing w:line="320" w:lineRule="exact"/>
              <w:widowControl/>
              <w:rPr>
                <w:rFonts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（3）对项目需求理解较浅显，重难点分析不到位，需求分析简略，针对性不足的得</w:t>
            </w:r>
            <w:r>
              <w:rPr>
                <w:rFonts w:ascii="Times New Roman" w:hAnsi="Times New Roman" w:eastAsia="宋体" w:cs="Times New Roman"/>
                <w:color w:val="000000"/>
                <w:highlight w:val="none"/>
                <w:lang w:val="en-US" w:eastAsia="zh-CN" w:bidi="ar"/>
              </w:rPr>
              <w:t xml:space="preserve">3分；</w:t>
            </w:r>
            <w:r>
              <w:rPr>
                <w:rFonts w:ascii="Times New Roman" w:hAnsi="Times New Roman" w:eastAsia="宋体" w:cs="Times New Roman"/>
                <w:color w:val="000000"/>
                <w:highlight w:val="none"/>
                <w:lang w:val="en-US" w:eastAsia="zh-CN" w:bidi="ar"/>
              </w:rPr>
            </w:r>
            <w:r/>
          </w:p>
          <w:p>
            <w:pPr>
              <w:pStyle w:val="762"/>
              <w:jc w:val="left"/>
              <w:spacing w:line="320" w:lineRule="exact"/>
              <w:widowControl/>
              <w:rPr>
                <w:rFonts w:hint="eastAsia"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（4）</w:t>
            </w:r>
            <w:r>
              <w:rPr>
                <w:rFonts w:ascii="Times New Roman" w:hAnsi="Times New Roman" w:eastAsia="宋体" w:cs="Times New Roman"/>
                <w:color w:val="000000"/>
                <w:highlight w:val="none"/>
                <w:lang w:val="en-US" w:eastAsia="zh-CN" w:bidi="ar"/>
              </w:rPr>
              <w:t xml:space="preserve">未提供的不得分。</w:t>
            </w:r>
            <w:r>
              <w:rPr>
                <w:rFonts w:hint="eastAsia" w:ascii="Times New Roman" w:hAnsi="Times New Roman" w:eastAsia="宋体" w:cs="Times New Roman"/>
                <w:color w:val="000000"/>
                <w:highlight w:val="none"/>
                <w:lang w:val="en-US" w:eastAsia="zh-CN" w:bidi="ar"/>
              </w:rPr>
            </w:r>
            <w:r/>
          </w:p>
        </w:tc>
        <w:tc>
          <w:tcPr>
            <w:tcW w:w="988"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10</w:t>
            </w:r>
            <w:r>
              <w:rPr>
                <w:rFonts w:ascii="Times New Roman" w:hAnsi="Times New Roman" w:eastAsia="宋体" w:cs="Times New Roman"/>
                <w:color w:val="000000"/>
                <w:highlight w:val="none"/>
                <w:lang w:val="en-US" w:eastAsia="zh-CN" w:bidi="ar"/>
              </w:rPr>
            </w:r>
            <w:r/>
          </w:p>
        </w:tc>
      </w:tr>
      <w:tr>
        <w:trPr>
          <w:trHeight w:val="3035"/>
        </w:trPr>
        <w:tc>
          <w:tcPr>
            <w:tcW w:w="1943"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val="en-US" w:eastAsia="zh-CN" w:bidi="ar"/>
              </w:rPr>
            </w:pPr>
            <w:r>
              <w:rPr>
                <w:rFonts w:ascii="Times New Roman" w:hAnsi="Times New Roman" w:eastAsia="宋体" w:cs="Times New Roman"/>
                <w:color w:val="000000"/>
                <w:highlight w:val="none"/>
                <w:lang w:val="en-US" w:eastAsia="zh-CN" w:bidi="ar"/>
              </w:rPr>
              <w:t xml:space="preserve">技术实施方案</w:t>
            </w:r>
            <w:r>
              <w:rPr>
                <w:rFonts w:hint="eastAsia" w:ascii="Times New Roman" w:hAnsi="Times New Roman" w:eastAsia="宋体" w:cs="Times New Roman"/>
                <w:color w:val="000000"/>
                <w:highlight w:val="none"/>
                <w:lang w:val="en-US" w:eastAsia="zh-CN" w:bidi="ar"/>
              </w:rPr>
            </w:r>
            <w:r/>
          </w:p>
        </w:tc>
        <w:tc>
          <w:tcPr>
            <w:tcW w:w="5478" w:type="dxa"/>
            <w:vAlign w:val="center"/>
            <w:textDirection w:val="lrTb"/>
            <w:noWrap w:val="false"/>
          </w:tcPr>
          <w:p>
            <w:pPr>
              <w:pStyle w:val="762"/>
              <w:jc w:val="left"/>
              <w:spacing w:line="320" w:lineRule="exact"/>
              <w:widowControl/>
              <w:rPr>
                <w:rFonts w:ascii="Times New Roman" w:hAnsi="Times New Roman" w:eastAsia="宋体" w:cs="Times New Roman"/>
                <w:color w:val="000000"/>
                <w:highlight w:val="none"/>
                <w:lang w:val="en-US" w:eastAsia="zh-CN" w:bidi="ar"/>
              </w:rPr>
            </w:pPr>
            <w:r>
              <w:rPr>
                <w:rFonts w:ascii="Times New Roman" w:hAnsi="Times New Roman" w:eastAsia="宋体" w:cs="Times New Roman"/>
                <w:color w:val="000000"/>
                <w:highlight w:val="none"/>
                <w:lang w:val="en-US" w:eastAsia="zh-CN" w:bidi="ar"/>
              </w:rPr>
              <w:t xml:space="preserve">对投标人提供的技术实施方案进行横向综合比较与评价。投标方应提交完整、可实施的技术方案，系统阐述网络安全基础设施建设服务及网络安全运营服务的整体设计思路与实现路径；其中，须对网络安全运营服务的各细分服务子项逐一进行详细说明。</w:t>
            </w:r>
            <w:r>
              <w:rPr>
                <w:rFonts w:ascii="Times New Roman" w:hAnsi="Times New Roman" w:eastAsia="宋体" w:cs="Times New Roman"/>
                <w:color w:val="000000"/>
                <w:highlight w:val="none"/>
                <w:lang w:val="en-US" w:eastAsia="zh-CN" w:bidi="ar"/>
              </w:rPr>
            </w:r>
            <w:r/>
          </w:p>
          <w:p>
            <w:pPr>
              <w:pStyle w:val="762"/>
              <w:jc w:val="left"/>
              <w:spacing w:line="320" w:lineRule="exact"/>
              <w:widowControl/>
              <w:rPr>
                <w:rFonts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（1）</w:t>
            </w:r>
            <w:r>
              <w:rPr>
                <w:rFonts w:ascii="Times New Roman" w:hAnsi="Times New Roman" w:eastAsia="宋体" w:cs="Times New Roman"/>
                <w:color w:val="000000"/>
                <w:highlight w:val="none"/>
                <w:lang w:val="en-US" w:eastAsia="zh-CN" w:bidi="ar"/>
              </w:rPr>
              <w:t xml:space="preserve">方案完整性、针对性较好的得10分；</w:t>
            </w:r>
            <w:r>
              <w:rPr>
                <w:rFonts w:ascii="Times New Roman" w:hAnsi="Times New Roman" w:eastAsia="宋体" w:cs="Times New Roman"/>
                <w:color w:val="000000"/>
                <w:highlight w:val="none"/>
                <w:lang w:val="en-US" w:eastAsia="zh-CN" w:bidi="ar"/>
              </w:rPr>
            </w:r>
            <w:r/>
          </w:p>
          <w:p>
            <w:pPr>
              <w:pStyle w:val="762"/>
              <w:jc w:val="left"/>
              <w:spacing w:line="320" w:lineRule="exact"/>
              <w:widowControl/>
              <w:rPr>
                <w:rFonts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（2）</w:t>
            </w:r>
            <w:r>
              <w:rPr>
                <w:rFonts w:ascii="Times New Roman" w:hAnsi="Times New Roman" w:eastAsia="宋体" w:cs="Times New Roman"/>
                <w:color w:val="000000"/>
                <w:highlight w:val="none"/>
                <w:lang w:val="en-US" w:eastAsia="zh-CN" w:bidi="ar"/>
              </w:rPr>
              <w:t xml:space="preserve">完整性、针对性一般的得7分；</w:t>
            </w:r>
            <w:r>
              <w:rPr>
                <w:rFonts w:ascii="Times New Roman" w:hAnsi="Times New Roman" w:eastAsia="宋体" w:cs="Times New Roman"/>
                <w:color w:val="000000"/>
                <w:highlight w:val="none"/>
                <w:lang w:val="en-US" w:eastAsia="zh-CN" w:bidi="ar"/>
              </w:rPr>
            </w:r>
            <w:r/>
          </w:p>
          <w:p>
            <w:pPr>
              <w:pStyle w:val="762"/>
              <w:jc w:val="left"/>
              <w:spacing w:line="320" w:lineRule="exact"/>
              <w:widowControl/>
              <w:rPr>
                <w:rFonts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（3）</w:t>
            </w:r>
            <w:r>
              <w:rPr>
                <w:rFonts w:ascii="Times New Roman" w:hAnsi="Times New Roman" w:eastAsia="宋体" w:cs="Times New Roman"/>
                <w:color w:val="000000"/>
                <w:highlight w:val="none"/>
                <w:lang w:val="en-US" w:eastAsia="zh-CN" w:bidi="ar"/>
              </w:rPr>
              <w:t xml:space="preserve">完整性、针对性较差的得3分；</w:t>
            </w:r>
            <w:r>
              <w:rPr>
                <w:rFonts w:ascii="Times New Roman" w:hAnsi="Times New Roman" w:eastAsia="宋体" w:cs="Times New Roman"/>
                <w:color w:val="000000"/>
                <w:highlight w:val="none"/>
                <w:lang w:val="en-US" w:eastAsia="zh-CN" w:bidi="ar"/>
              </w:rPr>
            </w:r>
            <w:r/>
          </w:p>
          <w:p>
            <w:pPr>
              <w:pStyle w:val="762"/>
              <w:jc w:val="left"/>
              <w:spacing w:line="320" w:lineRule="exact"/>
              <w:widowControl/>
              <w:rPr>
                <w:rFonts w:hint="eastAsia"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（4）</w:t>
            </w:r>
            <w:r>
              <w:rPr>
                <w:rFonts w:ascii="Times New Roman" w:hAnsi="Times New Roman" w:eastAsia="宋体" w:cs="Times New Roman"/>
                <w:color w:val="000000"/>
                <w:highlight w:val="none"/>
                <w:lang w:val="en-US" w:eastAsia="zh-CN" w:bidi="ar"/>
              </w:rPr>
              <w:t xml:space="preserve">未提供的不得分。</w:t>
            </w:r>
            <w:r>
              <w:rPr>
                <w:rFonts w:hint="eastAsia" w:ascii="Times New Roman" w:hAnsi="Times New Roman" w:eastAsia="宋体" w:cs="Times New Roman"/>
                <w:color w:val="000000"/>
                <w:highlight w:val="none"/>
                <w:lang w:val="en-US" w:eastAsia="zh-CN" w:bidi="ar"/>
              </w:rPr>
            </w:r>
            <w:r/>
          </w:p>
        </w:tc>
        <w:tc>
          <w:tcPr>
            <w:tcW w:w="988"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val="en-US" w:eastAsia="zh-CN" w:bidi="ar"/>
              </w:rPr>
            </w:pPr>
            <w:r>
              <w:rPr>
                <w:rFonts w:ascii="Times New Roman" w:hAnsi="Times New Roman" w:eastAsia="宋体" w:cs="Times New Roman"/>
                <w:color w:val="000000"/>
                <w:highlight w:val="none"/>
                <w:lang w:val="en-US" w:eastAsia="zh-CN" w:bidi="ar"/>
              </w:rPr>
              <w:t xml:space="preserve">10</w:t>
            </w:r>
            <w:r>
              <w:rPr>
                <w:rFonts w:hint="eastAsia" w:ascii="Times New Roman" w:hAnsi="Times New Roman" w:eastAsia="宋体" w:cs="Times New Roman"/>
                <w:color w:val="000000"/>
                <w:highlight w:val="none"/>
                <w:lang w:val="en-US" w:eastAsia="zh-CN" w:bidi="ar"/>
              </w:rPr>
            </w:r>
            <w:r/>
          </w:p>
        </w:tc>
      </w:tr>
      <w:tr>
        <w:trPr>
          <w:trHeight w:val="450"/>
        </w:trPr>
        <w:tc>
          <w:tcPr>
            <w:tcW w:w="1943"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val="en-US" w:eastAsia="zh-CN" w:bidi="ar"/>
              </w:rPr>
            </w:pPr>
            <w:r>
              <w:rPr>
                <w:rFonts w:ascii="Times New Roman" w:hAnsi="Times New Roman" w:eastAsia="宋体" w:cs="Times New Roman"/>
                <w:color w:val="000000"/>
                <w:highlight w:val="none"/>
                <w:lang w:val="en-US" w:eastAsia="zh-CN" w:bidi="ar"/>
              </w:rPr>
              <w:t xml:space="preserve">项目质量管理方案</w:t>
            </w:r>
            <w:r>
              <w:rPr>
                <w:rFonts w:hint="eastAsia" w:ascii="Times New Roman" w:hAnsi="Times New Roman" w:eastAsia="宋体" w:cs="Times New Roman"/>
                <w:color w:val="000000"/>
                <w:highlight w:val="none"/>
                <w:lang w:val="en-US" w:eastAsia="zh-CN" w:bidi="ar"/>
              </w:rPr>
            </w:r>
            <w:r/>
          </w:p>
        </w:tc>
        <w:tc>
          <w:tcPr>
            <w:tcW w:w="5478" w:type="dxa"/>
            <w:vAlign w:val="center"/>
            <w:textDirection w:val="lrTb"/>
            <w:noWrap w:val="false"/>
          </w:tcPr>
          <w:p>
            <w:pPr>
              <w:pStyle w:val="762"/>
              <w:jc w:val="left"/>
              <w:spacing w:line="320" w:lineRule="exact"/>
              <w:widowControl/>
              <w:rPr>
                <w:rFonts w:ascii="Times New Roman" w:hAnsi="Times New Roman" w:eastAsia="宋体" w:cs="Times New Roman"/>
                <w:color w:val="000000"/>
                <w:highlight w:val="none"/>
                <w:lang w:val="en-US" w:eastAsia="zh-CN" w:bidi="ar"/>
              </w:rPr>
            </w:pPr>
            <w:r>
              <w:rPr>
                <w:rFonts w:ascii="Times New Roman" w:hAnsi="Times New Roman" w:eastAsia="宋体" w:cs="Times New Roman"/>
                <w:color w:val="000000"/>
                <w:highlight w:val="none"/>
                <w:lang w:val="en-US" w:eastAsia="zh-CN" w:bidi="ar"/>
              </w:rPr>
              <w:t xml:space="preserve">对投标人提供的项目质量管理方案进行横向综合比较与评价。投标方应依据项目特点，制定覆盖全生命周期的质量管理体系，明确项目各阶段的质量目标与控制节点，并详细阐述质量监控流程、问题闭环处理机制及具体保障措施：</w:t>
            </w:r>
            <w:r>
              <w:rPr>
                <w:rFonts w:ascii="Times New Roman" w:hAnsi="Times New Roman" w:eastAsia="宋体" w:cs="Times New Roman"/>
                <w:color w:val="000000"/>
                <w:highlight w:val="none"/>
                <w:lang w:val="en-US" w:eastAsia="zh-CN" w:bidi="ar"/>
              </w:rPr>
            </w:r>
            <w:r/>
          </w:p>
          <w:p>
            <w:pPr>
              <w:pStyle w:val="762"/>
              <w:jc w:val="left"/>
              <w:spacing w:line="320" w:lineRule="exact"/>
              <w:widowControl/>
              <w:rPr>
                <w:rFonts w:ascii="Times New Roman" w:hAnsi="Times New Roman" w:eastAsia="宋体" w:cs="Times New Roman"/>
                <w:color w:val="000000"/>
                <w:highlight w:val="none"/>
                <w:lang w:val="en-US" w:eastAsia="zh-CN" w:bidi="ar"/>
              </w:rPr>
            </w:pPr>
            <w:r>
              <w:rPr>
                <w:rFonts w:ascii="Times New Roman" w:hAnsi="Times New Roman" w:eastAsia="宋体" w:cs="Times New Roman"/>
                <w:color w:val="000000"/>
                <w:highlight w:val="none"/>
                <w:lang w:val="en-US" w:eastAsia="zh-CN" w:bidi="ar"/>
              </w:rPr>
              <w:t xml:space="preserve">（1）方案内容详实，质量目标清晰明确，监控流程科学合理，问题处理机制完善，保障措施具体可行的得10分；</w:t>
            </w:r>
            <w:r>
              <w:rPr>
                <w:rFonts w:ascii="Times New Roman" w:hAnsi="Times New Roman" w:eastAsia="宋体" w:cs="Times New Roman"/>
                <w:color w:val="000000"/>
                <w:highlight w:val="none"/>
                <w:lang w:val="en-US" w:eastAsia="zh-CN" w:bidi="ar"/>
              </w:rPr>
            </w:r>
            <w:r/>
          </w:p>
          <w:p>
            <w:pPr>
              <w:pStyle w:val="762"/>
              <w:jc w:val="left"/>
              <w:spacing w:line="320" w:lineRule="exact"/>
              <w:widowControl/>
              <w:rPr>
                <w:rFonts w:ascii="Times New Roman" w:hAnsi="Times New Roman" w:eastAsia="宋体" w:cs="Times New Roman"/>
                <w:color w:val="000000"/>
                <w:highlight w:val="none"/>
                <w:lang w:val="en-US" w:eastAsia="zh-CN" w:bidi="ar"/>
              </w:rPr>
            </w:pPr>
            <w:r>
              <w:rPr>
                <w:rFonts w:ascii="Times New Roman" w:hAnsi="Times New Roman" w:eastAsia="宋体" w:cs="Times New Roman"/>
                <w:color w:val="000000"/>
                <w:highlight w:val="none"/>
                <w:lang w:val="en-US" w:eastAsia="zh-CN" w:bidi="ar"/>
              </w:rPr>
              <w:t xml:space="preserve">（2）方案内容基本完整，质量目标基本明确，具备基础监控流程和问题处理机制，保障措施尚可的得7分；</w:t>
            </w:r>
            <w:r>
              <w:rPr>
                <w:rFonts w:ascii="Times New Roman" w:hAnsi="Times New Roman" w:eastAsia="宋体" w:cs="Times New Roman"/>
                <w:color w:val="000000"/>
                <w:highlight w:val="none"/>
                <w:lang w:val="en-US" w:eastAsia="zh-CN" w:bidi="ar"/>
              </w:rPr>
            </w:r>
            <w:r/>
          </w:p>
          <w:p>
            <w:pPr>
              <w:pStyle w:val="762"/>
              <w:jc w:val="left"/>
              <w:spacing w:line="320" w:lineRule="exact"/>
              <w:widowControl/>
              <w:rPr>
                <w:rFonts w:ascii="Times New Roman" w:hAnsi="Times New Roman" w:eastAsia="宋体" w:cs="Times New Roman"/>
                <w:color w:val="000000"/>
                <w:highlight w:val="none"/>
                <w:lang w:val="en-US" w:eastAsia="zh-CN" w:bidi="ar"/>
              </w:rPr>
            </w:pPr>
            <w:r>
              <w:rPr>
                <w:rFonts w:ascii="Times New Roman" w:hAnsi="Times New Roman" w:eastAsia="宋体" w:cs="Times New Roman"/>
                <w:color w:val="000000"/>
                <w:highlight w:val="none"/>
                <w:lang w:val="en-US" w:eastAsia="zh-CN" w:bidi="ar"/>
              </w:rPr>
              <w:t xml:space="preserve">（3）方案内容简单，质量目标模糊，监控流程或保障措施存在明显缺失的得3分；</w:t>
            </w:r>
            <w:r>
              <w:rPr>
                <w:rFonts w:ascii="Times New Roman" w:hAnsi="Times New Roman" w:eastAsia="宋体" w:cs="Times New Roman"/>
                <w:color w:val="000000"/>
                <w:highlight w:val="none"/>
                <w:lang w:val="en-US" w:eastAsia="zh-CN" w:bidi="ar"/>
              </w:rPr>
            </w:r>
            <w:r/>
          </w:p>
          <w:p>
            <w:pPr>
              <w:pStyle w:val="762"/>
              <w:jc w:val="left"/>
              <w:spacing w:line="320" w:lineRule="exact"/>
              <w:widowControl/>
              <w:rPr>
                <w:rFonts w:hint="eastAsia" w:ascii="Times New Roman" w:hAnsi="Times New Roman" w:eastAsia="宋体" w:cs="Times New Roman"/>
                <w:color w:val="000000"/>
                <w:highlight w:val="none"/>
                <w:lang w:val="en-US" w:eastAsia="zh-CN" w:bidi="ar"/>
              </w:rPr>
            </w:pPr>
            <w:r>
              <w:rPr>
                <w:rFonts w:ascii="Times New Roman" w:hAnsi="Times New Roman" w:eastAsia="宋体" w:cs="Times New Roman"/>
                <w:color w:val="000000"/>
                <w:highlight w:val="none"/>
                <w:lang w:val="en-US" w:eastAsia="zh-CN" w:bidi="ar"/>
              </w:rPr>
              <w:t xml:space="preserve">（4）未提供的不得分。</w:t>
            </w:r>
            <w:r>
              <w:rPr>
                <w:rFonts w:hint="eastAsia" w:ascii="Times New Roman" w:hAnsi="Times New Roman" w:eastAsia="宋体" w:cs="Times New Roman"/>
                <w:color w:val="000000"/>
                <w:highlight w:val="none"/>
                <w:lang w:val="en-US" w:eastAsia="zh-CN" w:bidi="ar"/>
              </w:rPr>
            </w:r>
            <w:r/>
          </w:p>
        </w:tc>
        <w:tc>
          <w:tcPr>
            <w:tcW w:w="988"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val="en-US" w:eastAsia="zh-CN" w:bidi="ar"/>
              </w:rPr>
            </w:pPr>
            <w:r>
              <w:rPr>
                <w:rFonts w:ascii="Times New Roman" w:hAnsi="Times New Roman" w:eastAsia="宋体" w:cs="Times New Roman"/>
                <w:color w:val="000000"/>
                <w:highlight w:val="none"/>
                <w:lang w:val="en-US" w:eastAsia="zh-CN" w:bidi="ar"/>
              </w:rPr>
              <w:t xml:space="preserve">10</w:t>
            </w:r>
            <w:r>
              <w:rPr>
                <w:rFonts w:hint="eastAsia" w:ascii="Times New Roman" w:hAnsi="Times New Roman" w:eastAsia="宋体" w:cs="Times New Roman"/>
                <w:color w:val="000000"/>
                <w:highlight w:val="none"/>
                <w:lang w:val="en-US" w:eastAsia="zh-CN" w:bidi="ar"/>
              </w:rPr>
            </w:r>
            <w:r/>
          </w:p>
        </w:tc>
      </w:tr>
      <w:tr>
        <w:trPr>
          <w:trHeight w:val="1423"/>
        </w:trPr>
        <w:tc>
          <w:tcPr>
            <w:tcW w:w="1943"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视频演示</w:t>
            </w:r>
            <w:r>
              <w:rPr>
                <w:rFonts w:hint="eastAsia" w:ascii="Times New Roman" w:hAnsi="Times New Roman" w:eastAsia="宋体" w:cs="Times New Roman"/>
                <w:color w:val="000000"/>
                <w:highlight w:val="none"/>
                <w:lang w:val="en-US" w:eastAsia="zh-CN" w:bidi="ar"/>
              </w:rPr>
            </w:r>
            <w:r/>
          </w:p>
        </w:tc>
        <w:tc>
          <w:tcPr>
            <w:tcW w:w="5478" w:type="dxa"/>
            <w:vAlign w:val="center"/>
            <w:textDirection w:val="lrTb"/>
            <w:noWrap w:val="false"/>
          </w:tcPr>
          <w:p>
            <w:pPr>
              <w:pStyle w:val="762"/>
              <w:jc w:val="left"/>
              <w:spacing w:line="320" w:lineRule="exact"/>
              <w:widowControl/>
              <w:rPr>
                <w:rFonts w:hint="eastAsia"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评委根据供应商提供的演示视频（每位投标人总演示时间不超过15分钟）综合评分。演示视频包括以下内容：</w:t>
            </w:r>
            <w:r>
              <w:rPr>
                <w:rFonts w:hint="eastAsia" w:ascii="Times New Roman" w:hAnsi="Times New Roman" w:eastAsia="宋体" w:cs="Times New Roman"/>
                <w:color w:val="000000"/>
                <w:highlight w:val="none"/>
                <w:lang w:val="en-US" w:eastAsia="zh-CN" w:bidi="ar"/>
              </w:rPr>
            </w:r>
            <w:r/>
          </w:p>
          <w:p>
            <w:pPr>
              <w:pStyle w:val="762"/>
              <w:jc w:val="left"/>
              <w:spacing w:line="320" w:lineRule="exact"/>
              <w:widowControl/>
              <w:rPr>
                <w:rFonts w:hint="eastAsia"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未知威胁检测系统服务</w:t>
            </w:r>
            <w:r>
              <w:rPr>
                <w:rFonts w:hint="eastAsia" w:ascii="Times New Roman" w:hAnsi="Times New Roman" w:eastAsia="宋体" w:cs="Times New Roman"/>
                <w:color w:val="000000"/>
                <w:highlight w:val="none"/>
                <w:lang w:val="en-US" w:eastAsia="zh-CN" w:bidi="ar"/>
              </w:rPr>
            </w:r>
            <w:r/>
          </w:p>
          <w:p>
            <w:pPr>
              <w:pStyle w:val="762"/>
              <w:jc w:val="left"/>
              <w:spacing w:line="320" w:lineRule="exact"/>
              <w:widowControl/>
              <w:rPr>
                <w:rFonts w:hint="eastAsia" w:ascii="Times New Roman" w:hAnsi="Times New Roman" w:eastAsia="宋体" w:cs="Times New Roman"/>
                <w:color w:val="000000"/>
                <w:highlight w:val="none"/>
                <w:lang w:val="en-US" w:eastAsia="zh-CN" w:bidi="ar"/>
              </w:rPr>
            </w:pPr>
            <w:r>
              <w:rPr>
                <w:rFonts w:hint="eastAsia" w:ascii="宋体" w:hAnsi="宋体" w:eastAsia="宋体" w:cs="宋体"/>
                <w:color w:val="000000"/>
                <w:highlight w:val="none"/>
                <w:lang w:val="en-US" w:eastAsia="zh-CN" w:bidi="ar"/>
              </w:rPr>
              <w:t xml:space="preserve">①</w:t>
            </w:r>
            <w:r>
              <w:rPr>
                <w:rFonts w:hint="eastAsia" w:ascii="Times New Roman" w:hAnsi="Times New Roman" w:eastAsia="宋体" w:cs="Times New Roman"/>
                <w:color w:val="000000"/>
                <w:highlight w:val="none"/>
                <w:lang w:val="en-US" w:eastAsia="zh-CN" w:bidi="ar"/>
              </w:rPr>
              <w:t xml:space="preserve">具备全流量审计能力（1分），支持WEB界面对协议元数据进行全流量监测，</w:t>
            </w:r>
            <w:r>
              <w:rPr>
                <w:rFonts w:hint="eastAsia" w:ascii="Times New Roman" w:hAnsi="Times New Roman" w:eastAsia="宋体" w:cs="Times New Roman"/>
                <w:color w:val="000000"/>
                <w:highlight w:val="none"/>
                <w:lang w:val="en-US" w:eastAsia="zh-CN" w:bidi="ar"/>
              </w:rPr>
              <w:t xml:space="preserve">监测颗粒度包括源IP、目的IP、源端口、目的端口、http请求方法、host、http_uri、httpuser_agent、http_cookie、http_referer、http_origin、网卡名、源IP城市、目的IP城市、源IP国家、目的IP国家、源IP经度、目的IP经度、源IP纬度、目的IP纬度、VLANID、MPLS、传输深度、请求头、请求体、响应头、响应体、请求体长度、响应体长度、响应码、响应信息、响应文件名、请求传输数据格式、响应传输数据格式、信息码、信息详情、用户名、密码、代理信息等。</w:t>
            </w:r>
            <w:r>
              <w:rPr>
                <w:rFonts w:hint="eastAsia" w:ascii="Times New Roman" w:hAnsi="Times New Roman" w:eastAsia="宋体" w:cs="Times New Roman"/>
                <w:color w:val="000000"/>
                <w:highlight w:val="none"/>
                <w:lang w:val="en-US" w:eastAsia="zh-CN" w:bidi="ar"/>
              </w:rPr>
            </w:r>
            <w:r/>
          </w:p>
          <w:p>
            <w:pPr>
              <w:pStyle w:val="762"/>
              <w:jc w:val="left"/>
              <w:spacing w:line="320" w:lineRule="exact"/>
              <w:widowControl/>
              <w:rPr>
                <w:rFonts w:hint="eastAsia"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②具备内置沙箱检测能力（1分），支持120种以上文件格式类型，涵盖Windows、Linux、Android多种操作系统，支持自定义文件类型。沙箱检测环境支持WPS等常见应用软件。</w:t>
            </w:r>
            <w:r>
              <w:rPr>
                <w:rFonts w:hint="eastAsia" w:ascii="Times New Roman" w:hAnsi="Times New Roman" w:eastAsia="宋体" w:cs="Times New Roman"/>
                <w:color w:val="000000"/>
                <w:highlight w:val="none"/>
                <w:lang w:val="en-US" w:eastAsia="zh-CN" w:bidi="ar"/>
              </w:rPr>
            </w:r>
            <w:r/>
          </w:p>
          <w:p>
            <w:pPr>
              <w:pStyle w:val="762"/>
              <w:jc w:val="left"/>
              <w:spacing w:line="320" w:lineRule="exact"/>
              <w:widowControl/>
              <w:rPr>
                <w:rFonts w:hint="eastAsia"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终端安全防护系统服务</w:t>
            </w:r>
            <w:r>
              <w:rPr>
                <w:rFonts w:hint="eastAsia" w:ascii="Times New Roman" w:hAnsi="Times New Roman" w:eastAsia="宋体" w:cs="Times New Roman"/>
                <w:color w:val="000000"/>
                <w:highlight w:val="none"/>
                <w:lang w:val="en-US" w:eastAsia="zh-CN" w:bidi="ar"/>
              </w:rPr>
            </w:r>
            <w:r/>
          </w:p>
          <w:p>
            <w:pPr>
              <w:pStyle w:val="762"/>
              <w:jc w:val="left"/>
              <w:spacing w:line="320" w:lineRule="exact"/>
              <w:widowControl/>
              <w:rPr>
                <w:rFonts w:hint="eastAsia"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③产品需支持多引擎查杀技术（1分），至少包括云查杀引擎、大数据特征引擎、人工智能引擎、脚本引擎等4个引擎，客户端支持以图形化方式展示各个引擎的信息,以确保产品可适应不同环境。</w:t>
            </w:r>
            <w:r>
              <w:rPr>
                <w:rFonts w:hint="eastAsia" w:ascii="Times New Roman" w:hAnsi="Times New Roman" w:eastAsia="宋体" w:cs="Times New Roman"/>
                <w:color w:val="000000"/>
                <w:highlight w:val="none"/>
                <w:lang w:val="en-US" w:eastAsia="zh-CN" w:bidi="ar"/>
              </w:rPr>
            </w:r>
            <w:r/>
          </w:p>
          <w:p>
            <w:pPr>
              <w:pStyle w:val="762"/>
              <w:jc w:val="left"/>
              <w:spacing w:line="320" w:lineRule="exact"/>
              <w:widowControl/>
              <w:rPr>
                <w:rFonts w:hint="eastAsia"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④系统内置独立发现的APT组织情报（1分），包括介绍、MD5、CC域名、常用漏洞等情报。APT组织不少于40个。</w:t>
            </w:r>
            <w:r>
              <w:rPr>
                <w:rFonts w:hint="eastAsia" w:ascii="Times New Roman" w:hAnsi="Times New Roman" w:eastAsia="宋体" w:cs="Times New Roman"/>
                <w:color w:val="000000"/>
                <w:highlight w:val="none"/>
                <w:lang w:val="en-US" w:eastAsia="zh-CN" w:bidi="ar"/>
              </w:rPr>
            </w:r>
            <w:r/>
          </w:p>
          <w:p>
            <w:pPr>
              <w:pStyle w:val="762"/>
              <w:jc w:val="left"/>
              <w:spacing w:line="320" w:lineRule="exact"/>
              <w:widowControl/>
              <w:rPr>
                <w:rFonts w:hint="eastAsia"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⑤支持对终端资产是否存在风险进行检测（1分），包括是否存在指定高危端口、是否存在不合规账户、是否存在不合规启动项、计划任务，是否使用未激活系统等，风险支持实时展示以及分类统计。</w:t>
            </w:r>
            <w:r>
              <w:rPr>
                <w:rFonts w:hint="eastAsia" w:ascii="Times New Roman" w:hAnsi="Times New Roman" w:eastAsia="宋体" w:cs="Times New Roman"/>
                <w:color w:val="000000"/>
                <w:highlight w:val="none"/>
                <w:lang w:val="en-US" w:eastAsia="zh-CN" w:bidi="ar"/>
              </w:rPr>
            </w:r>
            <w:r/>
          </w:p>
          <w:p>
            <w:pPr>
              <w:pStyle w:val="762"/>
              <w:jc w:val="left"/>
              <w:spacing w:line="320" w:lineRule="exact"/>
              <w:widowControl/>
              <w:rPr>
                <w:rFonts w:hint="eastAsia"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以上五项内容采用类似真实系统演示，对服务内容理解程度完整、覆盖程度方面准确、界面友好的，每个得1分；对服务内容理解程度较完整、覆盖程度方面较准确、界面相对友好的，每个得0.5分；其他不得分。</w:t>
            </w:r>
            <w:r>
              <w:rPr>
                <w:rFonts w:hint="eastAsia" w:ascii="Times New Roman" w:hAnsi="Times New Roman" w:eastAsia="宋体" w:cs="Times New Roman"/>
                <w:color w:val="000000"/>
                <w:highlight w:val="none"/>
                <w:lang w:val="en-US" w:eastAsia="zh-CN" w:bidi="ar"/>
              </w:rPr>
            </w:r>
            <w:r/>
          </w:p>
          <w:p>
            <w:pPr>
              <w:pStyle w:val="762"/>
              <w:jc w:val="left"/>
              <w:spacing w:line="320" w:lineRule="exact"/>
              <w:widowControl/>
              <w:rPr>
                <w:rFonts w:hint="eastAsia"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（未提供视频文件或因供应商自身原因视频文件无法打开或视频画面不清晰无法辨认的不得分。）</w:t>
            </w:r>
            <w:r>
              <w:rPr>
                <w:rFonts w:hint="eastAsia" w:ascii="Times New Roman" w:hAnsi="Times New Roman" w:eastAsia="宋体" w:cs="Times New Roman"/>
                <w:color w:val="000000"/>
                <w:highlight w:val="none"/>
                <w:lang w:val="en-US" w:eastAsia="zh-CN" w:bidi="ar"/>
              </w:rPr>
            </w:r>
            <w:r/>
          </w:p>
        </w:tc>
        <w:tc>
          <w:tcPr>
            <w:tcW w:w="988" w:type="dxa"/>
            <w:vAlign w:val="center"/>
            <w:textDirection w:val="lrTb"/>
            <w:noWrap w:val="false"/>
          </w:tcPr>
          <w:p>
            <w:pPr>
              <w:pStyle w:val="762"/>
              <w:jc w:val="center"/>
              <w:spacing w:line="320" w:lineRule="exact"/>
              <w:widowControl/>
              <w:rPr>
                <w:rFonts w:ascii="Times New Roman" w:hAnsi="Times New Roman" w:eastAsia="宋体" w:cs="Times New Roman"/>
                <w:color w:val="000000"/>
                <w:highlight w:val="none"/>
                <w:lang w:val="en-US" w:eastAsia="zh-CN" w:bidi="ar"/>
              </w:rPr>
            </w:pPr>
            <w:r>
              <w:rPr>
                <w:rFonts w:hint="eastAsia" w:ascii="Times New Roman" w:hAnsi="Times New Roman" w:eastAsia="宋体" w:cs="Times New Roman"/>
                <w:color w:val="000000"/>
                <w:highlight w:val="none"/>
                <w:lang w:val="en-US" w:eastAsia="zh-CN" w:bidi="ar"/>
              </w:rPr>
              <w:t xml:space="preserve">5</w:t>
            </w:r>
            <w:r>
              <w:rPr>
                <w:rFonts w:ascii="Times New Roman" w:hAnsi="Times New Roman" w:eastAsia="宋体" w:cs="Times New Roman"/>
                <w:color w:val="000000"/>
                <w:highlight w:val="none"/>
                <w:lang w:val="en-US" w:eastAsia="zh-CN" w:bidi="ar"/>
              </w:rPr>
            </w:r>
            <w:r/>
          </w:p>
        </w:tc>
      </w:tr>
      <w:tr>
        <w:trPr>
          <w:trHeight w:val="1745"/>
        </w:trPr>
        <w:tc>
          <w:tcPr>
            <w:tcW w:w="1943"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highlight w:val="none"/>
                <w:lang w:val="en-US" w:eastAsia="zh-CN" w:bidi="ar"/>
              </w:rPr>
              <w:t xml:space="preserve">业绩</w:t>
            </w:r>
            <w:r>
              <w:rPr>
                <w:rFonts w:hint="eastAsia" w:ascii="Times New Roman" w:hAnsi="Times New Roman" w:eastAsia="宋体" w:cs="Times New Roman"/>
                <w:color w:val="000000"/>
                <w:sz w:val="21"/>
                <w:szCs w:val="21"/>
                <w:highlight w:val="none"/>
                <w:lang w:val="en-US" w:eastAsia="zh-CN" w:bidi="ar"/>
              </w:rPr>
            </w:r>
            <w:r/>
          </w:p>
        </w:tc>
        <w:tc>
          <w:tcPr>
            <w:tcW w:w="5478" w:type="dxa"/>
            <w:vAlign w:val="center"/>
            <w:textDirection w:val="lrTb"/>
            <w:noWrap w:val="false"/>
          </w:tcPr>
          <w:p>
            <w:pPr>
              <w:pStyle w:val="762"/>
              <w:jc w:val="left"/>
              <w:spacing w:line="320" w:lineRule="exact"/>
              <w:widowControl/>
              <w:rPr>
                <w:rFonts w:ascii="Times New Roman" w:hAnsi="Times New Roman" w:eastAsia="宋体" w:cs="Times New Roman"/>
                <w:color w:val="000000"/>
                <w:highlight w:val="none"/>
                <w:lang w:val="en-US" w:eastAsia="zh-CN" w:bidi="ar"/>
              </w:rPr>
            </w:pPr>
            <w:r>
              <w:rPr>
                <w:rFonts w:ascii="Times New Roman" w:hAnsi="Times New Roman" w:eastAsia="宋体" w:cs="Times New Roman"/>
                <w:color w:val="000000"/>
                <w:highlight w:val="none"/>
                <w:lang w:val="en-US" w:eastAsia="zh-CN" w:bidi="ar"/>
              </w:rPr>
              <w:t xml:space="preserve">提供2023年</w:t>
            </w:r>
            <w:r>
              <w:rPr>
                <w:rFonts w:hint="eastAsia" w:ascii="Times New Roman" w:hAnsi="Times New Roman" w:eastAsia="宋体" w:cs="Times New Roman"/>
                <w:color w:val="000000"/>
                <w:highlight w:val="none"/>
                <w:lang w:val="en-US" w:eastAsia="zh-CN" w:bidi="ar"/>
              </w:rPr>
              <w:t xml:space="preserve">1月1日</w:t>
            </w:r>
            <w:r>
              <w:rPr>
                <w:rFonts w:ascii="Times New Roman" w:hAnsi="Times New Roman" w:eastAsia="宋体" w:cs="Times New Roman"/>
                <w:color w:val="000000"/>
                <w:highlight w:val="none"/>
                <w:lang w:val="en-US" w:eastAsia="zh-CN" w:bidi="ar"/>
              </w:rPr>
              <w:t xml:space="preserve">以来</w:t>
            </w:r>
            <w:r>
              <w:rPr>
                <w:rFonts w:hint="eastAsia" w:ascii="Times New Roman" w:hAnsi="Times New Roman" w:eastAsia="宋体" w:cs="Times New Roman"/>
                <w:color w:val="000000"/>
                <w:highlight w:val="none"/>
                <w:lang w:val="en-US" w:eastAsia="zh-CN" w:bidi="ar"/>
              </w:rPr>
              <w:t xml:space="preserve">(以合同签订时间为准)网络安全服务</w:t>
            </w:r>
            <w:r>
              <w:rPr>
                <w:rFonts w:ascii="Times New Roman" w:hAnsi="Times New Roman" w:eastAsia="宋体" w:cs="Times New Roman"/>
                <w:color w:val="000000"/>
                <w:highlight w:val="none"/>
                <w:lang w:val="en-US" w:eastAsia="zh-CN" w:bidi="ar"/>
              </w:rPr>
              <w:t xml:space="preserve">业绩，有一个得</w:t>
            </w:r>
            <w:r>
              <w:rPr>
                <w:rFonts w:hint="eastAsia" w:ascii="Times New Roman" w:hAnsi="Times New Roman" w:eastAsia="宋体" w:cs="Times New Roman"/>
                <w:color w:val="000000"/>
                <w:highlight w:val="none"/>
                <w:lang w:val="en-US" w:eastAsia="zh-CN" w:bidi="ar"/>
              </w:rPr>
              <w:t xml:space="preserve">1</w:t>
            </w:r>
            <w:r>
              <w:rPr>
                <w:rFonts w:ascii="Times New Roman" w:hAnsi="Times New Roman" w:eastAsia="宋体" w:cs="Times New Roman"/>
                <w:color w:val="000000"/>
                <w:highlight w:val="none"/>
                <w:lang w:val="en-US" w:eastAsia="zh-CN" w:bidi="ar"/>
              </w:rPr>
              <w:t xml:space="preserve">分</w:t>
            </w:r>
            <w:r>
              <w:rPr>
                <w:rFonts w:hint="eastAsia" w:ascii="Times New Roman" w:hAnsi="Times New Roman" w:eastAsia="宋体" w:cs="Times New Roman"/>
                <w:color w:val="000000"/>
                <w:highlight w:val="none"/>
                <w:lang w:eastAsia="zh-CN"/>
              </w:rPr>
              <w:t xml:space="preserve">，本项最高得</w:t>
            </w:r>
            <w:r>
              <w:rPr>
                <w:rFonts w:hint="eastAsia" w:ascii="Times New Roman" w:hAnsi="Times New Roman" w:eastAsia="宋体" w:cs="Times New Roman"/>
                <w:color w:val="000000"/>
                <w:highlight w:val="none"/>
                <w:lang w:val="en-US" w:eastAsia="zh-CN"/>
              </w:rPr>
              <w:t xml:space="preserve">5分</w:t>
            </w:r>
            <w:r>
              <w:rPr>
                <w:rFonts w:ascii="Times New Roman" w:hAnsi="Times New Roman" w:eastAsia="宋体" w:cs="Times New Roman"/>
                <w:color w:val="000000"/>
                <w:highlight w:val="none"/>
                <w:lang w:val="en-US" w:eastAsia="zh-CN" w:bidi="ar"/>
              </w:rPr>
              <w:t xml:space="preserve">。</w:t>
            </w:r>
            <w:r>
              <w:rPr>
                <w:rFonts w:ascii="Times New Roman" w:hAnsi="Times New Roman" w:eastAsia="宋体" w:cs="Times New Roman"/>
                <w:color w:val="000000"/>
                <w:highlight w:val="none"/>
                <w:lang w:val="en-US" w:eastAsia="zh-CN" w:bidi="ar"/>
              </w:rPr>
            </w:r>
            <w:r/>
          </w:p>
          <w:p>
            <w:pPr>
              <w:pStyle w:val="762"/>
              <w:jc w:val="left"/>
              <w:spacing w:line="320" w:lineRule="exact"/>
              <w:widowControl/>
              <w:rPr>
                <w:rFonts w:hint="eastAsia"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highlight w:val="none"/>
                <w:lang w:val="en-US" w:eastAsia="zh-CN" w:bidi="ar"/>
              </w:rPr>
              <w:t xml:space="preserve">注：业绩证明材料应提供合同复印件并加盖投标人公章。</w:t>
            </w:r>
            <w:r>
              <w:rPr>
                <w:rFonts w:hint="eastAsia" w:ascii="Times New Roman" w:hAnsi="Times New Roman" w:eastAsia="宋体" w:cs="Times New Roman"/>
                <w:color w:val="000000"/>
                <w:sz w:val="21"/>
                <w:szCs w:val="21"/>
                <w:highlight w:val="none"/>
                <w:lang w:val="en-US" w:eastAsia="zh-CN" w:bidi="ar"/>
              </w:rPr>
            </w:r>
            <w:r/>
          </w:p>
        </w:tc>
        <w:tc>
          <w:tcPr>
            <w:tcW w:w="988" w:type="dxa"/>
            <w:vAlign w:val="center"/>
            <w:textDirection w:val="lrTb"/>
            <w:noWrap w:val="false"/>
          </w:tcPr>
          <w:p>
            <w:pPr>
              <w:pStyle w:val="762"/>
              <w:jc w:val="center"/>
              <w:spacing w:line="320" w:lineRule="exact"/>
              <w:widowControl/>
              <w:rPr>
                <w:rFonts w:ascii="Times New Roman" w:hAnsi="Times New Roman" w:eastAsia="宋体" w:cs="Times New Roman"/>
                <w:color w:val="000000"/>
                <w:sz w:val="21"/>
                <w:szCs w:val="21"/>
                <w:highlight w:val="none"/>
                <w:lang w:val="en-US" w:eastAsia="zh-CN" w:bidi="ar"/>
              </w:rPr>
            </w:pPr>
            <w:r>
              <w:rPr>
                <w:rFonts w:hint="eastAsia" w:ascii="Times New Roman" w:hAnsi="Times New Roman" w:eastAsia="宋体" w:cs="Times New Roman"/>
                <w:color w:val="000000"/>
                <w:highlight w:val="none"/>
                <w:lang w:val="en-US" w:eastAsia="zh-CN" w:bidi="ar"/>
              </w:rPr>
              <w:t xml:space="preserve">5</w:t>
            </w:r>
            <w:r>
              <w:rPr>
                <w:rFonts w:ascii="Times New Roman" w:hAnsi="Times New Roman" w:eastAsia="宋体" w:cs="Times New Roman"/>
                <w:color w:val="000000"/>
                <w:sz w:val="21"/>
                <w:szCs w:val="21"/>
                <w:highlight w:val="none"/>
                <w:lang w:val="en-US" w:eastAsia="zh-CN" w:bidi="ar"/>
              </w:rPr>
            </w:r>
            <w:r/>
          </w:p>
        </w:tc>
      </w:tr>
      <w:tr>
        <w:trPr>
          <w:trHeight w:val="1745"/>
        </w:trPr>
        <w:tc>
          <w:tcPr>
            <w:tcW w:w="1943"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sz w:val="21"/>
                <w:szCs w:val="21"/>
                <w:highlight w:val="none"/>
                <w:lang w:val="en-US" w:eastAsia="zh-CN" w:bidi="ar"/>
              </w:rPr>
            </w:pPr>
            <w:r>
              <w:rPr>
                <w:rFonts w:hint="eastAsia" w:ascii="Times New Roman" w:hAnsi="Times New Roman" w:eastAsia="宋体" w:cs="Times New Roman"/>
                <w:color w:val="000000"/>
                <w:highlight w:val="none"/>
                <w:lang w:val="en-US" w:eastAsia="zh-CN" w:bidi="ar"/>
              </w:rPr>
              <w:t xml:space="preserve">体系认证</w:t>
            </w:r>
            <w:r>
              <w:rPr>
                <w:rFonts w:hint="eastAsia" w:ascii="Times New Roman" w:hAnsi="Times New Roman" w:eastAsia="宋体" w:cs="Times New Roman"/>
                <w:color w:val="000000"/>
                <w:sz w:val="21"/>
                <w:szCs w:val="21"/>
                <w:highlight w:val="none"/>
                <w:lang w:val="en-US" w:eastAsia="zh-CN" w:bidi="ar"/>
              </w:rPr>
            </w:r>
            <w:r/>
          </w:p>
        </w:tc>
        <w:tc>
          <w:tcPr>
            <w:tcW w:w="5478" w:type="dxa"/>
            <w:vAlign w:val="center"/>
            <w:textDirection w:val="lrTb"/>
            <w:noWrap w:val="false"/>
          </w:tcPr>
          <w:p>
            <w:pPr>
              <w:pStyle w:val="762"/>
              <w:jc w:val="left"/>
              <w:spacing w:line="320" w:lineRule="exact"/>
              <w:widowControl/>
              <w:rPr>
                <w:rFonts w:ascii="Times New Roman" w:hAnsi="Times New Roman" w:eastAsia="宋体" w:cs="Times New Roman"/>
                <w:color w:val="000000"/>
                <w:sz w:val="21"/>
                <w:szCs w:val="21"/>
                <w:highlight w:val="none"/>
                <w:lang w:val="en-US" w:eastAsia="zh-CN" w:bidi="ar"/>
              </w:rPr>
            </w:pPr>
            <w:r>
              <w:rPr>
                <w:rFonts w:ascii="Times New Roman" w:hAnsi="Times New Roman" w:eastAsia="宋体" w:cs="Times New Roman"/>
                <w:color w:val="000000"/>
                <w:highlight w:val="none"/>
                <w:lang w:val="en-US" w:eastAsia="zh-CN" w:bidi="ar"/>
              </w:rPr>
              <w:t xml:space="preserve">投标人</w:t>
            </w:r>
            <w:r>
              <w:rPr>
                <w:rFonts w:hint="eastAsia" w:ascii="Times New Roman" w:hAnsi="Times New Roman" w:eastAsia="宋体" w:cs="Times New Roman"/>
                <w:color w:val="000000"/>
                <w:highlight w:val="none"/>
                <w:lang w:val="en-US" w:eastAsia="zh-CN" w:bidi="ar"/>
              </w:rPr>
              <w:t xml:space="preserve">应具备有效期内I</w:t>
            </w:r>
            <w:r>
              <w:rPr>
                <w:rFonts w:ascii="Times New Roman" w:hAnsi="Times New Roman" w:eastAsia="宋体" w:cs="Times New Roman"/>
                <w:color w:val="000000"/>
                <w:highlight w:val="none"/>
                <w:lang w:val="en-US" w:eastAsia="zh-CN" w:bidi="ar"/>
              </w:rPr>
              <w:t xml:space="preserve">SO27001信息安全管理体系、ISO27701隐私信息管理体系、ISO20000服务管理体系证书</w:t>
            </w:r>
            <w:r>
              <w:rPr>
                <w:rFonts w:hint="eastAsia" w:ascii="Times New Roman" w:hAnsi="Times New Roman" w:eastAsia="宋体" w:cs="Times New Roman"/>
                <w:color w:val="000000"/>
                <w:highlight w:val="none"/>
                <w:lang w:val="en-US" w:eastAsia="zh-CN" w:bidi="ar"/>
              </w:rPr>
              <w:t xml:space="preserve">，每提供1个</w:t>
            </w:r>
            <w:r>
              <w:rPr>
                <w:rFonts w:ascii="Times New Roman" w:hAnsi="Times New Roman" w:eastAsia="宋体" w:cs="Times New Roman"/>
                <w:color w:val="000000"/>
                <w:highlight w:val="none"/>
                <w:lang w:val="en-US" w:eastAsia="zh-CN" w:bidi="ar"/>
              </w:rPr>
              <w:t xml:space="preserve">得1分</w:t>
            </w:r>
            <w:r>
              <w:rPr>
                <w:rFonts w:hint="eastAsia" w:ascii="Times New Roman" w:hAnsi="Times New Roman" w:eastAsia="宋体" w:cs="Times New Roman"/>
                <w:color w:val="000000"/>
                <w:highlight w:val="none"/>
                <w:lang w:val="en-US" w:eastAsia="zh-CN" w:bidi="ar"/>
              </w:rPr>
              <w:t xml:space="preserve">，本项最高</w:t>
            </w:r>
            <w:r>
              <w:rPr>
                <w:rFonts w:ascii="Times New Roman" w:hAnsi="Times New Roman" w:eastAsia="宋体" w:cs="Times New Roman"/>
                <w:color w:val="000000"/>
                <w:highlight w:val="none"/>
                <w:lang w:val="en-US" w:eastAsia="zh-CN" w:bidi="ar"/>
              </w:rPr>
              <w:t xml:space="preserve">得</w:t>
            </w:r>
            <w:r>
              <w:rPr>
                <w:rFonts w:hint="eastAsia" w:ascii="Times New Roman" w:hAnsi="Times New Roman" w:eastAsia="宋体" w:cs="Times New Roman"/>
                <w:color w:val="000000"/>
                <w:highlight w:val="none"/>
                <w:lang w:val="en-US" w:eastAsia="zh-CN" w:bidi="ar"/>
              </w:rPr>
              <w:t xml:space="preserve">3</w:t>
            </w:r>
            <w:r>
              <w:rPr>
                <w:rFonts w:ascii="Times New Roman" w:hAnsi="Times New Roman" w:eastAsia="宋体" w:cs="Times New Roman"/>
                <w:color w:val="000000"/>
                <w:highlight w:val="none"/>
                <w:lang w:val="en-US" w:eastAsia="zh-CN" w:bidi="ar"/>
              </w:rPr>
              <w:t xml:space="preserve">分。（投标人须提供有效期内的证书复印件加盖投标单位公章)</w:t>
            </w:r>
            <w:r>
              <w:rPr>
                <w:rFonts w:ascii="Times New Roman" w:hAnsi="Times New Roman" w:eastAsia="宋体" w:cs="Times New Roman"/>
                <w:color w:val="000000"/>
                <w:sz w:val="21"/>
                <w:szCs w:val="21"/>
                <w:highlight w:val="none"/>
                <w:lang w:val="en-US" w:eastAsia="zh-CN" w:bidi="ar"/>
              </w:rPr>
            </w:r>
            <w:r/>
          </w:p>
        </w:tc>
        <w:tc>
          <w:tcPr>
            <w:tcW w:w="988" w:type="dxa"/>
            <w:vAlign w:val="center"/>
            <w:textDirection w:val="lrTb"/>
            <w:noWrap w:val="false"/>
          </w:tcPr>
          <w:p>
            <w:pPr>
              <w:pStyle w:val="762"/>
              <w:jc w:val="center"/>
              <w:spacing w:line="320" w:lineRule="exact"/>
              <w:widowControl/>
              <w:rPr>
                <w:rFonts w:hint="eastAsia" w:ascii="Times New Roman" w:hAnsi="Times New Roman" w:eastAsia="宋体" w:cs="Times New Roman"/>
                <w:color w:val="000000"/>
                <w:sz w:val="21"/>
                <w:szCs w:val="21"/>
                <w:highlight w:val="none"/>
                <w:lang w:val="en-US" w:eastAsia="zh-CN" w:bidi="ar"/>
              </w:rPr>
            </w:pPr>
            <w:r>
              <w:rPr>
                <w:rFonts w:hint="eastAsia" w:ascii="Times New Roman" w:hAnsi="Times New Roman" w:eastAsia="宋体" w:cs="Times New Roman"/>
                <w:color w:val="000000"/>
                <w:highlight w:val="none"/>
                <w:lang w:val="en-US" w:eastAsia="zh-CN" w:bidi="ar"/>
              </w:rPr>
              <w:t xml:space="preserve">3</w:t>
            </w:r>
            <w:r>
              <w:rPr>
                <w:rFonts w:hint="eastAsia" w:ascii="Times New Roman" w:hAnsi="Times New Roman" w:eastAsia="宋体" w:cs="Times New Roman"/>
                <w:color w:val="000000"/>
                <w:sz w:val="21"/>
                <w:szCs w:val="21"/>
                <w:highlight w:val="none"/>
                <w:lang w:val="en-US" w:eastAsia="zh-CN" w:bidi="ar"/>
              </w:rPr>
            </w:r>
            <w:r/>
          </w:p>
        </w:tc>
      </w:tr>
    </w:tbl>
    <w:p>
      <w:pPr>
        <w:pStyle w:val="762"/>
        <w:rPr>
          <w:rFonts w:hint="eastAsia" w:ascii="Times New Roman" w:hAnsi="Times New Roman" w:eastAsia="宋体" w:cs="Times New Roman"/>
          <w:color w:val="000000"/>
          <w:lang w:eastAsia="zh-CN"/>
        </w:rPr>
      </w:pPr>
      <w:r>
        <w:rPr>
          <w:rFonts w:hint="eastAsia" w:ascii="Times New Roman" w:hAnsi="Times New Roman" w:eastAsia="宋体" w:cs="Times New Roman"/>
          <w:color w:val="000000"/>
          <w:lang w:eastAsia="zh-CN"/>
        </w:rPr>
      </w:r>
      <w:r/>
    </w:p>
    <w:p>
      <w:pPr>
        <w:pStyle w:val="762"/>
        <w:rPr>
          <w:rFonts w:hint="eastAsia" w:ascii="Times New Roman" w:hAnsi="Times New Roman" w:eastAsia="宋体" w:cs="Times New Roman"/>
          <w:color w:val="000000"/>
          <w:lang w:eastAsia="zh-CN"/>
        </w:rPr>
      </w:pPr>
      <w:r>
        <w:rPr>
          <w:rFonts w:hint="eastAsia" w:ascii="Times New Roman" w:hAnsi="Times New Roman" w:eastAsia="宋体" w:cs="Times New Roman"/>
          <w:color w:val="000000"/>
          <w:lang w:eastAsia="zh-CN"/>
        </w:rPr>
      </w:r>
      <w:r/>
    </w:p>
    <w:p>
      <w:pPr>
        <w:pStyle w:val="762"/>
        <w:pBdr>
          <w:top w:val="none" w:color="000000" w:sz="0" w:space="0"/>
          <w:left w:val="none" w:color="000000" w:sz="0" w:space="0"/>
          <w:bottom w:val="none" w:color="000000" w:sz="0" w:space="0"/>
          <w:right w:val="none" w:color="000000" w:sz="0" w:space="0"/>
        </w:pBdr>
      </w:pPr>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3"/>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63"/>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第六章投标文件格式</w:t>
      </w:r>
      <w:r/>
    </w:p>
    <w:p>
      <w:pPr>
        <w:pStyle w:val="762"/>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pStyle w:val="762"/>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pStyle w:val="762"/>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pStyle w:val="762"/>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pStyle w:val="762"/>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pStyle w:val="762"/>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pStyle w:val="762"/>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pStyle w:val="762"/>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pStyle w:val="762"/>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投标人名称 ：</w:t>
      </w:r>
      <w:r>
        <w:rPr>
          <w:rFonts w:ascii="宋体" w:hAnsi="宋体" w:cs="宋体"/>
          <w:b/>
          <w:color w:val="000000"/>
          <w:sz w:val="36"/>
          <w:u w:val="single"/>
        </w:rPr>
        <w:t xml:space="preserve">（加盖CA电子公章）</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日期 ：</w:t>
      </w:r>
      <w:r>
        <w:rPr>
          <w:rFonts w:ascii="宋体" w:hAnsi="宋体" w:cs="宋体"/>
          <w:b/>
          <w:color w:val="000000"/>
          <w:sz w:val="36"/>
          <w:u w:val="single"/>
        </w:rPr>
        <w:t xml:space="preserve">               </w:t>
      </w:r>
      <w:r/>
    </w:p>
    <w:p>
      <w:pPr>
        <w:pStyle w:val="762"/>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62"/>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62"/>
        <w:jc w:val="center"/>
        <w:pBdr>
          <w:top w:val="none" w:color="000000" w:sz="0" w:space="0"/>
          <w:left w:val="none" w:color="000000" w:sz="0" w:space="0"/>
          <w:bottom w:val="none" w:color="000000" w:sz="0" w:space="0"/>
          <w:right w:val="none" w:color="000000" w:sz="0" w:space="0"/>
        </w:pBdr>
      </w:pPr>
      <w:r>
        <w:br w:type="page" w:clear="all"/>
      </w:r>
      <w:r/>
    </w:p>
    <w:p>
      <w:pPr>
        <w:pStyle w:val="762"/>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pStyle w:val="762"/>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pStyle w:val="762"/>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pStyle w:val="762"/>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pStyle w:val="762"/>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pStyle w:val="762"/>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pStyle w:val="762"/>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pStyle w:val="762"/>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pStyle w:val="762"/>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2.上一年度的财务状况报告（投标人成立不满一年无需提供）</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62"/>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4.具备履行合同所必需的设备和专业技术能力的书面声明（格式见附件5）</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年内在经营活动中没有重大违法记录的书面声明（格式见附件6）</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6.特定资格要求的证明文件（如果本项目对投标人做出特定资格要求的，必须提供）</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8.法人授权书（格式见附件7）</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9.投标函（格式见附件8）</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10.中小企业声明函（如果本项目专门面向中小企业采购，则必须提供。格式见附件9）</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11.残疾人福利性单位声明函（如果本项目专门面向中小企业采购，供应商为残疾人福利性单位，且由本单位提供服务的，则必须提供。格式见附件10）</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12.联合体协议（如果本项目接受联合体参加投标，投标人是联合体的，则必须提供。格式见附件11）</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总备注：上述“资格审查内容”中1-5条、8、9条投标人必须在投标文件中提供相关材料，否则作无效投标处理；6、10、11、12条如招标文件要求必须提供相关材料而未提供的，作无效投标处理。</w:t>
      </w:r>
      <w:r/>
    </w:p>
    <w:p>
      <w:pPr>
        <w:pStyle w:val="762"/>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投标人必须对招标文件（含技术要求和商务要求）中</w:t>
      </w:r>
      <w:r>
        <w:rPr>
          <w:rFonts w:ascii="宋体" w:hAnsi="宋体" w:cs="宋体"/>
          <w:b/>
          <w:i/>
          <w:color w:val="000000"/>
          <w:sz w:val="24"/>
          <w:u w:val="single"/>
        </w:rPr>
        <w:t xml:space="preserve">斜体且有下划线部分</w:t>
      </w:r>
      <w:r>
        <w:rPr>
          <w:rFonts w:ascii="宋体" w:hAnsi="宋体" w:cs="宋体"/>
          <w:b/>
          <w:color w:val="000000"/>
          <w:sz w:val="24"/>
        </w:rPr>
        <w:t xml:space="preserve">或加★号条款</w:t>
      </w:r>
      <w:r>
        <w:rPr>
          <w:rFonts w:ascii="宋体" w:hAnsi="宋体" w:cs="宋体"/>
          <w:color w:val="000000"/>
          <w:sz w:val="24"/>
        </w:rPr>
        <w:t xml:space="preserve">的实质性要求逐条做出响应，并按照招标文件要求提供证明材料，否则作无效投标处理。（格式见附件12）</w:t>
      </w:r>
      <w:r/>
    </w:p>
    <w:p>
      <w:pPr>
        <w:pStyle w:val="762"/>
        <w:ind w:firstLine="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四、价格扣除证明文件</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1.中小企业声明函（格式见附件9）</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2.残疾人福利性单位声明函（格式见附件10）</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3.关于符合本国产品标准的声明函（格式见附件13）</w:t>
      </w:r>
      <w:r/>
    </w:p>
    <w:p>
      <w:pPr>
        <w:pStyle w:val="762"/>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pBdr>
          <w:top w:val="none" w:color="000000" w:sz="0" w:space="0"/>
          <w:left w:val="none" w:color="000000" w:sz="0" w:space="0"/>
          <w:bottom w:val="none" w:color="000000" w:sz="0" w:space="0"/>
          <w:right w:val="none" w:color="000000" w:sz="0" w:space="0"/>
        </w:pBdr>
      </w:pPr>
      <w:r>
        <w:br w:type="page" w:clear="all"/>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开标一览表</w:t>
      </w:r>
      <w:r/>
    </w:p>
    <w:p>
      <w:pPr>
        <w:pStyle w:val="762"/>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pStyle w:val="762"/>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pStyle w:val="762"/>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p>
    <w:p>
      <w:pPr>
        <w:pStyle w:val="762"/>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886"/>
      </w:tblGrid>
      <w:tr>
        <w:trPr>
          <w:trHeight w:val="725"/>
        </w:trPr>
        <w:tc>
          <w:tcPr>
            <w:tcMar>
              <w:left w:w="108" w:type="dxa"/>
              <w:top w:w="0" w:type="dxa"/>
              <w:right w:w="108" w:type="dxa"/>
              <w:bottom w:w="0" w:type="dxa"/>
            </w:tcMar>
            <w:tcW w:w="8886" w:type="dxa"/>
            <w:vAlign w:val="center"/>
            <w:textDirection w:val="lrTb"/>
            <w:noWrap w:val="false"/>
          </w:tcPr>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投标总报价</w:t>
            </w:r>
            <w:r/>
          </w:p>
        </w:tc>
      </w:tr>
      <w:tr>
        <w:trPr>
          <w:trHeight w:val="612"/>
        </w:trPr>
        <w:tc>
          <w:tcPr>
            <w:tcMar>
              <w:left w:w="108" w:type="dxa"/>
              <w:top w:w="0" w:type="dxa"/>
              <w:right w:w="108" w:type="dxa"/>
              <w:bottom w:w="0" w:type="dxa"/>
            </w:tcMar>
            <w:tcW w:w="8886" w:type="dxa"/>
            <w:vAlign w:val="center"/>
            <w:textDirection w:val="lrTb"/>
            <w:noWrap w:val="false"/>
          </w:tcPr>
          <w:p>
            <w:pPr>
              <w:pStyle w:val="762"/>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jc w:val="center"/>
        <w:pBdr>
          <w:top w:val="none" w:color="000000" w:sz="0" w:space="0"/>
          <w:left w:val="none" w:color="000000" w:sz="0" w:space="0"/>
          <w:bottom w:val="none" w:color="000000" w:sz="0" w:space="0"/>
          <w:right w:val="none" w:color="000000" w:sz="0" w:space="0"/>
        </w:pBdr>
      </w:pPr>
      <w:r>
        <w:br w:type="page" w:clear="all"/>
      </w:r>
      <w:r/>
    </w:p>
    <w:p>
      <w:pPr>
        <w:pStyle w:val="762"/>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附件2 投标分项报价表（采购包号：**）</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trHeight w:val="544"/>
        </w:trPr>
        <w:tc>
          <w:tcPr>
            <w:tcMar>
              <w:left w:w="108" w:type="dxa"/>
              <w:top w:w="0" w:type="dxa"/>
              <w:right w:w="108" w:type="dxa"/>
              <w:bottom w:w="0" w:type="dxa"/>
            </w:tcMar>
            <w:tcW w:w="948" w:type="dxa"/>
            <w:vAlign w:val="center"/>
            <w:vMerge w:val="restart"/>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Mar>
              <w:left w:w="108" w:type="dxa"/>
              <w:top w:w="0" w:type="dxa"/>
              <w:right w:w="108" w:type="dxa"/>
              <w:bottom w:w="0" w:type="dxa"/>
            </w:tcMar>
            <w:tcW w:w="1274"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1288"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Mar>
              <w:left w:w="108" w:type="dxa"/>
              <w:top w:w="0" w:type="dxa"/>
              <w:right w:w="108" w:type="dxa"/>
              <w:bottom w:w="0" w:type="dxa"/>
            </w:tcMar>
            <w:tcW w:w="924"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Mar>
              <w:left w:w="108" w:type="dxa"/>
              <w:top w:w="0" w:type="dxa"/>
              <w:right w:w="108" w:type="dxa"/>
              <w:bottom w:w="0" w:type="dxa"/>
            </w:tcMar>
            <w:tcW w:w="1203"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Mar>
              <w:left w:w="108" w:type="dxa"/>
              <w:top w:w="0" w:type="dxa"/>
              <w:right w:w="108" w:type="dxa"/>
              <w:bottom w:w="0" w:type="dxa"/>
            </w:tcMar>
            <w:tcW w:w="1618"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p>
        </w:tc>
        <w:tc>
          <w:tcPr>
            <w:tcMar>
              <w:left w:w="108" w:type="dxa"/>
              <w:top w:w="0" w:type="dxa"/>
              <w:right w:w="108" w:type="dxa"/>
              <w:bottom w:w="0" w:type="dxa"/>
            </w:tcMar>
            <w:tcW w:w="1798"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p>
        </w:tc>
      </w:tr>
      <w:tr>
        <w:trPr>
          <w:trHeight w:val="294"/>
        </w:trPr>
        <w:tc>
          <w:tcPr>
            <w:tcW w:w="948" w:type="dxa"/>
            <w:vAlign w:val="top"/>
            <w:vMerge w:val="continue"/>
            <w:textDirection w:val="lrTb"/>
            <w:noWrap w:val="false"/>
          </w:tcPr>
          <w:p>
            <w:pPr>
              <w:pStyle w:val="762"/>
            </w:pPr>
            <w:r/>
            <w:r/>
          </w:p>
        </w:tc>
        <w:tc>
          <w:tcPr>
            <w:tcMar>
              <w:left w:w="108" w:type="dxa"/>
              <w:top w:w="0" w:type="dxa"/>
              <w:right w:w="108" w:type="dxa"/>
              <w:bottom w:w="0" w:type="dxa"/>
            </w:tcMar>
            <w:tcW w:w="1274"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分项服务名称</w:t>
            </w:r>
            <w:r/>
          </w:p>
        </w:tc>
        <w:tc>
          <w:tcPr>
            <w:tcMar>
              <w:left w:w="108" w:type="dxa"/>
              <w:top w:w="0" w:type="dxa"/>
              <w:right w:w="108" w:type="dxa"/>
              <w:bottom w:w="0" w:type="dxa"/>
            </w:tcMar>
            <w:tcW w:w="1288"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交付期</w:t>
            </w:r>
            <w:r/>
          </w:p>
        </w:tc>
        <w:tc>
          <w:tcPr>
            <w:tcMar>
              <w:left w:w="108" w:type="dxa"/>
              <w:top w:w="0" w:type="dxa"/>
              <w:right w:w="108" w:type="dxa"/>
              <w:bottom w:w="0" w:type="dxa"/>
            </w:tcMar>
            <w:tcW w:w="924"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分项单位</w:t>
            </w:r>
            <w:r/>
          </w:p>
        </w:tc>
        <w:tc>
          <w:tcPr>
            <w:tcMar>
              <w:left w:w="108" w:type="dxa"/>
              <w:top w:w="0" w:type="dxa"/>
              <w:right w:w="108" w:type="dxa"/>
              <w:bottom w:w="0" w:type="dxa"/>
            </w:tcMar>
            <w:tcW w:w="1203"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Mar>
              <w:left w:w="108" w:type="dxa"/>
              <w:top w:w="0" w:type="dxa"/>
              <w:right w:w="108" w:type="dxa"/>
              <w:bottom w:w="0" w:type="dxa"/>
            </w:tcMar>
            <w:tcW w:w="1618"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Mar>
              <w:left w:w="108" w:type="dxa"/>
              <w:top w:w="0" w:type="dxa"/>
              <w:right w:w="108" w:type="dxa"/>
              <w:bottom w:w="0" w:type="dxa"/>
            </w:tcMar>
            <w:tcW w:w="1798"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w:t>
            </w:r>
            <w:r/>
          </w:p>
        </w:tc>
      </w:tr>
      <w:tr>
        <w:trPr>
          <w:trHeight w:val="654"/>
        </w:trPr>
        <w:tc>
          <w:tcPr>
            <w:tcMar>
              <w:left w:w="108" w:type="dxa"/>
              <w:top w:w="0" w:type="dxa"/>
              <w:right w:w="108" w:type="dxa"/>
              <w:bottom w:w="0" w:type="dxa"/>
            </w:tcMar>
            <w:tcW w:w="948"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1274"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288"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924"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203"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618"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798"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Mar>
              <w:left w:w="108" w:type="dxa"/>
              <w:top w:w="0" w:type="dxa"/>
              <w:right w:w="108" w:type="dxa"/>
              <w:bottom w:w="0" w:type="dxa"/>
            </w:tcMar>
            <w:tcW w:w="948"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Mar>
              <w:left w:w="108" w:type="dxa"/>
              <w:top w:w="0" w:type="dxa"/>
              <w:right w:w="108" w:type="dxa"/>
              <w:bottom w:w="0" w:type="dxa"/>
            </w:tcMar>
            <w:tcW w:w="1274"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288"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924"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203"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618"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798"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Mar>
              <w:left w:w="108" w:type="dxa"/>
              <w:top w:w="0" w:type="dxa"/>
              <w:right w:w="108" w:type="dxa"/>
              <w:bottom w:w="0" w:type="dxa"/>
            </w:tcMar>
            <w:tcW w:w="948"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Mar>
              <w:left w:w="108" w:type="dxa"/>
              <w:top w:w="0" w:type="dxa"/>
              <w:right w:w="108" w:type="dxa"/>
              <w:bottom w:w="0" w:type="dxa"/>
            </w:tcMar>
            <w:tcW w:w="1274"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288"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924"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203"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618"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798"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Mar>
              <w:left w:w="108" w:type="dxa"/>
              <w:top w:w="0" w:type="dxa"/>
              <w:right w:w="108" w:type="dxa"/>
              <w:bottom w:w="0" w:type="dxa"/>
            </w:tcMar>
            <w:tcW w:w="948"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Mar>
              <w:left w:w="108" w:type="dxa"/>
              <w:top w:w="0" w:type="dxa"/>
              <w:right w:w="108" w:type="dxa"/>
              <w:bottom w:w="0" w:type="dxa"/>
            </w:tcMar>
            <w:tcW w:w="1274"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Mar>
              <w:left w:w="108" w:type="dxa"/>
              <w:top w:w="0" w:type="dxa"/>
              <w:right w:w="108" w:type="dxa"/>
              <w:bottom w:w="0" w:type="dxa"/>
            </w:tcMar>
            <w:tcW w:w="1288"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924"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203"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618"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798"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487"/>
        </w:trPr>
        <w:tc>
          <w:tcPr>
            <w:gridSpan w:val="6"/>
            <w:tcMar>
              <w:left w:w="108" w:type="dxa"/>
              <w:top w:w="0" w:type="dxa"/>
              <w:right w:w="108" w:type="dxa"/>
              <w:bottom w:w="0" w:type="dxa"/>
            </w:tcMar>
            <w:tcW w:w="7255" w:type="dxa"/>
            <w:vAlign w:val="center"/>
            <w:textDirection w:val="lrTb"/>
            <w:noWrap w:val="false"/>
          </w:tcPr>
          <w:p>
            <w:pPr>
              <w:pStyle w:val="762"/>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投标总报价（人民币：元）</w:t>
            </w:r>
            <w:r/>
          </w:p>
        </w:tc>
        <w:tc>
          <w:tcPr>
            <w:tcMar>
              <w:left w:w="108" w:type="dxa"/>
              <w:top w:w="0" w:type="dxa"/>
              <w:right w:w="108" w:type="dxa"/>
              <w:bottom w:w="0" w:type="dxa"/>
            </w:tcMar>
            <w:tcW w:w="1798" w:type="dxa"/>
            <w:vAlign w:val="top"/>
            <w:textDirection w:val="lrTb"/>
            <w:noWrap w:val="false"/>
          </w:tcPr>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Style w:val="762"/>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2.“投标分项报价表”中“投标总报价”数额应当与“开标一览表”中“投标总报价”数额一致。</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3.投标人在报价中如包含对本项目的让利或优惠，需在具体费用栏目中填报让利或优惠后的价格，不得单列。否则，导致评标委员会无法评审投标人报价时，评标委员会有权作出不利于其的评判。</w:t>
      </w:r>
      <w:r/>
    </w:p>
    <w:p>
      <w:pPr>
        <w:pStyle w:val="762"/>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jc w:val="center"/>
        <w:pBdr>
          <w:top w:val="none" w:color="000000" w:sz="0" w:space="0"/>
          <w:left w:val="none" w:color="000000" w:sz="0" w:space="0"/>
          <w:bottom w:val="none" w:color="000000" w:sz="0" w:space="0"/>
          <w:right w:val="none" w:color="000000" w:sz="0" w:space="0"/>
        </w:pBdr>
      </w:pPr>
      <w:r>
        <w:br w:type="page" w:clear="all"/>
      </w:r>
      <w:r/>
    </w:p>
    <w:p>
      <w:pPr>
        <w:pStyle w:val="762"/>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c>
          <w:tcPr>
            <w:tcMar>
              <w:left w:w="108" w:type="dxa"/>
              <w:top w:w="0" w:type="dxa"/>
              <w:right w:w="108" w:type="dxa"/>
              <w:bottom w:w="0" w:type="dxa"/>
            </w:tcMar>
            <w:tcW w:w="545" w:type="dxa"/>
            <w:vAlign w:val="center"/>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Mar>
              <w:left w:w="108" w:type="dxa"/>
              <w:top w:w="0" w:type="dxa"/>
              <w:right w:w="108" w:type="dxa"/>
              <w:bottom w:w="0" w:type="dxa"/>
            </w:tcMar>
            <w:tcW w:w="3063" w:type="dxa"/>
            <w:vAlign w:val="center"/>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Mar>
              <w:left w:w="108" w:type="dxa"/>
              <w:top w:w="0" w:type="dxa"/>
              <w:right w:w="108" w:type="dxa"/>
              <w:bottom w:w="0" w:type="dxa"/>
            </w:tcMar>
            <w:tcW w:w="3191" w:type="dxa"/>
            <w:vAlign w:val="center"/>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Mar>
              <w:left w:w="108" w:type="dxa"/>
              <w:top w:w="0" w:type="dxa"/>
              <w:right w:w="108" w:type="dxa"/>
              <w:bottom w:w="0" w:type="dxa"/>
            </w:tcMar>
            <w:tcW w:w="2128" w:type="dxa"/>
            <w:vAlign w:val="center"/>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Mar>
              <w:left w:w="108" w:type="dxa"/>
              <w:top w:w="0" w:type="dxa"/>
              <w:right w:w="108" w:type="dxa"/>
              <w:bottom w:w="0" w:type="dxa"/>
            </w:tcMar>
            <w:tcW w:w="545"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3063"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191"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2128"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Mar>
              <w:left w:w="108" w:type="dxa"/>
              <w:top w:w="0" w:type="dxa"/>
              <w:right w:w="108" w:type="dxa"/>
              <w:bottom w:w="0" w:type="dxa"/>
            </w:tcMar>
            <w:tcW w:w="545"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063"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Mar>
              <w:left w:w="108" w:type="dxa"/>
              <w:top w:w="0" w:type="dxa"/>
              <w:right w:w="108" w:type="dxa"/>
              <w:bottom w:w="0" w:type="dxa"/>
            </w:tcMar>
            <w:tcW w:w="3191"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2128"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1.投标人需对招标文件技术要求中非实质性要求（</w:t>
      </w:r>
      <w:r>
        <w:rPr>
          <w:rFonts w:ascii="宋体" w:hAnsi="宋体" w:cs="宋体"/>
          <w:b/>
          <w:color w:val="000000"/>
          <w:sz w:val="24"/>
        </w:rPr>
        <w:t xml:space="preserve">未加</w:t>
      </w:r>
      <w:r>
        <w:rPr>
          <w:rFonts w:ascii="宋体" w:hAnsi="宋体" w:cs="宋体"/>
          <w:b/>
          <w:i/>
          <w:color w:val="000000"/>
          <w:sz w:val="24"/>
          <w:u w:val="single"/>
        </w:rPr>
        <w:t xml:space="preserve">斜体下划线</w:t>
      </w:r>
      <w:r>
        <w:rPr>
          <w:rFonts w:ascii="宋体" w:hAnsi="宋体" w:cs="宋体"/>
          <w:b/>
          <w:color w:val="000000"/>
          <w:sz w:val="24"/>
        </w:rPr>
        <w:t xml:space="preserve">部分或未加★号条款</w:t>
      </w:r>
      <w:r>
        <w:rPr>
          <w:rFonts w:ascii="宋体" w:hAnsi="宋体" w:cs="宋体"/>
          <w:color w:val="000000"/>
          <w:sz w:val="24"/>
        </w:rPr>
        <w:t xml:space="preserve">）逐条做出明确响应。</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tc>
          <w:tcPr>
            <w:tcMar>
              <w:left w:w="108" w:type="dxa"/>
              <w:top w:w="0" w:type="dxa"/>
              <w:right w:w="108" w:type="dxa"/>
              <w:bottom w:w="0" w:type="dxa"/>
            </w:tcMar>
            <w:tcW w:w="545" w:type="dxa"/>
            <w:vAlign w:val="center"/>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Mar>
              <w:left w:w="108" w:type="dxa"/>
              <w:top w:w="0" w:type="dxa"/>
              <w:right w:w="108" w:type="dxa"/>
              <w:bottom w:w="0" w:type="dxa"/>
            </w:tcMar>
            <w:tcW w:w="3063" w:type="dxa"/>
            <w:vAlign w:val="center"/>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Mar>
              <w:left w:w="108" w:type="dxa"/>
              <w:top w:w="0" w:type="dxa"/>
              <w:right w:w="108" w:type="dxa"/>
              <w:bottom w:w="0" w:type="dxa"/>
            </w:tcMar>
            <w:tcW w:w="3191" w:type="dxa"/>
            <w:vAlign w:val="center"/>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Mar>
              <w:left w:w="108" w:type="dxa"/>
              <w:top w:w="0" w:type="dxa"/>
              <w:right w:w="108" w:type="dxa"/>
              <w:bottom w:w="0" w:type="dxa"/>
            </w:tcMar>
            <w:tcW w:w="2128" w:type="dxa"/>
            <w:vAlign w:val="center"/>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Mar>
              <w:left w:w="108" w:type="dxa"/>
              <w:top w:w="0" w:type="dxa"/>
              <w:right w:w="108" w:type="dxa"/>
              <w:bottom w:w="0" w:type="dxa"/>
            </w:tcMar>
            <w:tcW w:w="545"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3063"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191"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2128"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Mar>
              <w:left w:w="108" w:type="dxa"/>
              <w:top w:w="0" w:type="dxa"/>
              <w:right w:w="108" w:type="dxa"/>
              <w:bottom w:w="0" w:type="dxa"/>
            </w:tcMar>
            <w:tcW w:w="545"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063"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Mar>
              <w:left w:w="108" w:type="dxa"/>
              <w:top w:w="0" w:type="dxa"/>
              <w:right w:w="108" w:type="dxa"/>
              <w:bottom w:w="0" w:type="dxa"/>
            </w:tcMar>
            <w:tcW w:w="3191"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2128"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1.投标人需对招标文件商务要求中非实质性要求（</w:t>
      </w:r>
      <w:r>
        <w:rPr>
          <w:rFonts w:ascii="宋体" w:hAnsi="宋体" w:cs="宋体"/>
          <w:b/>
          <w:color w:val="000000"/>
          <w:sz w:val="24"/>
        </w:rPr>
        <w:t xml:space="preserve">未加</w:t>
      </w:r>
      <w:r>
        <w:rPr>
          <w:rFonts w:ascii="宋体" w:hAnsi="宋体" w:cs="宋体"/>
          <w:b/>
          <w:i/>
          <w:color w:val="000000"/>
          <w:sz w:val="24"/>
          <w:u w:val="single"/>
        </w:rPr>
        <w:t xml:space="preserve">斜体下划线</w:t>
      </w:r>
      <w:r>
        <w:rPr>
          <w:rFonts w:ascii="宋体" w:hAnsi="宋体" w:cs="宋体"/>
          <w:b/>
          <w:color w:val="000000"/>
          <w:sz w:val="24"/>
        </w:rPr>
        <w:t xml:space="preserve">部分或未加★号条款</w:t>
      </w:r>
      <w:r>
        <w:rPr>
          <w:rFonts w:ascii="宋体" w:hAnsi="宋体" w:cs="宋体"/>
          <w:color w:val="000000"/>
          <w:sz w:val="24"/>
        </w:rPr>
        <w:t xml:space="preserve">）逐条做出明确响应。</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firstLine="482"/>
        <w:pBdr>
          <w:top w:val="none" w:color="000000" w:sz="0" w:space="0"/>
          <w:left w:val="none" w:color="000000" w:sz="0" w:space="0"/>
          <w:bottom w:val="none" w:color="000000" w:sz="0" w:space="0"/>
          <w:right w:val="none" w:color="000000" w:sz="0" w:space="0"/>
        </w:pBdr>
      </w:pPr>
      <w:r>
        <w:br w:type="page" w:clear="all"/>
      </w:r>
      <w:r/>
    </w:p>
    <w:p>
      <w:pPr>
        <w:pStyle w:val="762"/>
        <w:ind w:firstLine="48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具备履行合同所必需的设备和专业技术能力的书面声明</w:t>
      </w:r>
      <w:r/>
    </w:p>
    <w:p>
      <w:pPr>
        <w:pStyle w:val="762"/>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pStyle w:val="762"/>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pStyle w:val="762"/>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pStyle w:val="76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参加政府采购活动前 3 年内在经营活动中没有重大违法记录的书面声明</w:t>
      </w:r>
      <w:r/>
    </w:p>
    <w:p>
      <w:pPr>
        <w:pStyle w:val="762"/>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762"/>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62"/>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法人授权书</w:t>
      </w:r>
      <w:r/>
    </w:p>
    <w:p>
      <w:pPr>
        <w:pStyle w:val="762"/>
        <w:ind w:firstLine="480"/>
        <w:spacing w:line="40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w:t>
      </w:r>
      <w:r>
        <w:rPr>
          <w:rFonts w:eastAsia="Times New Roman"/>
          <w:color w:val="000000"/>
          <w:sz w:val="24"/>
        </w:rPr>
        <w:t xml:space="preserve">____________</w:t>
      </w:r>
      <w:r>
        <w:rPr>
          <w:rFonts w:ascii="宋体" w:hAnsi="宋体" w:cs="宋体"/>
          <w:color w:val="000000"/>
          <w:sz w:val="24"/>
        </w:rPr>
        <w:t xml:space="preserve">（投标人名称）授权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rPr>
        <w:t xml:space="preserve">JSZC-321204-</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pStyle w:val="762"/>
        <w:ind w:firstLine="480"/>
        <w:spacing w:line="40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w:t>
      </w:r>
      <w:r>
        <w:rPr>
          <w:rFonts w:eastAsia="Times New Roman"/>
          <w:color w:val="000000"/>
          <w:sz w:val="24"/>
        </w:rPr>
        <w:t xml:space="preserve">______</w:t>
      </w:r>
      <w:r>
        <w:rPr>
          <w:rFonts w:ascii="宋体" w:hAnsi="宋体" w:cs="宋体"/>
          <w:color w:val="000000"/>
          <w:sz w:val="24"/>
        </w:rPr>
        <w:t xml:space="preserve">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pStyle w:val="762"/>
        <w:spacing w:line="40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被授权人身份证号码：</w:t>
      </w:r>
      <w:r>
        <w:rPr>
          <w:rFonts w:ascii="宋体" w:hAnsi="宋体" w:cs="宋体"/>
          <w:color w:val="000000"/>
          <w:sz w:val="24"/>
          <w:u w:val="single"/>
        </w:rPr>
        <w:t xml:space="preserve">                         </w:t>
      </w:r>
      <w:r/>
    </w:p>
    <w:p>
      <w:pPr>
        <w:pStyle w:val="762"/>
        <w:spacing w:line="40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被授权人联系电话：（手机）</w:t>
      </w:r>
      <w:r>
        <w:rPr>
          <w:rFonts w:ascii="宋体" w:hAnsi="宋体" w:cs="宋体"/>
          <w:color w:val="000000"/>
          <w:sz w:val="24"/>
          <w:u w:val="single"/>
        </w:rPr>
        <w:t xml:space="preserve">                </w:t>
      </w:r>
      <w:r/>
    </w:p>
    <w:p>
      <w:pPr>
        <w:pStyle w:val="762"/>
        <w:ind w:firstLine="240"/>
        <w:spacing w:line="40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被授权人电子邮箱：</w:t>
      </w:r>
      <w:r>
        <w:rPr>
          <w:rFonts w:ascii="宋体" w:hAnsi="宋体" w:cs="宋体"/>
          <w:color w:val="000000"/>
          <w:sz w:val="24"/>
          <w:u w:val="single"/>
        </w:rPr>
        <w:t xml:space="preserve">                </w:t>
      </w:r>
      <w:r/>
    </w:p>
    <w:p>
      <w:pPr>
        <w:pStyle w:val="762"/>
        <w:ind w:firstLine="240"/>
        <w:spacing w:line="40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w:t>
      </w:r>
      <w:r>
        <w:rPr>
          <w:rFonts w:eastAsia="Times New Roman"/>
          <w:color w:val="000000"/>
          <w:sz w:val="24"/>
          <w:u w:val="single"/>
        </w:rPr>
        <w:t xml:space="preserve">CA</w:t>
      </w:r>
      <w:r>
        <w:rPr>
          <w:rFonts w:ascii="宋体" w:hAnsi="宋体" w:cs="宋体"/>
          <w:color w:val="000000"/>
          <w:sz w:val="24"/>
          <w:u w:val="single"/>
        </w:rPr>
        <w:t xml:space="preserve">电子公章）</w:t>
      </w:r>
      <w:r/>
    </w:p>
    <w:p>
      <w:pPr>
        <w:pStyle w:val="762"/>
        <w:ind w:firstLine="240"/>
        <w:spacing w:line="40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单位地址：</w:t>
      </w:r>
      <w:r>
        <w:rPr>
          <w:rFonts w:ascii="宋体" w:hAnsi="宋体" w:cs="宋体"/>
          <w:color w:val="000000"/>
          <w:sz w:val="24"/>
          <w:u w:val="single"/>
        </w:rPr>
        <w:t xml:space="preserve">                           </w:t>
      </w:r>
      <w:r/>
    </w:p>
    <w:p>
      <w:pPr>
        <w:pStyle w:val="762"/>
        <w:ind w:firstLine="240"/>
        <w:spacing w:line="40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rPr>
          <w:rFonts w:ascii="宋体" w:hAnsi="宋体" w:cs="宋体"/>
          <w:color w:val="000000"/>
          <w:sz w:val="24"/>
          <w:u w:val="single"/>
        </w:rPr>
        <w:t xml:space="preserve">                            </w:t>
      </w:r>
      <w:r/>
    </w:p>
    <w:p>
      <w:pPr>
        <w:pStyle w:val="762"/>
        <w:ind w:firstLine="360"/>
        <w:spacing w:line="400"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 </w:t>
      </w:r>
      <w:r>
        <w:rPr>
          <w:highlight w:val="none"/>
        </w:rPr>
      </w:r>
      <w:r/>
    </w:p>
    <w:p>
      <w:pPr>
        <w:pStyle w:val="762"/>
        <w:spacing w:before="260" w:after="260" w:line="98" w:lineRule="atLeast"/>
        <w:pBdr>
          <w:top w:val="none" w:color="000000" w:sz="0" w:space="0"/>
          <w:left w:val="none" w:color="000000" w:sz="0" w:space="0"/>
          <w:bottom w:val="none" w:color="000000" w:sz="0" w:space="0"/>
          <w:right w:val="none" w:color="000000" w:sz="0" w:space="0"/>
        </w:pBdr>
      </w:pPr>
      <w:r>
        <w:br w:type="page" w:clear="all"/>
      </w:r>
      <w:r/>
    </w:p>
    <w:p>
      <w:pPr>
        <w:pStyle w:val="762"/>
        <w:spacing w:before="260" w:after="260" w:line="9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                    投标函</w:t>
      </w:r>
      <w:r/>
    </w:p>
    <w:p>
      <w:pPr>
        <w:pStyle w:val="762"/>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致：泰州市姜堰区公共资源交易中心</w:t>
      </w:r>
      <w:r/>
    </w:p>
    <w:p>
      <w:pPr>
        <w:pStyle w:val="762"/>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根据贵方的JSZC-321204-</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pStyle w:val="762"/>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pStyle w:val="762"/>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1.按招标文件规定的各项要求，向买方提供所需服务（包含与服务相关的货物）。</w:t>
      </w:r>
      <w:r/>
    </w:p>
    <w:p>
      <w:pPr>
        <w:pStyle w:val="762"/>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pStyle w:val="762"/>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pStyle w:val="762"/>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pStyle w:val="762"/>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pStyle w:val="762"/>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pStyle w:val="762"/>
        <w:ind w:left="425"/>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pStyle w:val="762"/>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pStyle w:val="762"/>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pStyle w:val="762"/>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pStyle w:val="762"/>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pStyle w:val="762"/>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pStyle w:val="762"/>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pStyle w:val="762"/>
        <w:ind w:left="420"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日期：________年____月____日</w:t>
      </w:r>
      <w:r/>
    </w:p>
    <w:p>
      <w:pPr>
        <w:pStyle w:val="762"/>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jc w:val="center"/>
        <w:spacing w:line="460" w:lineRule="atLeast"/>
        <w:pBdr>
          <w:top w:val="none" w:color="000000" w:sz="0" w:space="0"/>
          <w:left w:val="none" w:color="000000" w:sz="0" w:space="0"/>
          <w:bottom w:val="none" w:color="000000" w:sz="0" w:space="0"/>
          <w:right w:val="none" w:color="000000" w:sz="0" w:space="0"/>
        </w:pBdr>
      </w:pPr>
      <w:r>
        <w:br w:type="page" w:clear="all"/>
      </w:r>
      <w:r/>
    </w:p>
    <w:p>
      <w:pPr>
        <w:pStyle w:val="762"/>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  中小企业声明函（服务）（采购包号：**）</w:t>
      </w:r>
      <w:r/>
    </w:p>
    <w:p>
      <w:pPr>
        <w:pStyle w:val="762"/>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 号）的规定，本公司（联合体）参加</w:t>
      </w:r>
      <w:r>
        <w:rPr>
          <w:rFonts w:ascii="宋体" w:hAnsi="宋体" w:cs="宋体"/>
          <w:color w:val="000000"/>
          <w:sz w:val="24"/>
          <w:u w:val="single"/>
        </w:rPr>
        <w:t xml:space="preserve">（采购单位名称）</w:t>
      </w:r>
      <w:r>
        <w:rPr>
          <w:rFonts w:ascii="宋体" w:hAnsi="宋体" w:cs="宋体"/>
          <w:color w:val="000000"/>
          <w:sz w:val="24"/>
        </w:rPr>
        <w:t xml:space="preserve">的</w:t>
      </w:r>
      <w:r>
        <w:rPr>
          <w:rFonts w:ascii="宋体" w:hAnsi="宋体" w:cs="宋体"/>
          <w:color w:val="000000"/>
          <w:sz w:val="24"/>
          <w:u w:val="single"/>
        </w:rPr>
        <w:t xml:space="preserve">（项目名称）</w:t>
      </w:r>
      <w:r>
        <w:rPr>
          <w:rFonts w:ascii="宋体" w:hAnsi="宋体" w:cs="宋体"/>
          <w:color w:val="000000"/>
          <w:sz w:val="24"/>
        </w:rPr>
        <w:t xml:space="preserve">采购活动，服务全部由符合政策要求的中小企业承接。相关企业（含联合 体中的中小企业、签订分包意向协议的中小企业）的具体情况如下：</w:t>
      </w:r>
      <w:r/>
    </w:p>
    <w:p>
      <w:pPr>
        <w:pStyle w:val="762"/>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1.（标的名称），属于（采购文件中明确的所属行业）；承接企业为（企业名称），从业人员</w:t>
      </w:r>
      <w:r>
        <w:rPr>
          <w:rFonts w:ascii="宋体" w:hAnsi="宋体" w:cs="宋体"/>
          <w:color w:val="000000"/>
          <w:sz w:val="24"/>
          <w:u w:val="single"/>
        </w:rPr>
        <w:t xml:space="preserve">  </w:t>
      </w:r>
      <w:r>
        <w:rPr>
          <w:rFonts w:ascii="宋体" w:hAnsi="宋体" w:cs="宋体"/>
          <w:color w:val="000000"/>
          <w:sz w:val="24"/>
          <w:u w:val="single"/>
        </w:rPr>
        <w:tab/>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u w:val="single"/>
        </w:rPr>
        <w:tab/>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u w:val="single"/>
        </w:rPr>
        <w:tab/>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w:t>
      </w:r>
      <w:r/>
    </w:p>
    <w:p>
      <w:pPr>
        <w:pStyle w:val="762"/>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2.（标的名称），属于（采购文件中明确的所属行业）；承接企业为（企业名称），从业人员</w:t>
      </w:r>
      <w:r>
        <w:rPr>
          <w:rFonts w:ascii="宋体" w:hAnsi="宋体" w:cs="宋体"/>
          <w:color w:val="000000"/>
          <w:sz w:val="24"/>
          <w:u w:val="single"/>
        </w:rPr>
        <w:t xml:space="preserve">  </w:t>
      </w:r>
      <w:r>
        <w:rPr>
          <w:rFonts w:ascii="宋体" w:hAnsi="宋体" w:cs="宋体"/>
          <w:color w:val="000000"/>
          <w:sz w:val="24"/>
        </w:rPr>
        <w:tab/>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u w:val="single"/>
        </w:rPr>
        <w:tab/>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w:t>
      </w:r>
      <w:r/>
    </w:p>
    <w:p>
      <w:pPr>
        <w:pStyle w:val="762"/>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Style w:val="762"/>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pStyle w:val="762"/>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pStyle w:val="762"/>
        <w:ind w:firstLine="36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ind w:right="180" w:firstLine="360"/>
        <w:jc w:val="right"/>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企业名称（加盖CA电子公章）：</w:t>
      </w:r>
      <w:r/>
    </w:p>
    <w:p>
      <w:pPr>
        <w:pStyle w:val="762"/>
        <w:ind w:right="180" w:firstLine="360"/>
        <w:jc w:val="right"/>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                       </w:t>
      </w:r>
      <w:r/>
    </w:p>
    <w:p>
      <w:pPr>
        <w:pStyle w:val="762"/>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762"/>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pStyle w:val="762"/>
        <w:ind w:left="540" w:hanging="1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3.供应商应对照《工业和信息化部、国家统计局、国家发展和改革委员会、</w:t>
      </w:r>
      <w:r/>
    </w:p>
    <w:p>
      <w:pPr>
        <w:pStyle w:val="762"/>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pStyle w:val="762"/>
        <w:ind w:firstLine="480"/>
        <w:spacing w:before="210" w:after="210" w:line="4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4.在服务采购项目中，服务由中小企业承接，即提供服务的人员为中小企业依照《中华人民共和国劳动合同法》订立劳动合同的从业人员。</w:t>
      </w:r>
      <w:r/>
    </w:p>
    <w:p>
      <w:pPr>
        <w:pStyle w:val="762"/>
        <w:spacing w:line="400" w:lineRule="atLeast"/>
        <w:pBdr>
          <w:top w:val="none" w:color="000000" w:sz="0" w:space="0"/>
          <w:left w:val="none" w:color="000000" w:sz="0" w:space="0"/>
          <w:bottom w:val="none" w:color="000000" w:sz="0" w:space="0"/>
          <w:right w:val="none" w:color="000000" w:sz="0" w:space="0"/>
        </w:pBdr>
      </w:pPr>
      <w:r>
        <w:br w:type="page" w:clear="all"/>
      </w:r>
      <w:r/>
    </w:p>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残疾人福利性单位声明函（服务类项目）（采购包号：**）</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中国残疾人联合会关于促进残疾人就业政府采购政策的通知》（财库〔2017〕141号）的规定，本单位为符合条件的残疾人福利性单位，且本单位参加______单位的采购文件编号为JSZC-321204-</w:t>
      </w:r>
      <w:r>
        <w:rPr>
          <w:rFonts w:ascii="宋体" w:hAnsi="宋体" w:cs="宋体"/>
          <w:color w:val="000000"/>
          <w:sz w:val="24"/>
          <w:u w:val="single"/>
        </w:rPr>
        <w:t xml:space="preserve">****</w:t>
      </w:r>
      <w:r>
        <w:rPr>
          <w:rFonts w:ascii="宋体" w:hAnsi="宋体" w:cs="宋体"/>
          <w:color w:val="000000"/>
          <w:sz w:val="24"/>
        </w:rPr>
        <w:t xml:space="preserve">的</w:t>
      </w:r>
      <w:r>
        <w:rPr>
          <w:rFonts w:ascii="宋体" w:hAnsi="宋体" w:cs="宋体"/>
          <w:color w:val="000000"/>
          <w:sz w:val="24"/>
          <w:u w:val="single"/>
        </w:rPr>
        <w:t xml:space="preserve">       </w:t>
      </w:r>
      <w:r>
        <w:rPr>
          <w:rFonts w:ascii="宋体" w:hAnsi="宋体" w:cs="宋体"/>
          <w:color w:val="000000"/>
          <w:sz w:val="24"/>
        </w:rPr>
        <w:t xml:space="preserve">项目采购活动由本单位提供服务。</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1.专门面向中小企业采购的项目，供应商为残疾人福利性单位并由本单位提供服务，必须提供此声明函，否则将不能通过资格审查。</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非专门面向中小企业采购的项目，供应商如不提供此声明函，价格将不做相应扣除。</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pStyle w:val="762"/>
        <w:ind w:firstLine="624"/>
        <w:spacing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pStyle w:val="762"/>
        <w:ind w:right="1559" w:firstLine="624"/>
        <w:jc w:val="center"/>
        <w:spacing w:line="400" w:lineRule="atLeast"/>
        <w:tabs>
          <w:tab w:val="left" w:pos="4860" w:leader="none"/>
        </w:tabs>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cs="宋体"/>
          <w:color w:val="000000"/>
          <w:sz w:val="24"/>
        </w:rPr>
        <w:t xml:space="preserve">     供应商全称（加盖CA电子公章）：</w:t>
      </w:r>
      <w:r/>
    </w:p>
    <w:p>
      <w:pPr>
        <w:pStyle w:val="762"/>
        <w:ind w:right="1559" w:firstLine="480"/>
        <w:jc w:val="center"/>
        <w:spacing w:line="400" w:lineRule="atLeast"/>
        <w:tabs>
          <w:tab w:val="left" w:pos="48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pStyle w:val="762"/>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2"/>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2"/>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2"/>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2"/>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Style w:val="762"/>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2"/>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2"/>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2"/>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2"/>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2"/>
        <w:jc w:val="center"/>
        <w:spacing w:line="559" w:lineRule="atLeast"/>
        <w:pBdr>
          <w:top w:val="none" w:color="000000" w:sz="0" w:space="0"/>
          <w:left w:val="none" w:color="000000" w:sz="0" w:space="0"/>
          <w:bottom w:val="none" w:color="000000" w:sz="0" w:space="0"/>
          <w:right w:val="none" w:color="000000" w:sz="0" w:space="0"/>
        </w:pBdr>
      </w:pPr>
      <w:r>
        <w:br w:type="page" w:clear="all"/>
      </w:r>
      <w:r/>
    </w:p>
    <w:p>
      <w:pPr>
        <w:pStyle w:val="762"/>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联合体协议（参考格式）（采购包号：**）</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pStyle w:val="762"/>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自愿组成联合体，参加泰州市姜堰区公共资源交易中心组织的采购编号为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pStyle w:val="762"/>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62"/>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pStyle w:val="762"/>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ind w:firstLine="646"/>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pStyle w:val="762"/>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pStyle w:val="762"/>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pStyle w:val="762"/>
        <w:ind w:firstLine="645"/>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2"/>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2"/>
        <w:jc w:val="center"/>
        <w:pBdr>
          <w:top w:val="none" w:color="000000" w:sz="0" w:space="0"/>
          <w:left w:val="none" w:color="000000" w:sz="0" w:space="0"/>
          <w:bottom w:val="none" w:color="000000" w:sz="0" w:space="0"/>
          <w:right w:val="none" w:color="000000" w:sz="0" w:space="0"/>
        </w:pBdr>
      </w:pPr>
      <w:r>
        <w:br w:type="page" w:clear="all"/>
      </w:r>
      <w:r/>
    </w:p>
    <w:p>
      <w:pPr>
        <w:pStyle w:val="762"/>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附件12实质性要求响应及偏离表（采购包号：**）</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tc>
          <w:tcPr>
            <w:tcMar>
              <w:left w:w="108" w:type="dxa"/>
              <w:top w:w="0" w:type="dxa"/>
              <w:right w:w="108" w:type="dxa"/>
              <w:bottom w:w="0" w:type="dxa"/>
            </w:tcMar>
            <w:tcW w:w="545" w:type="dxa"/>
            <w:vAlign w:val="center"/>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Mar>
              <w:left w:w="108" w:type="dxa"/>
              <w:top w:w="0" w:type="dxa"/>
              <w:right w:w="108" w:type="dxa"/>
              <w:bottom w:w="0" w:type="dxa"/>
            </w:tcMar>
            <w:tcW w:w="3609" w:type="dxa"/>
            <w:vAlign w:val="center"/>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招标文件（含技术要求和商务要求）中的实质性要求</w:t>
            </w:r>
            <w:r>
              <w:rPr>
                <w:rFonts w:ascii="宋体" w:hAnsi="宋体" w:cs="宋体"/>
                <w:b/>
                <w:color w:val="000000"/>
                <w:sz w:val="24"/>
              </w:rPr>
              <w:t xml:space="preserve">（</w:t>
            </w:r>
            <w:r>
              <w:rPr>
                <w:rFonts w:ascii="宋体" w:hAnsi="宋体" w:cs="宋体"/>
                <w:b/>
                <w:i/>
                <w:color w:val="000000"/>
                <w:sz w:val="24"/>
                <w:u w:val="single"/>
              </w:rPr>
              <w:t xml:space="preserve">斜体且有下划线部分</w:t>
            </w:r>
            <w:r>
              <w:rPr>
                <w:rFonts w:ascii="宋体" w:hAnsi="宋体" w:cs="宋体"/>
                <w:b/>
                <w:color w:val="000000"/>
                <w:sz w:val="24"/>
              </w:rPr>
              <w:t xml:space="preserve">或加★号条款）</w:t>
            </w:r>
            <w:r/>
          </w:p>
        </w:tc>
        <w:tc>
          <w:tcPr>
            <w:tcMar>
              <w:left w:w="108" w:type="dxa"/>
              <w:top w:w="0" w:type="dxa"/>
              <w:right w:w="108" w:type="dxa"/>
              <w:bottom w:w="0" w:type="dxa"/>
            </w:tcMar>
            <w:tcW w:w="3317" w:type="dxa"/>
            <w:vAlign w:val="center"/>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Mar>
              <w:left w:w="108" w:type="dxa"/>
              <w:top w:w="0" w:type="dxa"/>
              <w:right w:w="108" w:type="dxa"/>
              <w:bottom w:w="0" w:type="dxa"/>
            </w:tcMar>
            <w:tcW w:w="1526" w:type="dxa"/>
            <w:vAlign w:val="center"/>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Mar>
              <w:left w:w="108" w:type="dxa"/>
              <w:top w:w="0" w:type="dxa"/>
              <w:right w:w="108" w:type="dxa"/>
              <w:bottom w:w="0" w:type="dxa"/>
            </w:tcMar>
            <w:tcW w:w="545"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3609"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317"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26"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Mar>
              <w:left w:w="108" w:type="dxa"/>
              <w:top w:w="0" w:type="dxa"/>
              <w:right w:w="108" w:type="dxa"/>
              <w:bottom w:w="0" w:type="dxa"/>
            </w:tcMar>
            <w:tcW w:w="545"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Mar>
              <w:left w:w="108" w:type="dxa"/>
              <w:top w:w="0" w:type="dxa"/>
              <w:right w:w="108" w:type="dxa"/>
              <w:bottom w:w="0" w:type="dxa"/>
            </w:tcMar>
            <w:tcW w:w="3609"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317"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26"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Mar>
              <w:left w:w="108" w:type="dxa"/>
              <w:top w:w="0" w:type="dxa"/>
              <w:right w:w="108" w:type="dxa"/>
              <w:bottom w:w="0" w:type="dxa"/>
            </w:tcMar>
            <w:tcW w:w="545"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3609"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Mar>
              <w:left w:w="108" w:type="dxa"/>
              <w:top w:w="0" w:type="dxa"/>
              <w:right w:w="108" w:type="dxa"/>
              <w:bottom w:w="0" w:type="dxa"/>
            </w:tcMar>
            <w:tcW w:w="3317"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Mar>
              <w:left w:w="108" w:type="dxa"/>
              <w:top w:w="0" w:type="dxa"/>
              <w:right w:w="108" w:type="dxa"/>
              <w:bottom w:w="0" w:type="dxa"/>
            </w:tcMar>
            <w:tcW w:w="1526" w:type="dxa"/>
            <w:vAlign w:val="top"/>
            <w:textDirection w:val="lrTb"/>
            <w:noWrap w:val="false"/>
          </w:tcPr>
          <w:p>
            <w:pPr>
              <w:pStyle w:val="762"/>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附件12-1 证明材料1，证明材料2，……</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1.投标人必须对招标文件（含技术要求和商务要求）中的实质性要求</w:t>
      </w:r>
      <w:r>
        <w:rPr>
          <w:rFonts w:ascii="宋体" w:hAnsi="宋体" w:cs="宋体"/>
          <w:b/>
          <w:color w:val="000000"/>
          <w:sz w:val="24"/>
        </w:rPr>
        <w:t xml:space="preserve">（</w:t>
      </w:r>
      <w:r>
        <w:rPr>
          <w:rFonts w:ascii="宋体" w:hAnsi="宋体" w:cs="宋体"/>
          <w:b/>
          <w:i/>
          <w:color w:val="000000"/>
          <w:sz w:val="24"/>
          <w:u w:val="single"/>
        </w:rPr>
        <w:t xml:space="preserve">斜体且有下划线部分</w:t>
      </w:r>
      <w:r>
        <w:rPr>
          <w:rFonts w:ascii="宋体" w:hAnsi="宋体" w:cs="宋体"/>
          <w:b/>
          <w:color w:val="000000"/>
          <w:sz w:val="24"/>
        </w:rPr>
        <w:t xml:space="preserve">或加★号条款）</w:t>
      </w:r>
      <w:r>
        <w:rPr>
          <w:rFonts w:ascii="宋体" w:hAnsi="宋体" w:cs="宋体"/>
          <w:color w:val="000000"/>
          <w:sz w:val="24"/>
        </w:rPr>
        <w:t xml:space="preserve">逐条做出明确响应。</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jc w:val="center"/>
        <w:pBdr>
          <w:top w:val="none" w:color="000000" w:sz="0" w:space="0"/>
          <w:left w:val="none" w:color="000000" w:sz="0" w:space="0"/>
          <w:bottom w:val="none" w:color="000000" w:sz="0" w:space="0"/>
          <w:right w:val="none" w:color="000000" w:sz="0" w:space="0"/>
        </w:pBdr>
      </w:pPr>
      <w:r>
        <w:br w:type="page" w:clear="all"/>
      </w:r>
      <w:r/>
    </w:p>
    <w:p>
      <w:pPr>
        <w:pStyle w:val="762"/>
        <w:jc w:val="center"/>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附件13  关于符合本国产品标准的声明函（采购包号：**）</w:t>
      </w:r>
      <w:r/>
    </w:p>
    <w:p>
      <w:pPr>
        <w:pStyle w:val="762"/>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pStyle w:val="762"/>
        <w:ind w:firstLine="42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2"/>
        <w:ind w:firstLine="42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1.</w:t>
      </w:r>
      <w:r>
        <w:rPr>
          <w:rFonts w:ascii="Arial" w:hAnsi="Arial" w:eastAsia="Arial" w:cs="Arial"/>
          <w:color w:val="000000"/>
          <w:highlight w:val="none"/>
          <w:u w:val="single"/>
        </w:rPr>
        <w:t xml:space="preserve">（产品名称1）</w:t>
      </w:r>
      <w:r>
        <w:rPr>
          <w:rFonts w:ascii="Arial" w:hAnsi="Arial" w:eastAsia="Arial" w:cs="Arial"/>
          <w:color w:val="000000"/>
          <w:highlight w:val="none"/>
          <w:vertAlign w:val="superscript"/>
        </w:rPr>
        <w:t xml:space="preserve">1</w:t>
      </w:r>
      <w:r>
        <w:rPr>
          <w:rFonts w:ascii="Arial" w:hAnsi="Arial" w:eastAsia="Arial" w:cs="Arial"/>
          <w:color w:val="000000"/>
          <w:sz w:val="24"/>
          <w:highlight w:val="none"/>
        </w:rPr>
        <w:t xml:space="preserve">，生产厂为</w:t>
      </w:r>
      <w:r>
        <w:rPr>
          <w:rFonts w:ascii="Arial" w:hAnsi="Arial" w:eastAsia="Arial" w:cs="Arial"/>
          <w:color w:val="000000"/>
          <w:highlight w:val="none"/>
          <w:u w:val="single"/>
        </w:rPr>
        <w:t xml:space="preserve">（厂名）</w:t>
      </w:r>
      <w:r>
        <w:rPr>
          <w:rFonts w:ascii="Arial" w:hAnsi="Arial" w:eastAsia="Arial" w:cs="Arial"/>
          <w:color w:val="000000"/>
          <w:highlight w:val="none"/>
          <w:vertAlign w:val="superscript"/>
        </w:rPr>
        <w:t xml:space="preserve">2</w:t>
      </w:r>
      <w:r>
        <w:rPr>
          <w:rFonts w:ascii="Arial" w:hAnsi="Arial" w:eastAsia="Arial" w:cs="Arial"/>
          <w:color w:val="000000"/>
          <w:sz w:val="24"/>
          <w:highlight w:val="none"/>
        </w:rPr>
        <w:t xml:space="preserve">，厂址为</w:t>
      </w:r>
      <w:r>
        <w:rPr>
          <w:rFonts w:ascii="Arial" w:hAnsi="Arial" w:eastAsia="Arial" w:cs="Arial"/>
          <w:color w:val="000000"/>
          <w:highlight w:val="none"/>
          <w:u w:val="single"/>
        </w:rPr>
        <w:t xml:space="preserve">（生产厂址）</w:t>
      </w:r>
      <w:r>
        <w:rPr>
          <w:rFonts w:ascii="Arial" w:hAnsi="Arial" w:eastAsia="Arial" w:cs="Arial"/>
          <w:color w:val="000000"/>
          <w:sz w:val="24"/>
          <w:highlight w:val="none"/>
        </w:rPr>
        <w:t xml:space="preserve">。</w:t>
      </w:r>
      <w:r>
        <w:rPr>
          <w:rFonts w:ascii="Arial" w:hAnsi="Arial" w:eastAsia="Arial" w:cs="Arial"/>
          <w:color w:val="000000"/>
          <w:sz w:val="24"/>
          <w:highlight w:val="none"/>
          <w:u w:val="single"/>
        </w:rPr>
        <w:t xml:space="preserve"> </w:t>
      </w:r>
      <w:r>
        <w:rPr>
          <w:rFonts w:ascii="Arial" w:hAnsi="Arial" w:eastAsia="Arial" w:cs="Arial"/>
          <w:color w:val="000000"/>
          <w:highlight w:val="none"/>
          <w:u w:val="single"/>
        </w:rPr>
        <w:t xml:space="preserve">（产品名称1） </w:t>
      </w:r>
      <w:r>
        <w:rPr>
          <w:rFonts w:ascii="Arial" w:hAnsi="Arial" w:eastAsia="Arial" w:cs="Arial"/>
          <w:color w:val="000000"/>
          <w:sz w:val="24"/>
          <w:highlight w:val="none"/>
        </w:rPr>
        <w:t xml:space="preserve">的中国境内生产的组件成本占比≥</w:t>
      </w:r>
      <w:r>
        <w:rPr>
          <w:rFonts w:ascii="Arial" w:hAnsi="Arial" w:eastAsia="Arial" w:cs="Arial"/>
          <w:color w:val="000000"/>
          <w:highlight w:val="none"/>
          <w:u w:val="single"/>
        </w:rPr>
        <w:t xml:space="preserve">（规定比例）</w:t>
      </w:r>
      <w:r>
        <w:rPr>
          <w:rFonts w:ascii="Arial" w:hAnsi="Arial" w:eastAsia="Arial" w:cs="Arial"/>
          <w:color w:val="000000"/>
          <w:highlight w:val="none"/>
          <w:vertAlign w:val="superscript"/>
        </w:rPr>
        <w:t xml:space="preserve">3</w:t>
      </w:r>
      <w:r>
        <w:rPr>
          <w:rFonts w:ascii="Arial" w:hAnsi="Arial" w:eastAsia="Arial" w:cs="Arial"/>
          <w:color w:val="000000"/>
          <w:sz w:val="24"/>
          <w:highlight w:val="none"/>
        </w:rPr>
        <w:t xml:space="preserve">。</w:t>
      </w:r>
      <w:r>
        <w:rPr>
          <w:rFonts w:ascii="Arial" w:hAnsi="Arial" w:eastAsia="Arial" w:cs="Arial"/>
          <w:color w:val="000000"/>
          <w:highlight w:val="none"/>
          <w:u w:val="single"/>
        </w:rPr>
        <w:t xml:space="preserve">（产品名称1）</w:t>
      </w:r>
      <w:r>
        <w:rPr>
          <w:rFonts w:ascii="Arial" w:hAnsi="Arial" w:eastAsia="Arial" w:cs="Arial"/>
          <w:color w:val="000000"/>
          <w:sz w:val="24"/>
          <w:highlight w:val="none"/>
        </w:rPr>
        <w:t xml:space="preserve">的</w:t>
      </w:r>
      <w:r>
        <w:rPr>
          <w:rFonts w:ascii="Arial" w:hAnsi="Arial" w:eastAsia="Arial" w:cs="Arial"/>
          <w:color w:val="000000"/>
          <w:highlight w:val="none"/>
          <w:u w:val="single"/>
        </w:rPr>
        <w:t xml:space="preserve">（关键组件）</w:t>
      </w:r>
      <w:r>
        <w:rPr>
          <w:rFonts w:ascii="Arial" w:hAnsi="Arial" w:eastAsia="Arial" w:cs="Arial"/>
          <w:color w:val="000000"/>
          <w:highlight w:val="none"/>
          <w:vertAlign w:val="superscript"/>
        </w:rPr>
        <w:t xml:space="preserve">4</w:t>
      </w:r>
      <w:r>
        <w:rPr>
          <w:rFonts w:ascii="Arial" w:hAnsi="Arial" w:eastAsia="Arial" w:cs="Arial"/>
          <w:color w:val="000000"/>
          <w:sz w:val="24"/>
          <w:highlight w:val="none"/>
        </w:rPr>
        <w:t xml:space="preserve">在中国境内生产。</w:t>
      </w:r>
      <w:r>
        <w:rPr>
          <w:rFonts w:ascii="Arial" w:hAnsi="Arial" w:eastAsia="Arial" w:cs="Arial"/>
          <w:color w:val="000000"/>
          <w:highlight w:val="none"/>
          <w:u w:val="single"/>
        </w:rPr>
        <w:t xml:space="preserve">（产品名称1）</w:t>
      </w:r>
      <w:r>
        <w:rPr>
          <w:rFonts w:ascii="Arial" w:hAnsi="Arial" w:eastAsia="Arial" w:cs="Arial"/>
          <w:color w:val="000000"/>
          <w:sz w:val="24"/>
          <w:highlight w:val="none"/>
        </w:rPr>
        <w:t xml:space="preserve">的</w:t>
      </w:r>
      <w:r>
        <w:rPr>
          <w:rFonts w:ascii="Arial" w:hAnsi="Arial" w:eastAsia="Arial" w:cs="Arial"/>
          <w:color w:val="000000"/>
          <w:highlight w:val="none"/>
          <w:u w:val="single"/>
        </w:rPr>
        <w:t xml:space="preserve">（关键工序）</w:t>
      </w:r>
      <w:r>
        <w:rPr>
          <w:rFonts w:ascii="Arial" w:hAnsi="Arial" w:eastAsia="Arial" w:cs="Arial"/>
          <w:color w:val="000000"/>
          <w:highlight w:val="none"/>
          <w:vertAlign w:val="superscript"/>
        </w:rPr>
        <w:t xml:space="preserve">5</w:t>
      </w:r>
      <w:r>
        <w:rPr>
          <w:rFonts w:ascii="Arial" w:hAnsi="Arial" w:eastAsia="Arial" w:cs="Arial"/>
          <w:color w:val="000000"/>
          <w:sz w:val="24"/>
          <w:highlight w:val="none"/>
        </w:rPr>
        <w:t xml:space="preserve">在中国境内完成。</w:t>
      </w:r>
      <w:r>
        <w:rPr>
          <w:highlight w:val="none"/>
        </w:rPr>
      </w:r>
      <w:r/>
    </w:p>
    <w:p>
      <w:pPr>
        <w:pStyle w:val="762"/>
        <w:ind w:firstLine="42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2.</w:t>
      </w:r>
      <w:r>
        <w:rPr>
          <w:rFonts w:ascii="Arial" w:hAnsi="Arial" w:eastAsia="Arial" w:cs="Arial"/>
          <w:color w:val="000000"/>
          <w:highlight w:val="none"/>
          <w:u w:val="single"/>
        </w:rPr>
        <w:t xml:space="preserve">（产品名称2）</w:t>
      </w:r>
      <w:r>
        <w:rPr>
          <w:rFonts w:ascii="Arial" w:hAnsi="Arial" w:eastAsia="Arial" w:cs="Arial"/>
          <w:color w:val="000000"/>
          <w:sz w:val="24"/>
          <w:highlight w:val="none"/>
        </w:rPr>
        <w:t xml:space="preserve">，生产厂为</w:t>
      </w:r>
      <w:r>
        <w:rPr>
          <w:rFonts w:ascii="Arial" w:hAnsi="Arial" w:eastAsia="Arial" w:cs="Arial"/>
          <w:color w:val="000000"/>
          <w:highlight w:val="none"/>
          <w:u w:val="single"/>
        </w:rPr>
        <w:t xml:space="preserve">（厂名）</w:t>
      </w:r>
      <w:r>
        <w:rPr>
          <w:rFonts w:ascii="Arial" w:hAnsi="Arial" w:eastAsia="Arial" w:cs="Arial"/>
          <w:color w:val="000000"/>
          <w:sz w:val="24"/>
          <w:highlight w:val="none"/>
        </w:rPr>
        <w:t xml:space="preserve">，厂址为</w:t>
      </w:r>
      <w:r>
        <w:rPr>
          <w:rFonts w:ascii="Arial" w:hAnsi="Arial" w:eastAsia="Arial" w:cs="Arial"/>
          <w:color w:val="000000"/>
          <w:highlight w:val="none"/>
          <w:u w:val="single"/>
        </w:rPr>
        <w:t xml:space="preserve">（生产厂址）</w:t>
      </w:r>
      <w:r>
        <w:rPr>
          <w:rFonts w:ascii="Arial" w:hAnsi="Arial" w:eastAsia="Arial" w:cs="Arial"/>
          <w:color w:val="000000"/>
          <w:sz w:val="24"/>
          <w:highlight w:val="none"/>
        </w:rPr>
        <w:t xml:space="preserve">。</w:t>
      </w:r>
      <w:r>
        <w:rPr>
          <w:rFonts w:ascii="Arial" w:hAnsi="Arial" w:eastAsia="Arial" w:cs="Arial"/>
          <w:color w:val="000000"/>
          <w:highlight w:val="none"/>
          <w:u w:val="single"/>
        </w:rPr>
        <w:t xml:space="preserve">（产品名称2）</w:t>
      </w:r>
      <w:r>
        <w:rPr>
          <w:rFonts w:ascii="Arial" w:hAnsi="Arial" w:eastAsia="Arial" w:cs="Arial"/>
          <w:color w:val="000000"/>
          <w:sz w:val="24"/>
          <w:highlight w:val="none"/>
        </w:rPr>
        <w:t xml:space="preserve">的中国境内生产的组件成本占比≥</w:t>
      </w:r>
      <w:r>
        <w:rPr>
          <w:rFonts w:ascii="Arial" w:hAnsi="Arial" w:eastAsia="Arial" w:cs="Arial"/>
          <w:color w:val="000000"/>
          <w:highlight w:val="none"/>
          <w:u w:val="single"/>
        </w:rPr>
        <w:t xml:space="preserve">（规定比例）</w:t>
      </w:r>
      <w:r>
        <w:rPr>
          <w:rFonts w:ascii="Arial" w:hAnsi="Arial" w:eastAsia="Arial" w:cs="Arial"/>
          <w:color w:val="000000"/>
          <w:sz w:val="24"/>
          <w:highlight w:val="none"/>
        </w:rPr>
        <w:t xml:space="preserve">。</w:t>
      </w:r>
      <w:r>
        <w:rPr>
          <w:rFonts w:ascii="Arial" w:hAnsi="Arial" w:eastAsia="Arial" w:cs="Arial"/>
          <w:color w:val="000000"/>
          <w:highlight w:val="none"/>
          <w:u w:val="single"/>
        </w:rPr>
        <w:t xml:space="preserve">（产品名称2）</w:t>
      </w:r>
      <w:r>
        <w:rPr>
          <w:rFonts w:ascii="Arial" w:hAnsi="Arial" w:eastAsia="Arial" w:cs="Arial"/>
          <w:color w:val="000000"/>
          <w:sz w:val="24"/>
          <w:highlight w:val="none"/>
        </w:rPr>
        <w:t xml:space="preserve">的</w:t>
      </w:r>
      <w:r>
        <w:rPr>
          <w:rFonts w:ascii="Arial" w:hAnsi="Arial" w:eastAsia="Arial" w:cs="Arial"/>
          <w:color w:val="000000"/>
          <w:highlight w:val="none"/>
          <w:u w:val="single"/>
        </w:rPr>
        <w:t xml:space="preserve">（关键组件）</w:t>
      </w:r>
      <w:r>
        <w:rPr>
          <w:rFonts w:ascii="Arial" w:hAnsi="Arial" w:eastAsia="Arial" w:cs="Arial"/>
          <w:color w:val="000000"/>
          <w:sz w:val="24"/>
          <w:highlight w:val="none"/>
        </w:rPr>
        <w:t xml:space="preserve">在中国境内生产。</w:t>
      </w:r>
      <w:r>
        <w:rPr>
          <w:rFonts w:ascii="Arial" w:hAnsi="Arial" w:eastAsia="Arial" w:cs="Arial"/>
          <w:color w:val="000000"/>
          <w:highlight w:val="none"/>
          <w:u w:val="single"/>
        </w:rPr>
        <w:t xml:space="preserve">（产品名称1）</w:t>
      </w:r>
      <w:r>
        <w:rPr>
          <w:rFonts w:ascii="Arial" w:hAnsi="Arial" w:eastAsia="Arial" w:cs="Arial"/>
          <w:color w:val="000000"/>
          <w:sz w:val="24"/>
          <w:highlight w:val="none"/>
        </w:rPr>
        <w:t xml:space="preserve">的</w:t>
      </w:r>
      <w:r>
        <w:rPr>
          <w:rFonts w:ascii="Arial" w:hAnsi="Arial" w:eastAsia="Arial" w:cs="Arial"/>
          <w:color w:val="000000"/>
          <w:highlight w:val="none"/>
          <w:u w:val="single"/>
        </w:rPr>
        <w:t xml:space="preserve">（关键工序）</w:t>
      </w:r>
      <w:r>
        <w:rPr>
          <w:rFonts w:ascii="Arial" w:hAnsi="Arial" w:eastAsia="Arial" w:cs="Arial"/>
          <w:color w:val="000000"/>
          <w:sz w:val="24"/>
          <w:highlight w:val="none"/>
        </w:rPr>
        <w:t xml:space="preserve">在中国境内完成。</w:t>
      </w:r>
      <w:r>
        <w:rPr>
          <w:highlight w:val="none"/>
        </w:rPr>
      </w:r>
      <w:r/>
    </w:p>
    <w:p>
      <w:pPr>
        <w:pStyle w:val="762"/>
        <w:ind w:firstLine="42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w:t>
      </w:r>
      <w:r>
        <w:rPr>
          <w:highlight w:val="none"/>
        </w:rPr>
      </w:r>
      <w:r/>
    </w:p>
    <w:p>
      <w:pPr>
        <w:pStyle w:val="762"/>
        <w:ind w:firstLine="42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本公司（单位）对上述声明内容的真实性负责。如有虚假，愿承担相应法律责任。</w:t>
      </w:r>
      <w:r>
        <w:rPr>
          <w:highlight w:val="none"/>
        </w:rPr>
      </w:r>
      <w:r/>
    </w:p>
    <w:p>
      <w:pPr>
        <w:pStyle w:val="762"/>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rPr>
          <w:highlight w:val="none"/>
        </w:rPr>
      </w:r>
      <w:r/>
    </w:p>
    <w:p>
      <w:pPr>
        <w:pStyle w:val="762"/>
        <w:ind w:right="480" w:firstLine="372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公司（单位）名称（盖章）：　</w:t>
      </w:r>
      <w:r>
        <w:rPr>
          <w:highlight w:val="none"/>
        </w:rPr>
      </w:r>
      <w:r/>
    </w:p>
    <w:p>
      <w:pPr>
        <w:pStyle w:val="762"/>
        <w:jc w:val="center"/>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日期：　   年　  月　  日         </w:t>
      </w:r>
      <w:r>
        <w:rPr>
          <w:highlight w:val="none"/>
        </w:rPr>
      </w:r>
      <w:r/>
    </w:p>
    <w:p>
      <w:pPr>
        <w:pStyle w:val="762"/>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__________________</w:t>
      </w:r>
      <w:r>
        <w:rPr>
          <w:highlight w:val="none"/>
        </w:rPr>
      </w:r>
      <w:r/>
    </w:p>
    <w:p>
      <w:pPr>
        <w:pStyle w:val="762"/>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1.产品如有型号，请在“产品名称”栏一并填写。</w:t>
      </w:r>
      <w:r>
        <w:rPr>
          <w:highlight w:val="none"/>
        </w:rPr>
      </w:r>
      <w:r/>
    </w:p>
    <w:p>
      <w:pPr>
        <w:pStyle w:val="762"/>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2.生产厂名与厂址应与生产厂营业执照载明的相关信息保持一致。</w:t>
      </w:r>
      <w:r>
        <w:rPr>
          <w:highlight w:val="none"/>
        </w:rPr>
      </w:r>
      <w:r/>
    </w:p>
    <w:p>
      <w:pPr>
        <w:pStyle w:val="762"/>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3.该产品的中国境内生产的组件成本占比相关要求实施前，“规定比例”栏可不填，下同。</w:t>
      </w:r>
      <w:r>
        <w:rPr>
          <w:highlight w:val="none"/>
        </w:rPr>
      </w:r>
      <w:r/>
    </w:p>
    <w:p>
      <w:pPr>
        <w:pStyle w:val="762"/>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4.该产品的关键组件要求实施前，“关键组件”栏可不填，下同。</w:t>
      </w:r>
      <w:r>
        <w:rPr>
          <w:highlight w:val="none"/>
        </w:rPr>
      </w:r>
      <w:r/>
    </w:p>
    <w:p>
      <w:pPr>
        <w:pStyle w:val="762"/>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5.该产品的关键工序要求实施前，“关键工序”栏可不填，下同。</w:t>
      </w:r>
      <w:r>
        <w:rPr>
          <w:highlight w:val="none"/>
        </w:rPr>
      </w:r>
      <w:r/>
    </w:p>
    <w:p>
      <w:pPr>
        <w:pStyle w:val="762"/>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2"/>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2"/>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2"/>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2"/>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2"/>
        <w:ind w:left="600"/>
        <w:spacing w:before="210" w:after="21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62"/>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762"/>
        <w:jc w:val="center"/>
        <w:pBdr>
          <w:top w:val="none" w:color="000000" w:sz="0" w:space="0"/>
          <w:left w:val="none" w:color="000000" w:sz="0" w:space="0"/>
          <w:bottom w:val="none" w:color="000000" w:sz="0" w:space="0"/>
          <w:right w:val="none" w:color="000000" w:sz="0" w:space="0"/>
        </w:pBdr>
      </w:pPr>
      <w:r>
        <w:br w:type="page" w:clear="all"/>
      </w:r>
      <w:r>
        <w:rPr>
          <w:rFonts w:ascii="宋体" w:hAnsi="宋体" w:cs="宋体"/>
          <w:b/>
          <w:color w:val="000000"/>
          <w:sz w:val="32"/>
        </w:rPr>
        <w:t xml:space="preserve">质疑函范本</w:t>
      </w:r>
      <w:r/>
    </w:p>
    <w:p>
      <w:pPr>
        <w:pStyle w:val="762"/>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rPr>
          <w:rFonts w:ascii="宋体" w:hAnsi="宋体" w:cs="宋体"/>
          <w:color w:val="000000"/>
          <w:sz w:val="24"/>
          <w:u w:val="single"/>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rPr>
          <w:rFonts w:ascii="宋体" w:hAnsi="宋体" w:cs="宋体"/>
          <w:color w:val="000000"/>
          <w:sz w:val="24"/>
          <w:u w:val="single"/>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rPr>
          <w:rFonts w:ascii="宋体" w:hAnsi="宋体" w:cs="宋体"/>
          <w:color w:val="000000"/>
          <w:sz w:val="24"/>
          <w:u w:val="single"/>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rPr>
          <w:rFonts w:ascii="宋体" w:hAnsi="宋体" w:cs="宋体"/>
          <w:color w:val="000000"/>
          <w:sz w:val="24"/>
          <w:u w:val="single"/>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w:t>
      </w:r>
      <w:r>
        <w:rPr>
          <w:rFonts w:ascii="宋体" w:hAnsi="宋体" w:cs="宋体"/>
          <w:color w:val="000000"/>
          <w:sz w:val="24"/>
          <w:u w:val="single"/>
        </w:rPr>
        <w:t xml:space="preserve">                  </w:t>
      </w:r>
      <w:r>
        <w:rPr>
          <w:rFonts w:ascii="宋体" w:hAnsi="宋体" w:cs="宋体"/>
          <w:color w:val="000000"/>
          <w:sz w:val="24"/>
        </w:rPr>
        <w:t xml:space="preserve">公章：</w:t>
      </w:r>
      <w:r/>
    </w:p>
    <w:p>
      <w:pPr>
        <w:pStyle w:val="76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rPr>
          <w:rFonts w:ascii="宋体" w:hAnsi="宋体" w:cs="宋体"/>
          <w:color w:val="000000"/>
          <w:sz w:val="24"/>
          <w:u w:val="single"/>
        </w:rPr>
        <w:t xml:space="preserve">                       </w:t>
      </w:r>
      <w:r/>
    </w:p>
    <w:p>
      <w:pPr>
        <w:pStyle w:val="762"/>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pStyle w:val="762"/>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经典仿宋简">
    <w:panose1 w:val="020B0503020202020204"/>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rPr>
        <w:rStyle w:val="1021"/>
        <w:rFonts w:ascii="宋体" w:hAnsi="宋体"/>
      </w:rPr>
      <w:framePr w:wrap="around" w:vAnchor="text" w:hAnchor="margin" w:xAlign="center" w:y="1"/>
    </w:pPr>
    <w:r>
      <w:rPr>
        <w:rFonts w:ascii="宋体" w:hAnsi="宋体"/>
      </w:rPr>
      <w:fldChar w:fldCharType="begin"/>
    </w:r>
    <w:r>
      <w:rPr>
        <w:rStyle w:val="1021"/>
        <w:rFonts w:ascii="宋体" w:hAnsi="宋体"/>
      </w:rPr>
      <w:instrText xml:space="preserve">PAGE  </w:instrText>
    </w:r>
    <w:r>
      <w:rPr>
        <w:rFonts w:ascii="宋体" w:hAnsi="宋体"/>
      </w:rPr>
      <w:fldChar w:fldCharType="separate"/>
    </w:r>
    <w:r>
      <w:rPr>
        <w:rStyle w:val="1021"/>
        <w:rFonts w:ascii="宋体" w:hAnsi="宋体"/>
      </w:rPr>
      <w:t xml:space="preserve">2</w:t>
    </w:r>
    <w:r>
      <w:rPr>
        <w:rFonts w:ascii="宋体" w:hAnsi="宋体"/>
      </w:rPr>
      <w:fldChar w:fldCharType="end"/>
    </w:r>
    <w:r>
      <w:rPr>
        <w:rStyle w:val="1021"/>
        <w:rFonts w:ascii="宋体" w:hAnsi="宋体"/>
      </w:rPr>
    </w:r>
    <w:r/>
  </w:p>
  <w:p>
    <w:pPr>
      <w:pStyle w:val="996"/>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rPr>
        <w:rStyle w:val="1021"/>
      </w:rPr>
      <w:framePr w:wrap="around" w:vAnchor="text" w:hAnchor="margin" w:xAlign="center" w:y="1"/>
    </w:pPr>
    <w:r>
      <w:fldChar w:fldCharType="begin"/>
    </w:r>
    <w:r>
      <w:rPr>
        <w:rStyle w:val="1021"/>
      </w:rPr>
      <w:instrText xml:space="preserve">PAGE  </w:instrText>
    </w:r>
    <w:r>
      <w:fldChar w:fldCharType="separate"/>
    </w:r>
    <w:r>
      <w:rPr>
        <w:rStyle w:val="1021"/>
      </w:rPr>
      <w:t xml:space="preserve">1</w:t>
    </w:r>
    <w:r>
      <w:fldChar w:fldCharType="end"/>
    </w:r>
    <w:r>
      <w:rPr>
        <w:rStyle w:val="1021"/>
      </w:rPr>
    </w:r>
    <w:r/>
  </w:p>
  <w:p>
    <w:pPr>
      <w:pStyle w:val="9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3"/>
      <w:isLgl w:val="false"/>
      <w:suff w:val="tab"/>
      <w:lvlText w:val="%1."/>
      <w:lvlJc w:val="left"/>
      <w:pPr>
        <w:pStyle w:val="762"/>
        <w:ind w:left="709" w:hanging="709"/>
        <w:tabs>
          <w:tab w:val="num" w:pos="709" w:leader="none"/>
        </w:tabs>
      </w:pPr>
      <w:rPr>
        <w:rFonts w:hint="eastAsia"/>
      </w:rPr>
    </w:lvl>
    <w:lvl w:ilvl="1">
      <w:start w:val="1"/>
      <w:numFmt w:val="decimal"/>
      <w:isLgl w:val="false"/>
      <w:suff w:val="tab"/>
      <w:lvlText w:val="%1.%2"/>
      <w:lvlJc w:val="left"/>
      <w:pPr>
        <w:pStyle w:val="762"/>
        <w:ind w:left="709" w:hanging="709"/>
        <w:tabs>
          <w:tab w:val="num" w:pos="709" w:leader="none"/>
        </w:tabs>
      </w:pPr>
      <w:rPr>
        <w:rFonts w:hint="eastAsia"/>
      </w:rPr>
    </w:lvl>
    <w:lvl w:ilvl="2">
      <w:start w:val="1"/>
      <w:numFmt w:val="decimal"/>
      <w:isLgl w:val="false"/>
      <w:suff w:val="tab"/>
      <w:lvlText w:val="%1.%2.%3."/>
      <w:lvlJc w:val="left"/>
      <w:pPr>
        <w:pStyle w:val="762"/>
        <w:ind w:left="425" w:hanging="425"/>
        <w:tabs>
          <w:tab w:val="num" w:pos="425" w:leader="none"/>
        </w:tabs>
      </w:pPr>
      <w:rPr>
        <w:rFonts w:hint="eastAsia"/>
      </w:rPr>
    </w:lvl>
    <w:lvl w:ilvl="3">
      <w:start w:val="1"/>
      <w:numFmt w:val="decimal"/>
      <w:isLgl w:val="false"/>
      <w:suff w:val="tab"/>
      <w:lvlText w:val="%1.%2.%3.%4."/>
      <w:lvlJc w:val="left"/>
      <w:pPr>
        <w:pStyle w:val="762"/>
        <w:ind w:left="851" w:hanging="851"/>
        <w:tabs>
          <w:tab w:val="num" w:pos="851" w:leader="none"/>
        </w:tabs>
      </w:pPr>
      <w:rPr>
        <w:rFonts w:hint="eastAsia"/>
      </w:rPr>
    </w:lvl>
    <w:lvl w:ilvl="4">
      <w:start w:val="1"/>
      <w:numFmt w:val="decimal"/>
      <w:isLgl w:val="false"/>
      <w:suff w:val="tab"/>
      <w:lvlText w:val="%1.%2.%3.%4.%5."/>
      <w:lvlJc w:val="left"/>
      <w:pPr>
        <w:pStyle w:val="762"/>
        <w:ind w:left="992" w:hanging="992"/>
        <w:tabs>
          <w:tab w:val="num" w:pos="992" w:leader="none"/>
        </w:tabs>
      </w:pPr>
      <w:rPr>
        <w:rFonts w:hint="eastAsia"/>
      </w:rPr>
    </w:lvl>
    <w:lvl w:ilvl="5">
      <w:start w:val="1"/>
      <w:numFmt w:val="decimal"/>
      <w:isLgl w:val="false"/>
      <w:suff w:val="tab"/>
      <w:lvlText w:val="%1.%2.%3.%4.%5.%6."/>
      <w:lvlJc w:val="left"/>
      <w:pPr>
        <w:pStyle w:val="762"/>
        <w:ind w:left="1134" w:hanging="1134"/>
        <w:tabs>
          <w:tab w:val="num" w:pos="1134" w:leader="none"/>
        </w:tabs>
      </w:pPr>
      <w:rPr>
        <w:rFonts w:hint="eastAsia"/>
      </w:rPr>
    </w:lvl>
    <w:lvl w:ilvl="6">
      <w:start w:val="1"/>
      <w:numFmt w:val="decimal"/>
      <w:isLgl w:val="false"/>
      <w:suff w:val="tab"/>
      <w:lvlText w:val="%1.%2.%3.%4.%5.%6.%7."/>
      <w:lvlJc w:val="left"/>
      <w:pPr>
        <w:pStyle w:val="762"/>
        <w:ind w:left="1276" w:hanging="1276"/>
        <w:tabs>
          <w:tab w:val="num" w:pos="1276" w:leader="none"/>
        </w:tabs>
      </w:pPr>
      <w:rPr>
        <w:rFonts w:hint="eastAsia"/>
      </w:rPr>
    </w:lvl>
    <w:lvl w:ilvl="7">
      <w:start w:val="1"/>
      <w:numFmt w:val="decimal"/>
      <w:isLgl w:val="false"/>
      <w:suff w:val="tab"/>
      <w:lvlText w:val="%1.%2.%3.%4.%5.%6.%7.%8."/>
      <w:lvlJc w:val="left"/>
      <w:pPr>
        <w:pStyle w:val="762"/>
        <w:ind w:left="1418" w:hanging="1418"/>
        <w:tabs>
          <w:tab w:val="num" w:pos="1418" w:leader="none"/>
        </w:tabs>
      </w:pPr>
      <w:rPr>
        <w:rFonts w:hint="eastAsia"/>
      </w:rPr>
    </w:lvl>
    <w:lvl w:ilvl="8">
      <w:start w:val="1"/>
      <w:numFmt w:val="decimal"/>
      <w:isLgl w:val="false"/>
      <w:suff w:val="tab"/>
      <w:lvlText w:val="%1.%2.%3.%4.%5.%6.%7.%8.%9."/>
      <w:lvlJc w:val="left"/>
      <w:pPr>
        <w:pStyle w:val="762"/>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762"/>
        <w:ind w:left="0" w:firstLine="0"/>
      </w:pPr>
      <w:rPr>
        <w:rFonts w:hint="eastAsia"/>
      </w:rPr>
    </w:lvl>
    <w:lvl w:ilvl="1">
      <w:start w:val="1"/>
      <w:numFmt w:val="decimal"/>
      <w:isLgl w:val="false"/>
      <w:suff w:val="nothing"/>
      <w:lvlText w:val="%2、"/>
      <w:lvlJc w:val="left"/>
      <w:pPr>
        <w:pStyle w:val="762"/>
        <w:ind w:left="0" w:firstLine="0"/>
      </w:pPr>
      <w:rPr>
        <w:rFonts w:hint="eastAsia"/>
      </w:rPr>
    </w:lvl>
    <w:lvl w:ilvl="2">
      <w:start w:val="1"/>
      <w:numFmt w:val="decimal"/>
      <w:isLgl w:val="false"/>
      <w:suff w:val="nothing"/>
      <w:lvlText w:val="%2.%3 "/>
      <w:lvlJc w:val="left"/>
      <w:pPr>
        <w:pStyle w:val="762"/>
        <w:ind w:left="0" w:firstLine="0"/>
      </w:pPr>
      <w:rPr>
        <w:rFonts w:hint="eastAsia"/>
      </w:rPr>
    </w:lvl>
    <w:lvl w:ilvl="3">
      <w:start w:val="1"/>
      <w:numFmt w:val="decimal"/>
      <w:isLgl w:val="false"/>
      <w:suff w:val="nothing"/>
      <w:lvlText w:val="%2.%3.%4 "/>
      <w:lvlJc w:val="left"/>
      <w:pPr>
        <w:pStyle w:val="762"/>
        <w:ind w:left="0" w:firstLine="0"/>
      </w:pPr>
      <w:rPr>
        <w:rFonts w:hint="eastAsia"/>
      </w:rPr>
    </w:lvl>
    <w:lvl w:ilvl="4">
      <w:start w:val="1"/>
      <w:numFmt w:val="decimal"/>
      <w:isLgl w:val="false"/>
      <w:suff w:val="nothing"/>
      <w:lvlText w:val="%2.%3.%4.%5 "/>
      <w:lvlJc w:val="left"/>
      <w:pPr>
        <w:pStyle w:val="762"/>
        <w:ind w:left="0" w:firstLine="0"/>
      </w:pPr>
      <w:rPr>
        <w:rFonts w:hint="eastAsia"/>
      </w:rPr>
    </w:lvl>
    <w:lvl w:ilvl="5">
      <w:start w:val="1"/>
      <w:numFmt w:val="decimal"/>
      <w:pStyle w:val="961"/>
      <w:isLgl w:val="false"/>
      <w:suff w:val="nothing"/>
      <w:lvlText w:val=""/>
      <w:lvlJc w:val="left"/>
      <w:pPr>
        <w:pStyle w:val="762"/>
        <w:ind w:left="0" w:firstLine="0"/>
      </w:pPr>
      <w:rPr>
        <w:rFonts w:hint="eastAsia"/>
      </w:rPr>
    </w:lvl>
    <w:lvl w:ilvl="6">
      <w:start w:val="1"/>
      <w:numFmt w:val="decimal"/>
      <w:pStyle w:val="963"/>
      <w:isLgl w:val="false"/>
      <w:suff w:val="nothing"/>
      <w:lvlText w:val=""/>
      <w:lvlJc w:val="left"/>
      <w:pPr>
        <w:pStyle w:val="762"/>
        <w:ind w:left="0" w:firstLine="0"/>
      </w:pPr>
      <w:rPr>
        <w:rFonts w:hint="eastAsia"/>
      </w:rPr>
    </w:lvl>
    <w:lvl w:ilvl="7">
      <w:start w:val="1"/>
      <w:numFmt w:val="decimal"/>
      <w:pStyle w:val="965"/>
      <w:isLgl w:val="false"/>
      <w:suff w:val="nothing"/>
      <w:lvlText w:val=""/>
      <w:lvlJc w:val="left"/>
      <w:pPr>
        <w:pStyle w:val="762"/>
        <w:ind w:left="0" w:firstLine="0"/>
      </w:pPr>
      <w:rPr>
        <w:rFonts w:hint="eastAsia"/>
      </w:rPr>
    </w:lvl>
    <w:lvl w:ilvl="8">
      <w:start w:val="1"/>
      <w:numFmt w:val="decimal"/>
      <w:pStyle w:val="967"/>
      <w:isLgl w:val="false"/>
      <w:suff w:val="nothing"/>
      <w:lvlText w:val=""/>
      <w:lvlJc w:val="left"/>
      <w:pPr>
        <w:pStyle w:val="762"/>
        <w:ind w:left="0" w:firstLine="0"/>
      </w:pPr>
      <w:rPr>
        <w:rFonts w:hint="eastAsia"/>
      </w:rPr>
    </w:lvl>
  </w:abstractNum>
  <w:abstractNum w:abstractNumId="3">
    <w:multiLevelType w:val="hybridMultilevel"/>
    <w:lvl w:ilvl="0">
      <w:start w:val="1"/>
      <w:numFmt w:val="upperLetter"/>
      <w:pStyle w:val="1037"/>
      <w:isLgl w:val="false"/>
      <w:suff w:val="tab"/>
      <w:lvlText w:val="附录%1."/>
      <w:lvlJc w:val="left"/>
      <w:pPr>
        <w:pStyle w:val="762"/>
        <w:ind w:left="907" w:hanging="907"/>
        <w:tabs>
          <w:tab w:val="num" w:pos="907" w:leader="none"/>
        </w:tabs>
      </w:pPr>
      <w:rPr>
        <w:rFonts w:hint="eastAsia"/>
      </w:r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62"/>
    <w:next w:val="762"/>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762"/>
    <w:next w:val="762"/>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762"/>
    <w:next w:val="762"/>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762"/>
    <w:next w:val="762"/>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762"/>
    <w:next w:val="762"/>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762"/>
    <w:next w:val="762"/>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762"/>
    <w:next w:val="762"/>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762"/>
    <w:next w:val="762"/>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762"/>
    <w:next w:val="762"/>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762"/>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762"/>
    <w:next w:val="762"/>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762"/>
    <w:next w:val="762"/>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762"/>
    <w:next w:val="762"/>
    <w:link w:val="716"/>
    <w:uiPriority w:val="29"/>
    <w:qFormat/>
    <w:pPr>
      <w:ind w:left="720" w:right="720"/>
    </w:pPr>
    <w:rPr>
      <w:i/>
    </w:rPr>
  </w:style>
  <w:style w:type="character" w:styleId="716">
    <w:name w:val="Quote Char"/>
    <w:link w:val="715"/>
    <w:uiPriority w:val="29"/>
    <w:rPr>
      <w:i/>
    </w:rPr>
  </w:style>
  <w:style w:type="paragraph" w:styleId="717">
    <w:name w:val="Intense Quote"/>
    <w:basedOn w:val="762"/>
    <w:next w:val="762"/>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762"/>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762"/>
    <w:link w:val="723"/>
    <w:uiPriority w:val="99"/>
    <w:unhideWhenUsed/>
    <w:pPr>
      <w:spacing w:after="0" w:line="240" w:lineRule="auto"/>
      <w:tabs>
        <w:tab w:val="center" w:pos="7143" w:leader="none"/>
        <w:tab w:val="right" w:pos="14287" w:leader="none"/>
      </w:tabs>
    </w:pPr>
  </w:style>
  <w:style w:type="paragraph" w:styleId="722">
    <w:name w:val="Caption"/>
    <w:basedOn w:val="762"/>
    <w:next w:val="762"/>
    <w:uiPriority w:val="35"/>
    <w:semiHidden/>
    <w:unhideWhenUsed/>
    <w:qFormat/>
    <w:pPr>
      <w:spacing w:line="276" w:lineRule="auto"/>
    </w:pPr>
    <w:rPr>
      <w:b/>
      <w:bCs/>
      <w:color w:val="4f81bd" w:themeColor="accent1"/>
      <w:sz w:val="18"/>
      <w:szCs w:val="18"/>
    </w:rPr>
  </w:style>
  <w:style w:type="character" w:styleId="723">
    <w:name w:val="Caption Char"/>
    <w:basedOn w:val="722"/>
    <w:link w:val="721"/>
    <w:uiPriority w:val="99"/>
  </w:style>
  <w:style w:type="table" w:styleId="7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4">
    <w:name w:val="Hyperlink"/>
    <w:uiPriority w:val="99"/>
    <w:unhideWhenUsed/>
    <w:rPr>
      <w:color w:val="0000ff" w:themeColor="hyperlink"/>
      <w:u w:val="single"/>
    </w:rPr>
  </w:style>
  <w:style w:type="paragraph" w:styleId="745">
    <w:name w:val="footnote text"/>
    <w:basedOn w:val="762"/>
    <w:link w:val="746"/>
    <w:uiPriority w:val="99"/>
    <w:semiHidden/>
    <w:unhideWhenUsed/>
    <w:pPr>
      <w:spacing w:after="40" w:line="240" w:lineRule="auto"/>
    </w:pPr>
    <w:rPr>
      <w:sz w:val="18"/>
    </w:rPr>
  </w:style>
  <w:style w:type="character" w:styleId="746">
    <w:name w:val="Footnote Text Char"/>
    <w:link w:val="745"/>
    <w:uiPriority w:val="99"/>
    <w:rPr>
      <w:sz w:val="18"/>
    </w:rPr>
  </w:style>
  <w:style w:type="character" w:styleId="747">
    <w:name w:val="footnote reference"/>
    <w:uiPriority w:val="99"/>
    <w:unhideWhenUsed/>
    <w:rPr>
      <w:vertAlign w:val="superscript"/>
    </w:rPr>
  </w:style>
  <w:style w:type="paragraph" w:styleId="748">
    <w:name w:val="endnote text"/>
    <w:basedOn w:val="762"/>
    <w:link w:val="749"/>
    <w:uiPriority w:val="99"/>
    <w:semiHidden/>
    <w:unhideWhenUsed/>
    <w:pPr>
      <w:spacing w:after="0" w:line="240" w:lineRule="auto"/>
    </w:pPr>
    <w:rPr>
      <w:sz w:val="20"/>
    </w:rPr>
  </w:style>
  <w:style w:type="character" w:styleId="749">
    <w:name w:val="Endnote Text Char"/>
    <w:link w:val="748"/>
    <w:uiPriority w:val="99"/>
    <w:rPr>
      <w:sz w:val="20"/>
    </w:rPr>
  </w:style>
  <w:style w:type="character" w:styleId="750">
    <w:name w:val="endnote reference"/>
    <w:uiPriority w:val="99"/>
    <w:semiHidden/>
    <w:unhideWhenUsed/>
    <w:rPr>
      <w:vertAlign w:val="superscript"/>
    </w:rPr>
  </w:style>
  <w:style w:type="paragraph" w:styleId="751">
    <w:name w:val="toc 1"/>
    <w:basedOn w:val="762"/>
    <w:next w:val="762"/>
    <w:uiPriority w:val="39"/>
    <w:unhideWhenUsed/>
    <w:pPr>
      <w:ind w:left="0" w:right="0" w:firstLine="0"/>
      <w:spacing w:after="57"/>
    </w:pPr>
  </w:style>
  <w:style w:type="paragraph" w:styleId="752">
    <w:name w:val="toc 2"/>
    <w:basedOn w:val="762"/>
    <w:next w:val="762"/>
    <w:uiPriority w:val="39"/>
    <w:unhideWhenUsed/>
    <w:pPr>
      <w:ind w:left="283" w:right="0" w:firstLine="0"/>
      <w:spacing w:after="57"/>
    </w:pPr>
  </w:style>
  <w:style w:type="paragraph" w:styleId="753">
    <w:name w:val="toc 3"/>
    <w:basedOn w:val="762"/>
    <w:next w:val="762"/>
    <w:uiPriority w:val="39"/>
    <w:unhideWhenUsed/>
    <w:pPr>
      <w:ind w:left="567" w:right="0" w:firstLine="0"/>
      <w:spacing w:after="57"/>
    </w:pPr>
  </w:style>
  <w:style w:type="paragraph" w:styleId="754">
    <w:name w:val="toc 4"/>
    <w:basedOn w:val="762"/>
    <w:next w:val="762"/>
    <w:uiPriority w:val="39"/>
    <w:unhideWhenUsed/>
    <w:pPr>
      <w:ind w:left="850" w:right="0" w:firstLine="0"/>
      <w:spacing w:after="57"/>
    </w:pPr>
  </w:style>
  <w:style w:type="paragraph" w:styleId="755">
    <w:name w:val="toc 5"/>
    <w:basedOn w:val="762"/>
    <w:next w:val="762"/>
    <w:uiPriority w:val="39"/>
    <w:unhideWhenUsed/>
    <w:pPr>
      <w:ind w:left="1134" w:right="0" w:firstLine="0"/>
      <w:spacing w:after="57"/>
    </w:pPr>
  </w:style>
  <w:style w:type="paragraph" w:styleId="756">
    <w:name w:val="toc 6"/>
    <w:basedOn w:val="762"/>
    <w:next w:val="762"/>
    <w:uiPriority w:val="39"/>
    <w:unhideWhenUsed/>
    <w:pPr>
      <w:ind w:left="1417" w:right="0" w:firstLine="0"/>
      <w:spacing w:after="57"/>
    </w:pPr>
  </w:style>
  <w:style w:type="paragraph" w:styleId="757">
    <w:name w:val="toc 7"/>
    <w:basedOn w:val="762"/>
    <w:next w:val="762"/>
    <w:uiPriority w:val="39"/>
    <w:unhideWhenUsed/>
    <w:pPr>
      <w:ind w:left="1701" w:right="0" w:firstLine="0"/>
      <w:spacing w:after="57"/>
    </w:pPr>
  </w:style>
  <w:style w:type="paragraph" w:styleId="758">
    <w:name w:val="toc 8"/>
    <w:basedOn w:val="762"/>
    <w:next w:val="762"/>
    <w:uiPriority w:val="39"/>
    <w:unhideWhenUsed/>
    <w:pPr>
      <w:ind w:left="1984" w:right="0" w:firstLine="0"/>
      <w:spacing w:after="57"/>
    </w:pPr>
  </w:style>
  <w:style w:type="paragraph" w:styleId="759">
    <w:name w:val="toc 9"/>
    <w:basedOn w:val="762"/>
    <w:next w:val="762"/>
    <w:uiPriority w:val="39"/>
    <w:unhideWhenUsed/>
    <w:pPr>
      <w:ind w:left="2268" w:right="0" w:firstLine="0"/>
      <w:spacing w:after="57"/>
    </w:pPr>
  </w:style>
  <w:style w:type="paragraph" w:styleId="760">
    <w:name w:val="TOC Heading"/>
    <w:uiPriority w:val="39"/>
    <w:unhideWhenUsed/>
  </w:style>
  <w:style w:type="paragraph" w:styleId="761">
    <w:name w:val="table of figures"/>
    <w:basedOn w:val="762"/>
    <w:next w:val="762"/>
    <w:uiPriority w:val="99"/>
    <w:unhideWhenUsed/>
    <w:pPr>
      <w:spacing w:after="0" w:afterAutospacing="0"/>
    </w:pPr>
  </w:style>
  <w:style w:type="paragraph" w:styleId="762" w:default="1">
    <w:name w:val="Normal"/>
    <w:next w:val="762"/>
    <w:link w:val="762"/>
    <w:qFormat/>
    <w:pPr>
      <w:jc w:val="both"/>
      <w:widowControl w:val="off"/>
    </w:pPr>
    <w:rPr>
      <w:rFonts w:ascii="Times New Roman" w:hAnsi="Times New Roman"/>
      <w:sz w:val="21"/>
      <w:szCs w:val="21"/>
      <w:lang w:val="en-US" w:eastAsia="zh-CN" w:bidi="ar-SA"/>
    </w:rPr>
  </w:style>
  <w:style w:type="paragraph" w:styleId="763">
    <w:name w:val="标题 1"/>
    <w:basedOn w:val="762"/>
    <w:next w:val="762"/>
    <w:link w:val="774"/>
    <w:qFormat/>
    <w:pPr>
      <w:keepLines/>
      <w:keepNext/>
      <w:spacing w:before="480" w:after="200"/>
      <w:outlineLvl w:val="0"/>
    </w:pPr>
    <w:rPr>
      <w:rFonts w:ascii="Arial" w:hAnsi="Arial" w:eastAsia="Arial" w:cs="Arial"/>
      <w:sz w:val="40"/>
      <w:szCs w:val="40"/>
    </w:rPr>
  </w:style>
  <w:style w:type="paragraph" w:styleId="764">
    <w:name w:val="标题 2"/>
    <w:basedOn w:val="762"/>
    <w:next w:val="762"/>
    <w:link w:val="775"/>
    <w:qFormat/>
    <w:pPr>
      <w:keepLines/>
      <w:keepNext/>
      <w:spacing w:before="360" w:after="200"/>
      <w:outlineLvl w:val="1"/>
    </w:pPr>
    <w:rPr>
      <w:rFonts w:ascii="Arial" w:hAnsi="Arial" w:eastAsia="Arial" w:cs="Arial"/>
      <w:sz w:val="34"/>
    </w:rPr>
  </w:style>
  <w:style w:type="paragraph" w:styleId="765">
    <w:name w:val="标题 3"/>
    <w:basedOn w:val="762"/>
    <w:next w:val="762"/>
    <w:link w:val="776"/>
    <w:qFormat/>
    <w:pPr>
      <w:keepLines/>
      <w:keepNext/>
      <w:spacing w:before="320" w:after="200"/>
      <w:outlineLvl w:val="2"/>
    </w:pPr>
    <w:rPr>
      <w:rFonts w:ascii="Arial" w:hAnsi="Arial" w:eastAsia="Arial" w:cs="Arial"/>
      <w:sz w:val="30"/>
      <w:szCs w:val="30"/>
    </w:rPr>
  </w:style>
  <w:style w:type="paragraph" w:styleId="766">
    <w:name w:val="标题 4"/>
    <w:basedOn w:val="762"/>
    <w:next w:val="762"/>
    <w:link w:val="777"/>
    <w:qFormat/>
    <w:pPr>
      <w:keepLines/>
      <w:keepNext/>
      <w:spacing w:before="320" w:after="200"/>
      <w:outlineLvl w:val="3"/>
    </w:pPr>
    <w:rPr>
      <w:rFonts w:ascii="Arial" w:hAnsi="Arial" w:eastAsia="Arial" w:cs="Arial"/>
      <w:b/>
      <w:bCs/>
      <w:sz w:val="26"/>
      <w:szCs w:val="26"/>
    </w:rPr>
  </w:style>
  <w:style w:type="paragraph" w:styleId="767">
    <w:name w:val="标题 5"/>
    <w:basedOn w:val="762"/>
    <w:next w:val="762"/>
    <w:link w:val="778"/>
    <w:qFormat/>
    <w:pPr>
      <w:keepLines/>
      <w:keepNext/>
      <w:spacing w:before="320" w:after="200"/>
      <w:outlineLvl w:val="4"/>
    </w:pPr>
    <w:rPr>
      <w:rFonts w:ascii="Arial" w:hAnsi="Arial" w:eastAsia="Arial" w:cs="Arial"/>
      <w:b/>
      <w:bCs/>
      <w:sz w:val="24"/>
      <w:szCs w:val="24"/>
    </w:rPr>
  </w:style>
  <w:style w:type="paragraph" w:styleId="768">
    <w:name w:val="标题 6"/>
    <w:basedOn w:val="762"/>
    <w:next w:val="762"/>
    <w:link w:val="779"/>
    <w:qFormat/>
    <w:pPr>
      <w:keepLines/>
      <w:keepNext/>
      <w:spacing w:before="320" w:after="200"/>
      <w:outlineLvl w:val="5"/>
    </w:pPr>
    <w:rPr>
      <w:rFonts w:ascii="Arial" w:hAnsi="Arial" w:eastAsia="Arial" w:cs="Arial"/>
      <w:b/>
      <w:bCs/>
      <w:sz w:val="22"/>
      <w:szCs w:val="22"/>
    </w:rPr>
  </w:style>
  <w:style w:type="paragraph" w:styleId="769">
    <w:name w:val="标题 7"/>
    <w:basedOn w:val="762"/>
    <w:next w:val="762"/>
    <w:link w:val="780"/>
    <w:qFormat/>
    <w:pPr>
      <w:keepLines/>
      <w:keepNext/>
      <w:spacing w:before="320" w:after="200"/>
      <w:outlineLvl w:val="6"/>
    </w:pPr>
    <w:rPr>
      <w:rFonts w:ascii="Arial" w:hAnsi="Arial" w:eastAsia="Arial" w:cs="Arial"/>
      <w:b/>
      <w:bCs/>
      <w:i/>
      <w:iCs/>
      <w:sz w:val="22"/>
      <w:szCs w:val="22"/>
    </w:rPr>
  </w:style>
  <w:style w:type="paragraph" w:styleId="770">
    <w:name w:val="标题 8"/>
    <w:basedOn w:val="762"/>
    <w:next w:val="762"/>
    <w:link w:val="781"/>
    <w:qFormat/>
    <w:pPr>
      <w:keepLines/>
      <w:keepNext/>
      <w:spacing w:before="320" w:after="200"/>
      <w:outlineLvl w:val="7"/>
    </w:pPr>
    <w:rPr>
      <w:rFonts w:ascii="Arial" w:hAnsi="Arial" w:eastAsia="Arial" w:cs="Arial"/>
      <w:i/>
      <w:iCs/>
      <w:sz w:val="22"/>
      <w:szCs w:val="22"/>
    </w:rPr>
  </w:style>
  <w:style w:type="paragraph" w:styleId="771">
    <w:name w:val="标题 9"/>
    <w:basedOn w:val="762"/>
    <w:next w:val="762"/>
    <w:link w:val="782"/>
    <w:qFormat/>
    <w:pPr>
      <w:keepLines/>
      <w:keepNext/>
      <w:spacing w:before="320" w:after="200"/>
      <w:outlineLvl w:val="8"/>
    </w:pPr>
    <w:rPr>
      <w:rFonts w:ascii="Arial" w:hAnsi="Arial" w:eastAsia="Arial" w:cs="Arial"/>
      <w:i/>
      <w:iCs/>
      <w:sz w:val="21"/>
      <w:szCs w:val="21"/>
    </w:rPr>
  </w:style>
  <w:style w:type="character" w:styleId="772">
    <w:name w:val="默认段落字体"/>
    <w:next w:val="772"/>
    <w:link w:val="762"/>
    <w:uiPriority w:val="1"/>
    <w:unhideWhenUsed/>
  </w:style>
  <w:style w:type="table" w:styleId="773">
    <w:name w:val="普通表格"/>
    <w:next w:val="773"/>
    <w:link w:val="762"/>
    <w:uiPriority w:val="99"/>
    <w:unhideWhenUsed/>
    <w:tblPr/>
  </w:style>
  <w:style w:type="character" w:styleId="774">
    <w:name w:val="标题 1 Char1"/>
    <w:next w:val="774"/>
    <w:link w:val="763"/>
    <w:rPr>
      <w:rFonts w:ascii="Arial" w:hAnsi="Arial" w:eastAsia="Arial" w:cs="Arial"/>
      <w:sz w:val="40"/>
      <w:szCs w:val="40"/>
    </w:rPr>
  </w:style>
  <w:style w:type="character" w:styleId="775">
    <w:name w:val="标题 2 Char1"/>
    <w:next w:val="775"/>
    <w:link w:val="764"/>
    <w:rPr>
      <w:rFonts w:ascii="Arial" w:hAnsi="Arial" w:eastAsia="Arial" w:cs="Arial"/>
      <w:sz w:val="34"/>
    </w:rPr>
  </w:style>
  <w:style w:type="character" w:styleId="776">
    <w:name w:val="标题 3 Char1"/>
    <w:next w:val="776"/>
    <w:link w:val="765"/>
    <w:rPr>
      <w:rFonts w:ascii="Arial" w:hAnsi="Arial" w:eastAsia="Arial" w:cs="Arial"/>
      <w:sz w:val="30"/>
      <w:szCs w:val="30"/>
    </w:rPr>
  </w:style>
  <w:style w:type="character" w:styleId="777">
    <w:name w:val="标题 4 Char1"/>
    <w:next w:val="777"/>
    <w:link w:val="766"/>
    <w:rPr>
      <w:rFonts w:ascii="Arial" w:hAnsi="Arial" w:eastAsia="Arial" w:cs="Arial"/>
      <w:b/>
      <w:bCs/>
      <w:sz w:val="26"/>
      <w:szCs w:val="26"/>
    </w:rPr>
  </w:style>
  <w:style w:type="character" w:styleId="778">
    <w:name w:val="标题 5 Char1"/>
    <w:next w:val="778"/>
    <w:link w:val="767"/>
    <w:rPr>
      <w:rFonts w:ascii="Arial" w:hAnsi="Arial" w:eastAsia="Arial" w:cs="Arial"/>
      <w:b/>
      <w:bCs/>
      <w:sz w:val="24"/>
      <w:szCs w:val="24"/>
    </w:rPr>
  </w:style>
  <w:style w:type="character" w:styleId="779">
    <w:name w:val="标题 6 Char1"/>
    <w:next w:val="779"/>
    <w:link w:val="768"/>
    <w:rPr>
      <w:rFonts w:ascii="Arial" w:hAnsi="Arial" w:eastAsia="Arial" w:cs="Arial"/>
      <w:b/>
      <w:bCs/>
      <w:sz w:val="22"/>
      <w:szCs w:val="22"/>
    </w:rPr>
  </w:style>
  <w:style w:type="character" w:styleId="780">
    <w:name w:val="标题 7 Char1"/>
    <w:next w:val="780"/>
    <w:link w:val="769"/>
    <w:rPr>
      <w:rFonts w:ascii="Arial" w:hAnsi="Arial" w:eastAsia="Arial" w:cs="Arial"/>
      <w:b/>
      <w:bCs/>
      <w:i/>
      <w:iCs/>
      <w:sz w:val="22"/>
      <w:szCs w:val="22"/>
    </w:rPr>
  </w:style>
  <w:style w:type="character" w:styleId="781">
    <w:name w:val="标题 8 Char1"/>
    <w:next w:val="781"/>
    <w:link w:val="770"/>
    <w:rPr>
      <w:rFonts w:ascii="Arial" w:hAnsi="Arial" w:eastAsia="Arial" w:cs="Arial"/>
      <w:i/>
      <w:iCs/>
      <w:sz w:val="22"/>
      <w:szCs w:val="22"/>
    </w:rPr>
  </w:style>
  <w:style w:type="character" w:styleId="782">
    <w:name w:val="标题 9 Char1"/>
    <w:next w:val="782"/>
    <w:link w:val="771"/>
    <w:rPr>
      <w:rFonts w:ascii="Arial" w:hAnsi="Arial" w:eastAsia="Arial" w:cs="Arial"/>
      <w:i/>
      <w:iCs/>
      <w:sz w:val="21"/>
      <w:szCs w:val="21"/>
    </w:rPr>
  </w:style>
  <w:style w:type="paragraph" w:styleId="783">
    <w:name w:val="目录 7"/>
    <w:basedOn w:val="762"/>
    <w:next w:val="762"/>
    <w:link w:val="762"/>
    <w:pPr>
      <w:ind w:left="1701" w:right="0" w:firstLine="0"/>
      <w:spacing w:after="57"/>
    </w:pPr>
  </w:style>
  <w:style w:type="paragraph" w:styleId="784">
    <w:name w:val="题注"/>
    <w:basedOn w:val="762"/>
    <w:next w:val="762"/>
    <w:link w:val="762"/>
    <w:qFormat/>
    <w:pPr>
      <w:spacing w:line="276" w:lineRule="auto"/>
    </w:pPr>
    <w:rPr>
      <w:b/>
      <w:bCs/>
      <w:color w:val="4f81bd"/>
      <w:sz w:val="18"/>
      <w:szCs w:val="18"/>
    </w:rPr>
  </w:style>
  <w:style w:type="paragraph" w:styleId="785">
    <w:name w:val="批注文字"/>
    <w:next w:val="785"/>
    <w:link w:val="762"/>
    <w:qFormat/>
    <w:pPr>
      <w:jc w:val="left"/>
      <w:widowControl w:val="off"/>
    </w:pPr>
    <w:rPr>
      <w:rFonts w:ascii="Times New Roman" w:hAnsi="Times New Roman" w:eastAsia="宋体" w:cs="Times New Roman"/>
      <w:sz w:val="21"/>
      <w:szCs w:val="21"/>
      <w:lang w:val="en-US" w:eastAsia="zh-CN" w:bidi="ar-SA"/>
    </w:rPr>
  </w:style>
  <w:style w:type="paragraph" w:styleId="786">
    <w:name w:val="正文文本缩进"/>
    <w:next w:val="787"/>
    <w:link w:val="762"/>
    <w:unhideWhenUsed/>
    <w:qFormat/>
    <w:pPr>
      <w:ind w:left="420"/>
      <w:jc w:val="both"/>
      <w:spacing w:after="120"/>
      <w:widowControl w:val="off"/>
    </w:pPr>
    <w:rPr>
      <w:rFonts w:ascii="Times New Roman" w:hAnsi="Times New Roman" w:eastAsia="宋体" w:cs="Times New Roman"/>
      <w:sz w:val="21"/>
      <w:szCs w:val="21"/>
      <w:lang w:val="en-US" w:eastAsia="zh-CN" w:bidi="ar-SA"/>
    </w:rPr>
  </w:style>
  <w:style w:type="paragraph" w:styleId="787">
    <w:name w:val="寄信人地址"/>
    <w:next w:val="787"/>
    <w:link w:val="762"/>
    <w:uiPriority w:val="99"/>
    <w:unhideWhenUsed/>
    <w:qFormat/>
    <w:pPr>
      <w:jc w:val="both"/>
      <w:widowControl w:val="off"/>
    </w:pPr>
    <w:rPr>
      <w:rFonts w:ascii="Arial" w:hAnsi="Arial" w:eastAsia="楷体_GB2312" w:cs="Times New Roman"/>
      <w:sz w:val="26"/>
      <w:szCs w:val="20"/>
      <w:lang w:val="en-US" w:eastAsia="zh-CN" w:bidi="ar-SA"/>
    </w:rPr>
  </w:style>
  <w:style w:type="paragraph" w:styleId="788">
    <w:name w:val="目录 5"/>
    <w:basedOn w:val="762"/>
    <w:next w:val="762"/>
    <w:link w:val="762"/>
    <w:pPr>
      <w:ind w:left="1134" w:right="0" w:firstLine="0"/>
      <w:spacing w:after="57"/>
    </w:pPr>
  </w:style>
  <w:style w:type="paragraph" w:styleId="789">
    <w:name w:val="目录 3"/>
    <w:basedOn w:val="762"/>
    <w:next w:val="762"/>
    <w:link w:val="762"/>
    <w:pPr>
      <w:ind w:left="567" w:right="0" w:firstLine="0"/>
      <w:spacing w:after="57"/>
    </w:pPr>
  </w:style>
  <w:style w:type="paragraph" w:styleId="790">
    <w:name w:val="目录 8"/>
    <w:basedOn w:val="762"/>
    <w:next w:val="762"/>
    <w:link w:val="762"/>
    <w:pPr>
      <w:ind w:left="1984" w:right="0" w:firstLine="0"/>
      <w:spacing w:after="57"/>
    </w:pPr>
  </w:style>
  <w:style w:type="paragraph" w:styleId="791">
    <w:name w:val="尾注文本"/>
    <w:basedOn w:val="762"/>
    <w:next w:val="791"/>
    <w:link w:val="792"/>
    <w:semiHidden/>
    <w:pPr>
      <w:spacing w:after="0" w:line="240" w:lineRule="auto"/>
    </w:pPr>
    <w:rPr>
      <w:sz w:val="20"/>
    </w:rPr>
  </w:style>
  <w:style w:type="character" w:styleId="792">
    <w:name w:val="尾注文本 Char"/>
    <w:next w:val="792"/>
    <w:link w:val="791"/>
    <w:rPr>
      <w:sz w:val="20"/>
    </w:rPr>
  </w:style>
  <w:style w:type="paragraph" w:styleId="793">
    <w:name w:val="页脚"/>
    <w:basedOn w:val="762"/>
    <w:next w:val="793"/>
    <w:link w:val="794"/>
    <w:pPr>
      <w:spacing w:after="0" w:line="240" w:lineRule="auto"/>
      <w:tabs>
        <w:tab w:val="center" w:pos="7143" w:leader="none"/>
        <w:tab w:val="right" w:pos="14287" w:leader="none"/>
      </w:tabs>
    </w:pPr>
  </w:style>
  <w:style w:type="character" w:styleId="794">
    <w:name w:val="页脚 Char1"/>
    <w:next w:val="794"/>
    <w:link w:val="793"/>
  </w:style>
  <w:style w:type="paragraph" w:styleId="795">
    <w:name w:val="页眉"/>
    <w:basedOn w:val="762"/>
    <w:next w:val="795"/>
    <w:link w:val="796"/>
    <w:pPr>
      <w:spacing w:after="0" w:line="240" w:lineRule="auto"/>
      <w:tabs>
        <w:tab w:val="center" w:pos="7143" w:leader="none"/>
        <w:tab w:val="right" w:pos="14287" w:leader="none"/>
      </w:tabs>
    </w:pPr>
  </w:style>
  <w:style w:type="character" w:styleId="796">
    <w:name w:val="页眉 Char1"/>
    <w:next w:val="796"/>
    <w:link w:val="795"/>
  </w:style>
  <w:style w:type="paragraph" w:styleId="797">
    <w:name w:val="目录 1"/>
    <w:basedOn w:val="762"/>
    <w:next w:val="762"/>
    <w:link w:val="762"/>
    <w:pPr>
      <w:ind w:left="0" w:right="0" w:firstLine="0"/>
      <w:spacing w:after="57"/>
    </w:pPr>
  </w:style>
  <w:style w:type="paragraph" w:styleId="798">
    <w:name w:val="目录 4"/>
    <w:basedOn w:val="762"/>
    <w:next w:val="762"/>
    <w:link w:val="762"/>
    <w:pPr>
      <w:ind w:left="850" w:right="0" w:firstLine="0"/>
      <w:spacing w:after="57"/>
    </w:pPr>
  </w:style>
  <w:style w:type="paragraph" w:styleId="799">
    <w:name w:val="副标题"/>
    <w:basedOn w:val="762"/>
    <w:next w:val="762"/>
    <w:link w:val="800"/>
    <w:qFormat/>
    <w:pPr>
      <w:spacing w:before="200" w:after="200"/>
    </w:pPr>
    <w:rPr>
      <w:sz w:val="24"/>
      <w:szCs w:val="24"/>
    </w:rPr>
  </w:style>
  <w:style w:type="character" w:styleId="800">
    <w:name w:val="副标题 Char"/>
    <w:next w:val="800"/>
    <w:link w:val="799"/>
    <w:rPr>
      <w:sz w:val="24"/>
      <w:szCs w:val="24"/>
    </w:rPr>
  </w:style>
  <w:style w:type="paragraph" w:styleId="801">
    <w:name w:val="脚注文本"/>
    <w:basedOn w:val="762"/>
    <w:next w:val="801"/>
    <w:link w:val="802"/>
    <w:semiHidden/>
    <w:pPr>
      <w:spacing w:after="40" w:line="240" w:lineRule="auto"/>
    </w:pPr>
    <w:rPr>
      <w:sz w:val="18"/>
    </w:rPr>
  </w:style>
  <w:style w:type="character" w:styleId="802">
    <w:name w:val="脚注文本 Char"/>
    <w:next w:val="802"/>
    <w:link w:val="801"/>
    <w:rPr>
      <w:sz w:val="18"/>
    </w:rPr>
  </w:style>
  <w:style w:type="paragraph" w:styleId="803">
    <w:name w:val="目录 6"/>
    <w:basedOn w:val="762"/>
    <w:next w:val="762"/>
    <w:link w:val="762"/>
    <w:pPr>
      <w:ind w:left="1417" w:right="0" w:firstLine="0"/>
      <w:spacing w:after="57"/>
    </w:pPr>
  </w:style>
  <w:style w:type="paragraph" w:styleId="804">
    <w:name w:val="图表目录"/>
    <w:basedOn w:val="762"/>
    <w:next w:val="762"/>
    <w:link w:val="762"/>
    <w:pPr>
      <w:spacing w:after="0" w:afterAutospacing="0"/>
    </w:pPr>
  </w:style>
  <w:style w:type="paragraph" w:styleId="805">
    <w:name w:val="目录 2"/>
    <w:basedOn w:val="762"/>
    <w:next w:val="762"/>
    <w:link w:val="762"/>
    <w:pPr>
      <w:ind w:left="283" w:right="0" w:firstLine="0"/>
      <w:spacing w:after="57"/>
    </w:pPr>
  </w:style>
  <w:style w:type="paragraph" w:styleId="806">
    <w:name w:val="目录 9"/>
    <w:basedOn w:val="762"/>
    <w:next w:val="762"/>
    <w:link w:val="762"/>
    <w:pPr>
      <w:ind w:left="2268" w:right="0" w:firstLine="0"/>
      <w:spacing w:after="57"/>
    </w:pPr>
  </w:style>
  <w:style w:type="paragraph" w:styleId="807">
    <w:name w:val="普通(网站)"/>
    <w:next w:val="807"/>
    <w:link w:val="762"/>
    <w:qFormat/>
    <w:pPr>
      <w:ind w:left="0" w:right="0"/>
      <w:jc w:val="left"/>
      <w:spacing w:before="100" w:beforeAutospacing="1" w:after="100" w:afterAutospacing="1"/>
      <w:widowControl w:val="off"/>
    </w:pPr>
    <w:rPr>
      <w:rFonts w:ascii="Times New Roman" w:hAnsi="Times New Roman" w:eastAsia="宋体" w:cs="Times New Roman"/>
      <w:sz w:val="24"/>
      <w:szCs w:val="21"/>
      <w:lang w:val="en-US" w:eastAsia="zh-CN" w:bidi="ar"/>
    </w:rPr>
  </w:style>
  <w:style w:type="paragraph" w:styleId="808">
    <w:name w:val="标题"/>
    <w:basedOn w:val="762"/>
    <w:next w:val="762"/>
    <w:link w:val="809"/>
    <w:qFormat/>
    <w:pPr>
      <w:contextualSpacing/>
      <w:spacing w:before="300" w:after="200"/>
    </w:pPr>
    <w:rPr>
      <w:sz w:val="48"/>
      <w:szCs w:val="48"/>
    </w:rPr>
  </w:style>
  <w:style w:type="character" w:styleId="809">
    <w:name w:val="标题 Char"/>
    <w:next w:val="809"/>
    <w:link w:val="808"/>
    <w:rPr>
      <w:sz w:val="48"/>
      <w:szCs w:val="48"/>
    </w:rPr>
  </w:style>
  <w:style w:type="paragraph" w:styleId="810">
    <w:name w:val="正文首行缩进 2"/>
    <w:next w:val="762"/>
    <w:link w:val="762"/>
    <w:qFormat/>
    <w:pPr>
      <w:ind w:left="0" w:firstLine="420"/>
      <w:jc w:val="both"/>
      <w:spacing w:after="0" w:line="360" w:lineRule="auto"/>
      <w:widowControl w:val="off"/>
    </w:pPr>
    <w:rPr>
      <w:rFonts w:ascii="宋体" w:hAnsi="宋体" w:eastAsia="宋体" w:cs="Times New Roman"/>
      <w:sz w:val="21"/>
      <w:szCs w:val="20"/>
      <w:lang w:val="en-US" w:eastAsia="zh-CN" w:bidi="ar-SA"/>
    </w:rPr>
  </w:style>
  <w:style w:type="table" w:styleId="811">
    <w:name w:val="网格型"/>
    <w:next w:val="811"/>
    <w:link w:val="762"/>
    <w:rPr>
      <w:lang w:val="en-US" w:eastAsia="zh-CN" w:bidi="ar-SA"/>
    </w:rPr>
    <w:tblPr/>
  </w:style>
  <w:style w:type="character" w:styleId="812">
    <w:name w:val="尾注引用"/>
    <w:next w:val="812"/>
    <w:link w:val="762"/>
    <w:semiHidden/>
    <w:rPr>
      <w:vertAlign w:val="superscript"/>
    </w:rPr>
  </w:style>
  <w:style w:type="character" w:styleId="813">
    <w:name w:val="超链接"/>
    <w:next w:val="813"/>
    <w:link w:val="762"/>
    <w:rPr>
      <w:color w:val="0000ff"/>
      <w:u w:val="single"/>
    </w:rPr>
  </w:style>
  <w:style w:type="character" w:styleId="814">
    <w:name w:val="脚注引用"/>
    <w:next w:val="814"/>
    <w:link w:val="762"/>
    <w:rPr>
      <w:vertAlign w:val="superscript"/>
    </w:rPr>
  </w:style>
  <w:style w:type="paragraph" w:styleId="815">
    <w:name w:val="索引 41"/>
    <w:next w:val="762"/>
    <w:link w:val="762"/>
    <w:pPr>
      <w:ind w:left="600"/>
      <w:jc w:val="both"/>
      <w:widowControl w:val="off"/>
    </w:pPr>
    <w:rPr>
      <w:rFonts w:ascii="Times New Roman" w:hAnsi="Times New Roman"/>
      <w:sz w:val="21"/>
      <w:szCs w:val="21"/>
      <w:lang w:val="en-US" w:eastAsia="zh-CN" w:bidi="ar-SA"/>
    </w:rPr>
  </w:style>
  <w:style w:type="paragraph" w:styleId="816">
    <w:name w:val="列出段落"/>
    <w:basedOn w:val="762"/>
    <w:next w:val="816"/>
    <w:link w:val="762"/>
    <w:qFormat/>
    <w:pPr>
      <w:contextualSpacing/>
      <w:ind w:left="720"/>
      <w:jc w:val="left"/>
      <w:widowControl/>
    </w:pPr>
    <w:rPr>
      <w:rFonts w:ascii="Calibri" w:hAnsi="Calibri"/>
      <w:sz w:val="24"/>
      <w:szCs w:val="24"/>
      <w:lang w:eastAsia="en-US" w:bidi="en-US"/>
    </w:rPr>
  </w:style>
  <w:style w:type="paragraph" w:styleId="817">
    <w:name w:val="无间隔"/>
    <w:next w:val="817"/>
    <w:link w:val="762"/>
    <w:qFormat/>
    <w:pPr>
      <w:jc w:val="both"/>
      <w:widowControl w:val="off"/>
    </w:pPr>
    <w:rPr>
      <w:rFonts w:ascii="Times New Roman" w:hAnsi="Times New Roman"/>
      <w:sz w:val="21"/>
      <w:szCs w:val="21"/>
      <w:lang w:val="en-US" w:eastAsia="zh-CN" w:bidi="ar-SA"/>
    </w:rPr>
  </w:style>
  <w:style w:type="paragraph" w:styleId="818">
    <w:name w:val="引用"/>
    <w:basedOn w:val="762"/>
    <w:next w:val="762"/>
    <w:link w:val="819"/>
    <w:qFormat/>
    <w:pPr>
      <w:ind w:left="720" w:right="720"/>
    </w:pPr>
    <w:rPr>
      <w:i/>
    </w:rPr>
  </w:style>
  <w:style w:type="character" w:styleId="819">
    <w:name w:val="引用 Char"/>
    <w:next w:val="819"/>
    <w:link w:val="818"/>
    <w:rPr>
      <w:i/>
    </w:rPr>
  </w:style>
  <w:style w:type="paragraph" w:styleId="820">
    <w:name w:val="明显引用"/>
    <w:basedOn w:val="762"/>
    <w:next w:val="762"/>
    <w:link w:val="821"/>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name w:val="明显引用 Char"/>
    <w:next w:val="821"/>
    <w:link w:val="820"/>
    <w:rPr>
      <w:i/>
    </w:rPr>
  </w:style>
  <w:style w:type="character" w:styleId="822">
    <w:name w:val="Footer Char"/>
    <w:next w:val="822"/>
    <w:link w:val="762"/>
  </w:style>
  <w:style w:type="table" w:styleId="823">
    <w:name w:val="Table Grid Light"/>
    <w:next w:val="823"/>
    <w:link w:val="762"/>
    <w:rPr>
      <w:lang w:val="en-US" w:eastAsia="zh-CN" w:bidi="ar-SA"/>
    </w:rPr>
    <w:tblPr/>
  </w:style>
  <w:style w:type="table" w:styleId="824">
    <w:name w:val="无格式表格 1"/>
    <w:next w:val="824"/>
    <w:link w:val="762"/>
    <w:rPr>
      <w:lang w:val="en-US" w:eastAsia="zh-CN" w:bidi="ar-SA"/>
    </w:rPr>
    <w:tblPr/>
  </w:style>
  <w:style w:type="table" w:styleId="825">
    <w:name w:val="无格式表格 2"/>
    <w:next w:val="825"/>
    <w:link w:val="762"/>
    <w:rPr>
      <w:lang w:val="en-US" w:eastAsia="zh-CN" w:bidi="ar-SA"/>
    </w:rPr>
    <w:tblPr/>
  </w:style>
  <w:style w:type="table" w:styleId="826">
    <w:name w:val="无格式表格 3"/>
    <w:next w:val="826"/>
    <w:link w:val="762"/>
    <w:rPr>
      <w:lang w:val="en-US" w:eastAsia="zh-CN" w:bidi="ar-SA"/>
    </w:rPr>
    <w:tblPr/>
  </w:style>
  <w:style w:type="table" w:styleId="827">
    <w:name w:val="无格式表格 4"/>
    <w:next w:val="827"/>
    <w:link w:val="762"/>
    <w:rPr>
      <w:lang w:val="en-US" w:eastAsia="zh-CN" w:bidi="ar-SA"/>
    </w:rPr>
    <w:tblPr/>
  </w:style>
  <w:style w:type="table" w:styleId="828">
    <w:name w:val="无格式表格 5"/>
    <w:next w:val="828"/>
    <w:link w:val="762"/>
    <w:rPr>
      <w:lang w:val="en-US" w:eastAsia="zh-CN" w:bidi="ar-SA"/>
    </w:rPr>
    <w:tblPr/>
  </w:style>
  <w:style w:type="table" w:styleId="829">
    <w:name w:val="网格表 1 浅色"/>
    <w:next w:val="829"/>
    <w:link w:val="762"/>
    <w:rPr>
      <w:lang w:val="en-US" w:eastAsia="zh-CN" w:bidi="ar-SA"/>
    </w:rPr>
    <w:tblPr/>
  </w:style>
  <w:style w:type="table" w:styleId="830">
    <w:name w:val="Grid Table 1 Light - Accent 1"/>
    <w:next w:val="830"/>
    <w:link w:val="762"/>
    <w:rPr>
      <w:lang w:val="en-US" w:eastAsia="zh-CN" w:bidi="ar-SA"/>
    </w:rPr>
    <w:tblPr/>
  </w:style>
  <w:style w:type="table" w:styleId="831">
    <w:name w:val="Grid Table 1 Light - Accent 2"/>
    <w:next w:val="831"/>
    <w:link w:val="762"/>
    <w:rPr>
      <w:lang w:val="en-US" w:eastAsia="zh-CN" w:bidi="ar-SA"/>
    </w:rPr>
    <w:tblPr/>
  </w:style>
  <w:style w:type="table" w:styleId="832">
    <w:name w:val="Grid Table 1 Light - Accent 3"/>
    <w:next w:val="832"/>
    <w:link w:val="762"/>
    <w:rPr>
      <w:lang w:val="en-US" w:eastAsia="zh-CN" w:bidi="ar-SA"/>
    </w:rPr>
    <w:tblPr/>
  </w:style>
  <w:style w:type="table" w:styleId="833">
    <w:name w:val="Grid Table 1 Light - Accent 4"/>
    <w:next w:val="833"/>
    <w:link w:val="762"/>
    <w:rPr>
      <w:lang w:val="en-US" w:eastAsia="zh-CN" w:bidi="ar-SA"/>
    </w:rPr>
    <w:tblPr/>
  </w:style>
  <w:style w:type="table" w:styleId="834">
    <w:name w:val="Grid Table 1 Light - Accent 5"/>
    <w:next w:val="834"/>
    <w:link w:val="762"/>
    <w:rPr>
      <w:lang w:val="en-US" w:eastAsia="zh-CN" w:bidi="ar-SA"/>
    </w:rPr>
    <w:tblPr/>
  </w:style>
  <w:style w:type="table" w:styleId="835">
    <w:name w:val="Grid Table 1 Light - Accent 6"/>
    <w:next w:val="835"/>
    <w:link w:val="762"/>
    <w:rPr>
      <w:lang w:val="en-US" w:eastAsia="zh-CN" w:bidi="ar-SA"/>
    </w:rPr>
    <w:tblPr/>
  </w:style>
  <w:style w:type="table" w:styleId="836">
    <w:name w:val="网格表 2"/>
    <w:next w:val="836"/>
    <w:link w:val="762"/>
    <w:rPr>
      <w:lang w:val="en-US" w:eastAsia="zh-CN" w:bidi="ar-SA"/>
    </w:rPr>
    <w:tblPr/>
  </w:style>
  <w:style w:type="table" w:styleId="837">
    <w:name w:val="Grid Table 2 - Accent 1"/>
    <w:next w:val="837"/>
    <w:link w:val="762"/>
    <w:rPr>
      <w:lang w:val="en-US" w:eastAsia="zh-CN" w:bidi="ar-SA"/>
    </w:rPr>
    <w:tblPr/>
  </w:style>
  <w:style w:type="table" w:styleId="838">
    <w:name w:val="Grid Table 2 - Accent 2"/>
    <w:next w:val="838"/>
    <w:link w:val="762"/>
    <w:rPr>
      <w:lang w:val="en-US" w:eastAsia="zh-CN" w:bidi="ar-SA"/>
    </w:rPr>
    <w:tblPr/>
  </w:style>
  <w:style w:type="table" w:styleId="839">
    <w:name w:val="Grid Table 2 - Accent 3"/>
    <w:next w:val="839"/>
    <w:link w:val="762"/>
    <w:rPr>
      <w:lang w:val="en-US" w:eastAsia="zh-CN" w:bidi="ar-SA"/>
    </w:rPr>
    <w:tblPr/>
  </w:style>
  <w:style w:type="table" w:styleId="840">
    <w:name w:val="Grid Table 2 - Accent 4"/>
    <w:next w:val="840"/>
    <w:link w:val="762"/>
    <w:rPr>
      <w:lang w:val="en-US" w:eastAsia="zh-CN" w:bidi="ar-SA"/>
    </w:rPr>
    <w:tblPr/>
  </w:style>
  <w:style w:type="table" w:styleId="841">
    <w:name w:val="Grid Table 2 - Accent 5"/>
    <w:next w:val="841"/>
    <w:link w:val="762"/>
    <w:rPr>
      <w:lang w:val="en-US" w:eastAsia="zh-CN" w:bidi="ar-SA"/>
    </w:rPr>
    <w:tblPr/>
  </w:style>
  <w:style w:type="table" w:styleId="842">
    <w:name w:val="Grid Table 2 - Accent 6"/>
    <w:next w:val="842"/>
    <w:link w:val="762"/>
    <w:rPr>
      <w:lang w:val="en-US" w:eastAsia="zh-CN" w:bidi="ar-SA"/>
    </w:rPr>
    <w:tblPr/>
  </w:style>
  <w:style w:type="table" w:styleId="843">
    <w:name w:val="网格表 3"/>
    <w:next w:val="843"/>
    <w:link w:val="762"/>
    <w:rPr>
      <w:lang w:val="en-US" w:eastAsia="zh-CN" w:bidi="ar-SA"/>
    </w:rPr>
    <w:tblPr/>
  </w:style>
  <w:style w:type="table" w:styleId="844">
    <w:name w:val="Grid Table 3 - Accent 1"/>
    <w:next w:val="844"/>
    <w:link w:val="762"/>
    <w:rPr>
      <w:lang w:val="en-US" w:eastAsia="zh-CN" w:bidi="ar-SA"/>
    </w:rPr>
    <w:tblPr/>
  </w:style>
  <w:style w:type="table" w:styleId="845">
    <w:name w:val="Grid Table 3 - Accent 2"/>
    <w:next w:val="845"/>
    <w:link w:val="762"/>
    <w:rPr>
      <w:lang w:val="en-US" w:eastAsia="zh-CN" w:bidi="ar-SA"/>
    </w:rPr>
    <w:tblPr/>
  </w:style>
  <w:style w:type="table" w:styleId="846">
    <w:name w:val="Grid Table 3 - Accent 3"/>
    <w:next w:val="846"/>
    <w:link w:val="762"/>
    <w:rPr>
      <w:lang w:val="en-US" w:eastAsia="zh-CN" w:bidi="ar-SA"/>
    </w:rPr>
    <w:tblPr/>
  </w:style>
  <w:style w:type="table" w:styleId="847">
    <w:name w:val="Grid Table 3 - Accent 4"/>
    <w:next w:val="847"/>
    <w:link w:val="762"/>
    <w:rPr>
      <w:lang w:val="en-US" w:eastAsia="zh-CN" w:bidi="ar-SA"/>
    </w:rPr>
    <w:tblPr/>
  </w:style>
  <w:style w:type="table" w:styleId="848">
    <w:name w:val="Grid Table 3 - Accent 5"/>
    <w:next w:val="848"/>
    <w:link w:val="762"/>
    <w:rPr>
      <w:lang w:val="en-US" w:eastAsia="zh-CN" w:bidi="ar-SA"/>
    </w:rPr>
    <w:tblPr/>
  </w:style>
  <w:style w:type="table" w:styleId="849">
    <w:name w:val="Grid Table 3 - Accent 6"/>
    <w:next w:val="849"/>
    <w:link w:val="762"/>
    <w:rPr>
      <w:lang w:val="en-US" w:eastAsia="zh-CN" w:bidi="ar-SA"/>
    </w:rPr>
    <w:tblPr/>
  </w:style>
  <w:style w:type="table" w:styleId="850">
    <w:name w:val="网格表 4"/>
    <w:next w:val="850"/>
    <w:link w:val="762"/>
    <w:rPr>
      <w:lang w:val="en-US" w:eastAsia="zh-CN" w:bidi="ar-SA"/>
    </w:rPr>
    <w:tblPr/>
  </w:style>
  <w:style w:type="table" w:styleId="851">
    <w:name w:val="Grid Table 4 - Accent 1"/>
    <w:next w:val="851"/>
    <w:link w:val="762"/>
    <w:rPr>
      <w:lang w:val="en-US" w:eastAsia="zh-CN" w:bidi="ar-SA"/>
    </w:rPr>
    <w:tblPr/>
  </w:style>
  <w:style w:type="table" w:styleId="852">
    <w:name w:val="Grid Table 4 - Accent 2"/>
    <w:next w:val="852"/>
    <w:link w:val="762"/>
    <w:rPr>
      <w:lang w:val="en-US" w:eastAsia="zh-CN" w:bidi="ar-SA"/>
    </w:rPr>
    <w:tblPr/>
  </w:style>
  <w:style w:type="table" w:styleId="853">
    <w:name w:val="Grid Table 4 - Accent 3"/>
    <w:next w:val="853"/>
    <w:link w:val="762"/>
    <w:rPr>
      <w:lang w:val="en-US" w:eastAsia="zh-CN" w:bidi="ar-SA"/>
    </w:rPr>
    <w:tblPr/>
  </w:style>
  <w:style w:type="table" w:styleId="854">
    <w:name w:val="Grid Table 4 - Accent 4"/>
    <w:next w:val="854"/>
    <w:link w:val="762"/>
    <w:rPr>
      <w:lang w:val="en-US" w:eastAsia="zh-CN" w:bidi="ar-SA"/>
    </w:rPr>
    <w:tblPr/>
  </w:style>
  <w:style w:type="table" w:styleId="855">
    <w:name w:val="Grid Table 4 - Accent 5"/>
    <w:next w:val="855"/>
    <w:link w:val="762"/>
    <w:rPr>
      <w:lang w:val="en-US" w:eastAsia="zh-CN" w:bidi="ar-SA"/>
    </w:rPr>
    <w:tblPr/>
  </w:style>
  <w:style w:type="table" w:styleId="856">
    <w:name w:val="Grid Table 4 - Accent 6"/>
    <w:next w:val="856"/>
    <w:link w:val="762"/>
    <w:rPr>
      <w:lang w:val="en-US" w:eastAsia="zh-CN" w:bidi="ar-SA"/>
    </w:rPr>
    <w:tblPr/>
  </w:style>
  <w:style w:type="table" w:styleId="857">
    <w:name w:val="网格表 5 深色"/>
    <w:next w:val="857"/>
    <w:link w:val="762"/>
    <w:rPr>
      <w:lang w:val="en-US" w:eastAsia="zh-CN" w:bidi="ar-SA"/>
    </w:rPr>
    <w:tblPr/>
  </w:style>
  <w:style w:type="table" w:styleId="858">
    <w:name w:val="Grid Table 5 Dark- Accent 1"/>
    <w:next w:val="858"/>
    <w:link w:val="762"/>
    <w:rPr>
      <w:lang w:val="en-US" w:eastAsia="zh-CN" w:bidi="ar-SA"/>
    </w:rPr>
    <w:tblPr/>
  </w:style>
  <w:style w:type="table" w:styleId="859">
    <w:name w:val="Grid Table 5 Dark - Accent 2"/>
    <w:next w:val="859"/>
    <w:link w:val="762"/>
    <w:rPr>
      <w:lang w:val="en-US" w:eastAsia="zh-CN" w:bidi="ar-SA"/>
    </w:rPr>
    <w:tblPr/>
  </w:style>
  <w:style w:type="table" w:styleId="860">
    <w:name w:val="Grid Table 5 Dark - Accent 3"/>
    <w:next w:val="860"/>
    <w:link w:val="762"/>
    <w:rPr>
      <w:lang w:val="en-US" w:eastAsia="zh-CN" w:bidi="ar-SA"/>
    </w:rPr>
    <w:tblPr/>
  </w:style>
  <w:style w:type="table" w:styleId="861">
    <w:name w:val="Grid Table 5 Dark- Accent 4"/>
    <w:next w:val="861"/>
    <w:link w:val="762"/>
    <w:rPr>
      <w:lang w:val="en-US" w:eastAsia="zh-CN" w:bidi="ar-SA"/>
    </w:rPr>
    <w:tblPr/>
  </w:style>
  <w:style w:type="table" w:styleId="862">
    <w:name w:val="Grid Table 5 Dark - Accent 5"/>
    <w:next w:val="862"/>
    <w:link w:val="762"/>
    <w:rPr>
      <w:lang w:val="en-US" w:eastAsia="zh-CN" w:bidi="ar-SA"/>
    </w:rPr>
    <w:tblPr/>
  </w:style>
  <w:style w:type="table" w:styleId="863">
    <w:name w:val="Grid Table 5 Dark - Accent 6"/>
    <w:next w:val="863"/>
    <w:link w:val="762"/>
    <w:rPr>
      <w:lang w:val="en-US" w:eastAsia="zh-CN" w:bidi="ar-SA"/>
    </w:rPr>
    <w:tblPr/>
  </w:style>
  <w:style w:type="table" w:styleId="864">
    <w:name w:val="网格表 6 彩色"/>
    <w:next w:val="864"/>
    <w:link w:val="762"/>
    <w:rPr>
      <w:lang w:val="en-US" w:eastAsia="zh-CN" w:bidi="ar-SA"/>
    </w:rPr>
    <w:tblPr/>
  </w:style>
  <w:style w:type="table" w:styleId="865">
    <w:name w:val="Grid Table 6 Colorful - Accent 1"/>
    <w:next w:val="865"/>
    <w:link w:val="762"/>
    <w:rPr>
      <w:lang w:val="en-US" w:eastAsia="zh-CN" w:bidi="ar-SA"/>
    </w:rPr>
    <w:tblPr/>
  </w:style>
  <w:style w:type="table" w:styleId="866">
    <w:name w:val="Grid Table 6 Colorful - Accent 2"/>
    <w:next w:val="866"/>
    <w:link w:val="762"/>
    <w:rPr>
      <w:lang w:val="en-US" w:eastAsia="zh-CN" w:bidi="ar-SA"/>
    </w:rPr>
    <w:tblPr/>
  </w:style>
  <w:style w:type="table" w:styleId="867">
    <w:name w:val="Grid Table 6 Colorful - Accent 3"/>
    <w:next w:val="867"/>
    <w:link w:val="762"/>
    <w:rPr>
      <w:lang w:val="en-US" w:eastAsia="zh-CN" w:bidi="ar-SA"/>
    </w:rPr>
    <w:tblPr/>
  </w:style>
  <w:style w:type="table" w:styleId="868">
    <w:name w:val="Grid Table 6 Colorful - Accent 4"/>
    <w:next w:val="868"/>
    <w:link w:val="762"/>
    <w:rPr>
      <w:lang w:val="en-US" w:eastAsia="zh-CN" w:bidi="ar-SA"/>
    </w:rPr>
    <w:tblPr/>
  </w:style>
  <w:style w:type="table" w:styleId="869">
    <w:name w:val="Grid Table 6 Colorful - Accent 5"/>
    <w:next w:val="869"/>
    <w:link w:val="762"/>
    <w:rPr>
      <w:lang w:val="en-US" w:eastAsia="zh-CN" w:bidi="ar-SA"/>
    </w:rPr>
    <w:tblPr/>
  </w:style>
  <w:style w:type="table" w:styleId="870">
    <w:name w:val="Grid Table 6 Colorful - Accent 6"/>
    <w:next w:val="870"/>
    <w:link w:val="762"/>
    <w:rPr>
      <w:lang w:val="en-US" w:eastAsia="zh-CN" w:bidi="ar-SA"/>
    </w:rPr>
    <w:tblPr/>
  </w:style>
  <w:style w:type="table" w:styleId="871">
    <w:name w:val="网格表 7 彩色"/>
    <w:next w:val="871"/>
    <w:link w:val="762"/>
    <w:rPr>
      <w:lang w:val="en-US" w:eastAsia="zh-CN" w:bidi="ar-SA"/>
    </w:rPr>
    <w:tblPr/>
  </w:style>
  <w:style w:type="table" w:styleId="872">
    <w:name w:val="Grid Table 7 Colorful - Accent 1"/>
    <w:next w:val="872"/>
    <w:link w:val="762"/>
    <w:rPr>
      <w:lang w:val="en-US" w:eastAsia="zh-CN" w:bidi="ar-SA"/>
    </w:rPr>
    <w:tblPr/>
  </w:style>
  <w:style w:type="table" w:styleId="873">
    <w:name w:val="Grid Table 7 Colorful - Accent 2"/>
    <w:next w:val="873"/>
    <w:link w:val="762"/>
    <w:rPr>
      <w:lang w:val="en-US" w:eastAsia="zh-CN" w:bidi="ar-SA"/>
    </w:rPr>
    <w:tblPr/>
  </w:style>
  <w:style w:type="table" w:styleId="874">
    <w:name w:val="Grid Table 7 Colorful - Accent 3"/>
    <w:next w:val="874"/>
    <w:link w:val="762"/>
    <w:rPr>
      <w:lang w:val="en-US" w:eastAsia="zh-CN" w:bidi="ar-SA"/>
    </w:rPr>
    <w:tblPr/>
  </w:style>
  <w:style w:type="table" w:styleId="875">
    <w:name w:val="Grid Table 7 Colorful - Accent 4"/>
    <w:next w:val="875"/>
    <w:link w:val="762"/>
    <w:rPr>
      <w:lang w:val="en-US" w:eastAsia="zh-CN" w:bidi="ar-SA"/>
    </w:rPr>
    <w:tblPr/>
  </w:style>
  <w:style w:type="table" w:styleId="876">
    <w:name w:val="Grid Table 7 Colorful - Accent 5"/>
    <w:next w:val="876"/>
    <w:link w:val="762"/>
    <w:rPr>
      <w:lang w:val="en-US" w:eastAsia="zh-CN" w:bidi="ar-SA"/>
    </w:rPr>
    <w:tblPr/>
  </w:style>
  <w:style w:type="table" w:styleId="877">
    <w:name w:val="Grid Table 7 Colorful - Accent 6"/>
    <w:next w:val="877"/>
    <w:link w:val="762"/>
    <w:rPr>
      <w:lang w:val="en-US" w:eastAsia="zh-CN" w:bidi="ar-SA"/>
    </w:rPr>
    <w:tblPr/>
  </w:style>
  <w:style w:type="table" w:styleId="878">
    <w:name w:val="清单表 1 浅色"/>
    <w:next w:val="878"/>
    <w:link w:val="762"/>
    <w:rPr>
      <w:lang w:val="en-US" w:eastAsia="zh-CN" w:bidi="ar-SA"/>
    </w:rPr>
    <w:tblPr/>
  </w:style>
  <w:style w:type="table" w:styleId="879">
    <w:name w:val="List Table 1 Light - Accent 1"/>
    <w:next w:val="879"/>
    <w:link w:val="762"/>
    <w:rPr>
      <w:lang w:val="en-US" w:eastAsia="zh-CN" w:bidi="ar-SA"/>
    </w:rPr>
    <w:tblPr/>
  </w:style>
  <w:style w:type="table" w:styleId="880">
    <w:name w:val="List Table 1 Light - Accent 2"/>
    <w:next w:val="880"/>
    <w:link w:val="762"/>
    <w:rPr>
      <w:lang w:val="en-US" w:eastAsia="zh-CN" w:bidi="ar-SA"/>
    </w:rPr>
    <w:tblPr/>
  </w:style>
  <w:style w:type="table" w:styleId="881">
    <w:name w:val="List Table 1 Light - Accent 3"/>
    <w:next w:val="881"/>
    <w:link w:val="762"/>
    <w:rPr>
      <w:lang w:val="en-US" w:eastAsia="zh-CN" w:bidi="ar-SA"/>
    </w:rPr>
    <w:tblPr/>
  </w:style>
  <w:style w:type="table" w:styleId="882">
    <w:name w:val="List Table 1 Light - Accent 4"/>
    <w:next w:val="882"/>
    <w:link w:val="762"/>
    <w:rPr>
      <w:lang w:val="en-US" w:eastAsia="zh-CN" w:bidi="ar-SA"/>
    </w:rPr>
    <w:tblPr/>
  </w:style>
  <w:style w:type="table" w:styleId="883">
    <w:name w:val="List Table 1 Light - Accent 5"/>
    <w:next w:val="883"/>
    <w:link w:val="762"/>
    <w:rPr>
      <w:lang w:val="en-US" w:eastAsia="zh-CN" w:bidi="ar-SA"/>
    </w:rPr>
    <w:tblPr/>
  </w:style>
  <w:style w:type="table" w:styleId="884">
    <w:name w:val="List Table 1 Light - Accent 6"/>
    <w:next w:val="884"/>
    <w:link w:val="762"/>
    <w:rPr>
      <w:lang w:val="en-US" w:eastAsia="zh-CN" w:bidi="ar-SA"/>
    </w:rPr>
    <w:tblPr/>
  </w:style>
  <w:style w:type="table" w:styleId="885">
    <w:name w:val="清单表 2"/>
    <w:next w:val="885"/>
    <w:link w:val="762"/>
    <w:rPr>
      <w:lang w:val="en-US" w:eastAsia="zh-CN" w:bidi="ar-SA"/>
    </w:rPr>
    <w:tblPr/>
  </w:style>
  <w:style w:type="table" w:styleId="886">
    <w:name w:val="List Table 2 - Accent 1"/>
    <w:next w:val="886"/>
    <w:link w:val="762"/>
    <w:rPr>
      <w:lang w:val="en-US" w:eastAsia="zh-CN" w:bidi="ar-SA"/>
    </w:rPr>
    <w:tblPr/>
  </w:style>
  <w:style w:type="table" w:styleId="887">
    <w:name w:val="List Table 2 - Accent 2"/>
    <w:next w:val="887"/>
    <w:link w:val="762"/>
    <w:rPr>
      <w:lang w:val="en-US" w:eastAsia="zh-CN" w:bidi="ar-SA"/>
    </w:rPr>
    <w:tblPr/>
  </w:style>
  <w:style w:type="table" w:styleId="888">
    <w:name w:val="List Table 2 - Accent 3"/>
    <w:next w:val="888"/>
    <w:link w:val="762"/>
    <w:rPr>
      <w:lang w:val="en-US" w:eastAsia="zh-CN" w:bidi="ar-SA"/>
    </w:rPr>
    <w:tblPr/>
  </w:style>
  <w:style w:type="table" w:styleId="889">
    <w:name w:val="List Table 2 - Accent 4"/>
    <w:next w:val="889"/>
    <w:link w:val="762"/>
    <w:rPr>
      <w:lang w:val="en-US" w:eastAsia="zh-CN" w:bidi="ar-SA"/>
    </w:rPr>
    <w:tblPr/>
  </w:style>
  <w:style w:type="table" w:styleId="890">
    <w:name w:val="List Table 2 - Accent 5"/>
    <w:next w:val="890"/>
    <w:link w:val="762"/>
    <w:rPr>
      <w:lang w:val="en-US" w:eastAsia="zh-CN" w:bidi="ar-SA"/>
    </w:rPr>
    <w:tblPr/>
  </w:style>
  <w:style w:type="table" w:styleId="891">
    <w:name w:val="List Table 2 - Accent 6"/>
    <w:next w:val="891"/>
    <w:link w:val="762"/>
    <w:rPr>
      <w:lang w:val="en-US" w:eastAsia="zh-CN" w:bidi="ar-SA"/>
    </w:rPr>
    <w:tblPr/>
  </w:style>
  <w:style w:type="table" w:styleId="892">
    <w:name w:val="清单表 3"/>
    <w:next w:val="892"/>
    <w:link w:val="762"/>
    <w:rPr>
      <w:lang w:val="en-US" w:eastAsia="zh-CN" w:bidi="ar-SA"/>
    </w:rPr>
    <w:tblPr/>
  </w:style>
  <w:style w:type="table" w:styleId="893">
    <w:name w:val="List Table 3 - Accent 1"/>
    <w:next w:val="893"/>
    <w:link w:val="762"/>
    <w:rPr>
      <w:lang w:val="en-US" w:eastAsia="zh-CN" w:bidi="ar-SA"/>
    </w:rPr>
    <w:tblPr/>
  </w:style>
  <w:style w:type="table" w:styleId="894">
    <w:name w:val="List Table 3 - Accent 2"/>
    <w:next w:val="894"/>
    <w:link w:val="762"/>
    <w:rPr>
      <w:lang w:val="en-US" w:eastAsia="zh-CN" w:bidi="ar-SA"/>
    </w:rPr>
    <w:tblPr/>
  </w:style>
  <w:style w:type="table" w:styleId="895">
    <w:name w:val="List Table 3 - Accent 3"/>
    <w:next w:val="895"/>
    <w:link w:val="762"/>
    <w:rPr>
      <w:lang w:val="en-US" w:eastAsia="zh-CN" w:bidi="ar-SA"/>
    </w:rPr>
    <w:tblPr/>
  </w:style>
  <w:style w:type="table" w:styleId="896">
    <w:name w:val="List Table 3 - Accent 4"/>
    <w:next w:val="896"/>
    <w:link w:val="762"/>
    <w:rPr>
      <w:lang w:val="en-US" w:eastAsia="zh-CN" w:bidi="ar-SA"/>
    </w:rPr>
    <w:tblPr/>
  </w:style>
  <w:style w:type="table" w:styleId="897">
    <w:name w:val="List Table 3 - Accent 5"/>
    <w:next w:val="897"/>
    <w:link w:val="762"/>
    <w:rPr>
      <w:lang w:val="en-US" w:eastAsia="zh-CN" w:bidi="ar-SA"/>
    </w:rPr>
    <w:tblPr/>
  </w:style>
  <w:style w:type="table" w:styleId="898">
    <w:name w:val="List Table 3 - Accent 6"/>
    <w:next w:val="898"/>
    <w:link w:val="762"/>
    <w:rPr>
      <w:lang w:val="en-US" w:eastAsia="zh-CN" w:bidi="ar-SA"/>
    </w:rPr>
    <w:tblPr/>
  </w:style>
  <w:style w:type="table" w:styleId="899">
    <w:name w:val="清单表 4"/>
    <w:next w:val="899"/>
    <w:link w:val="762"/>
    <w:rPr>
      <w:lang w:val="en-US" w:eastAsia="zh-CN" w:bidi="ar-SA"/>
    </w:rPr>
    <w:tblPr/>
  </w:style>
  <w:style w:type="table" w:styleId="900">
    <w:name w:val="List Table 4 - Accent 1"/>
    <w:next w:val="900"/>
    <w:link w:val="762"/>
    <w:rPr>
      <w:lang w:val="en-US" w:eastAsia="zh-CN" w:bidi="ar-SA"/>
    </w:rPr>
    <w:tblPr/>
  </w:style>
  <w:style w:type="table" w:styleId="901">
    <w:name w:val="List Table 4 - Accent 2"/>
    <w:next w:val="901"/>
    <w:link w:val="762"/>
    <w:rPr>
      <w:lang w:val="en-US" w:eastAsia="zh-CN" w:bidi="ar-SA"/>
    </w:rPr>
    <w:tblPr/>
  </w:style>
  <w:style w:type="table" w:styleId="902">
    <w:name w:val="List Table 4 - Accent 3"/>
    <w:next w:val="902"/>
    <w:link w:val="762"/>
    <w:rPr>
      <w:lang w:val="en-US" w:eastAsia="zh-CN" w:bidi="ar-SA"/>
    </w:rPr>
    <w:tblPr/>
  </w:style>
  <w:style w:type="table" w:styleId="903">
    <w:name w:val="List Table 4 - Accent 4"/>
    <w:next w:val="903"/>
    <w:link w:val="762"/>
    <w:rPr>
      <w:lang w:val="en-US" w:eastAsia="zh-CN" w:bidi="ar-SA"/>
    </w:rPr>
    <w:tblPr/>
  </w:style>
  <w:style w:type="table" w:styleId="904">
    <w:name w:val="List Table 4 - Accent 5"/>
    <w:next w:val="904"/>
    <w:link w:val="762"/>
    <w:rPr>
      <w:lang w:val="en-US" w:eastAsia="zh-CN" w:bidi="ar-SA"/>
    </w:rPr>
    <w:tblPr/>
  </w:style>
  <w:style w:type="table" w:styleId="905">
    <w:name w:val="List Table 4 - Accent 6"/>
    <w:next w:val="905"/>
    <w:link w:val="762"/>
    <w:rPr>
      <w:lang w:val="en-US" w:eastAsia="zh-CN" w:bidi="ar-SA"/>
    </w:rPr>
    <w:tblPr/>
  </w:style>
  <w:style w:type="table" w:styleId="906">
    <w:name w:val="清单表 5 深色"/>
    <w:next w:val="906"/>
    <w:link w:val="762"/>
    <w:rPr>
      <w:lang w:val="en-US" w:eastAsia="zh-CN" w:bidi="ar-SA"/>
    </w:rPr>
    <w:tblPr/>
  </w:style>
  <w:style w:type="table" w:styleId="907">
    <w:name w:val="List Table 5 Dark - Accent 1"/>
    <w:next w:val="907"/>
    <w:link w:val="762"/>
    <w:rPr>
      <w:lang w:val="en-US" w:eastAsia="zh-CN" w:bidi="ar-SA"/>
    </w:rPr>
    <w:tblPr/>
  </w:style>
  <w:style w:type="table" w:styleId="908">
    <w:name w:val="List Table 5 Dark - Accent 2"/>
    <w:next w:val="908"/>
    <w:link w:val="762"/>
    <w:rPr>
      <w:lang w:val="en-US" w:eastAsia="zh-CN" w:bidi="ar-SA"/>
    </w:rPr>
    <w:tblPr/>
  </w:style>
  <w:style w:type="table" w:styleId="909">
    <w:name w:val="List Table 5 Dark - Accent 3"/>
    <w:next w:val="909"/>
    <w:link w:val="762"/>
    <w:rPr>
      <w:lang w:val="en-US" w:eastAsia="zh-CN" w:bidi="ar-SA"/>
    </w:rPr>
    <w:tblPr/>
  </w:style>
  <w:style w:type="table" w:styleId="910">
    <w:name w:val="List Table 5 Dark - Accent 4"/>
    <w:next w:val="910"/>
    <w:link w:val="762"/>
    <w:rPr>
      <w:lang w:val="en-US" w:eastAsia="zh-CN" w:bidi="ar-SA"/>
    </w:rPr>
    <w:tblPr/>
  </w:style>
  <w:style w:type="table" w:styleId="911">
    <w:name w:val="List Table 5 Dark - Accent 5"/>
    <w:next w:val="911"/>
    <w:link w:val="762"/>
    <w:rPr>
      <w:lang w:val="en-US" w:eastAsia="zh-CN" w:bidi="ar-SA"/>
    </w:rPr>
    <w:tblPr/>
  </w:style>
  <w:style w:type="table" w:styleId="912">
    <w:name w:val="List Table 5 Dark - Accent 6"/>
    <w:next w:val="912"/>
    <w:link w:val="762"/>
    <w:rPr>
      <w:lang w:val="en-US" w:eastAsia="zh-CN" w:bidi="ar-SA"/>
    </w:rPr>
    <w:tblPr/>
  </w:style>
  <w:style w:type="table" w:styleId="913">
    <w:name w:val="清单表 6 彩色"/>
    <w:next w:val="913"/>
    <w:link w:val="762"/>
    <w:rPr>
      <w:lang w:val="en-US" w:eastAsia="zh-CN" w:bidi="ar-SA"/>
    </w:rPr>
    <w:tblPr/>
  </w:style>
  <w:style w:type="table" w:styleId="914">
    <w:name w:val="List Table 6 Colorful - Accent 1"/>
    <w:next w:val="914"/>
    <w:link w:val="762"/>
    <w:rPr>
      <w:lang w:val="en-US" w:eastAsia="zh-CN" w:bidi="ar-SA"/>
    </w:rPr>
    <w:tblPr/>
  </w:style>
  <w:style w:type="table" w:styleId="915">
    <w:name w:val="List Table 6 Colorful - Accent 2"/>
    <w:next w:val="915"/>
    <w:link w:val="762"/>
    <w:rPr>
      <w:lang w:val="en-US" w:eastAsia="zh-CN" w:bidi="ar-SA"/>
    </w:rPr>
    <w:tblPr/>
  </w:style>
  <w:style w:type="table" w:styleId="916">
    <w:name w:val="List Table 6 Colorful - Accent 3"/>
    <w:next w:val="916"/>
    <w:link w:val="762"/>
    <w:rPr>
      <w:lang w:val="en-US" w:eastAsia="zh-CN" w:bidi="ar-SA"/>
    </w:rPr>
    <w:tblPr/>
  </w:style>
  <w:style w:type="table" w:styleId="917">
    <w:name w:val="List Table 6 Colorful - Accent 4"/>
    <w:next w:val="917"/>
    <w:link w:val="762"/>
    <w:rPr>
      <w:lang w:val="en-US" w:eastAsia="zh-CN" w:bidi="ar-SA"/>
    </w:rPr>
    <w:tblPr/>
  </w:style>
  <w:style w:type="table" w:styleId="918">
    <w:name w:val="List Table 6 Colorful - Accent 5"/>
    <w:next w:val="918"/>
    <w:link w:val="762"/>
    <w:rPr>
      <w:lang w:val="en-US" w:eastAsia="zh-CN" w:bidi="ar-SA"/>
    </w:rPr>
    <w:tblPr/>
  </w:style>
  <w:style w:type="table" w:styleId="919">
    <w:name w:val="List Table 6 Colorful - Accent 6"/>
    <w:next w:val="919"/>
    <w:link w:val="762"/>
    <w:rPr>
      <w:lang w:val="en-US" w:eastAsia="zh-CN" w:bidi="ar-SA"/>
    </w:rPr>
    <w:tblPr/>
  </w:style>
  <w:style w:type="table" w:styleId="920">
    <w:name w:val="清单表 7 彩色"/>
    <w:next w:val="920"/>
    <w:link w:val="762"/>
    <w:rPr>
      <w:lang w:val="en-US" w:eastAsia="zh-CN" w:bidi="ar-SA"/>
    </w:rPr>
    <w:tblPr/>
  </w:style>
  <w:style w:type="table" w:styleId="921">
    <w:name w:val="List Table 7 Colorful - Accent 1"/>
    <w:next w:val="921"/>
    <w:link w:val="762"/>
    <w:rPr>
      <w:lang w:val="en-US" w:eastAsia="zh-CN" w:bidi="ar-SA"/>
    </w:rPr>
    <w:tblPr/>
  </w:style>
  <w:style w:type="table" w:styleId="922">
    <w:name w:val="List Table 7 Colorful - Accent 2"/>
    <w:next w:val="922"/>
    <w:link w:val="762"/>
    <w:rPr>
      <w:lang w:val="en-US" w:eastAsia="zh-CN" w:bidi="ar-SA"/>
    </w:rPr>
    <w:tblPr/>
  </w:style>
  <w:style w:type="table" w:styleId="923">
    <w:name w:val="List Table 7 Colorful - Accent 3"/>
    <w:next w:val="923"/>
    <w:link w:val="762"/>
    <w:rPr>
      <w:lang w:val="en-US" w:eastAsia="zh-CN" w:bidi="ar-SA"/>
    </w:rPr>
    <w:tblPr/>
  </w:style>
  <w:style w:type="table" w:styleId="924">
    <w:name w:val="List Table 7 Colorful - Accent 4"/>
    <w:next w:val="924"/>
    <w:link w:val="762"/>
    <w:rPr>
      <w:lang w:val="en-US" w:eastAsia="zh-CN" w:bidi="ar-SA"/>
    </w:rPr>
    <w:tblPr/>
  </w:style>
  <w:style w:type="table" w:styleId="925">
    <w:name w:val="List Table 7 Colorful - Accent 5"/>
    <w:next w:val="925"/>
    <w:link w:val="762"/>
    <w:rPr>
      <w:lang w:val="en-US" w:eastAsia="zh-CN" w:bidi="ar-SA"/>
    </w:rPr>
    <w:tblPr/>
  </w:style>
  <w:style w:type="table" w:styleId="926">
    <w:name w:val="List Table 7 Colorful - Accent 6"/>
    <w:next w:val="926"/>
    <w:link w:val="762"/>
    <w:rPr>
      <w:lang w:val="en-US" w:eastAsia="zh-CN" w:bidi="ar-SA"/>
    </w:rPr>
    <w:tblPr/>
  </w:style>
  <w:style w:type="table" w:styleId="927">
    <w:name w:val="Lined - Accent"/>
    <w:next w:val="927"/>
    <w:link w:val="762"/>
    <w:rPr>
      <w:color w:val="404040"/>
      <w:lang w:val="en-US" w:eastAsia="zh-CN" w:bidi="ar-SA"/>
    </w:rPr>
    <w:tblPr/>
  </w:style>
  <w:style w:type="table" w:styleId="928">
    <w:name w:val="Lined - Accent 1"/>
    <w:next w:val="928"/>
    <w:link w:val="762"/>
    <w:rPr>
      <w:color w:val="404040"/>
      <w:lang w:val="en-US" w:eastAsia="zh-CN" w:bidi="ar-SA"/>
    </w:rPr>
    <w:tblPr/>
  </w:style>
  <w:style w:type="table" w:styleId="929">
    <w:name w:val="Lined - Accent 2"/>
    <w:next w:val="929"/>
    <w:link w:val="762"/>
    <w:rPr>
      <w:color w:val="404040"/>
      <w:lang w:val="en-US" w:eastAsia="zh-CN" w:bidi="ar-SA"/>
    </w:rPr>
    <w:tblPr/>
  </w:style>
  <w:style w:type="table" w:styleId="930">
    <w:name w:val="Lined - Accent 3"/>
    <w:next w:val="930"/>
    <w:link w:val="762"/>
    <w:rPr>
      <w:color w:val="404040"/>
      <w:lang w:val="en-US" w:eastAsia="zh-CN" w:bidi="ar-SA"/>
    </w:rPr>
    <w:tblPr/>
  </w:style>
  <w:style w:type="table" w:styleId="931">
    <w:name w:val="Lined - Accent 4"/>
    <w:next w:val="931"/>
    <w:link w:val="762"/>
    <w:rPr>
      <w:color w:val="404040"/>
      <w:lang w:val="en-US" w:eastAsia="zh-CN" w:bidi="ar-SA"/>
    </w:rPr>
    <w:tblPr/>
  </w:style>
  <w:style w:type="table" w:styleId="932">
    <w:name w:val="Lined - Accent 5"/>
    <w:next w:val="932"/>
    <w:link w:val="762"/>
    <w:rPr>
      <w:color w:val="404040"/>
      <w:lang w:val="en-US" w:eastAsia="zh-CN" w:bidi="ar-SA"/>
    </w:rPr>
    <w:tblPr/>
  </w:style>
  <w:style w:type="table" w:styleId="933">
    <w:name w:val="Lined - Accent 6"/>
    <w:next w:val="933"/>
    <w:link w:val="762"/>
    <w:rPr>
      <w:color w:val="404040"/>
      <w:lang w:val="en-US" w:eastAsia="zh-CN" w:bidi="ar-SA"/>
    </w:rPr>
    <w:tblPr/>
  </w:style>
  <w:style w:type="table" w:styleId="934">
    <w:name w:val="Bordered &amp; Lined - Accent"/>
    <w:next w:val="934"/>
    <w:link w:val="762"/>
    <w:rPr>
      <w:color w:val="404040"/>
      <w:lang w:val="en-US" w:eastAsia="zh-CN" w:bidi="ar-SA"/>
    </w:rPr>
    <w:tblPr/>
  </w:style>
  <w:style w:type="table" w:styleId="935">
    <w:name w:val="Bordered &amp; Lined - Accent 1"/>
    <w:next w:val="935"/>
    <w:link w:val="762"/>
    <w:rPr>
      <w:color w:val="404040"/>
      <w:lang w:val="en-US" w:eastAsia="zh-CN" w:bidi="ar-SA"/>
    </w:rPr>
    <w:tblPr/>
  </w:style>
  <w:style w:type="table" w:styleId="936">
    <w:name w:val="Bordered &amp; Lined - Accent 2"/>
    <w:next w:val="936"/>
    <w:link w:val="762"/>
    <w:rPr>
      <w:color w:val="404040"/>
      <w:lang w:val="en-US" w:eastAsia="zh-CN" w:bidi="ar-SA"/>
    </w:rPr>
    <w:tblPr/>
  </w:style>
  <w:style w:type="table" w:styleId="937">
    <w:name w:val="Bordered &amp; Lined - Accent 3"/>
    <w:next w:val="937"/>
    <w:link w:val="762"/>
    <w:rPr>
      <w:color w:val="404040"/>
      <w:lang w:val="en-US" w:eastAsia="zh-CN" w:bidi="ar-SA"/>
    </w:rPr>
    <w:tblPr/>
  </w:style>
  <w:style w:type="table" w:styleId="938">
    <w:name w:val="Bordered &amp; Lined - Accent 4"/>
    <w:next w:val="938"/>
    <w:link w:val="762"/>
    <w:rPr>
      <w:color w:val="404040"/>
      <w:lang w:val="en-US" w:eastAsia="zh-CN" w:bidi="ar-SA"/>
    </w:rPr>
    <w:tblPr/>
  </w:style>
  <w:style w:type="table" w:styleId="939">
    <w:name w:val="Bordered &amp; Lined - Accent 5"/>
    <w:next w:val="939"/>
    <w:link w:val="762"/>
    <w:rPr>
      <w:color w:val="404040"/>
      <w:lang w:val="en-US" w:eastAsia="zh-CN" w:bidi="ar-SA"/>
    </w:rPr>
    <w:tblPr/>
  </w:style>
  <w:style w:type="table" w:styleId="940">
    <w:name w:val="Bordered &amp; Lined - Accent 6"/>
    <w:next w:val="940"/>
    <w:link w:val="762"/>
    <w:rPr>
      <w:color w:val="404040"/>
      <w:lang w:val="en-US" w:eastAsia="zh-CN" w:bidi="ar-SA"/>
    </w:rPr>
    <w:tblPr/>
  </w:style>
  <w:style w:type="table" w:styleId="941">
    <w:name w:val="Bordered"/>
    <w:next w:val="941"/>
    <w:link w:val="762"/>
    <w:rPr>
      <w:lang w:val="en-US" w:eastAsia="zh-CN" w:bidi="ar-SA"/>
    </w:rPr>
    <w:tblPr/>
  </w:style>
  <w:style w:type="table" w:styleId="942">
    <w:name w:val="Bordered - Accent 1"/>
    <w:next w:val="942"/>
    <w:link w:val="762"/>
    <w:rPr>
      <w:lang w:val="en-US" w:eastAsia="zh-CN" w:bidi="ar-SA"/>
    </w:rPr>
    <w:tblPr/>
  </w:style>
  <w:style w:type="table" w:styleId="943">
    <w:name w:val="Bordered - Accent 2"/>
    <w:next w:val="943"/>
    <w:link w:val="762"/>
    <w:rPr>
      <w:lang w:val="en-US" w:eastAsia="zh-CN" w:bidi="ar-SA"/>
    </w:rPr>
    <w:tblPr/>
  </w:style>
  <w:style w:type="table" w:styleId="944">
    <w:name w:val="Bordered - Accent 3"/>
    <w:next w:val="944"/>
    <w:link w:val="762"/>
    <w:rPr>
      <w:lang w:val="en-US" w:eastAsia="zh-CN" w:bidi="ar-SA"/>
    </w:rPr>
    <w:tblPr/>
  </w:style>
  <w:style w:type="table" w:styleId="945">
    <w:name w:val="Bordered - Accent 4"/>
    <w:next w:val="945"/>
    <w:link w:val="762"/>
    <w:rPr>
      <w:lang w:val="en-US" w:eastAsia="zh-CN" w:bidi="ar-SA"/>
    </w:rPr>
    <w:tblPr/>
  </w:style>
  <w:style w:type="table" w:styleId="946">
    <w:name w:val="Bordered - Accent 5"/>
    <w:next w:val="946"/>
    <w:link w:val="762"/>
    <w:rPr>
      <w:lang w:val="en-US" w:eastAsia="zh-CN" w:bidi="ar-SA"/>
    </w:rPr>
    <w:tblPr/>
  </w:style>
  <w:style w:type="table" w:styleId="947">
    <w:name w:val="Bordered - Accent 6"/>
    <w:next w:val="947"/>
    <w:link w:val="762"/>
    <w:rPr>
      <w:lang w:val="en-US" w:eastAsia="zh-CN" w:bidi="ar-SA"/>
    </w:rPr>
    <w:tblPr/>
  </w:style>
  <w:style w:type="paragraph" w:styleId="948">
    <w:name w:val="TOC 标题"/>
    <w:next w:val="948"/>
    <w:link w:val="762"/>
    <w:qFormat/>
    <w:rPr>
      <w:lang w:val="en-US" w:eastAsia="zh-CN" w:bidi="ar-SA"/>
    </w:rPr>
  </w:style>
  <w:style w:type="paragraph" w:styleId="949">
    <w:name w:val="标题 11"/>
    <w:basedOn w:val="762"/>
    <w:next w:val="762"/>
    <w:link w:val="950"/>
    <w:pPr>
      <w:jc w:val="center"/>
      <w:keepNext/>
      <w:outlineLvl w:val="0"/>
    </w:pPr>
    <w:rPr>
      <w:rFonts w:ascii="楷体_GB2312" w:eastAsia="楷体_GB2312"/>
      <w:sz w:val="28"/>
      <w:szCs w:val="28"/>
    </w:rPr>
  </w:style>
  <w:style w:type="character" w:styleId="950">
    <w:name w:val="标题 1 Char"/>
    <w:next w:val="950"/>
    <w:link w:val="949"/>
    <w:rPr>
      <w:rFonts w:ascii="楷体_GB2312" w:hAnsi="Times New Roman" w:eastAsia="楷体_GB2312" w:cs="Times New Roman"/>
      <w:sz w:val="28"/>
      <w:szCs w:val="28"/>
    </w:rPr>
  </w:style>
  <w:style w:type="paragraph" w:styleId="951">
    <w:name w:val="标题 21"/>
    <w:basedOn w:val="762"/>
    <w:next w:val="953"/>
    <w:link w:val="952"/>
    <w:pPr>
      <w:jc w:val="center"/>
      <w:keepLines/>
      <w:keepNext/>
      <w:spacing w:before="260" w:after="260" w:line="416" w:lineRule="auto"/>
      <w:outlineLvl w:val="1"/>
    </w:pPr>
    <w:rPr>
      <w:rFonts w:ascii="Arial" w:hAnsi="Arial" w:eastAsia="幼圆" w:cs="Arial"/>
      <w:b/>
      <w:bCs/>
      <w:sz w:val="44"/>
      <w:szCs w:val="44"/>
    </w:rPr>
  </w:style>
  <w:style w:type="character" w:styleId="952">
    <w:name w:val="标题 2 Char"/>
    <w:next w:val="952"/>
    <w:link w:val="951"/>
    <w:rPr>
      <w:rFonts w:ascii="Arial" w:hAnsi="Arial" w:eastAsia="幼圆" w:cs="Arial"/>
      <w:b/>
      <w:bCs/>
      <w:sz w:val="44"/>
      <w:szCs w:val="44"/>
    </w:rPr>
  </w:style>
  <w:style w:type="paragraph" w:styleId="953">
    <w:name w:val="正文缩进1"/>
    <w:basedOn w:val="762"/>
    <w:next w:val="953"/>
    <w:link w:val="954"/>
    <w:pPr>
      <w:ind w:firstLine="420"/>
    </w:pPr>
  </w:style>
  <w:style w:type="character" w:styleId="954">
    <w:name w:val="正文缩进 Char"/>
    <w:next w:val="954"/>
    <w:link w:val="953"/>
    <w:rPr>
      <w:rFonts w:ascii="Times New Roman" w:hAnsi="Times New Roman" w:eastAsia="宋体" w:cs="Times New Roman"/>
      <w:szCs w:val="21"/>
    </w:rPr>
  </w:style>
  <w:style w:type="paragraph" w:styleId="955">
    <w:name w:val="标题 31"/>
    <w:basedOn w:val="762"/>
    <w:next w:val="953"/>
    <w:link w:val="956"/>
    <w:pPr>
      <w:keepLines/>
      <w:keepNext/>
      <w:spacing w:before="260" w:after="260" w:line="416" w:lineRule="auto"/>
      <w:outlineLvl w:val="2"/>
    </w:pPr>
    <w:rPr>
      <w:b/>
      <w:bCs/>
      <w:sz w:val="32"/>
      <w:szCs w:val="32"/>
    </w:rPr>
  </w:style>
  <w:style w:type="character" w:styleId="956">
    <w:name w:val="标题 3 Char"/>
    <w:next w:val="956"/>
    <w:link w:val="955"/>
    <w:rPr>
      <w:rFonts w:ascii="Times New Roman" w:hAnsi="Times New Roman" w:eastAsia="宋体" w:cs="Times New Roman"/>
      <w:b/>
      <w:bCs/>
      <w:sz w:val="32"/>
      <w:szCs w:val="32"/>
    </w:rPr>
  </w:style>
  <w:style w:type="paragraph" w:styleId="957">
    <w:name w:val="标题 41"/>
    <w:basedOn w:val="762"/>
    <w:next w:val="953"/>
    <w:link w:val="958"/>
    <w:pPr>
      <w:keepLines/>
      <w:keepNext/>
      <w:spacing w:before="280" w:after="290" w:line="376" w:lineRule="auto"/>
      <w:outlineLvl w:val="3"/>
    </w:pPr>
    <w:rPr>
      <w:rFonts w:ascii="Arial" w:hAnsi="Arial" w:eastAsia="黑体" w:cs="Arial"/>
      <w:b/>
      <w:bCs/>
      <w:sz w:val="28"/>
      <w:szCs w:val="28"/>
    </w:rPr>
  </w:style>
  <w:style w:type="character" w:styleId="958">
    <w:name w:val="标题 4 Char"/>
    <w:next w:val="958"/>
    <w:link w:val="957"/>
    <w:rPr>
      <w:rFonts w:ascii="Arial" w:hAnsi="Arial" w:eastAsia="黑体" w:cs="Arial"/>
      <w:b/>
      <w:bCs/>
      <w:sz w:val="28"/>
      <w:szCs w:val="28"/>
    </w:rPr>
  </w:style>
  <w:style w:type="paragraph" w:styleId="959">
    <w:name w:val="标题 51"/>
    <w:basedOn w:val="762"/>
    <w:next w:val="953"/>
    <w:link w:val="960"/>
    <w:pPr>
      <w:keepNext/>
      <w:outlineLvl w:val="4"/>
    </w:pPr>
    <w:rPr>
      <w:rFonts w:ascii="宋体"/>
      <w:color w:val="000000"/>
      <w:sz w:val="28"/>
      <w:szCs w:val="28"/>
    </w:rPr>
  </w:style>
  <w:style w:type="character" w:styleId="960">
    <w:name w:val="标题 5 Char"/>
    <w:next w:val="960"/>
    <w:link w:val="959"/>
    <w:rPr>
      <w:rFonts w:ascii="宋体" w:hAnsi="Times New Roman" w:eastAsia="宋体" w:cs="Times New Roman"/>
      <w:color w:val="000000"/>
      <w:sz w:val="28"/>
      <w:szCs w:val="28"/>
    </w:rPr>
  </w:style>
  <w:style w:type="paragraph" w:styleId="961">
    <w:name w:val="标题 61"/>
    <w:basedOn w:val="762"/>
    <w:next w:val="762"/>
    <w:link w:val="962"/>
    <w:pPr>
      <w:numPr>
        <w:ilvl w:val="5"/>
        <w:numId w:val="1"/>
      </w:numPr>
      <w:keepLines/>
      <w:keepNext/>
      <w:spacing w:before="240" w:after="64" w:line="320" w:lineRule="auto"/>
      <w:outlineLvl w:val="5"/>
    </w:pPr>
    <w:rPr>
      <w:rFonts w:ascii="Arial" w:hAnsi="Arial" w:eastAsia="黑体"/>
      <w:b/>
      <w:bCs/>
      <w:sz w:val="24"/>
      <w:szCs w:val="24"/>
    </w:rPr>
  </w:style>
  <w:style w:type="character" w:styleId="962">
    <w:name w:val="标题 6 Char"/>
    <w:next w:val="962"/>
    <w:link w:val="961"/>
    <w:rPr>
      <w:rFonts w:ascii="Arial" w:hAnsi="Arial" w:eastAsia="黑体" w:cs="Times New Roman"/>
      <w:b/>
      <w:bCs/>
      <w:sz w:val="24"/>
      <w:szCs w:val="24"/>
    </w:rPr>
  </w:style>
  <w:style w:type="paragraph" w:styleId="963">
    <w:name w:val="标题 71"/>
    <w:basedOn w:val="762"/>
    <w:next w:val="762"/>
    <w:link w:val="964"/>
    <w:pPr>
      <w:numPr>
        <w:ilvl w:val="6"/>
        <w:numId w:val="1"/>
      </w:numPr>
      <w:keepLines/>
      <w:keepNext/>
      <w:spacing w:before="240" w:after="64" w:line="320" w:lineRule="auto"/>
      <w:outlineLvl w:val="6"/>
    </w:pPr>
    <w:rPr>
      <w:b/>
      <w:bCs/>
      <w:sz w:val="24"/>
      <w:szCs w:val="24"/>
    </w:rPr>
  </w:style>
  <w:style w:type="character" w:styleId="964">
    <w:name w:val="标题 7 Char"/>
    <w:next w:val="964"/>
    <w:link w:val="963"/>
    <w:rPr>
      <w:rFonts w:ascii="Times New Roman" w:hAnsi="Times New Roman" w:eastAsia="宋体" w:cs="Times New Roman"/>
      <w:b/>
      <w:bCs/>
      <w:sz w:val="24"/>
      <w:szCs w:val="24"/>
    </w:rPr>
  </w:style>
  <w:style w:type="paragraph" w:styleId="965">
    <w:name w:val="标题 81"/>
    <w:basedOn w:val="762"/>
    <w:next w:val="762"/>
    <w:link w:val="966"/>
    <w:pPr>
      <w:numPr>
        <w:ilvl w:val="7"/>
        <w:numId w:val="1"/>
      </w:numPr>
      <w:keepLines/>
      <w:keepNext/>
      <w:spacing w:before="240" w:after="64" w:line="320" w:lineRule="auto"/>
      <w:outlineLvl w:val="7"/>
    </w:pPr>
    <w:rPr>
      <w:rFonts w:ascii="Arial" w:hAnsi="Arial" w:eastAsia="黑体"/>
      <w:sz w:val="24"/>
      <w:szCs w:val="24"/>
    </w:rPr>
  </w:style>
  <w:style w:type="character" w:styleId="966">
    <w:name w:val="标题 8 Char"/>
    <w:next w:val="966"/>
    <w:link w:val="965"/>
    <w:rPr>
      <w:rFonts w:ascii="Arial" w:hAnsi="Arial" w:eastAsia="黑体" w:cs="Times New Roman"/>
      <w:sz w:val="24"/>
      <w:szCs w:val="24"/>
    </w:rPr>
  </w:style>
  <w:style w:type="paragraph" w:styleId="967">
    <w:name w:val="标题 91"/>
    <w:basedOn w:val="762"/>
    <w:next w:val="762"/>
    <w:link w:val="968"/>
    <w:pPr>
      <w:numPr>
        <w:ilvl w:val="8"/>
        <w:numId w:val="1"/>
      </w:numPr>
      <w:keepLines/>
      <w:keepNext/>
      <w:spacing w:before="240" w:after="64" w:line="320" w:lineRule="auto"/>
      <w:outlineLvl w:val="8"/>
    </w:pPr>
    <w:rPr>
      <w:rFonts w:ascii="Arial" w:hAnsi="Arial" w:eastAsia="黑体"/>
    </w:rPr>
  </w:style>
  <w:style w:type="character" w:styleId="968">
    <w:name w:val="标题 9 Char"/>
    <w:next w:val="968"/>
    <w:link w:val="967"/>
    <w:rPr>
      <w:rFonts w:ascii="Arial" w:hAnsi="Arial" w:eastAsia="黑体" w:cs="Times New Roman"/>
      <w:szCs w:val="21"/>
    </w:rPr>
  </w:style>
  <w:style w:type="character" w:styleId="969">
    <w:name w:val="默认段落字体1"/>
    <w:next w:val="969"/>
    <w:link w:val="762"/>
  </w:style>
  <w:style w:type="table" w:styleId="970">
    <w:name w:val="普通表格1"/>
    <w:next w:val="970"/>
    <w:link w:val="762"/>
    <w:rPr>
      <w:lang w:val="en-US" w:eastAsia="zh-CN" w:bidi="ar-SA"/>
    </w:rPr>
    <w:tblPr/>
  </w:style>
  <w:style w:type="paragraph" w:styleId="971">
    <w:name w:val="列表 31"/>
    <w:basedOn w:val="762"/>
    <w:next w:val="971"/>
    <w:link w:val="762"/>
    <w:pPr>
      <w:ind w:left="100" w:hanging="200"/>
    </w:pPr>
  </w:style>
  <w:style w:type="paragraph" w:styleId="972">
    <w:name w:val="目录 71"/>
    <w:basedOn w:val="762"/>
    <w:next w:val="762"/>
    <w:link w:val="762"/>
    <w:semiHidden/>
    <w:pPr>
      <w:ind w:left="1260"/>
      <w:jc w:val="left"/>
    </w:pPr>
  </w:style>
  <w:style w:type="paragraph" w:styleId="973">
    <w:name w:val="文档结构图1"/>
    <w:basedOn w:val="762"/>
    <w:next w:val="973"/>
    <w:link w:val="974"/>
    <w:semiHidden/>
    <w:pPr>
      <w:shd w:val="clear" w:color="auto" w:fill="000080"/>
    </w:pPr>
  </w:style>
  <w:style w:type="character" w:styleId="974">
    <w:name w:val="文档结构图 Char"/>
    <w:next w:val="974"/>
    <w:link w:val="973"/>
    <w:semiHidden/>
    <w:rPr>
      <w:rFonts w:ascii="Times New Roman" w:hAnsi="Times New Roman" w:eastAsia="宋体" w:cs="Times New Roman"/>
      <w:szCs w:val="21"/>
      <w:shd w:val="clear" w:color="auto" w:fill="000080"/>
    </w:rPr>
  </w:style>
  <w:style w:type="paragraph" w:styleId="975">
    <w:name w:val="批注文字1"/>
    <w:basedOn w:val="762"/>
    <w:next w:val="975"/>
    <w:link w:val="976"/>
    <w:semiHidden/>
    <w:pPr>
      <w:jc w:val="left"/>
    </w:pPr>
  </w:style>
  <w:style w:type="character" w:styleId="976">
    <w:name w:val="批注文字 Char"/>
    <w:next w:val="976"/>
    <w:link w:val="975"/>
    <w:semiHidden/>
    <w:rPr>
      <w:rFonts w:ascii="Times New Roman" w:hAnsi="Times New Roman" w:eastAsia="宋体" w:cs="Times New Roman"/>
      <w:szCs w:val="21"/>
    </w:rPr>
  </w:style>
  <w:style w:type="paragraph" w:styleId="977">
    <w:name w:val="正文文本 31"/>
    <w:basedOn w:val="762"/>
    <w:next w:val="977"/>
    <w:link w:val="978"/>
    <w:rPr>
      <w:rFonts w:ascii="仿宋_GB2312" w:hAnsi="Arial" w:eastAsia="仿宋_GB2312"/>
      <w:sz w:val="32"/>
      <w:szCs w:val="32"/>
    </w:rPr>
  </w:style>
  <w:style w:type="character" w:styleId="978">
    <w:name w:val="正文文本 3 Char"/>
    <w:next w:val="978"/>
    <w:link w:val="977"/>
    <w:rPr>
      <w:rFonts w:ascii="仿宋_GB2312" w:hAnsi="Arial" w:eastAsia="仿宋_GB2312" w:cs="Times New Roman"/>
      <w:sz w:val="32"/>
      <w:szCs w:val="32"/>
    </w:rPr>
  </w:style>
  <w:style w:type="paragraph" w:styleId="979">
    <w:name w:val="正文文本1"/>
    <w:basedOn w:val="762"/>
    <w:next w:val="979"/>
    <w:link w:val="980"/>
    <w:rPr>
      <w:rFonts w:ascii="楷体_GB2312" w:hAnsi="Arial" w:eastAsia="楷体_GB2312"/>
      <w:sz w:val="28"/>
      <w:szCs w:val="28"/>
    </w:rPr>
  </w:style>
  <w:style w:type="character" w:styleId="980">
    <w:name w:val="正文文本 Char"/>
    <w:next w:val="980"/>
    <w:link w:val="979"/>
    <w:rPr>
      <w:rFonts w:ascii="楷体_GB2312" w:hAnsi="Arial" w:eastAsia="楷体_GB2312" w:cs="Times New Roman"/>
      <w:sz w:val="28"/>
      <w:szCs w:val="28"/>
    </w:rPr>
  </w:style>
  <w:style w:type="paragraph" w:styleId="981">
    <w:name w:val="正文文本缩进1"/>
    <w:basedOn w:val="762"/>
    <w:next w:val="983"/>
    <w:link w:val="982"/>
    <w:pPr>
      <w:ind w:firstLine="645"/>
    </w:pPr>
    <w:rPr>
      <w:rFonts w:ascii="楷体_GB2312" w:eastAsia="楷体_GB2312"/>
      <w:sz w:val="32"/>
      <w:szCs w:val="32"/>
    </w:rPr>
  </w:style>
  <w:style w:type="character" w:styleId="982">
    <w:name w:val="正文文本缩进 Char"/>
    <w:next w:val="982"/>
    <w:link w:val="981"/>
    <w:rPr>
      <w:rFonts w:ascii="楷体_GB2312" w:hAnsi="Times New Roman" w:eastAsia="楷体_GB2312" w:cs="Times New Roman"/>
      <w:sz w:val="32"/>
      <w:szCs w:val="32"/>
    </w:rPr>
  </w:style>
  <w:style w:type="paragraph" w:styleId="983">
    <w:name w:val="寄信人地址11"/>
    <w:next w:val="983"/>
    <w:link w:val="762"/>
    <w:qFormat/>
    <w:pPr>
      <w:jc w:val="both"/>
      <w:widowControl w:val="off"/>
    </w:pPr>
    <w:rPr>
      <w:rFonts w:ascii="Arial" w:hAnsi="Arial" w:eastAsia="宋体" w:cs="宋体"/>
      <w:sz w:val="21"/>
      <w:szCs w:val="21"/>
      <w:lang w:val="en-US" w:eastAsia="zh-CN" w:bidi="ar-SA"/>
    </w:rPr>
  </w:style>
  <w:style w:type="paragraph" w:styleId="984">
    <w:name w:val="列表 21"/>
    <w:basedOn w:val="762"/>
    <w:next w:val="984"/>
    <w:link w:val="762"/>
    <w:pPr>
      <w:ind w:left="100" w:hanging="200"/>
    </w:pPr>
  </w:style>
  <w:style w:type="paragraph" w:styleId="985">
    <w:name w:val="目录 51"/>
    <w:basedOn w:val="762"/>
    <w:next w:val="762"/>
    <w:link w:val="762"/>
    <w:semiHidden/>
    <w:pPr>
      <w:ind w:left="840"/>
      <w:jc w:val="left"/>
    </w:pPr>
  </w:style>
  <w:style w:type="paragraph" w:styleId="986">
    <w:name w:val="目录 31"/>
    <w:basedOn w:val="762"/>
    <w:next w:val="762"/>
    <w:link w:val="762"/>
    <w:semiHidden/>
    <w:pPr>
      <w:ind w:left="420"/>
      <w:jc w:val="left"/>
    </w:pPr>
    <w:rPr>
      <w:i/>
      <w:iCs/>
      <w:szCs w:val="24"/>
    </w:rPr>
  </w:style>
  <w:style w:type="paragraph" w:styleId="987">
    <w:name w:val="纯文本1"/>
    <w:basedOn w:val="762"/>
    <w:next w:val="987"/>
    <w:link w:val="988"/>
    <w:rPr>
      <w:rFonts w:ascii="宋体" w:hAnsi="Courier New" w:cs="Courier New"/>
    </w:rPr>
  </w:style>
  <w:style w:type="character" w:styleId="988">
    <w:name w:val="纯文本 Char"/>
    <w:next w:val="988"/>
    <w:link w:val="987"/>
    <w:rPr>
      <w:rFonts w:ascii="宋体" w:hAnsi="Courier New" w:eastAsia="宋体" w:cs="Courier New"/>
      <w:szCs w:val="21"/>
    </w:rPr>
  </w:style>
  <w:style w:type="paragraph" w:styleId="989">
    <w:name w:val="目录 81"/>
    <w:basedOn w:val="762"/>
    <w:next w:val="762"/>
    <w:link w:val="762"/>
    <w:semiHidden/>
    <w:pPr>
      <w:ind w:left="1470"/>
      <w:jc w:val="left"/>
    </w:pPr>
  </w:style>
  <w:style w:type="paragraph" w:styleId="990">
    <w:name w:val="日期1"/>
    <w:basedOn w:val="762"/>
    <w:next w:val="762"/>
    <w:link w:val="991"/>
    <w:rPr>
      <w:sz w:val="24"/>
      <w:szCs w:val="24"/>
    </w:rPr>
  </w:style>
  <w:style w:type="character" w:styleId="991">
    <w:name w:val="日期 Char"/>
    <w:next w:val="991"/>
    <w:link w:val="990"/>
    <w:rPr>
      <w:rFonts w:ascii="Times New Roman" w:hAnsi="Times New Roman" w:eastAsia="宋体" w:cs="Times New Roman"/>
      <w:sz w:val="24"/>
      <w:szCs w:val="24"/>
    </w:rPr>
  </w:style>
  <w:style w:type="paragraph" w:styleId="992">
    <w:name w:val="正文文本缩进 21"/>
    <w:basedOn w:val="762"/>
    <w:next w:val="992"/>
    <w:link w:val="993"/>
    <w:pPr>
      <w:ind w:left="630" w:firstLine="645"/>
    </w:pPr>
    <w:rPr>
      <w:rFonts w:ascii="Arial" w:hAnsi="Arial" w:eastAsia="仿宋_GB2312" w:cs="Arial"/>
      <w:sz w:val="32"/>
      <w:szCs w:val="32"/>
    </w:rPr>
  </w:style>
  <w:style w:type="character" w:styleId="993">
    <w:name w:val="正文文本缩进 2 Char"/>
    <w:next w:val="993"/>
    <w:link w:val="992"/>
    <w:rPr>
      <w:rFonts w:ascii="Arial" w:hAnsi="Arial" w:eastAsia="仿宋_GB2312" w:cs="Arial"/>
      <w:sz w:val="32"/>
      <w:szCs w:val="32"/>
    </w:rPr>
  </w:style>
  <w:style w:type="paragraph" w:styleId="994">
    <w:name w:val="批注框文本1"/>
    <w:basedOn w:val="762"/>
    <w:next w:val="994"/>
    <w:link w:val="995"/>
    <w:semiHidden/>
    <w:rPr>
      <w:sz w:val="18"/>
      <w:szCs w:val="18"/>
    </w:rPr>
  </w:style>
  <w:style w:type="character" w:styleId="995">
    <w:name w:val="批注框文本 Char"/>
    <w:next w:val="995"/>
    <w:link w:val="994"/>
    <w:semiHidden/>
    <w:rPr>
      <w:rFonts w:ascii="Times New Roman" w:hAnsi="Times New Roman" w:eastAsia="宋体" w:cs="Times New Roman"/>
      <w:sz w:val="18"/>
      <w:szCs w:val="18"/>
    </w:rPr>
  </w:style>
  <w:style w:type="paragraph" w:styleId="996">
    <w:name w:val="页脚1"/>
    <w:basedOn w:val="762"/>
    <w:next w:val="996"/>
    <w:link w:val="997"/>
    <w:pPr>
      <w:jc w:val="left"/>
      <w:tabs>
        <w:tab w:val="center" w:pos="4153" w:leader="none"/>
        <w:tab w:val="right" w:pos="8306" w:leader="none"/>
      </w:tabs>
    </w:pPr>
    <w:rPr>
      <w:sz w:val="18"/>
      <w:szCs w:val="18"/>
    </w:rPr>
  </w:style>
  <w:style w:type="character" w:styleId="997">
    <w:name w:val="页脚 Char"/>
    <w:next w:val="997"/>
    <w:link w:val="996"/>
    <w:rPr>
      <w:rFonts w:ascii="Times New Roman" w:hAnsi="Times New Roman" w:eastAsia="宋体" w:cs="Times New Roman"/>
      <w:sz w:val="18"/>
      <w:szCs w:val="18"/>
    </w:rPr>
  </w:style>
  <w:style w:type="paragraph" w:styleId="998">
    <w:name w:val="页眉1"/>
    <w:basedOn w:val="762"/>
    <w:next w:val="998"/>
    <w:link w:val="999"/>
    <w:pPr>
      <w:jc w:val="center"/>
      <w:tabs>
        <w:tab w:val="center" w:pos="4153" w:leader="none"/>
        <w:tab w:val="right" w:pos="8306" w:leader="none"/>
      </w:tabs>
      <w:pBdr>
        <w:bottom w:val="single" w:color="000000" w:sz="6" w:space="1"/>
      </w:pBdr>
    </w:pPr>
    <w:rPr>
      <w:sz w:val="18"/>
      <w:szCs w:val="18"/>
    </w:rPr>
  </w:style>
  <w:style w:type="character" w:styleId="999">
    <w:name w:val="页眉 Char"/>
    <w:next w:val="999"/>
    <w:link w:val="998"/>
    <w:rPr>
      <w:rFonts w:ascii="Times New Roman" w:hAnsi="Times New Roman" w:eastAsia="宋体" w:cs="Times New Roman"/>
      <w:sz w:val="18"/>
      <w:szCs w:val="18"/>
    </w:rPr>
  </w:style>
  <w:style w:type="paragraph" w:styleId="1000">
    <w:name w:val="目录 11"/>
    <w:basedOn w:val="762"/>
    <w:next w:val="762"/>
    <w:link w:val="762"/>
    <w:semiHidden/>
    <w:pPr>
      <w:jc w:val="left"/>
      <w:spacing w:before="120" w:after="120" w:line="400" w:lineRule="exact"/>
      <w:tabs>
        <w:tab w:val="right" w:pos="8720" w:leader="dot"/>
      </w:tabs>
    </w:pPr>
    <w:rPr>
      <w:rFonts w:ascii="宋体" w:hAnsi="宋体"/>
      <w:caps/>
      <w:sz w:val="24"/>
      <w:szCs w:val="24"/>
    </w:rPr>
  </w:style>
  <w:style w:type="paragraph" w:styleId="1001">
    <w:name w:val="目录 41"/>
    <w:basedOn w:val="762"/>
    <w:next w:val="762"/>
    <w:link w:val="762"/>
    <w:semiHidden/>
    <w:pPr>
      <w:ind w:left="630"/>
      <w:jc w:val="left"/>
    </w:pPr>
  </w:style>
  <w:style w:type="paragraph" w:styleId="1002">
    <w:name w:val="列表1"/>
    <w:basedOn w:val="762"/>
    <w:next w:val="1002"/>
    <w:link w:val="762"/>
    <w:pPr>
      <w:ind w:left="200" w:hanging="200"/>
    </w:pPr>
  </w:style>
  <w:style w:type="paragraph" w:styleId="1003">
    <w:name w:val="目录 61"/>
    <w:basedOn w:val="762"/>
    <w:next w:val="762"/>
    <w:link w:val="762"/>
    <w:semiHidden/>
    <w:pPr>
      <w:ind w:left="1050"/>
      <w:jc w:val="left"/>
    </w:pPr>
  </w:style>
  <w:style w:type="paragraph" w:styleId="1004">
    <w:name w:val="正文文本缩进 31"/>
    <w:basedOn w:val="762"/>
    <w:next w:val="1004"/>
    <w:link w:val="1005"/>
    <w:pPr>
      <w:ind w:left="645" w:firstLine="645"/>
    </w:pPr>
    <w:rPr>
      <w:rFonts w:ascii="Arial" w:hAnsi="Arial" w:eastAsia="仿宋_GB2312" w:cs="Arial"/>
      <w:color w:val="ffff00"/>
      <w:sz w:val="32"/>
      <w:szCs w:val="32"/>
    </w:rPr>
  </w:style>
  <w:style w:type="character" w:styleId="1005">
    <w:name w:val="正文文本缩进 3 Char"/>
    <w:next w:val="1005"/>
    <w:link w:val="1004"/>
    <w:rPr>
      <w:rFonts w:ascii="Arial" w:hAnsi="Arial" w:eastAsia="仿宋_GB2312" w:cs="Arial"/>
      <w:color w:val="ffff00"/>
      <w:sz w:val="32"/>
      <w:szCs w:val="32"/>
    </w:rPr>
  </w:style>
  <w:style w:type="paragraph" w:styleId="1006">
    <w:name w:val="图表目录1"/>
    <w:basedOn w:val="762"/>
    <w:next w:val="762"/>
    <w:link w:val="762"/>
    <w:semiHidden/>
    <w:pPr>
      <w:ind w:left="840" w:hanging="420"/>
    </w:pPr>
  </w:style>
  <w:style w:type="paragraph" w:styleId="1007">
    <w:name w:val="目录 21"/>
    <w:basedOn w:val="762"/>
    <w:next w:val="762"/>
    <w:link w:val="762"/>
    <w:semiHidden/>
    <w:pPr>
      <w:ind w:left="210"/>
      <w:jc w:val="left"/>
    </w:pPr>
    <w:rPr>
      <w:smallCaps/>
      <w:szCs w:val="24"/>
    </w:rPr>
  </w:style>
  <w:style w:type="paragraph" w:styleId="1008">
    <w:name w:val="目录 91"/>
    <w:basedOn w:val="762"/>
    <w:next w:val="762"/>
    <w:link w:val="762"/>
    <w:semiHidden/>
    <w:pPr>
      <w:ind w:left="1680"/>
      <w:jc w:val="left"/>
    </w:pPr>
  </w:style>
  <w:style w:type="paragraph" w:styleId="1009">
    <w:name w:val="正文文本 21"/>
    <w:basedOn w:val="762"/>
    <w:next w:val="1009"/>
    <w:link w:val="1010"/>
    <w:pPr>
      <w:jc w:val="center"/>
      <w:widowControl/>
    </w:pPr>
    <w:rPr>
      <w:rFonts w:ascii="楷体_GB2312" w:eastAsia="楷体_GB2312"/>
      <w:sz w:val="28"/>
      <w:szCs w:val="28"/>
    </w:rPr>
  </w:style>
  <w:style w:type="character" w:styleId="1010">
    <w:name w:val="正文文本 2 Char"/>
    <w:next w:val="1010"/>
    <w:link w:val="1009"/>
    <w:rPr>
      <w:rFonts w:ascii="楷体_GB2312" w:hAnsi="Times New Roman" w:eastAsia="楷体_GB2312" w:cs="Times New Roman"/>
      <w:sz w:val="28"/>
      <w:szCs w:val="28"/>
    </w:rPr>
  </w:style>
  <w:style w:type="paragraph" w:styleId="1011">
    <w:name w:val="普通(网站)1"/>
    <w:basedOn w:val="762"/>
    <w:next w:val="1011"/>
    <w:link w:val="762"/>
    <w:pPr>
      <w:jc w:val="left"/>
      <w:spacing w:before="100" w:beforeAutospacing="1" w:after="100" w:afterAutospacing="1"/>
      <w:widowControl/>
    </w:pPr>
    <w:rPr>
      <w:rFonts w:ascii="宋体" w:hAnsi="宋体" w:cs="宋体"/>
      <w:sz w:val="24"/>
      <w:szCs w:val="24"/>
    </w:rPr>
  </w:style>
  <w:style w:type="paragraph" w:styleId="1012">
    <w:name w:val="索引 11"/>
    <w:basedOn w:val="762"/>
    <w:next w:val="762"/>
    <w:link w:val="762"/>
    <w:semiHidden/>
    <w:pPr>
      <w:spacing w:line="240" w:lineRule="atLeast"/>
    </w:pPr>
    <w:rPr>
      <w:b/>
      <w:bCs/>
    </w:rPr>
  </w:style>
  <w:style w:type="paragraph" w:styleId="1013">
    <w:name w:val="批注主题1"/>
    <w:basedOn w:val="975"/>
    <w:next w:val="975"/>
    <w:link w:val="1014"/>
    <w:semiHidden/>
    <w:rPr>
      <w:b/>
      <w:bCs/>
    </w:rPr>
  </w:style>
  <w:style w:type="character" w:styleId="1014">
    <w:name w:val="批注主题 Char"/>
    <w:next w:val="1014"/>
    <w:link w:val="1013"/>
    <w:semiHidden/>
    <w:rPr>
      <w:rFonts w:ascii="Times New Roman" w:hAnsi="Times New Roman" w:eastAsia="宋体" w:cs="Times New Roman"/>
      <w:b/>
      <w:bCs/>
      <w:szCs w:val="21"/>
    </w:rPr>
  </w:style>
  <w:style w:type="paragraph" w:styleId="1015">
    <w:name w:val="正文首行缩进1"/>
    <w:basedOn w:val="762"/>
    <w:next w:val="1015"/>
    <w:link w:val="1016"/>
    <w:pPr>
      <w:ind w:firstLine="200"/>
      <w:spacing w:line="360" w:lineRule="auto"/>
    </w:pPr>
    <w:rPr>
      <w:rFonts w:ascii="仿宋_GB2312" w:eastAsia="仿宋_GB2312"/>
      <w:sz w:val="30"/>
      <w:szCs w:val="30"/>
    </w:rPr>
  </w:style>
  <w:style w:type="character" w:styleId="1016">
    <w:name w:val="正文首行缩进 Char"/>
    <w:next w:val="1016"/>
    <w:link w:val="1015"/>
    <w:rPr>
      <w:rFonts w:ascii="仿宋_GB2312" w:hAnsi="Times New Roman" w:eastAsia="仿宋_GB2312" w:cs="Times New Roman"/>
      <w:sz w:val="30"/>
      <w:szCs w:val="30"/>
    </w:rPr>
  </w:style>
  <w:style w:type="paragraph" w:styleId="1017">
    <w:name w:val="正文首行缩进 21"/>
    <w:basedOn w:val="981"/>
    <w:next w:val="1017"/>
    <w:link w:val="1018"/>
    <w:pPr>
      <w:ind w:firstLine="420"/>
      <w:spacing w:line="360" w:lineRule="auto"/>
    </w:pPr>
    <w:rPr>
      <w:rFonts w:ascii="宋体" w:hAnsi="宋体" w:eastAsia="宋体"/>
      <w:sz w:val="21"/>
      <w:szCs w:val="20"/>
    </w:rPr>
  </w:style>
  <w:style w:type="character" w:styleId="1018">
    <w:name w:val="正文首行缩进 2 Char"/>
    <w:next w:val="1018"/>
    <w:link w:val="1017"/>
    <w:rPr>
      <w:rFonts w:ascii="宋体" w:hAnsi="宋体" w:eastAsia="宋体" w:cs="Times New Roman"/>
      <w:sz w:val="32"/>
      <w:szCs w:val="20"/>
    </w:rPr>
  </w:style>
  <w:style w:type="table" w:styleId="1019">
    <w:name w:val="网格型1"/>
    <w:basedOn w:val="970"/>
    <w:next w:val="1019"/>
    <w:link w:val="762"/>
    <w:pPr>
      <w:jc w:val="both"/>
      <w:widowControl w:val="off"/>
    </w:pPr>
    <w:rPr>
      <w:rFonts w:ascii="Times New Roman" w:hAnsi="Times New Roman" w:eastAsia="宋体" w:cs="Times New Roman"/>
      <w:szCs w:val="20"/>
    </w:rPr>
    <w:tblPr/>
  </w:style>
  <w:style w:type="character" w:styleId="1020">
    <w:name w:val="要点1"/>
    <w:next w:val="1020"/>
    <w:link w:val="762"/>
    <w:rPr>
      <w:b/>
      <w:bCs/>
    </w:rPr>
  </w:style>
  <w:style w:type="character" w:styleId="1021">
    <w:name w:val="页码1"/>
    <w:next w:val="1021"/>
    <w:link w:val="762"/>
  </w:style>
  <w:style w:type="character" w:styleId="1022">
    <w:name w:val="已访问的超链接1"/>
    <w:next w:val="1022"/>
    <w:link w:val="762"/>
    <w:rPr>
      <w:color w:val="800080"/>
      <w:u w:val="single"/>
    </w:rPr>
  </w:style>
  <w:style w:type="character" w:styleId="1023">
    <w:name w:val="超链接1"/>
    <w:next w:val="1023"/>
    <w:link w:val="762"/>
    <w:rPr>
      <w:color w:val="0000ff"/>
      <w:u w:val="single"/>
    </w:rPr>
  </w:style>
  <w:style w:type="character" w:styleId="1024">
    <w:name w:val="批注引用1"/>
    <w:next w:val="1024"/>
    <w:link w:val="762"/>
    <w:semiHidden/>
    <w:rPr>
      <w:sz w:val="21"/>
      <w:szCs w:val="21"/>
    </w:rPr>
  </w:style>
  <w:style w:type="character" w:styleId="1025">
    <w:name w:val="font5 Char"/>
    <w:next w:val="1025"/>
    <w:link w:val="762"/>
    <w:rPr>
      <w:rFonts w:ascii="宋体" w:hAnsi="宋体" w:eastAsia="宋体"/>
      <w:sz w:val="28"/>
      <w:szCs w:val="28"/>
      <w:lang w:val="en-US" w:eastAsia="zh-CN" w:bidi="ar-SA"/>
    </w:rPr>
  </w:style>
  <w:style w:type="character" w:styleId="1026">
    <w:name w:val="二级目录 Char"/>
    <w:next w:val="1026"/>
    <w:link w:val="1027"/>
    <w:rPr>
      <w:b/>
      <w:sz w:val="30"/>
      <w:szCs w:val="28"/>
    </w:rPr>
  </w:style>
  <w:style w:type="paragraph" w:styleId="1027">
    <w:name w:val="二级目录"/>
    <w:next w:val="762"/>
    <w:link w:val="1026"/>
    <w:pPr>
      <w:ind w:left="907" w:hanging="907"/>
      <w:tabs>
        <w:tab w:val="left" w:pos="907" w:leader="none"/>
        <w:tab w:val="left" w:pos="1145" w:leader="none"/>
      </w:tabs>
      <w:outlineLvl w:val="1"/>
    </w:pPr>
    <w:rPr>
      <w:b/>
      <w:sz w:val="30"/>
      <w:szCs w:val="28"/>
      <w:lang w:val="en-US" w:eastAsia="zh-CN" w:bidi="ar-SA"/>
    </w:rPr>
  </w:style>
  <w:style w:type="character" w:styleId="1028">
    <w:name w:val="列出段落 Char,Bullet List Char,numbered Char,FooterText Char,List Paragraph1 Char,Paragraphe de liste1 Char"/>
    <w:next w:val="1028"/>
    <w:link w:val="1029"/>
    <w:rPr>
      <w:rFonts w:ascii="Calibri" w:hAnsi="Calibri"/>
      <w:sz w:val="24"/>
      <w:szCs w:val="24"/>
      <w:lang w:eastAsia="en-US" w:bidi="en-US"/>
    </w:rPr>
  </w:style>
  <w:style w:type="paragraph" w:styleId="1029">
    <w:name w:val="列出段落1"/>
    <w:basedOn w:val="762"/>
    <w:next w:val="1029"/>
    <w:link w:val="1028"/>
    <w:pPr>
      <w:contextualSpacing/>
      <w:ind w:left="720"/>
      <w:jc w:val="left"/>
      <w:widowControl/>
    </w:pPr>
    <w:rPr>
      <w:rFonts w:ascii="Calibri" w:hAnsi="Calibri" w:eastAsia="宋体" w:cs="Times New Roman"/>
      <w:sz w:val="24"/>
      <w:szCs w:val="24"/>
      <w:lang w:eastAsia="en-US" w:bidi="en-US"/>
    </w:rPr>
  </w:style>
  <w:style w:type="paragraph" w:styleId="1030">
    <w:name w:val="Body Text(ch)"/>
    <w:basedOn w:val="762"/>
    <w:next w:val="979"/>
    <w:link w:val="762"/>
    <w:pPr>
      <w:spacing w:after="120"/>
    </w:pPr>
    <w:rPr>
      <w:rFonts w:ascii="宋体" w:hAnsi="Arial"/>
      <w:bCs/>
      <w:iCs/>
      <w:szCs w:val="24"/>
    </w:rPr>
  </w:style>
  <w:style w:type="paragraph" w:styleId="1031">
    <w:name w:val="xl27"/>
    <w:basedOn w:val="762"/>
    <w:next w:val="1031"/>
    <w:link w:val="7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name w:val="xl26"/>
    <w:basedOn w:val="762"/>
    <w:next w:val="1032"/>
    <w:link w:val="7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3">
    <w:name w:val="Char"/>
    <w:basedOn w:val="762"/>
    <w:next w:val="1033"/>
    <w:link w:val="762"/>
    <w:pPr>
      <w:ind w:firstLine="200"/>
      <w:tabs>
        <w:tab w:val="left" w:pos="360" w:leader="none"/>
      </w:tabs>
    </w:pPr>
    <w:rPr>
      <w:sz w:val="28"/>
      <w:szCs w:val="30"/>
    </w:rPr>
  </w:style>
  <w:style w:type="paragraph" w:styleId="1034">
    <w:name w:val="Char1"/>
    <w:basedOn w:val="973"/>
    <w:next w:val="1034"/>
    <w:link w:val="762"/>
    <w:rPr>
      <w:rFonts w:ascii="Tahoma" w:hAnsi="Tahoma"/>
      <w:sz w:val="24"/>
      <w:szCs w:val="24"/>
    </w:rPr>
  </w:style>
  <w:style w:type="paragraph" w:styleId="1035">
    <w:name w:val="普通正文"/>
    <w:basedOn w:val="762"/>
    <w:next w:val="1035"/>
    <w:link w:val="762"/>
    <w:pPr>
      <w:ind w:firstLine="480"/>
      <w:jc w:val="left"/>
      <w:spacing w:before="120" w:after="120" w:line="360" w:lineRule="auto"/>
    </w:pPr>
    <w:rPr>
      <w:rFonts w:ascii="Arial" w:hAnsi="Arial"/>
      <w:sz w:val="24"/>
      <w:szCs w:val="24"/>
    </w:rPr>
  </w:style>
  <w:style w:type="paragraph" w:styleId="1036">
    <w:name w:val="table_lines"/>
    <w:basedOn w:val="762"/>
    <w:next w:val="1036"/>
    <w:link w:val="762"/>
    <w:pPr>
      <w:jc w:val="left"/>
      <w:widowControl/>
    </w:pPr>
    <w:rPr>
      <w:sz w:val="20"/>
      <w:szCs w:val="20"/>
    </w:rPr>
  </w:style>
  <w:style w:type="paragraph" w:styleId="1037">
    <w:name w:val="附录1"/>
    <w:next w:val="1037"/>
    <w:link w:val="76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8">
    <w:name w:val="font7"/>
    <w:basedOn w:val="762"/>
    <w:next w:val="1038"/>
    <w:link w:val="762"/>
    <w:pPr>
      <w:jc w:val="left"/>
      <w:spacing w:before="100" w:beforeAutospacing="1" w:after="100" w:afterAutospacing="1"/>
      <w:widowControl/>
    </w:pPr>
    <w:rPr>
      <w:rFonts w:hint="eastAsia" w:ascii="宋体" w:hAnsi="宋体"/>
      <w:sz w:val="18"/>
      <w:szCs w:val="18"/>
    </w:rPr>
  </w:style>
  <w:style w:type="paragraph" w:styleId="1039">
    <w:name w:val="Char Char Char Char"/>
    <w:basedOn w:val="973"/>
    <w:next w:val="1039"/>
    <w:link w:val="762"/>
    <w:pPr>
      <w:spacing w:line="360" w:lineRule="auto"/>
    </w:pPr>
    <w:rPr>
      <w:rFonts w:ascii="Tahoma" w:hAnsi="Tahoma"/>
      <w:sz w:val="24"/>
      <w:szCs w:val="24"/>
    </w:rPr>
  </w:style>
  <w:style w:type="paragraph" w:styleId="1040">
    <w:name w:val="4"/>
    <w:basedOn w:val="762"/>
    <w:next w:val="1004"/>
    <w:link w:val="762"/>
    <w:pPr>
      <w:ind w:firstLine="420"/>
      <w:spacing w:line="360" w:lineRule="auto"/>
    </w:pPr>
    <w:rPr>
      <w:color w:val="ff0000"/>
      <w:sz w:val="24"/>
      <w:szCs w:val="24"/>
    </w:rPr>
  </w:style>
  <w:style w:type="paragraph" w:styleId="1041">
    <w:name w:val="普通 (Web)"/>
    <w:basedOn w:val="762"/>
    <w:next w:val="1041"/>
    <w:link w:val="762"/>
    <w:pPr>
      <w:jc w:val="left"/>
      <w:spacing w:before="100" w:beforeAutospacing="1" w:after="100" w:afterAutospacing="1"/>
      <w:widowControl/>
    </w:pPr>
    <w:rPr>
      <w:rFonts w:ascii="宋体" w:hAnsi="宋体"/>
      <w:sz w:val="24"/>
      <w:szCs w:val="24"/>
    </w:rPr>
  </w:style>
  <w:style w:type="paragraph" w:styleId="1042">
    <w:name w:val="Char Char Char Char Char Char Char Char Char Char"/>
    <w:basedOn w:val="762"/>
    <w:next w:val="1042"/>
    <w:link w:val="762"/>
    <w:pPr>
      <w:spacing w:line="360" w:lineRule="auto"/>
    </w:pPr>
    <w:rPr>
      <w:sz w:val="24"/>
      <w:szCs w:val="20"/>
    </w:rPr>
  </w:style>
  <w:style w:type="paragraph" w:styleId="1043">
    <w:name w:val="样式1"/>
    <w:basedOn w:val="762"/>
    <w:next w:val="1043"/>
    <w:link w:val="762"/>
    <w:pPr>
      <w:numPr>
        <w:ilvl w:val="0"/>
        <w:numId w:val="3"/>
      </w:numPr>
      <w:tabs>
        <w:tab w:val="left" w:pos="709" w:leader="none"/>
      </w:tabs>
    </w:pPr>
    <w:rPr>
      <w:rFonts w:ascii="宋体" w:hAnsi="宋体"/>
    </w:rPr>
  </w:style>
  <w:style w:type="paragraph" w:styleId="1044">
    <w:name w:val="font6"/>
    <w:basedOn w:val="762"/>
    <w:next w:val="1044"/>
    <w:link w:val="762"/>
    <w:pPr>
      <w:jc w:val="left"/>
      <w:spacing w:before="100" w:beforeAutospacing="1" w:after="100" w:afterAutospacing="1"/>
      <w:widowControl/>
    </w:pPr>
    <w:rPr>
      <w:rFonts w:hint="eastAsia" w:ascii="宋体" w:hAnsi="宋体"/>
      <w:sz w:val="28"/>
      <w:szCs w:val="28"/>
      <w:u w:val="single"/>
    </w:rPr>
  </w:style>
  <w:style w:type="paragraph" w:styleId="1045">
    <w:name w:val="xl25"/>
    <w:basedOn w:val="762"/>
    <w:next w:val="1045"/>
    <w:link w:val="76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6">
    <w:name w:val="图标"/>
    <w:basedOn w:val="762"/>
    <w:next w:val="762"/>
    <w:link w:val="76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7">
    <w:name w:val="标题3"/>
    <w:basedOn w:val="762"/>
    <w:next w:val="762"/>
    <w:link w:val="762"/>
    <w:pPr>
      <w:ind w:firstLine="624"/>
      <w:spacing w:line="590" w:lineRule="atLeast"/>
    </w:pPr>
    <w:rPr>
      <w:rFonts w:ascii="方正黑体_GBK" w:eastAsia="方正黑体_GBK"/>
      <w:sz w:val="32"/>
      <w:szCs w:val="32"/>
    </w:rPr>
  </w:style>
  <w:style w:type="paragraph" w:styleId="1048">
    <w:name w:val="xl24"/>
    <w:basedOn w:val="762"/>
    <w:next w:val="1048"/>
    <w:link w:val="7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9">
    <w:name w:val="xl29"/>
    <w:basedOn w:val="762"/>
    <w:next w:val="1049"/>
    <w:link w:val="76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0">
    <w:name w:val="Char Char Char Char Char Char Char Char"/>
    <w:basedOn w:val="762"/>
    <w:next w:val="1050"/>
    <w:link w:val="762"/>
    <w:pPr>
      <w:jc w:val="left"/>
      <w:spacing w:after="160" w:line="240" w:lineRule="exact"/>
      <w:widowControl/>
    </w:pPr>
    <w:rPr>
      <w:rFonts w:ascii="Verdana" w:hAnsi="Verdana"/>
      <w:sz w:val="20"/>
      <w:szCs w:val="20"/>
      <w:lang w:eastAsia="en-US"/>
    </w:rPr>
  </w:style>
  <w:style w:type="paragraph" w:styleId="1051">
    <w:name w:val="xl28"/>
    <w:basedOn w:val="762"/>
    <w:next w:val="1051"/>
    <w:link w:val="7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2">
    <w:name w:val="Char Char Char Char Char Char Char Char1"/>
    <w:basedOn w:val="762"/>
    <w:next w:val="1052"/>
    <w:link w:val="762"/>
    <w:pPr>
      <w:jc w:val="left"/>
      <w:spacing w:after="160" w:line="240" w:lineRule="exact"/>
      <w:widowControl/>
    </w:pPr>
    <w:rPr>
      <w:rFonts w:ascii="Verdana" w:hAnsi="Verdana"/>
      <w:sz w:val="20"/>
      <w:szCs w:val="20"/>
      <w:lang w:eastAsia="en-US"/>
    </w:rPr>
  </w:style>
  <w:style w:type="paragraph" w:styleId="1053">
    <w:name w:val="xl30"/>
    <w:basedOn w:val="762"/>
    <w:next w:val="1053"/>
    <w:link w:val="762"/>
    <w:pPr>
      <w:jc w:val="center"/>
      <w:spacing w:before="100" w:beforeAutospacing="1" w:after="100" w:afterAutospacing="1"/>
      <w:widowControl/>
    </w:pPr>
    <w:rPr>
      <w:rFonts w:ascii="宋体" w:hAnsi="宋体"/>
      <w:b/>
      <w:bCs/>
      <w:sz w:val="36"/>
      <w:szCs w:val="36"/>
    </w:rPr>
  </w:style>
  <w:style w:type="paragraph" w:styleId="1054">
    <w:name w:val="Char Char Char Char1"/>
    <w:basedOn w:val="973"/>
    <w:next w:val="1054"/>
    <w:link w:val="762"/>
    <w:pPr>
      <w:spacing w:line="360" w:lineRule="auto"/>
    </w:pPr>
    <w:rPr>
      <w:rFonts w:ascii="Tahoma" w:hAnsi="Tahoma"/>
      <w:sz w:val="24"/>
      <w:szCs w:val="24"/>
    </w:rPr>
  </w:style>
  <w:style w:type="paragraph" w:styleId="1055">
    <w:name w:val="table_1stline"/>
    <w:basedOn w:val="762"/>
    <w:next w:val="1055"/>
    <w:link w:val="762"/>
    <w:pPr>
      <w:jc w:val="left"/>
      <w:spacing w:before="120"/>
      <w:widowControl/>
    </w:pPr>
    <w:rPr>
      <w:bCs/>
      <w:sz w:val="20"/>
      <w:szCs w:val="20"/>
    </w:rPr>
  </w:style>
  <w:style w:type="paragraph" w:styleId="1056">
    <w:name w:val="font5"/>
    <w:basedOn w:val="762"/>
    <w:next w:val="1056"/>
    <w:link w:val="762"/>
    <w:pPr>
      <w:jc w:val="left"/>
      <w:spacing w:before="100" w:beforeAutospacing="1" w:after="100" w:afterAutospacing="1"/>
      <w:widowControl/>
    </w:pPr>
    <w:rPr>
      <w:rFonts w:hint="eastAsia" w:ascii="宋体" w:hAnsi="宋体"/>
      <w:sz w:val="28"/>
      <w:szCs w:val="28"/>
    </w:rPr>
  </w:style>
  <w:style w:type="paragraph" w:styleId="1057">
    <w:name w:val="标题1"/>
    <w:basedOn w:val="762"/>
    <w:next w:val="762"/>
    <w:link w:val="762"/>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8">
    <w:name w:val="修订"/>
    <w:next w:val="1058"/>
    <w:link w:val="762"/>
    <w:semiHidden/>
    <w:rPr>
      <w:rFonts w:ascii="Times New Roman" w:hAnsi="Times New Roman"/>
      <w:sz w:val="21"/>
      <w:szCs w:val="21"/>
      <w:lang w:val="en-US" w:eastAsia="zh-CN" w:bidi="ar-SA"/>
    </w:rPr>
  </w:style>
  <w:style w:type="paragraph" w:styleId="1059">
    <w:name w:val="正文首行缩进 211"/>
    <w:next w:val="762"/>
    <w:link w:val="762"/>
    <w:qFormat/>
    <w:pPr>
      <w:ind w:left="420" w:firstLine="420"/>
      <w:jc w:val="both"/>
      <w:spacing w:after="120" w:line="360" w:lineRule="auto"/>
      <w:widowControl w:val="off"/>
    </w:pPr>
    <w:rPr>
      <w:rFonts w:ascii="宋体" w:hAnsi="宋体" w:eastAsia="宋体" w:cs="Times New Roman"/>
      <w:sz w:val="21"/>
      <w:szCs w:val="20"/>
      <w:lang w:val="en-US" w:eastAsia="zh-CN" w:bidi="ar-SA"/>
    </w:rPr>
  </w:style>
  <w:style w:type="character" w:styleId="1060" w:default="1">
    <w:name w:val="Default Paragraph Font"/>
    <w:uiPriority w:val="1"/>
    <w:semiHidden/>
    <w:unhideWhenUsed/>
  </w:style>
  <w:style w:type="numbering" w:styleId="1061" w:default="1">
    <w:name w:val="No List"/>
    <w:uiPriority w:val="99"/>
    <w:semiHidden/>
    <w:unhideWhenUsed/>
  </w:style>
  <w:style w:type="table" w:styleId="10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李诚</cp:lastModifiedBy>
  <cp:revision>5</cp:revision>
  <dcterms:created xsi:type="dcterms:W3CDTF">2026-05-27T09:15:00Z</dcterms:created>
  <dcterms:modified xsi:type="dcterms:W3CDTF">2026-05-28T08:39:23Z</dcterms:modified>
</cp:coreProperties>
</file>