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全自动染色体扫描仪及分析系统</w:t>
      </w:r>
      <w:r>
        <w:rPr>
          <w:rFonts w:hint="eastAsia" w:ascii="宋体" w:hAnsi="宋体"/>
          <w:bCs/>
          <w:color w:val="000000"/>
          <w:sz w:val="36"/>
          <w:szCs w:val="36"/>
          <w:highlight w:val="none"/>
        </w:rPr>
        <w:t xml:space="preserve">采购</w:t>
      </w:r>
      <w:r>
        <w:rPr>
          <w:rFonts w:hint="eastAsia" w:ascii="宋体" w:hAnsi="宋体"/>
          <w:bCs/>
          <w:color w:val="000000"/>
          <w:sz w:val="36"/>
          <w:szCs w:val="36"/>
          <w:highlight w:val="none"/>
          <w:lang w:val="en-US" w:eastAsia="zh-CN"/>
        </w:rPr>
        <w:t xml:space="preserve">项目</w:t>
      </w:r>
      <w:r>
        <w:rPr>
          <w:rFonts w:hint="eastAsia" w:ascii="宋体" w:hAnsi="宋体" w:eastAsia="宋体"/>
          <w:bCs/>
          <w:color w:val="000000"/>
          <w:sz w:val="36"/>
          <w:szCs w:val="36"/>
          <w:highlight w:val="none"/>
          <w:lang w:val="en-US" w:eastAsia="zh-CN"/>
        </w:rPr>
      </w:r>
      <w:r/>
    </w:p>
    <w:p>
      <w:pPr>
        <w:pStyle w:val="107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JSZC-320400-CTZB-G2026-0061</w:t>
      </w:r>
      <w:r>
        <w:rPr>
          <w:rFonts w:ascii="宋体" w:hAnsi="宋体"/>
          <w:bCs/>
          <w:color w:val="000000"/>
          <w:sz w:val="36"/>
          <w:szCs w:val="36"/>
          <w:highlight w:val="none"/>
        </w:rPr>
      </w:r>
      <w:r/>
    </w:p>
    <w:p>
      <w:pPr>
        <w:pStyle w:val="107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常州市妇幼保健院</w:t>
      </w:r>
      <w:r>
        <w:rPr>
          <w:rFonts w:ascii="宋体" w:hAnsi="宋体"/>
          <w:bCs/>
          <w:color w:val="000000"/>
          <w:sz w:val="36"/>
          <w:szCs w:val="36"/>
          <w:highlight w:val="none"/>
        </w:rPr>
      </w:r>
      <w:r/>
    </w:p>
    <w:p>
      <w:pPr>
        <w:pStyle w:val="107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3"/>
      <w:r/>
      <w:bookmarkStart w:id="3" w:name="_Hlt100754102"/>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全自动染色体扫描仪及分析系统</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06</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lang w:val="en-US" w:eastAsia="zh-CN"/>
        </w:rPr>
        <w:t xml:space="preserve">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rPr>
        <w:t xml:space="preserve">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35393621"/>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JSZC-320400-CTZB-G2026-0061</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全自动染色体扫描仪及分析系统</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130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85</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全自动染色体扫描仪及分析系统</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val="en-US" w:eastAsia="zh-CN"/>
              </w:rPr>
              <w:t xml:space="preserve">130</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28359080"/>
      <w:r/>
      <w:bookmarkStart w:id="11" w:name="_Toc28359003"/>
      <w:r/>
      <w:bookmarkStart w:id="12" w:name="_Toc35393622"/>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3.3其他特定资格要求：</w:t>
      </w:r>
      <w:r>
        <w:rPr>
          <w:rFonts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bookmarkEnd w:id="14"/>
      <w:r/>
      <w:bookmarkEnd w:id="15"/>
      <w:r/>
      <w:bookmarkStart w:id="16" w:name="_Toc35393792"/>
      <w:r/>
      <w:bookmarkStart w:id="17" w:name="_Toc35393623"/>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②供应商为所投产品经销商：具有有效期内的第二类医疗器械经营备案凭证；</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（2）提供所投产品的有效医疗器械注册证。</w:t>
      </w:r>
      <w:r>
        <w:rPr>
          <w:rFonts w:hint="eastAsia" w:ascii="仿宋" w:hAnsi="仿宋" w:eastAsia="仿宋"/>
          <w:b/>
          <w:bCs/>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06</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lang w:val="en-US" w:eastAsia="zh-CN"/>
        </w:rPr>
        <w:t xml:space="preserve">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rPr>
        <w:t xml:space="preserve">0分（北京时间）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85"/>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称：常州市妇幼保健院</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址：常州市钟楼区丁香路16号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联系方式：张女士 </w:t>
      </w:r>
      <w:r>
        <w:rPr>
          <w:rFonts w:hint="eastAsia" w:ascii="仿宋" w:hAnsi="仿宋" w:eastAsia="仿宋"/>
          <w:color w:val="000000"/>
          <w:sz w:val="32"/>
          <w:szCs w:val="32"/>
          <w:highlight w:val="none"/>
          <w:lang w:val="en-US" w:eastAsia="zh-CN"/>
        </w:rPr>
        <w:t xml:space="preserve">0519-</w:t>
      </w:r>
      <w:r>
        <w:rPr>
          <w:rFonts w:hint="eastAsia" w:ascii="仿宋" w:hAnsi="仿宋" w:eastAsia="仿宋"/>
          <w:color w:val="000000"/>
          <w:sz w:val="32"/>
          <w:szCs w:val="32"/>
          <w:highlight w:val="none"/>
        </w:rPr>
        <w:t xml:space="preserve">88581862</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81580192（转分机号6034）</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26965856"/>
      <w:r/>
      <w:bookmarkStart w:id="37" w:name="_Toc305158854"/>
      <w:r/>
      <w:bookmarkStart w:id="38" w:name="_Toc195842950"/>
      <w:r/>
      <w:bookmarkStart w:id="39" w:name="_Toc353873938"/>
      <w:r/>
      <w:bookmarkStart w:id="40" w:name="_Toc150774783"/>
      <w:r/>
      <w:bookmarkStart w:id="41" w:name="_Toc265228423"/>
      <w:r/>
      <w:bookmarkStart w:id="42" w:name="_Toc127161488"/>
      <w:r/>
      <w:bookmarkStart w:id="43" w:name="_Toc99301420"/>
      <w:r/>
      <w:bookmarkStart w:id="44" w:name="_Toc127151777"/>
      <w:r/>
      <w:bookmarkStart w:id="45" w:name="_Toc264969275"/>
      <w:r/>
      <w:bookmarkStart w:id="46" w:name="_Toc305158928"/>
      <w:r/>
      <w:bookmarkStart w:id="47" w:name="_Toc512937850"/>
      <w:r/>
      <w:bookmarkStart w:id="48" w:name="_Toc35382554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64229214"/>
      <w:r/>
      <w:bookmarkStart w:id="50" w:name="_Toc151193907"/>
      <w:r/>
      <w:bookmarkStart w:id="51" w:name="_Toc164351613"/>
      <w:r/>
      <w:bookmarkStart w:id="52" w:name="_Toc142311021"/>
      <w:r/>
      <w:bookmarkStart w:id="53" w:name="_Toc226337215"/>
      <w:r/>
      <w:bookmarkStart w:id="54" w:name="_Toc151193833"/>
      <w:r/>
      <w:bookmarkStart w:id="55" w:name="_Toc150774724"/>
      <w:r/>
      <w:bookmarkStart w:id="56" w:name="_Toc164608788"/>
      <w:r/>
      <w:bookmarkStart w:id="57" w:name="_Toc127161433"/>
      <w:r/>
      <w:bookmarkStart w:id="58" w:name="_Toc226965792"/>
      <w:r/>
      <w:bookmarkStart w:id="59" w:name="_Toc150509270"/>
      <w:r/>
      <w:bookmarkStart w:id="60" w:name="_Toc151190146"/>
      <w:r/>
      <w:bookmarkStart w:id="61" w:name="_Toc520356144"/>
      <w:r/>
      <w:bookmarkStart w:id="62" w:name="_Toc150480757"/>
      <w:r/>
      <w:bookmarkStart w:id="63" w:name="_Toc195842884"/>
      <w:r/>
      <w:bookmarkStart w:id="64" w:name="_Toc151193689"/>
      <w:r/>
      <w:bookmarkStart w:id="65" w:name="_Toc164608633"/>
      <w:r/>
      <w:bookmarkStart w:id="66" w:name="_Toc226965709"/>
      <w:r/>
      <w:bookmarkStart w:id="67" w:name="_Toc127151720"/>
      <w:r/>
      <w:bookmarkStart w:id="68" w:name="_Toc150774619"/>
      <w:r/>
      <w:bookmarkStart w:id="69" w:name="_Toc164229360"/>
      <w:r/>
      <w:bookmarkStart w:id="70" w:name="_Toc151193617"/>
      <w:r/>
      <w:bookmarkStart w:id="71" w:name="_Toc127151519"/>
      <w:r/>
      <w:bookmarkStart w:id="72" w:name="_Toc226309763"/>
      <w:r/>
      <w:bookmarkStart w:id="73" w:name="_Toc149720812"/>
      <w:r/>
      <w:bookmarkStart w:id="74" w:name="_Toc151193761"/>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2"/>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中标人收取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264969207"/>
      <w:r/>
      <w:bookmarkStart w:id="76" w:name="_Toc142311019"/>
      <w:r/>
      <w:bookmarkStart w:id="77" w:name="_Toc265228355"/>
      <w:r/>
      <w:bookmarkStart w:id="78" w:name="_Toc353825542"/>
      <w:r/>
      <w:bookmarkStart w:id="79" w:name="_Toc353873662"/>
      <w:r/>
      <w:bookmarkStart w:id="80" w:name="_Toc150774722"/>
      <w:r/>
      <w:bookmarkStart w:id="81" w:name="_Toc305158859"/>
      <w:r/>
      <w:bookmarkStart w:id="82" w:name="_Toc226965790"/>
      <w:r/>
      <w:bookmarkStart w:id="83" w:name="_Toc226337213"/>
      <w:r/>
      <w:bookmarkStart w:id="84" w:name="_Toc353873932"/>
      <w:r/>
      <w:bookmarkStart w:id="85" w:name="_Toc195842882"/>
      <w:r/>
      <w:bookmarkStart w:id="86" w:name="_Toc127151517"/>
      <w:r/>
      <w:bookmarkStart w:id="87" w:name="_Toc150480755"/>
      <w:r/>
      <w:bookmarkStart w:id="88" w:name="_Toc305158785"/>
      <w:r/>
      <w:bookmarkStart w:id="89" w:name="_Toc226965828"/>
      <w:r/>
      <w:bookmarkStart w:id="90" w:name="_Toc226337251"/>
      <w:r/>
      <w:bookmarkStart w:id="91" w:name="_Toc142311057"/>
      <w:r/>
      <w:bookmarkStart w:id="92" w:name="_Toc305158823"/>
      <w:r/>
      <w:bookmarkStart w:id="93" w:name="_Toc150480793"/>
      <w:r/>
      <w:bookmarkStart w:id="94" w:name="_Toc353873935"/>
      <w:r/>
      <w:bookmarkStart w:id="95" w:name="_Toc150774760"/>
      <w:r/>
      <w:bookmarkStart w:id="96" w:name="_Toc353825545"/>
      <w:r/>
      <w:bookmarkStart w:id="97" w:name="_Toc353873665"/>
      <w:r/>
      <w:bookmarkStart w:id="98" w:name="_Toc195842920"/>
      <w:r/>
      <w:bookmarkStart w:id="99" w:name="_Toc265228393"/>
      <w:r/>
      <w:bookmarkStart w:id="100" w:name="_Toc305158897"/>
      <w:r/>
      <w:bookmarkStart w:id="101" w:name="_Toc127151555"/>
      <w:r/>
      <w:bookmarkStart w:id="102" w:name="_Toc26496924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3" w:name="_Toc127151518"/>
      <w:r/>
      <w:bookmarkStart w:id="104" w:name="_Toc520356143"/>
      <w:r>
        <w:rPr>
          <w:rFonts w:hint="eastAsia" w:ascii="宋体" w:hAnsi="宋体" w:eastAsia="宋体" w:cs="宋体"/>
          <w:color w:val="000000"/>
          <w:sz w:val="28"/>
          <w:highlight w:val="none"/>
        </w:rPr>
        <w:tab/>
      </w:r>
      <w:bookmarkStart w:id="105" w:name="_Toc151193760"/>
      <w:r/>
      <w:bookmarkStart w:id="106" w:name="_Toc151193906"/>
      <w:r/>
      <w:bookmarkStart w:id="107" w:name="_Toc151193616"/>
      <w:r/>
      <w:bookmarkStart w:id="108" w:name="_Toc150774618"/>
      <w:r/>
      <w:bookmarkStart w:id="109" w:name="_Toc151190145"/>
      <w:r/>
      <w:bookmarkStart w:id="110" w:name="_Toc150774723"/>
      <w:r/>
      <w:bookmarkStart w:id="111" w:name="_Toc150509269"/>
      <w:r/>
      <w:bookmarkStart w:id="112" w:name="_Toc142311020"/>
      <w:r/>
      <w:bookmarkStart w:id="113" w:name="_Toc151193688"/>
      <w:r/>
      <w:bookmarkStart w:id="114" w:name="_Toc195842883"/>
      <w:r/>
      <w:bookmarkStart w:id="115" w:name="_Toc265228356"/>
      <w:r/>
      <w:bookmarkStart w:id="116" w:name="_Toc305158860"/>
      <w:r/>
      <w:bookmarkStart w:id="117" w:name="_Toc305158786"/>
      <w:r/>
      <w:bookmarkStart w:id="118" w:name="_Toc226309762"/>
      <w:r/>
      <w:bookmarkStart w:id="119" w:name="_Toc226337214"/>
      <w:r/>
      <w:bookmarkStart w:id="120" w:name="_Toc264969208"/>
      <w:r/>
      <w:bookmarkStart w:id="121" w:name="_Toc151193832"/>
      <w:r/>
      <w:bookmarkStart w:id="122" w:name="_Toc226965791"/>
      <w:r/>
      <w:bookmarkStart w:id="123" w:name="_Toc150480756"/>
      <w:r/>
      <w:bookmarkStart w:id="124" w:name="_Toc226965708"/>
      <w:r>
        <w:rPr>
          <w:rFonts w:hint="eastAsia" w:ascii="宋体" w:hAnsi="宋体" w:eastAsia="宋体" w:cs="宋体"/>
          <w:color w:val="000000"/>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5" w:name="_Toc305158787"/>
      <w:r/>
      <w:bookmarkStart w:id="126" w:name="_Toc305158861"/>
      <w:r/>
      <w:bookmarkStart w:id="127" w:name="_Toc265228357"/>
      <w:r/>
      <w:bookmarkStart w:id="128" w:name="_Toc264969209"/>
      <w:r>
        <w:rPr>
          <w:rFonts w:hint="eastAsia" w:ascii="宋体" w:hAnsi="宋体" w:cs="宋体"/>
          <w:b/>
          <w:color w:val="000000"/>
          <w:sz w:val="24"/>
          <w:highlight w:val="none"/>
        </w:rPr>
        <w:t xml:space="preserve">采购人、采购代理机构、投标人</w:t>
      </w:r>
      <w:bookmarkEnd w:id="125"/>
      <w:r/>
      <w:bookmarkEnd w:id="126"/>
      <w:r/>
      <w:bookmarkEnd w:id="127"/>
      <w:r/>
      <w:bookmarkEnd w:id="12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9" w:name="_Toc150480758"/>
      <w:r/>
      <w:bookmarkStart w:id="130" w:name="_Toc226965793"/>
      <w:r/>
      <w:bookmarkStart w:id="131" w:name="_Toc151193690"/>
      <w:r/>
      <w:bookmarkStart w:id="132" w:name="_Toc164608789"/>
      <w:r/>
      <w:bookmarkStart w:id="133" w:name="_Toc151193762"/>
      <w:r/>
      <w:bookmarkStart w:id="134" w:name="_Toc151193618"/>
      <w:r/>
      <w:bookmarkStart w:id="135" w:name="_Toc151193834"/>
      <w:r/>
      <w:bookmarkStart w:id="136" w:name="_Toc150774620"/>
      <w:r/>
      <w:bookmarkStart w:id="137" w:name="_Toc226309764"/>
      <w:r/>
      <w:bookmarkStart w:id="138" w:name="_Toc151193908"/>
      <w:r/>
      <w:bookmarkStart w:id="139" w:name="_Toc164351614"/>
      <w:r/>
      <w:bookmarkStart w:id="140" w:name="_Toc226337216"/>
      <w:r/>
      <w:bookmarkStart w:id="141" w:name="_Toc195842885"/>
      <w:r/>
      <w:bookmarkStart w:id="142" w:name="_Toc127151721"/>
      <w:r/>
      <w:bookmarkStart w:id="143" w:name="_Toc226965710"/>
      <w:r/>
      <w:bookmarkStart w:id="144" w:name="_Toc151190147"/>
      <w:r/>
      <w:bookmarkStart w:id="145" w:name="_Toc150774725"/>
      <w:r/>
      <w:bookmarkStart w:id="146" w:name="_Toc150509271"/>
      <w:r/>
      <w:bookmarkStart w:id="147" w:name="_Toc149720813"/>
      <w:r/>
      <w:bookmarkStart w:id="148" w:name="_Toc265228358"/>
      <w:r/>
      <w:bookmarkStart w:id="149" w:name="_Toc127161434"/>
      <w:r/>
      <w:bookmarkStart w:id="150" w:name="_Toc127151520"/>
      <w:r/>
      <w:bookmarkStart w:id="151" w:name="_Toc142311022"/>
      <w:r/>
      <w:bookmarkStart w:id="152" w:name="_Toc305158788"/>
      <w:r/>
      <w:bookmarkStart w:id="153" w:name="_Toc164608634"/>
      <w:r/>
      <w:bookmarkStart w:id="154" w:name="_Toc164229215"/>
      <w:r/>
      <w:bookmarkStart w:id="155" w:name="_Toc164229361"/>
      <w:r/>
      <w:bookmarkStart w:id="156" w:name="_Toc305158862"/>
      <w:r/>
      <w:bookmarkStart w:id="157" w:name="_Toc264969210"/>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150480760"/>
      <w:r/>
      <w:bookmarkStart w:id="159" w:name="_Toc226965712"/>
      <w:r/>
      <w:bookmarkStart w:id="160" w:name="_Toc127151522"/>
      <w:r/>
      <w:bookmarkStart w:id="161" w:name="_Toc195842887"/>
      <w:r/>
      <w:bookmarkStart w:id="162" w:name="_Toc150774622"/>
      <w:r/>
      <w:bookmarkStart w:id="163" w:name="_Toc226965795"/>
      <w:r/>
      <w:bookmarkStart w:id="164" w:name="_Toc151190149"/>
      <w:r/>
      <w:bookmarkStart w:id="165" w:name="_Toc305158864"/>
      <w:r/>
      <w:bookmarkStart w:id="166" w:name="_Toc150774727"/>
      <w:r/>
      <w:bookmarkStart w:id="167" w:name="_Toc150509273"/>
      <w:r/>
      <w:bookmarkStart w:id="168" w:name="_Toc226337218"/>
      <w:r/>
      <w:bookmarkStart w:id="169" w:name="_Toc265228360"/>
      <w:r/>
      <w:bookmarkStart w:id="170" w:name="_Toc520356146"/>
      <w:r/>
      <w:bookmarkStart w:id="171" w:name="_Toc142311024"/>
      <w:r/>
      <w:bookmarkStart w:id="172" w:name="_Toc151193764"/>
      <w:r/>
      <w:bookmarkStart w:id="173" w:name="_Toc151193620"/>
      <w:r/>
      <w:bookmarkStart w:id="174" w:name="_Toc151193692"/>
      <w:r/>
      <w:bookmarkStart w:id="175" w:name="_Toc264969212"/>
      <w:r/>
      <w:bookmarkStart w:id="176" w:name="_Toc151193836"/>
      <w:r/>
      <w:bookmarkStart w:id="177" w:name="_Toc226309766"/>
      <w:r/>
      <w:bookmarkStart w:id="178" w:name="_Toc151193910"/>
      <w:r/>
      <w:bookmarkStart w:id="179" w:name="_Toc305158790"/>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305158791"/>
      <w:r/>
      <w:bookmarkStart w:id="182" w:name="_Toc164229218"/>
      <w:r/>
      <w:bookmarkStart w:id="183" w:name="_Toc164351617"/>
      <w:r/>
      <w:bookmarkStart w:id="184" w:name="_Toc151193911"/>
      <w:r/>
      <w:bookmarkStart w:id="185" w:name="_Toc305158865"/>
      <w:r/>
      <w:bookmarkStart w:id="186" w:name="_Toc226965796"/>
      <w:r/>
      <w:bookmarkStart w:id="187" w:name="_Toc151193765"/>
      <w:r/>
      <w:bookmarkStart w:id="188" w:name="_Toc226965713"/>
      <w:r/>
      <w:bookmarkStart w:id="189" w:name="_Toc265228361"/>
      <w:r/>
      <w:bookmarkStart w:id="190" w:name="_Toc195842888"/>
      <w:r/>
      <w:bookmarkStart w:id="191" w:name="_Toc150480761"/>
      <w:r/>
      <w:bookmarkStart w:id="192" w:name="_Toc142311025"/>
      <w:r/>
      <w:bookmarkStart w:id="193" w:name="_Toc164229364"/>
      <w:r/>
      <w:bookmarkStart w:id="194" w:name="_Toc164608792"/>
      <w:r/>
      <w:bookmarkStart w:id="195" w:name="_Toc127161437"/>
      <w:r/>
      <w:bookmarkStart w:id="196" w:name="_Toc151193693"/>
      <w:r/>
      <w:bookmarkStart w:id="197" w:name="_Toc151190150"/>
      <w:r/>
      <w:bookmarkStart w:id="198" w:name="_Toc520356147"/>
      <w:r/>
      <w:bookmarkStart w:id="199" w:name="_Toc149720816"/>
      <w:r/>
      <w:bookmarkStart w:id="200" w:name="_Toc264969213"/>
      <w:r/>
      <w:bookmarkStart w:id="201" w:name="_Toc150509274"/>
      <w:r/>
      <w:bookmarkStart w:id="202" w:name="_Toc127151523"/>
      <w:r/>
      <w:bookmarkStart w:id="203" w:name="_Toc164608637"/>
      <w:r/>
      <w:bookmarkStart w:id="204" w:name="_Toc150774623"/>
      <w:r/>
      <w:bookmarkStart w:id="205" w:name="_Toc127151724"/>
      <w:r/>
      <w:bookmarkStart w:id="206" w:name="_Toc226309767"/>
      <w:r/>
      <w:bookmarkStart w:id="207" w:name="_Toc151193837"/>
      <w:r/>
      <w:bookmarkStart w:id="208" w:name="_Toc151193621"/>
      <w:r/>
      <w:bookmarkStart w:id="209" w:name="_Toc226337219"/>
      <w:r/>
      <w:bookmarkStart w:id="210" w:name="_Toc150774728"/>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211" w:name="_Toc264969216"/>
      <w:r/>
      <w:bookmarkStart w:id="212" w:name="_Toc151193696"/>
      <w:r/>
      <w:bookmarkStart w:id="213" w:name="_Toc226965799"/>
      <w:r/>
      <w:bookmarkStart w:id="214" w:name="_Toc150774626"/>
      <w:r/>
      <w:bookmarkStart w:id="215" w:name="_Toc151193624"/>
      <w:r/>
      <w:bookmarkStart w:id="216" w:name="_Toc150774731"/>
      <w:r/>
      <w:bookmarkStart w:id="217" w:name="_Toc151193840"/>
      <w:r/>
      <w:bookmarkStart w:id="218" w:name="_Toc226965716"/>
      <w:r/>
      <w:bookmarkStart w:id="219" w:name="_Toc265228364"/>
      <w:r/>
      <w:bookmarkStart w:id="220" w:name="_Toc305158868"/>
      <w:r/>
      <w:bookmarkStart w:id="221" w:name="_Toc151190153"/>
      <w:r/>
      <w:bookmarkStart w:id="222" w:name="_Toc151193914"/>
      <w:r/>
      <w:bookmarkStart w:id="223" w:name="_Toc520356150"/>
      <w:r/>
      <w:bookmarkStart w:id="224" w:name="_Toc142311028"/>
      <w:r/>
      <w:bookmarkStart w:id="225" w:name="_Toc226309770"/>
      <w:r/>
      <w:bookmarkStart w:id="226" w:name="_Toc516367020"/>
      <w:r/>
      <w:bookmarkStart w:id="227" w:name="_Toc151193768"/>
      <w:r/>
      <w:bookmarkStart w:id="228" w:name="_Toc150480764"/>
      <w:r/>
      <w:bookmarkStart w:id="229" w:name="_Toc150509277"/>
      <w:r/>
      <w:bookmarkStart w:id="230" w:name="_Toc127151526"/>
      <w:r/>
      <w:bookmarkStart w:id="231" w:name="_Toc226337222"/>
      <w:r/>
      <w:bookmarkStart w:id="232" w:name="_Toc195842891"/>
      <w:r/>
      <w:bookmarkStart w:id="233" w:name="_Toc305158794"/>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64351621"/>
      <w:r/>
      <w:bookmarkStart w:id="235" w:name="_Toc150480765"/>
      <w:r/>
      <w:bookmarkStart w:id="236" w:name="_Toc127151728"/>
      <w:r/>
      <w:bookmarkStart w:id="237" w:name="_Toc151193625"/>
      <w:r/>
      <w:bookmarkStart w:id="238" w:name="_Toc305158869"/>
      <w:r/>
      <w:bookmarkStart w:id="239" w:name="_Toc226309771"/>
      <w:r/>
      <w:bookmarkStart w:id="240" w:name="_Toc164608796"/>
      <w:r/>
      <w:bookmarkStart w:id="241" w:name="_Toc520356151"/>
      <w:r/>
      <w:bookmarkStart w:id="242" w:name="_Toc151193697"/>
      <w:r/>
      <w:bookmarkStart w:id="243" w:name="_Toc265228365"/>
      <w:r/>
      <w:bookmarkStart w:id="244" w:name="_Toc150509278"/>
      <w:r/>
      <w:bookmarkStart w:id="245" w:name="_Toc164608641"/>
      <w:r/>
      <w:bookmarkStart w:id="246" w:name="_Toc151193915"/>
      <w:r/>
      <w:bookmarkStart w:id="247" w:name="_Toc305158795"/>
      <w:r/>
      <w:bookmarkStart w:id="248" w:name="_Toc150774732"/>
      <w:r/>
      <w:bookmarkStart w:id="249" w:name="_Toc151193841"/>
      <w:r/>
      <w:bookmarkStart w:id="250" w:name="_Toc151193769"/>
      <w:r/>
      <w:bookmarkStart w:id="251" w:name="_Toc264969217"/>
      <w:r/>
      <w:bookmarkStart w:id="252" w:name="_Toc516367021"/>
      <w:r/>
      <w:bookmarkStart w:id="253" w:name="_Toc164229222"/>
      <w:r/>
      <w:bookmarkStart w:id="254" w:name="_Toc149720820"/>
      <w:r/>
      <w:bookmarkStart w:id="255" w:name="_Toc226965800"/>
      <w:r/>
      <w:bookmarkStart w:id="256" w:name="_Toc195842892"/>
      <w:r/>
      <w:bookmarkStart w:id="257" w:name="_Toc127161441"/>
      <w:r/>
      <w:bookmarkStart w:id="258" w:name="_Toc142311029"/>
      <w:r/>
      <w:bookmarkStart w:id="259" w:name="_Toc150774627"/>
      <w:r/>
      <w:bookmarkStart w:id="260" w:name="_Toc226965717"/>
      <w:r/>
      <w:bookmarkStart w:id="261" w:name="_Toc127151527"/>
      <w:r/>
      <w:bookmarkStart w:id="262" w:name="_Toc164229368"/>
      <w:r/>
      <w:bookmarkStart w:id="263" w:name="_Toc226337223"/>
      <w:r/>
      <w:bookmarkStart w:id="264" w:name="_Toc151190154"/>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151190155"/>
      <w:r/>
      <w:bookmarkStart w:id="266" w:name="_Toc151193770"/>
      <w:r/>
      <w:bookmarkStart w:id="267" w:name="_Toc226965718"/>
      <w:r/>
      <w:bookmarkStart w:id="268" w:name="_Toc150480766"/>
      <w:r/>
      <w:bookmarkStart w:id="269" w:name="_Toc151193698"/>
      <w:r/>
      <w:bookmarkStart w:id="270" w:name="_Toc305158870"/>
      <w:r/>
      <w:bookmarkStart w:id="271" w:name="_Toc127151528"/>
      <w:r/>
      <w:bookmarkStart w:id="272" w:name="_Toc520356152"/>
      <w:r/>
      <w:bookmarkStart w:id="273" w:name="_Toc150774628"/>
      <w:r/>
      <w:bookmarkStart w:id="274" w:name="_Toc164229223"/>
      <w:r/>
      <w:bookmarkStart w:id="275" w:name="_Toc150774733"/>
      <w:r/>
      <w:bookmarkStart w:id="276" w:name="_Toc127161442"/>
      <w:r/>
      <w:bookmarkStart w:id="277" w:name="_Toc265228366"/>
      <w:r/>
      <w:bookmarkStart w:id="278" w:name="_Toc151193842"/>
      <w:r/>
      <w:bookmarkStart w:id="279" w:name="_Toc195842893"/>
      <w:r/>
      <w:bookmarkStart w:id="280" w:name="_Toc226965801"/>
      <w:r/>
      <w:bookmarkStart w:id="281" w:name="_Toc226309772"/>
      <w:r/>
      <w:bookmarkStart w:id="282" w:name="_Toc151193626"/>
      <w:r/>
      <w:bookmarkStart w:id="283" w:name="_Toc164608797"/>
      <w:r/>
      <w:bookmarkStart w:id="284" w:name="_Ref467306676"/>
      <w:r/>
      <w:bookmarkStart w:id="285" w:name="_Toc127151729"/>
      <w:r/>
      <w:bookmarkStart w:id="286" w:name="_Toc151193916"/>
      <w:r/>
      <w:bookmarkStart w:id="287" w:name="_Toc305158796"/>
      <w:r/>
      <w:bookmarkStart w:id="288" w:name="_Toc164351622"/>
      <w:r/>
      <w:bookmarkStart w:id="289" w:name="_Toc142311030"/>
      <w:r/>
      <w:bookmarkStart w:id="290" w:name="_Toc149720821"/>
      <w:r/>
      <w:bookmarkStart w:id="291" w:name="_Toc164229369"/>
      <w:r/>
      <w:bookmarkStart w:id="292" w:name="_Toc164608642"/>
      <w:r/>
      <w:bookmarkStart w:id="293" w:name="_Toc264969218"/>
      <w:r/>
      <w:bookmarkStart w:id="294" w:name="_Toc150509279"/>
      <w:r/>
      <w:bookmarkStart w:id="295" w:name="_Toc226337224"/>
      <w:r/>
      <w:bookmarkStart w:id="296" w:name="_Toc516367022"/>
      <w:r/>
      <w:bookmarkStart w:id="297" w:name="_Ref467306195"/>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51193772"/>
      <w:r/>
      <w:bookmarkStart w:id="300" w:name="_Toc164229371"/>
      <w:r/>
      <w:bookmarkStart w:id="301" w:name="_Toc195842895"/>
      <w:r/>
      <w:bookmarkStart w:id="302" w:name="_Toc150774735"/>
      <w:r/>
      <w:bookmarkStart w:id="303" w:name="_Toc127161444"/>
      <w:r/>
      <w:bookmarkStart w:id="304" w:name="_Toc150480768"/>
      <w:r/>
      <w:bookmarkStart w:id="305" w:name="_Toc150509281"/>
      <w:r/>
      <w:bookmarkStart w:id="306" w:name="_Toc164229225"/>
      <w:r/>
      <w:bookmarkStart w:id="307" w:name="_Toc151190157"/>
      <w:r/>
      <w:bookmarkStart w:id="308" w:name="_Toc151193844"/>
      <w:r/>
      <w:bookmarkStart w:id="309" w:name="_Toc164351624"/>
      <w:r/>
      <w:bookmarkStart w:id="310" w:name="_Toc127151731"/>
      <w:r/>
      <w:bookmarkStart w:id="311" w:name="_Toc164608799"/>
      <w:r/>
      <w:bookmarkStart w:id="312" w:name="_Toc151193700"/>
      <w:r/>
      <w:bookmarkStart w:id="313" w:name="_Toc149720823"/>
      <w:r/>
      <w:bookmarkStart w:id="314" w:name="_Toc151193628"/>
      <w:r/>
      <w:bookmarkStart w:id="315" w:name="_Toc164608644"/>
      <w:r/>
      <w:bookmarkStart w:id="316" w:name="_Toc150774630"/>
      <w:r/>
      <w:bookmarkStart w:id="317" w:name="_Toc127151530"/>
      <w:r/>
      <w:bookmarkStart w:id="318" w:name="_Toc151193918"/>
      <w:r/>
      <w:bookmarkStart w:id="319" w:name="_Toc520356155"/>
      <w:r/>
      <w:bookmarkStart w:id="320" w:name="_Toc142311032"/>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151193629"/>
      <w:r/>
      <w:bookmarkStart w:id="322" w:name="_Toc305158873"/>
      <w:r/>
      <w:bookmarkStart w:id="323" w:name="_Toc127161445"/>
      <w:r/>
      <w:bookmarkStart w:id="324" w:name="_Toc149720824"/>
      <w:r/>
      <w:bookmarkStart w:id="325" w:name="_Toc151193919"/>
      <w:r/>
      <w:bookmarkStart w:id="326" w:name="_Toc264969221"/>
      <w:r/>
      <w:bookmarkStart w:id="327" w:name="_Toc164229226"/>
      <w:r/>
      <w:bookmarkStart w:id="328" w:name="_Toc127151732"/>
      <w:r/>
      <w:bookmarkStart w:id="329" w:name="_Toc164351625"/>
      <w:r/>
      <w:bookmarkStart w:id="330" w:name="_Toc151193845"/>
      <w:r/>
      <w:bookmarkStart w:id="331" w:name="_Toc151193701"/>
      <w:r/>
      <w:bookmarkStart w:id="332" w:name="_Toc127151531"/>
      <w:r/>
      <w:bookmarkStart w:id="333" w:name="_Toc151190158"/>
      <w:r/>
      <w:bookmarkStart w:id="334" w:name="_Toc520356156"/>
      <w:r/>
      <w:bookmarkStart w:id="335" w:name="_Toc226965804"/>
      <w:r/>
      <w:bookmarkStart w:id="336" w:name="_Toc150509282"/>
      <w:r/>
      <w:bookmarkStart w:id="337" w:name="_Toc164608645"/>
      <w:r/>
      <w:bookmarkStart w:id="338" w:name="_Toc164608800"/>
      <w:r/>
      <w:bookmarkStart w:id="339" w:name="_Toc150774631"/>
      <w:r/>
      <w:bookmarkStart w:id="340" w:name="_Toc305158799"/>
      <w:r/>
      <w:bookmarkStart w:id="341" w:name="_Toc226337227"/>
      <w:r/>
      <w:bookmarkStart w:id="342" w:name="_Toc164229372"/>
      <w:r/>
      <w:bookmarkStart w:id="343" w:name="_Toc151193773"/>
      <w:r/>
      <w:bookmarkStart w:id="344" w:name="_Toc226965721"/>
      <w:r/>
      <w:bookmarkStart w:id="345" w:name="_Toc226309775"/>
      <w:r/>
      <w:bookmarkStart w:id="346" w:name="_Toc265228369"/>
      <w:r/>
      <w:bookmarkStart w:id="347" w:name="_Toc150480769"/>
      <w:r/>
      <w:bookmarkStart w:id="348" w:name="_Toc150774736"/>
      <w:r/>
      <w:bookmarkStart w:id="349" w:name="_Toc195842896"/>
      <w:r/>
      <w:bookmarkStart w:id="350" w:name="_Toc142311033"/>
      <w:r/>
      <w:bookmarkStart w:id="351" w:name="_Ref467306513"/>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164229227"/>
      <w:r/>
      <w:bookmarkStart w:id="353" w:name="_Toc226309776"/>
      <w:r/>
      <w:bookmarkStart w:id="354" w:name="_Toc151193846"/>
      <w:r/>
      <w:bookmarkStart w:id="355" w:name="_Toc151190159"/>
      <w:r/>
      <w:bookmarkStart w:id="356" w:name="_Toc226965722"/>
      <w:r/>
      <w:bookmarkStart w:id="357" w:name="_Toc142311034"/>
      <w:r/>
      <w:bookmarkStart w:id="358" w:name="_Toc305158874"/>
      <w:r/>
      <w:bookmarkStart w:id="359" w:name="_Toc265228370"/>
      <w:r/>
      <w:bookmarkStart w:id="360" w:name="_Toc520356157"/>
      <w:r/>
      <w:bookmarkStart w:id="361" w:name="_Toc151193702"/>
      <w:r/>
      <w:bookmarkStart w:id="362" w:name="_Toc164608646"/>
      <w:r/>
      <w:bookmarkStart w:id="363" w:name="_Toc151193774"/>
      <w:r/>
      <w:bookmarkStart w:id="364" w:name="_Toc164351626"/>
      <w:r/>
      <w:bookmarkStart w:id="365" w:name="_Toc226337228"/>
      <w:r/>
      <w:bookmarkStart w:id="366" w:name="_Toc164608801"/>
      <w:r/>
      <w:bookmarkStart w:id="367" w:name="_Toc150480770"/>
      <w:r/>
      <w:bookmarkStart w:id="368" w:name="_Toc127161446"/>
      <w:r/>
      <w:bookmarkStart w:id="369" w:name="_Toc127151733"/>
      <w:r/>
      <w:bookmarkStart w:id="370" w:name="_Toc264969222"/>
      <w:r/>
      <w:bookmarkStart w:id="371" w:name="_Toc195842897"/>
      <w:r/>
      <w:bookmarkStart w:id="372" w:name="_Toc151193630"/>
      <w:r/>
      <w:bookmarkStart w:id="373" w:name="_Toc164229373"/>
      <w:r/>
      <w:bookmarkStart w:id="374" w:name="_Toc226965805"/>
      <w:r/>
      <w:bookmarkStart w:id="375" w:name="_Toc150774737"/>
      <w:r/>
      <w:bookmarkStart w:id="376" w:name="_Toc151193920"/>
      <w:r/>
      <w:bookmarkStart w:id="377" w:name="_Toc150774632"/>
      <w:r/>
      <w:bookmarkStart w:id="378" w:name="_Toc127151532"/>
      <w:r/>
      <w:bookmarkStart w:id="379" w:name="_Toc305158800"/>
      <w:r/>
      <w:bookmarkStart w:id="380" w:name="_Toc150509283"/>
      <w:r/>
      <w:bookmarkStart w:id="381" w:name="_Toc149720825"/>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150774633"/>
      <w:r/>
      <w:bookmarkStart w:id="383" w:name="_Toc149720826"/>
      <w:r/>
      <w:bookmarkStart w:id="384" w:name="_Toc151193775"/>
      <w:r/>
      <w:bookmarkStart w:id="385" w:name="_Toc305158801"/>
      <w:r/>
      <w:bookmarkStart w:id="386" w:name="_Toc164229374"/>
      <w:r/>
      <w:bookmarkStart w:id="387" w:name="_Toc305158875"/>
      <w:r/>
      <w:bookmarkStart w:id="388" w:name="_Toc142311035"/>
      <w:r/>
      <w:bookmarkStart w:id="389" w:name="_Toc127151734"/>
      <w:r/>
      <w:bookmarkStart w:id="390" w:name="_Toc226965806"/>
      <w:r/>
      <w:bookmarkStart w:id="391" w:name="_Toc226965723"/>
      <w:r/>
      <w:bookmarkStart w:id="392" w:name="_Toc151190160"/>
      <w:r/>
      <w:bookmarkStart w:id="393" w:name="_Toc151193631"/>
      <w:r/>
      <w:bookmarkStart w:id="394" w:name="_Toc226337229"/>
      <w:r/>
      <w:bookmarkStart w:id="395" w:name="_Toc150480771"/>
      <w:r/>
      <w:bookmarkStart w:id="396" w:name="_Toc164229228"/>
      <w:r/>
      <w:bookmarkStart w:id="397" w:name="_Toc150509284"/>
      <w:r/>
      <w:bookmarkStart w:id="398" w:name="_Toc164351627"/>
      <w:r/>
      <w:bookmarkStart w:id="399" w:name="_Toc520356158"/>
      <w:r/>
      <w:bookmarkStart w:id="400" w:name="_Toc164608647"/>
      <w:r/>
      <w:bookmarkStart w:id="401" w:name="_Toc127151533"/>
      <w:r/>
      <w:bookmarkStart w:id="402" w:name="_Toc164608802"/>
      <w:r/>
      <w:bookmarkStart w:id="403" w:name="_Toc127161447"/>
      <w:r/>
      <w:bookmarkStart w:id="404" w:name="_Toc150774738"/>
      <w:r/>
      <w:bookmarkStart w:id="405" w:name="_Toc151193847"/>
      <w:r/>
      <w:bookmarkStart w:id="406" w:name="_Toc265228371"/>
      <w:r/>
      <w:bookmarkStart w:id="407" w:name="_Toc195842898"/>
      <w:r/>
      <w:bookmarkStart w:id="408" w:name="_Toc264969223"/>
      <w:r/>
      <w:bookmarkStart w:id="409" w:name="_Toc151193703"/>
      <w:r/>
      <w:bookmarkStart w:id="410" w:name="_Toc226309777"/>
      <w:r/>
      <w:bookmarkStart w:id="411" w:name="_Toc151193921"/>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305158802"/>
      <w:r/>
      <w:bookmarkStart w:id="413" w:name="_Toc151193776"/>
      <w:r/>
      <w:bookmarkStart w:id="414" w:name="_Toc305158876"/>
      <w:r/>
      <w:bookmarkStart w:id="415" w:name="_Toc150509285"/>
      <w:r/>
      <w:bookmarkStart w:id="416" w:name="_Toc151193922"/>
      <w:r/>
      <w:bookmarkStart w:id="417" w:name="_Toc151193848"/>
      <w:r/>
      <w:bookmarkStart w:id="418" w:name="_Toc226309778"/>
      <w:r/>
      <w:bookmarkStart w:id="419" w:name="_Toc150774634"/>
      <w:r/>
      <w:bookmarkStart w:id="420" w:name="_Toc151193704"/>
      <w:r/>
      <w:bookmarkStart w:id="421" w:name="_Toc151193632"/>
      <w:r/>
      <w:bookmarkStart w:id="422" w:name="_Toc195842899"/>
      <w:r/>
      <w:bookmarkStart w:id="423" w:name="_Toc142311036"/>
      <w:r/>
      <w:bookmarkStart w:id="424" w:name="_Toc226337230"/>
      <w:r/>
      <w:bookmarkStart w:id="425" w:name="_Toc150480772"/>
      <w:r/>
      <w:bookmarkStart w:id="426" w:name="_Toc226965724"/>
      <w:r/>
      <w:bookmarkStart w:id="427" w:name="_Toc265228372"/>
      <w:r/>
      <w:bookmarkStart w:id="428" w:name="_Toc226965807"/>
      <w:r/>
      <w:bookmarkStart w:id="429" w:name="_Toc127151534"/>
      <w:r/>
      <w:bookmarkStart w:id="430" w:name="_Toc264969224"/>
      <w:r/>
      <w:bookmarkStart w:id="431" w:name="_Toc520356159"/>
      <w:r/>
      <w:bookmarkStart w:id="432" w:name="_Toc150774739"/>
      <w:r/>
      <w:bookmarkStart w:id="433" w:name="_Toc151190161"/>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151193923"/>
      <w:r/>
      <w:bookmarkStart w:id="435" w:name="_Toc150480773"/>
      <w:r/>
      <w:bookmarkStart w:id="436" w:name="_Toc127161449"/>
      <w:r/>
      <w:bookmarkStart w:id="437" w:name="_Toc164351629"/>
      <w:r/>
      <w:bookmarkStart w:id="438" w:name="_Toc226965808"/>
      <w:r/>
      <w:bookmarkStart w:id="439" w:name="_Toc226309779"/>
      <w:r/>
      <w:bookmarkStart w:id="440" w:name="_Toc195842900"/>
      <w:r/>
      <w:bookmarkStart w:id="441" w:name="_Toc164608804"/>
      <w:r/>
      <w:bookmarkStart w:id="442" w:name="_Toc149720828"/>
      <w:r/>
      <w:bookmarkStart w:id="443" w:name="_Toc164608649"/>
      <w:r/>
      <w:bookmarkStart w:id="444" w:name="_Toc142311037"/>
      <w:r/>
      <w:bookmarkStart w:id="445" w:name="_Toc151193633"/>
      <w:r/>
      <w:bookmarkStart w:id="446" w:name="_Toc226337231"/>
      <w:r/>
      <w:bookmarkStart w:id="447" w:name="_Toc151193849"/>
      <w:r/>
      <w:bookmarkStart w:id="448" w:name="_Toc305158803"/>
      <w:r/>
      <w:bookmarkStart w:id="449" w:name="_Toc164229230"/>
      <w:r/>
      <w:bookmarkStart w:id="450" w:name="_Toc151193705"/>
      <w:r/>
      <w:bookmarkStart w:id="451" w:name="_Toc265228373"/>
      <w:r/>
      <w:bookmarkStart w:id="452" w:name="_Toc150774635"/>
      <w:r/>
      <w:bookmarkStart w:id="453" w:name="_Toc151193777"/>
      <w:r/>
      <w:bookmarkStart w:id="454" w:name="_Toc150774740"/>
      <w:r/>
      <w:bookmarkStart w:id="455" w:name="_Toc226965725"/>
      <w:r/>
      <w:bookmarkStart w:id="456" w:name="_Toc127151736"/>
      <w:r/>
      <w:bookmarkStart w:id="457" w:name="_Toc151190162"/>
      <w:r/>
      <w:bookmarkStart w:id="458" w:name="_Toc164229376"/>
      <w:r/>
      <w:bookmarkStart w:id="459" w:name="_Toc264969225"/>
      <w:r/>
      <w:bookmarkStart w:id="460" w:name="_Toc127151535"/>
      <w:r/>
      <w:bookmarkStart w:id="461" w:name="_Toc520356160"/>
      <w:r/>
      <w:bookmarkStart w:id="462" w:name="_Toc150509286"/>
      <w:r/>
      <w:bookmarkStart w:id="463" w:name="_Toc305158877"/>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127161450"/>
      <w:r/>
      <w:bookmarkStart w:id="465" w:name="_Toc226337232"/>
      <w:r/>
      <w:bookmarkStart w:id="466" w:name="_Toc150774741"/>
      <w:r/>
      <w:bookmarkStart w:id="467" w:name="_Toc164608650"/>
      <w:r/>
      <w:bookmarkStart w:id="468" w:name="_Toc226965726"/>
      <w:r/>
      <w:bookmarkStart w:id="469" w:name="_Toc226309780"/>
      <w:r/>
      <w:bookmarkStart w:id="470" w:name="_Toc149720829"/>
      <w:r/>
      <w:bookmarkStart w:id="471" w:name="_Toc264969226"/>
      <w:r/>
      <w:bookmarkStart w:id="472" w:name="_Toc305158878"/>
      <w:r/>
      <w:bookmarkStart w:id="473" w:name="_Toc127151536"/>
      <w:r/>
      <w:bookmarkStart w:id="474" w:name="_Toc305158804"/>
      <w:r/>
      <w:bookmarkStart w:id="475" w:name="_Toc150509287"/>
      <w:r/>
      <w:bookmarkStart w:id="476" w:name="_Toc151193850"/>
      <w:r/>
      <w:bookmarkStart w:id="477" w:name="_Toc265228374"/>
      <w:r/>
      <w:bookmarkStart w:id="478" w:name="_Toc164229377"/>
      <w:r/>
      <w:bookmarkStart w:id="479" w:name="_Toc151193924"/>
      <w:r/>
      <w:bookmarkStart w:id="480" w:name="_Toc151190163"/>
      <w:r/>
      <w:bookmarkStart w:id="481" w:name="_Toc151193634"/>
      <w:r/>
      <w:bookmarkStart w:id="482" w:name="_Toc127151737"/>
      <w:r/>
      <w:bookmarkStart w:id="483" w:name="_Toc520356161"/>
      <w:r/>
      <w:bookmarkStart w:id="484" w:name="_Toc151193706"/>
      <w:r/>
      <w:bookmarkStart w:id="485" w:name="_Toc164229231"/>
      <w:r/>
      <w:bookmarkStart w:id="486" w:name="_Toc150480774"/>
      <w:r/>
      <w:bookmarkStart w:id="487" w:name="_Toc226965809"/>
      <w:r/>
      <w:bookmarkStart w:id="488" w:name="_Toc151193778"/>
      <w:r/>
      <w:bookmarkStart w:id="489" w:name="_Toc150774636"/>
      <w:r/>
      <w:bookmarkStart w:id="490" w:name="_Toc164608805"/>
      <w:r/>
      <w:bookmarkStart w:id="491" w:name="_Toc142311038"/>
      <w:r/>
      <w:bookmarkStart w:id="492" w:name="_Toc195842901"/>
      <w:r/>
      <w:bookmarkStart w:id="493" w:name="_Toc164351630"/>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151193851"/>
      <w:r/>
      <w:bookmarkStart w:id="495" w:name="_Toc164229232"/>
      <w:r/>
      <w:bookmarkStart w:id="496" w:name="_Toc305158879"/>
      <w:r/>
      <w:bookmarkStart w:id="497" w:name="_Toc151193707"/>
      <w:r/>
      <w:bookmarkStart w:id="498" w:name="_Toc226337233"/>
      <w:r/>
      <w:bookmarkStart w:id="499" w:name="_Toc151193635"/>
      <w:r/>
      <w:bookmarkStart w:id="500" w:name="_Toc127151537"/>
      <w:r/>
      <w:bookmarkStart w:id="501" w:name="_Toc127161451"/>
      <w:r/>
      <w:bookmarkStart w:id="502" w:name="_Toc150480775"/>
      <w:r/>
      <w:bookmarkStart w:id="503" w:name="_Toc164229378"/>
      <w:r/>
      <w:bookmarkStart w:id="504" w:name="_Toc149720830"/>
      <w:r/>
      <w:bookmarkStart w:id="505" w:name="_Toc127151738"/>
      <w:r/>
      <w:bookmarkStart w:id="506" w:name="_Toc164351631"/>
      <w:r/>
      <w:bookmarkStart w:id="507" w:name="_Toc150509288"/>
      <w:r/>
      <w:bookmarkStart w:id="508" w:name="_Toc164608806"/>
      <w:r/>
      <w:bookmarkStart w:id="509" w:name="_Toc151190164"/>
      <w:r/>
      <w:bookmarkStart w:id="510" w:name="_Toc151193779"/>
      <w:r/>
      <w:bookmarkStart w:id="511" w:name="_Toc226309781"/>
      <w:r/>
      <w:bookmarkStart w:id="512" w:name="_Toc195842902"/>
      <w:r/>
      <w:bookmarkStart w:id="513" w:name="_Toc264969227"/>
      <w:r/>
      <w:bookmarkStart w:id="514" w:name="_Toc164608651"/>
      <w:r/>
      <w:bookmarkStart w:id="515" w:name="_Toc305158805"/>
      <w:r/>
      <w:bookmarkStart w:id="516" w:name="_Toc150774637"/>
      <w:r/>
      <w:bookmarkStart w:id="517" w:name="_Toc150774742"/>
      <w:r/>
      <w:bookmarkStart w:id="518" w:name="_Toc151193925"/>
      <w:r/>
      <w:bookmarkStart w:id="519" w:name="_Toc520356162"/>
      <w:r/>
      <w:bookmarkStart w:id="520" w:name="_Toc226965810"/>
      <w:r/>
      <w:bookmarkStart w:id="521" w:name="_Toc142311039"/>
      <w:r/>
      <w:bookmarkStart w:id="522" w:name="_Toc265228375"/>
      <w:r/>
      <w:bookmarkStart w:id="523" w:name="_Toc226965727"/>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24" w:name="_Toc150774638"/>
      <w:r/>
      <w:bookmarkStart w:id="525" w:name="_Toc127151538"/>
      <w:r/>
      <w:bookmarkStart w:id="526" w:name="_Toc151193780"/>
      <w:r/>
      <w:bookmarkStart w:id="527" w:name="_Toc151193636"/>
      <w:r/>
      <w:bookmarkStart w:id="528" w:name="_Toc150480776"/>
      <w:r/>
      <w:bookmarkStart w:id="529" w:name="_Toc226309782"/>
      <w:r/>
      <w:bookmarkStart w:id="530" w:name="_Toc151193708"/>
      <w:r/>
      <w:bookmarkStart w:id="531" w:name="_Toc151193926"/>
      <w:r/>
      <w:bookmarkStart w:id="532" w:name="_Toc151193852"/>
      <w:r/>
      <w:bookmarkStart w:id="533" w:name="_Toc226965728"/>
      <w:r/>
      <w:bookmarkStart w:id="534" w:name="_Toc151190165"/>
      <w:r/>
      <w:bookmarkStart w:id="535" w:name="_Toc226965811"/>
      <w:r/>
      <w:bookmarkStart w:id="536" w:name="_Toc226337234"/>
      <w:r/>
      <w:bookmarkStart w:id="537" w:name="_Toc305158880"/>
      <w:r/>
      <w:bookmarkStart w:id="538" w:name="_Toc265228376"/>
      <w:r/>
      <w:bookmarkStart w:id="539" w:name="_Toc264969228"/>
      <w:r/>
      <w:bookmarkStart w:id="540" w:name="_Toc195842903"/>
      <w:r/>
      <w:bookmarkStart w:id="541" w:name="_Toc150774743"/>
      <w:r/>
      <w:bookmarkStart w:id="542" w:name="_Toc520356163"/>
      <w:r/>
      <w:bookmarkStart w:id="543" w:name="_Toc150509289"/>
      <w:r/>
      <w:bookmarkStart w:id="544" w:name="_Toc305158806"/>
      <w:r/>
      <w:bookmarkStart w:id="545" w:name="_Toc142311040"/>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151193927"/>
      <w:r/>
      <w:bookmarkStart w:id="547" w:name="_Toc305158881"/>
      <w:r/>
      <w:bookmarkStart w:id="548" w:name="_Toc151193637"/>
      <w:r/>
      <w:bookmarkStart w:id="549" w:name="_Toc195842904"/>
      <w:r/>
      <w:bookmarkStart w:id="550" w:name="_Toc164351633"/>
      <w:r/>
      <w:bookmarkStart w:id="551" w:name="_Toc127151740"/>
      <w:r/>
      <w:bookmarkStart w:id="552" w:name="_Toc151193709"/>
      <w:r/>
      <w:bookmarkStart w:id="553" w:name="_Toc150774639"/>
      <w:r/>
      <w:bookmarkStart w:id="554" w:name="_Toc305158807"/>
      <w:r/>
      <w:bookmarkStart w:id="555" w:name="_Toc127161453"/>
      <w:r/>
      <w:bookmarkStart w:id="556" w:name="_Toc151190166"/>
      <w:r/>
      <w:bookmarkStart w:id="557" w:name="_Toc264969229"/>
      <w:r/>
      <w:bookmarkStart w:id="558" w:name="_Toc151193781"/>
      <w:r/>
      <w:bookmarkStart w:id="559" w:name="_Toc226309783"/>
      <w:r/>
      <w:bookmarkStart w:id="560" w:name="_Toc164229380"/>
      <w:r/>
      <w:bookmarkStart w:id="561" w:name="_Toc226965729"/>
      <w:r/>
      <w:bookmarkStart w:id="562" w:name="_Toc164229234"/>
      <w:r/>
      <w:bookmarkStart w:id="563" w:name="_Toc265228377"/>
      <w:r/>
      <w:bookmarkStart w:id="564" w:name="_Toc520356164"/>
      <w:r/>
      <w:bookmarkStart w:id="565" w:name="_Toc150480777"/>
      <w:r/>
      <w:bookmarkStart w:id="566" w:name="_Toc150774744"/>
      <w:r/>
      <w:bookmarkStart w:id="567" w:name="_Toc164608808"/>
      <w:r/>
      <w:bookmarkStart w:id="568" w:name="_Toc226965812"/>
      <w:r/>
      <w:bookmarkStart w:id="569" w:name="_Toc127151539"/>
      <w:r/>
      <w:bookmarkStart w:id="570" w:name="_Toc150509290"/>
      <w:r/>
      <w:bookmarkStart w:id="571" w:name="_Toc226337235"/>
      <w:r/>
      <w:bookmarkStart w:id="572" w:name="_Toc142311041"/>
      <w:r/>
      <w:bookmarkStart w:id="573" w:name="_Toc164608653"/>
      <w:r/>
      <w:bookmarkStart w:id="574" w:name="_Toc151193853"/>
      <w:r/>
      <w:bookmarkStart w:id="575" w:name="_Toc149720832"/>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226309784"/>
      <w:r/>
      <w:bookmarkStart w:id="578" w:name="_Toc226337236"/>
      <w:r/>
      <w:bookmarkStart w:id="579" w:name="_Toc149720833"/>
      <w:r/>
      <w:bookmarkStart w:id="580" w:name="_Toc127151540"/>
      <w:r/>
      <w:bookmarkStart w:id="581" w:name="_Toc127161454"/>
      <w:r/>
      <w:bookmarkStart w:id="582" w:name="_Toc151193782"/>
      <w:r/>
      <w:bookmarkStart w:id="583" w:name="_Toc150774640"/>
      <w:r/>
      <w:bookmarkStart w:id="584" w:name="_Toc164229235"/>
      <w:r/>
      <w:bookmarkStart w:id="585" w:name="_Toc127151741"/>
      <w:r/>
      <w:bookmarkStart w:id="586" w:name="_Toc151193638"/>
      <w:r/>
      <w:bookmarkStart w:id="587" w:name="_Toc150480778"/>
      <w:r/>
      <w:bookmarkStart w:id="588" w:name="_Toc142311042"/>
      <w:r/>
      <w:bookmarkStart w:id="589" w:name="_Toc164608654"/>
      <w:r/>
      <w:bookmarkStart w:id="590" w:name="_Toc150774745"/>
      <w:r/>
      <w:bookmarkStart w:id="591" w:name="_Toc164608809"/>
      <w:r/>
      <w:bookmarkStart w:id="592" w:name="_Toc226965730"/>
      <w:r/>
      <w:bookmarkStart w:id="593" w:name="_Toc151190167"/>
      <w:r/>
      <w:bookmarkStart w:id="594" w:name="_Toc151193854"/>
      <w:r/>
      <w:bookmarkStart w:id="595" w:name="_Toc151193928"/>
      <w:r/>
      <w:bookmarkStart w:id="596" w:name="_Toc164229381"/>
      <w:r/>
      <w:bookmarkStart w:id="597" w:name="_Toc195842905"/>
      <w:r/>
      <w:bookmarkStart w:id="598" w:name="_Toc305158808"/>
      <w:r/>
      <w:bookmarkStart w:id="599" w:name="_Toc264969230"/>
      <w:r/>
      <w:bookmarkStart w:id="600" w:name="_Toc265228378"/>
      <w:r/>
      <w:bookmarkStart w:id="601" w:name="_Toc226965813"/>
      <w:r/>
      <w:bookmarkStart w:id="602" w:name="_Toc151193710"/>
      <w:r/>
      <w:bookmarkStart w:id="603" w:name="_Toc305158882"/>
      <w:r/>
      <w:bookmarkStart w:id="604" w:name="_Toc150509291"/>
      <w:r/>
      <w:bookmarkStart w:id="605" w:name="_Toc164351634"/>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608" w:name="_Toc226965735"/>
      <w:r/>
      <w:bookmarkStart w:id="609" w:name="_Toc150774750"/>
      <w:r/>
      <w:bookmarkStart w:id="610" w:name="_Toc150774645"/>
      <w:r/>
      <w:bookmarkStart w:id="611" w:name="_Toc195842910"/>
      <w:r/>
      <w:bookmarkStart w:id="612" w:name="_Toc151193933"/>
      <w:r/>
      <w:bookmarkStart w:id="613" w:name="_Toc151193787"/>
      <w:r/>
      <w:bookmarkStart w:id="614" w:name="_Toc150480783"/>
      <w:r/>
      <w:bookmarkStart w:id="615" w:name="_Toc264969235"/>
      <w:r/>
      <w:bookmarkStart w:id="616" w:name="_Toc305158887"/>
      <w:r/>
      <w:bookmarkStart w:id="617" w:name="_Toc151190172"/>
      <w:r/>
      <w:bookmarkStart w:id="618" w:name="_Toc127151545"/>
      <w:r/>
      <w:bookmarkStart w:id="619" w:name="_Toc226337241"/>
      <w:r/>
      <w:bookmarkStart w:id="620" w:name="_Toc226965818"/>
      <w:r/>
      <w:bookmarkStart w:id="621" w:name="_Toc151193715"/>
      <w:r/>
      <w:bookmarkStart w:id="622" w:name="_Toc151193643"/>
      <w:r/>
      <w:bookmarkStart w:id="623" w:name="_Toc265228383"/>
      <w:r/>
      <w:bookmarkStart w:id="624" w:name="_Toc151193859"/>
      <w:r/>
      <w:bookmarkStart w:id="625" w:name="_Toc150509296"/>
      <w:r/>
      <w:bookmarkStart w:id="626" w:name="_Toc226309789"/>
      <w:r/>
      <w:bookmarkStart w:id="627" w:name="_Toc305158813"/>
      <w:r/>
      <w:bookmarkStart w:id="628" w:name="_Toc142311047"/>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164229388"/>
      <w:r/>
      <w:bookmarkStart w:id="630" w:name="_Toc151193645"/>
      <w:r/>
      <w:bookmarkStart w:id="631" w:name="_Toc150480785"/>
      <w:r/>
      <w:bookmarkStart w:id="632" w:name="_Toc164229242"/>
      <w:r/>
      <w:bookmarkStart w:id="633" w:name="_Toc264969237"/>
      <w:r/>
      <w:bookmarkStart w:id="634" w:name="_Toc151193717"/>
      <w:r/>
      <w:bookmarkStart w:id="635" w:name="_Toc305158815"/>
      <w:r/>
      <w:bookmarkStart w:id="636" w:name="_Toc127161461"/>
      <w:r/>
      <w:bookmarkStart w:id="637" w:name="_Toc150509298"/>
      <w:r/>
      <w:bookmarkStart w:id="638" w:name="_Toc226965737"/>
      <w:r/>
      <w:bookmarkStart w:id="639" w:name="_Toc164351641"/>
      <w:r/>
      <w:bookmarkStart w:id="640" w:name="_Toc226337243"/>
      <w:r/>
      <w:bookmarkStart w:id="641" w:name="_Toc151190174"/>
      <w:r/>
      <w:bookmarkStart w:id="642" w:name="_Toc150774647"/>
      <w:r/>
      <w:bookmarkStart w:id="643" w:name="_Toc149720840"/>
      <w:r/>
      <w:bookmarkStart w:id="644" w:name="_Toc195842912"/>
      <w:r/>
      <w:bookmarkStart w:id="645" w:name="_Toc127151748"/>
      <w:r/>
      <w:bookmarkStart w:id="646" w:name="_Toc265228385"/>
      <w:r/>
      <w:bookmarkStart w:id="647" w:name="_Toc127151547"/>
      <w:r/>
      <w:bookmarkStart w:id="648" w:name="_Toc226309791"/>
      <w:r/>
      <w:bookmarkStart w:id="649" w:name="_Toc164608816"/>
      <w:r/>
      <w:bookmarkStart w:id="650" w:name="_Toc164608661"/>
      <w:r/>
      <w:bookmarkStart w:id="651" w:name="_Toc305158889"/>
      <w:r/>
      <w:bookmarkStart w:id="652" w:name="_Toc151193935"/>
      <w:r/>
      <w:bookmarkStart w:id="653" w:name="_Toc151193789"/>
      <w:r/>
      <w:bookmarkStart w:id="654" w:name="_Toc226965820"/>
      <w:r/>
      <w:bookmarkStart w:id="655" w:name="_Toc142311049"/>
      <w:r/>
      <w:bookmarkStart w:id="656" w:name="_Toc150774752"/>
      <w:r/>
      <w:bookmarkStart w:id="657" w:name="_Toc15119386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149720842"/>
      <w:r/>
      <w:bookmarkStart w:id="659" w:name="_Toc151193863"/>
      <w:r/>
      <w:bookmarkStart w:id="660" w:name="_Toc264969239"/>
      <w:r/>
      <w:bookmarkStart w:id="661" w:name="_Toc226337245"/>
      <w:r/>
      <w:bookmarkStart w:id="662" w:name="_Toc142311051"/>
      <w:r/>
      <w:bookmarkStart w:id="663" w:name="_Toc164229244"/>
      <w:r/>
      <w:bookmarkStart w:id="664" w:name="_Toc151193719"/>
      <w:r/>
      <w:bookmarkStart w:id="665" w:name="_Toc305158817"/>
      <w:r/>
      <w:bookmarkStart w:id="666" w:name="_Toc151193937"/>
      <w:r/>
      <w:bookmarkStart w:id="667" w:name="_Toc151193791"/>
      <w:r/>
      <w:bookmarkStart w:id="668" w:name="_Toc164608818"/>
      <w:r/>
      <w:bookmarkStart w:id="669" w:name="_Toc305158891"/>
      <w:r/>
      <w:bookmarkStart w:id="670" w:name="_Toc226965822"/>
      <w:r/>
      <w:bookmarkStart w:id="671" w:name="_Toc151190176"/>
      <w:r/>
      <w:bookmarkStart w:id="672" w:name="_Toc150480787"/>
      <w:r/>
      <w:bookmarkStart w:id="673" w:name="_Toc520356176"/>
      <w:r/>
      <w:bookmarkStart w:id="674" w:name="_Ref467307090"/>
      <w:r/>
      <w:bookmarkStart w:id="675" w:name="_Ref467306425"/>
      <w:r/>
      <w:bookmarkStart w:id="676" w:name="_Toc127151750"/>
      <w:r/>
      <w:bookmarkStart w:id="677" w:name="_Toc164608663"/>
      <w:r/>
      <w:bookmarkStart w:id="678" w:name="_Toc150774754"/>
      <w:r/>
      <w:bookmarkStart w:id="679" w:name="_Toc150774649"/>
      <w:r/>
      <w:bookmarkStart w:id="680" w:name="_Toc226309793"/>
      <w:r/>
      <w:bookmarkStart w:id="681" w:name="_Toc195842914"/>
      <w:r/>
      <w:bookmarkStart w:id="682" w:name="_Toc127151549"/>
      <w:r/>
      <w:bookmarkStart w:id="683" w:name="_Toc150509300"/>
      <w:r/>
      <w:bookmarkStart w:id="684" w:name="_Toc164351643"/>
      <w:r/>
      <w:bookmarkStart w:id="685" w:name="_Toc164229390"/>
      <w:r/>
      <w:bookmarkStart w:id="686" w:name="_Toc127161463"/>
      <w:r/>
      <w:bookmarkStart w:id="687" w:name="_Toc151193647"/>
      <w:r/>
      <w:bookmarkStart w:id="688" w:name="_Toc226965739"/>
      <w:r/>
      <w:bookmarkStart w:id="689" w:name="_Toc265228387"/>
      <w:r>
        <w:rPr>
          <w:rFonts w:hint="eastAsia" w:ascii="宋体" w:hAnsi="宋体" w:cs="宋体"/>
          <w:b/>
          <w:color w:val="000000"/>
          <w:sz w:val="24"/>
          <w:highlight w:val="none"/>
        </w:rPr>
        <w:t xml:space="preserve">中标公告与中标通知书</w:t>
      </w:r>
      <w:bookmarkEnd w:id="665"/>
      <w:r/>
      <w:bookmarkEnd w:id="66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8"/>
      <w:r/>
      <w:bookmarkEnd w:id="659"/>
      <w:r/>
      <w:bookmarkEnd w:id="660"/>
      <w:r/>
      <w:bookmarkEnd w:id="661"/>
      <w:r/>
      <w:bookmarkEnd w:id="662"/>
      <w:r/>
      <w:bookmarkEnd w:id="663"/>
      <w:r/>
      <w:bookmarkEnd w:id="664"/>
      <w:r/>
      <w:bookmarkEnd w:id="666"/>
      <w:r/>
      <w:bookmarkEnd w:id="667"/>
      <w:r/>
      <w:bookmarkEnd w:id="668"/>
      <w:r/>
      <w:bookmarkEnd w:id="670"/>
      <w:r/>
      <w:bookmarkEnd w:id="671"/>
      <w:r/>
      <w:bookmarkEnd w:id="672"/>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95842915"/>
      <w:r/>
      <w:bookmarkStart w:id="691" w:name="_Toc164229245"/>
      <w:r/>
      <w:bookmarkStart w:id="692" w:name="_Toc226337246"/>
      <w:r/>
      <w:bookmarkStart w:id="693" w:name="_Toc164608819"/>
      <w:r/>
      <w:bookmarkStart w:id="694" w:name="_Toc164351644"/>
      <w:r/>
      <w:bookmarkStart w:id="695" w:name="_Toc127161464"/>
      <w:r/>
      <w:bookmarkStart w:id="696" w:name="_Ref467306377"/>
      <w:r/>
      <w:bookmarkStart w:id="697" w:name="_Toc226965740"/>
      <w:r/>
      <w:bookmarkStart w:id="698" w:name="_Toc265228388"/>
      <w:r/>
      <w:bookmarkStart w:id="699" w:name="_Toc142311052"/>
      <w:r/>
      <w:bookmarkStart w:id="700" w:name="_Toc264969240"/>
      <w:r/>
      <w:bookmarkStart w:id="701" w:name="_Ref467307062"/>
      <w:r/>
      <w:bookmarkStart w:id="702" w:name="_Toc127151550"/>
      <w:r/>
      <w:bookmarkStart w:id="703" w:name="_Toc305158818"/>
      <w:r/>
      <w:bookmarkStart w:id="704" w:name="_Toc149720843"/>
      <w:r/>
      <w:bookmarkStart w:id="705" w:name="_Toc150774755"/>
      <w:r/>
      <w:bookmarkStart w:id="706" w:name="_Toc150509301"/>
      <w:r/>
      <w:bookmarkStart w:id="707" w:name="_Toc305158892"/>
      <w:r/>
      <w:bookmarkStart w:id="708" w:name="_Toc151193864"/>
      <w:r/>
      <w:bookmarkStart w:id="709" w:name="_Toc151190177"/>
      <w:r/>
      <w:bookmarkStart w:id="710" w:name="_Toc151193648"/>
      <w:r/>
      <w:bookmarkStart w:id="711" w:name="_Ref467307204"/>
      <w:r/>
      <w:bookmarkStart w:id="712" w:name="_Toc127151751"/>
      <w:r/>
      <w:bookmarkStart w:id="713" w:name="_Toc151193720"/>
      <w:r/>
      <w:bookmarkStart w:id="714" w:name="_Toc151193792"/>
      <w:r/>
      <w:bookmarkStart w:id="715" w:name="_Toc520356175"/>
      <w:r/>
      <w:bookmarkStart w:id="716" w:name="_Toc151193938"/>
      <w:r/>
      <w:bookmarkStart w:id="717" w:name="_Toc150774650"/>
      <w:r/>
      <w:bookmarkStart w:id="718" w:name="_Toc164229391"/>
      <w:r/>
      <w:bookmarkStart w:id="719" w:name="_Toc150480788"/>
      <w:r/>
      <w:bookmarkStart w:id="720" w:name="_Toc226309794"/>
      <w:r/>
      <w:bookmarkStart w:id="721" w:name="_Toc164608664"/>
      <w:r/>
      <w:bookmarkStart w:id="722" w:name="_Toc226965823"/>
      <w:r/>
      <w:bookmarkStart w:id="723" w:name="_Ref467306978"/>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73"/>
      <w:r/>
      <w:bookmarkEnd w:id="674"/>
      <w:r/>
      <w:bookmarkEnd w:id="67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24" w:name="_Hlt100654014"/>
      <w:r>
        <w:rPr>
          <w:rStyle w:val="1145"/>
          <w:rFonts w:hint="eastAsia" w:ascii="宋体" w:hAnsi="宋体" w:cs="宋体"/>
          <w:color w:val="000000"/>
          <w:highlight w:val="none"/>
        </w:rPr>
        <w:t xml:space="preserve">s</w:t>
      </w:r>
      <w:bookmarkEnd w:id="724"/>
      <w:r>
        <w:rPr>
          <w:rStyle w:val="1145"/>
          <w:rFonts w:hint="eastAsia" w:ascii="宋体" w:hAnsi="宋体" w:cs="宋体"/>
          <w:color w:val="000000"/>
          <w:highlight w:val="none"/>
        </w:rPr>
        <w:t xml:space="preserve">.m</w:t>
      </w:r>
      <w:bookmarkStart w:id="725" w:name="_Hlt100653994"/>
      <w:r/>
      <w:bookmarkStart w:id="726" w:name="_Hlt100653993"/>
      <w:r>
        <w:rPr>
          <w:rStyle w:val="1145"/>
          <w:rFonts w:hint="eastAsia" w:ascii="宋体" w:hAnsi="宋体" w:cs="宋体"/>
          <w:color w:val="000000"/>
          <w:highlight w:val="none"/>
        </w:rPr>
        <w:t xml:space="preserve">o</w:t>
      </w:r>
      <w:bookmarkEnd w:id="725"/>
      <w:r/>
      <w:bookmarkEnd w:id="726"/>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27" w:name="_Toc353873934"/>
      <w:r/>
      <w:bookmarkStart w:id="728" w:name="_Toc226337250"/>
      <w:r/>
      <w:bookmarkStart w:id="729" w:name="_Toc142311056"/>
      <w:r/>
      <w:bookmarkStart w:id="730" w:name="_Toc264969244"/>
      <w:r/>
      <w:bookmarkStart w:id="731" w:name="_Toc150774759"/>
      <w:r/>
      <w:bookmarkStart w:id="732" w:name="_Toc353873664"/>
      <w:r/>
      <w:bookmarkStart w:id="733" w:name="_Toc226965827"/>
      <w:r/>
      <w:bookmarkStart w:id="734" w:name="_Toc305158896"/>
      <w:r/>
      <w:bookmarkStart w:id="735" w:name="_Toc265228392"/>
      <w:r/>
      <w:bookmarkStart w:id="736" w:name="_Toc150480792"/>
      <w:r/>
      <w:bookmarkStart w:id="737" w:name="_Toc305158822"/>
      <w:r/>
      <w:bookmarkStart w:id="738" w:name="_Toc353825544"/>
      <w:r/>
      <w:bookmarkStart w:id="739" w:name="_Toc127151554"/>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992"/>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本项目不接受联合体投标时，投标人不得为联合体。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741"/>
      <w:r/>
      <w:bookmarkStart w:id="744" w:name="_Toc353825550"/>
      <w:r/>
      <w:bookmarkStart w:id="745" w:name="_Toc127161490"/>
      <w:r/>
      <w:bookmarkStart w:id="746" w:name="_Toc226965858"/>
      <w:r/>
      <w:bookmarkStart w:id="747" w:name="_Toc127151779"/>
      <w:r/>
      <w:bookmarkStart w:id="748"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1" w:name="_Toc164229236"/>
      <w:r/>
      <w:bookmarkStart w:id="752" w:name="_Toc150480779"/>
      <w:r/>
      <w:bookmarkStart w:id="753" w:name="_Toc305158883"/>
      <w:r/>
      <w:bookmarkStart w:id="754" w:name="_Toc164608655"/>
      <w:r/>
      <w:bookmarkStart w:id="755" w:name="_Toc127151541"/>
      <w:r/>
      <w:bookmarkStart w:id="756" w:name="_Toc151193639"/>
      <w:r/>
      <w:bookmarkStart w:id="757" w:name="_Toc226337237"/>
      <w:r/>
      <w:bookmarkStart w:id="758" w:name="_Toc195842906"/>
      <w:r/>
      <w:bookmarkStart w:id="759" w:name="_Toc164608810"/>
      <w:r/>
      <w:bookmarkStart w:id="760" w:name="_Toc226309785"/>
      <w:r/>
      <w:bookmarkStart w:id="761" w:name="_Toc142311043"/>
      <w:r/>
      <w:bookmarkStart w:id="762" w:name="_Toc127161455"/>
      <w:r/>
      <w:bookmarkStart w:id="763" w:name="_Toc305158809"/>
      <w:r/>
      <w:bookmarkStart w:id="764" w:name="_Toc226965814"/>
      <w:r/>
      <w:bookmarkStart w:id="765" w:name="_Toc226965731"/>
      <w:r/>
      <w:bookmarkStart w:id="766" w:name="_Toc353825551"/>
      <w:r/>
      <w:bookmarkStart w:id="767" w:name="_Toc353873941"/>
      <w:r/>
      <w:bookmarkStart w:id="768" w:name="_Toc265228379"/>
      <w:r/>
      <w:bookmarkStart w:id="769" w:name="_Toc150774641"/>
      <w:r/>
      <w:bookmarkStart w:id="770" w:name="_Toc151193783"/>
      <w:r/>
      <w:bookmarkStart w:id="771" w:name="_Toc150509292"/>
      <w:r/>
      <w:bookmarkStart w:id="772" w:name="_Toc127151742"/>
      <w:r/>
      <w:bookmarkStart w:id="773" w:name="_Toc151190168"/>
      <w:r/>
      <w:bookmarkStart w:id="774" w:name="_Toc264969231"/>
      <w:r/>
      <w:bookmarkStart w:id="775" w:name="_Toc164351635"/>
      <w:r/>
      <w:bookmarkStart w:id="776" w:name="_Toc151193711"/>
      <w:r/>
      <w:bookmarkStart w:id="777" w:name="_Toc149720834"/>
      <w:r/>
      <w:bookmarkStart w:id="778" w:name="_Toc151193855"/>
      <w:r/>
      <w:bookmarkStart w:id="779" w:name="_Toc164229382"/>
      <w:r/>
      <w:bookmarkStart w:id="780" w:name="_Toc150774746"/>
      <w:r/>
      <w:bookmarkStart w:id="781" w:name="_Toc151193929"/>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608815"/>
      <w:r/>
      <w:bookmarkStart w:id="784" w:name="_Toc164351640"/>
      <w:r/>
      <w:bookmarkStart w:id="785" w:name="_Toc164229387"/>
      <w:r/>
      <w:bookmarkStart w:id="786" w:name="_Toc151193644"/>
      <w:r/>
      <w:bookmarkStart w:id="787" w:name="_Toc127151546"/>
      <w:r/>
      <w:bookmarkStart w:id="788" w:name="_Toc226965736"/>
      <w:r/>
      <w:bookmarkStart w:id="789" w:name="_Toc150480784"/>
      <w:r/>
      <w:bookmarkStart w:id="790" w:name="_Toc226309790"/>
      <w:r/>
      <w:bookmarkStart w:id="791" w:name="_Toc151193860"/>
      <w:r/>
      <w:bookmarkStart w:id="792" w:name="_Toc226965819"/>
      <w:r/>
      <w:bookmarkStart w:id="793" w:name="_Toc151193716"/>
      <w:r/>
      <w:bookmarkStart w:id="794" w:name="_Toc150774646"/>
      <w:r/>
      <w:bookmarkStart w:id="795" w:name="_Toc264969236"/>
      <w:r/>
      <w:bookmarkStart w:id="796" w:name="_Toc195842911"/>
      <w:r/>
      <w:bookmarkStart w:id="797" w:name="_Toc150774751"/>
      <w:r/>
      <w:bookmarkStart w:id="798" w:name="_Toc164608660"/>
      <w:r/>
      <w:bookmarkStart w:id="799" w:name="_Toc149720839"/>
      <w:r/>
      <w:bookmarkStart w:id="800" w:name="_Toc151190173"/>
      <w:r/>
      <w:bookmarkStart w:id="801" w:name="_Toc127151747"/>
      <w:r/>
      <w:bookmarkStart w:id="802" w:name="_Toc150509297"/>
      <w:r/>
      <w:bookmarkStart w:id="803" w:name="_Toc305158888"/>
      <w:r/>
      <w:bookmarkStart w:id="804" w:name="_Toc226337242"/>
      <w:r/>
      <w:bookmarkStart w:id="805" w:name="_Toc265228384"/>
      <w:r/>
      <w:bookmarkStart w:id="806" w:name="_Toc164229241"/>
      <w:r/>
      <w:bookmarkStart w:id="807" w:name="_Toc151193934"/>
      <w:r/>
      <w:bookmarkStart w:id="808" w:name="_Toc127161460"/>
      <w:r/>
      <w:bookmarkStart w:id="809" w:name="_Toc142311048"/>
      <w:r/>
      <w:bookmarkStart w:id="810" w:name="_Toc305158814"/>
      <w:r/>
      <w:bookmarkStart w:id="811" w:name="_Toc151193788"/>
      <w:r/>
      <w:bookmarkStart w:id="812" w:name="_Ref467307010"/>
      <w:r/>
      <w:bookmarkStart w:id="813" w:name="_Toc52035617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371"/>
        <w:gridCol w:w="883"/>
        <w:gridCol w:w="3612"/>
        <w:gridCol w:w="2584"/>
      </w:tblGrid>
      <w:tr>
        <w:trPr>
          <w:trHeight w:val="170"/>
        </w:trPr>
        <w:tc>
          <w:tcPr>
            <w:tcW w:w="451"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91"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1</w:t>
            </w:r>
            <w:r>
              <w:rPr>
                <w:rFonts w:hint="eastAsia" w:ascii="宋体" w:hAnsi="宋体" w:cs="宋体"/>
                <w:b/>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391"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ascii="宋体" w:hAnsi="宋体" w:cs="宋体"/>
                <w:color w:val="000000"/>
                <w:sz w:val="24"/>
                <w:highlight w:val="none"/>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2.1</w:t>
            </w:r>
            <w:r>
              <w:rPr>
                <w:rFonts w:ascii="宋体" w:hAnsi="宋体" w:cs="宋体"/>
                <w:color w:val="000000"/>
                <w:sz w:val="24"/>
                <w:highlight w:val="none"/>
                <w:lang w:bidi="ar"/>
              </w:rPr>
            </w:r>
            <w:r/>
          </w:p>
        </w:tc>
        <w:tc>
          <w:tcPr>
            <w:tcW w:w="738"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方案内容全面，详细合理，针对性强，技术保障措施完善，得5分；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方案内容较全面合理，针对性一般，技术保障措施较为完善，得3分；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spacing w:line="360" w:lineRule="exact"/>
              <w:widowControl/>
              <w:rPr>
                <w:rFonts w:hint="eastAsia" w:ascii="宋体" w:hAnsi="宋体" w:cs="宋体"/>
                <w:color w:val="000000"/>
                <w:sz w:val="24"/>
                <w:highlight w:val="none"/>
                <w:lang w:bidi="ar"/>
              </w:rPr>
            </w:pPr>
            <w:r>
              <w:rPr>
                <w:rFonts w:hint="eastAsia" w:ascii="宋体" w:hAnsi="宋体" w:cs="宋体"/>
                <w:color w:val="000000"/>
                <w:szCs w:val="21"/>
                <w:highlight w:val="none"/>
              </w:rPr>
              <w:t xml:space="preserve">2.2</w:t>
            </w:r>
            <w:r>
              <w:rPr>
                <w:rFonts w:hint="eastAsia" w:ascii="宋体" w:hAnsi="宋体" w:cs="宋体"/>
                <w:color w:val="000000"/>
                <w:sz w:val="24"/>
                <w:highlight w:val="none"/>
                <w:lang w:bidi="ar"/>
              </w:rPr>
            </w:r>
            <w:r/>
          </w:p>
        </w:tc>
        <w:tc>
          <w:tcPr>
            <w:tcW w:w="738"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运输安装调试方案</w:t>
            </w:r>
            <w:r>
              <w:rPr>
                <w:rFonts w:hint="eastAsia" w:ascii="宋体" w:hAnsi="宋体" w:cs="宋体"/>
                <w:color w:val="000000"/>
                <w:sz w:val="24"/>
                <w:highlight w:val="none"/>
                <w:lang w:bidi="ar"/>
              </w:rPr>
            </w:r>
            <w:r/>
          </w:p>
        </w:tc>
        <w:tc>
          <w:tcPr>
            <w:tcW w:w="475" w:type="dxa"/>
            <w:vAlign w:val="center"/>
            <w:textDirection w:val="lrTb"/>
            <w:noWrap w:val="false"/>
          </w:tcPr>
          <w:p>
            <w:pPr>
              <w:pStyle w:val="1070"/>
              <w:jc w:val="center"/>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lang w:bidi="ar"/>
              </w:rPr>
            </w:r>
            <w:r/>
          </w:p>
        </w:tc>
        <w:tc>
          <w:tcPr>
            <w:tcW w:w="1944"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方案内容全面，详细合理，针对性强，技术保障措施完善，得5分；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方案内容较全面合理，针对性一般，技术保障措施较为完善，得3分；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方案内容简单，未突出重点，技术保障措施一般，得1分；</w:t>
            </w:r>
            <w:r>
              <w:rPr>
                <w:rFonts w:hint="eastAsia" w:ascii="宋体" w:hAnsi="宋体" w:cs="宋体"/>
                <w:color w:val="000000"/>
                <w:sz w:val="24"/>
                <w:highlight w:val="none"/>
                <w:lang w:bidi="ar"/>
              </w:rPr>
            </w:r>
            <w:r/>
          </w:p>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未提供的不得分。</w:t>
            </w:r>
            <w:r>
              <w:rPr>
                <w:rFonts w:hint="eastAsia" w:ascii="宋体" w:hAnsi="宋体" w:cs="宋体"/>
                <w:color w:val="000000"/>
                <w:sz w:val="24"/>
                <w:highlight w:val="none"/>
                <w:lang w:bidi="ar"/>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738"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产品质量保障方案</w:t>
            </w:r>
            <w:r>
              <w:rPr>
                <w:rFonts w:hint="eastAsia"/>
                <w:color w:val="000000"/>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投标人提供产品质量保障方案，包括货物质量保证、货物检验标准、货物来源渠道等。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2.4</w:t>
            </w:r>
            <w:r>
              <w:rPr>
                <w:rFonts w:ascii="宋体" w:hAnsi="宋体" w:cs="宋体"/>
                <w:color w:val="000000"/>
                <w:sz w:val="24"/>
                <w:highlight w:val="none"/>
                <w:lang w:bidi="ar"/>
              </w:rPr>
            </w:r>
            <w:r/>
          </w:p>
        </w:tc>
        <w:tc>
          <w:tcPr>
            <w:tcW w:w="738"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投标人培训方案情况比较：包括培训计划的内容、方式、时间、人次数等。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培训方案详细具体，可行性高，优于项目需求的得5分；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培训方案较为详细具体，可行性较高，满足项目需求的得3分；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培训方案不够详细具体，可行性较低，不能完全满足项目需求的得1分；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2.5</w:t>
            </w:r>
            <w:r>
              <w:rPr>
                <w:rFonts w:ascii="宋体" w:hAnsi="宋体" w:cs="宋体"/>
                <w:color w:val="000000"/>
                <w:sz w:val="24"/>
                <w:highlight w:val="none"/>
                <w:lang w:bidi="ar"/>
              </w:rPr>
            </w:r>
            <w:r/>
          </w:p>
        </w:tc>
        <w:tc>
          <w:tcPr>
            <w:tcW w:w="738"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供应商针对本项目制定售后服务管理体系方案，包括售后服务人员、服务机制、响应时间、故障解决等。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方案详细，可操作性强，完全满足项目需要的，得5分；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方案较详细，可操作性较强，基本满足项目需求，略有欠缺需要完善的，得3分；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方案不够详细，可操作性一般，不能较好满足项目需要的</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得1分；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lang w:bidi="ar"/>
              </w:rPr>
            </w:r>
            <w:r/>
          </w:p>
        </w:tc>
        <w:tc>
          <w:tcPr>
            <w:tcW w:w="738"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质保期满后的维修成本方案</w:t>
            </w:r>
            <w:r>
              <w:rPr>
                <w:rFonts w:hint="eastAsia"/>
                <w:color w:val="000000"/>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质保期满后的维修成本方案，包括出保后全保的价格、设备配件价格、维修（技术）服务费、维修完成时间、维修质量的保障措施等：</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2.7</w:t>
            </w:r>
            <w:r>
              <w:rPr>
                <w:rFonts w:ascii="宋体" w:hAnsi="宋体" w:cs="宋体"/>
                <w:color w:val="000000"/>
                <w:sz w:val="24"/>
                <w:highlight w:val="none"/>
                <w:lang w:bidi="ar"/>
              </w:rPr>
            </w:r>
            <w:r/>
          </w:p>
        </w:tc>
        <w:tc>
          <w:tcPr>
            <w:tcW w:w="738" w:type="dxa"/>
            <w:vAlign w:val="center"/>
            <w:textDirection w:val="lrTb"/>
            <w:noWrap w:val="false"/>
          </w:tcPr>
          <w:p>
            <w:pPr>
              <w:pStyle w:val="1131"/>
              <w:jc w:val="center"/>
              <w:spacing w:before="0" w:beforeAutospacing="0" w:after="0" w:afterAutospacing="0" w:line="360" w:lineRule="exact"/>
              <w:widowControl w:val="off"/>
              <w:rPr>
                <w:color w:val="000000"/>
                <w:highlight w:val="none"/>
              </w:rPr>
            </w:pPr>
            <w:r>
              <w:rPr>
                <w:color w:val="000000"/>
                <w:highlight w:val="none"/>
              </w:rPr>
              <w:t xml:space="preserve">投标设备整体配置</w:t>
            </w:r>
            <w:r>
              <w:rPr>
                <w:color w:val="000000"/>
                <w:highlight w:val="none"/>
              </w:rPr>
            </w:r>
            <w:r/>
          </w:p>
          <w:p>
            <w:pPr>
              <w:pStyle w:val="1131"/>
              <w:jc w:val="center"/>
              <w:spacing w:before="0" w:beforeAutospacing="0" w:after="0" w:afterAutospacing="0" w:line="360" w:lineRule="exact"/>
              <w:widowControl w:val="off"/>
              <w:rPr>
                <w:color w:val="000000"/>
                <w:highlight w:val="none"/>
              </w:rPr>
            </w:pPr>
            <w:r>
              <w:rPr>
                <w:color w:val="000000"/>
                <w:highlight w:val="none"/>
              </w:rPr>
              <w:t xml:space="preserve">情况比较</w:t>
            </w:r>
            <w:r>
              <w:rPr>
                <w:color w:val="000000"/>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根据所投标产品性能稳定性、质量可靠性等方面进行综合评审：</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投标产品性能稳定、质量可靠的，得3分；性能稳定性、质量可靠性较高的，得2分；性能稳定性差、质量可靠性低的，得1分。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37</w:t>
            </w:r>
            <w:r>
              <w:rPr>
                <w:rFonts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28</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28</w:t>
            </w:r>
            <w:r>
              <w:rPr>
                <w:rFonts w:hint="eastAsia" w:ascii="宋体" w:hAnsi="宋体" w:cs="宋体"/>
                <w:color w:val="000000"/>
                <w:sz w:val="24"/>
                <w:highlight w:val="none"/>
                <w:lang w:bidi="ar"/>
              </w:rPr>
              <w:t xml:space="preserve">分；采购技术要求中带“★”参数为实质性要求，必须响应并满足，否则投标无效；采购技术要求中带“▲”参数为重要参数，每有一项负偏离的，扣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t xml:space="preserve">采购技术要求中</w:t>
            </w:r>
            <w:r>
              <w:rPr>
                <w:rFonts w:hint="eastAsia" w:ascii="宋体" w:hAnsi="宋体" w:cs="宋体"/>
                <w:bCs/>
                <w:color w:val="000000"/>
                <w:sz w:val="24"/>
                <w:highlight w:val="none"/>
                <w:lang w:bidi="ar"/>
              </w:rPr>
              <w:t xml:space="preserve">标“■”的参数</w:t>
            </w:r>
            <w:r>
              <w:rPr>
                <w:rFonts w:hint="eastAsia" w:ascii="宋体" w:hAnsi="宋体" w:cs="宋体"/>
                <w:color w:val="000000"/>
                <w:sz w:val="24"/>
                <w:highlight w:val="none"/>
                <w:lang w:bidi="ar"/>
              </w:rPr>
              <w:t xml:space="preserve">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t xml:space="preserve">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b/>
                <w:color w:val="000000"/>
                <w:sz w:val="24"/>
                <w:highlight w:val="none"/>
                <w:lang w:eastAsia="zh-CN"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eastAsia="zh-CN" w:bidi="ar"/>
              </w:rPr>
            </w:r>
            <w:r/>
          </w:p>
          <w:p>
            <w:pPr>
              <w:pStyle w:val="1070"/>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bCs w:val="0"/>
                <w:color w:val="000000"/>
                <w:sz w:val="24"/>
                <w:highlight w:val="none"/>
                <w:lang w:val="en-US" w:eastAsia="zh-CN" w:bidi="ar"/>
              </w:rPr>
              <w:t xml:space="preserve">其中标注为“■”的参数，须以演示内容验证是否满足要求（如为PPT、WORD、图片或动画等非系统演示的不得分）</w:t>
            </w:r>
            <w:r>
              <w:rPr>
                <w:rFonts w:hint="eastAsia" w:ascii="宋体" w:hAnsi="宋体" w:cs="宋体"/>
                <w:b/>
                <w:bCs w:val="0"/>
                <w:color w:val="000000"/>
                <w:sz w:val="24"/>
                <w:highlight w:val="none"/>
                <w:lang w:eastAsia="zh-CN" w:bidi="ar"/>
              </w:rPr>
              <w:t xml:space="preserve">；</w:t>
            </w:r>
            <w:r>
              <w:rPr>
                <w:rFonts w:hint="eastAsia" w:ascii="宋体" w:hAnsi="宋体" w:cs="宋体"/>
                <w:b/>
                <w:color w:val="000000"/>
                <w:sz w:val="24"/>
                <w:highlight w:val="none"/>
                <w:lang w:bidi="ar"/>
              </w:rPr>
              <w:t xml:space="preserve">未提供或提供的证明材料不符合要求视为负偏离。 </w:t>
            </w:r>
            <w:r>
              <w:rPr>
                <w:rFonts w:ascii="宋体" w:hAnsi="宋体" w:cs="宋体"/>
                <w:b/>
                <w:color w:val="000000"/>
                <w:sz w:val="24"/>
                <w:highlight w:val="none"/>
                <w:lang w:bidi="ar"/>
              </w:rPr>
            </w:r>
            <w:r/>
          </w:p>
          <w:p>
            <w:pPr>
              <w:pStyle w:val="1070"/>
              <w:spacing w:line="360" w:lineRule="auto"/>
              <w:widowControl/>
              <w:tabs>
                <w:tab w:val="left" w:pos="1200" w:leader="none"/>
              </w:tabs>
              <w:rPr>
                <w:rFonts w:ascii="宋体" w:hAnsi="宋体" w:eastAsia="宋体" w:cs="宋体"/>
                <w:b/>
                <w:color w:val="000000"/>
                <w:sz w:val="24"/>
                <w:highlight w:val="none"/>
                <w:lang w:val="en-US" w:eastAsia="zh-CN" w:bidi="ar"/>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ascii="宋体" w:hAnsi="宋体" w:eastAsia="宋体" w:cs="宋体"/>
                <w:b/>
                <w:color w:val="000000"/>
                <w:sz w:val="24"/>
                <w:highlight w:val="none"/>
                <w:lang w:val="en-US" w:eastAsia="zh-CN" w:bidi="ar"/>
              </w:rPr>
            </w:r>
            <w:r/>
          </w:p>
        </w:tc>
      </w:tr>
      <w:tr>
        <w:trPr>
          <w:trHeight w:val="170"/>
        </w:trPr>
        <w:tc>
          <w:tcPr>
            <w:tcW w:w="451" w:type="dxa"/>
            <w:vAlign w:val="center"/>
            <w:textDirection w:val="lrTb"/>
            <w:noWrap w:val="false"/>
          </w:tcPr>
          <w:p>
            <w:pPr>
              <w:pStyle w:val="1070"/>
              <w:jc w:val="lef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3.2</w:t>
            </w:r>
            <w:r>
              <w:rPr>
                <w:rFonts w:hint="eastAsia" w:ascii="宋体" w:hAnsi="宋体" w:eastAsia="宋体" w:cs="宋体"/>
                <w:color w:val="000000"/>
                <w:sz w:val="24"/>
                <w:highlight w:val="none"/>
                <w:lang w:val="en-US" w:eastAsia="zh-CN"/>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b/>
                <w:color w:val="000000"/>
                <w:highlight w:val="none"/>
              </w:rPr>
            </w:pPr>
            <w:r/>
            <w:bookmarkStart w:id="814" w:name="OLE_LINK22"/>
            <w:r>
              <w:rPr>
                <w:rFonts w:hint="eastAsia"/>
                <w:color w:val="000000"/>
                <w:highlight w:val="none"/>
                <w:lang w:bidi="ar"/>
              </w:rPr>
              <w:t xml:space="preserve">提供</w:t>
            </w:r>
            <w:r>
              <w:rPr>
                <w:rFonts w:hint="eastAsia"/>
                <w:b/>
                <w:bCs/>
                <w:color w:val="000000"/>
                <w:highlight w:val="none"/>
                <w:lang w:bidi="ar"/>
              </w:rPr>
              <w:t xml:space="preserve">投标人</w:t>
            </w:r>
            <w:r>
              <w:rPr>
                <w:rFonts w:hint="eastAsia"/>
                <w:b/>
                <w:bCs/>
                <w:color w:val="000000"/>
                <w:highlight w:val="none"/>
                <w:lang w:val="zh-CN" w:bidi="ar"/>
              </w:rPr>
              <w:t xml:space="preserve">或者制造商(含制造商其他代理商)</w:t>
            </w:r>
            <w:r>
              <w:rPr>
                <w:rFonts w:hint="eastAsia"/>
                <w:color w:val="000000"/>
                <w:highlight w:val="none"/>
                <w:lang w:bidi="ar"/>
              </w:rPr>
              <w:t xml:space="preserve">自2023年1月1日以来在国内的销售合同</w:t>
            </w:r>
            <w:r>
              <w:rPr>
                <w:rFonts w:hint="eastAsia"/>
                <w:b/>
                <w:color w:val="000000"/>
                <w:highlight w:val="none"/>
                <w:lang w:bidi="ar"/>
              </w:rPr>
              <w:t xml:space="preserve">（合同内产品必须与投标产品为同品牌同型号）</w:t>
            </w:r>
            <w:r>
              <w:rPr>
                <w:rFonts w:hint="eastAsia"/>
                <w:color w:val="000000"/>
                <w:highlight w:val="none"/>
                <w:lang w:bidi="ar"/>
              </w:rPr>
              <w:t xml:space="preserve">，每提供一份有效合同得1分，最多得2分。</w:t>
            </w:r>
            <w:bookmarkEnd w:id="814"/>
            <w:r>
              <w:rPr>
                <w:rFonts w:hint="eastAsia"/>
                <w:b/>
                <w:color w:val="000000"/>
                <w:highlight w:val="none"/>
              </w:rPr>
            </w:r>
            <w:r/>
          </w:p>
        </w:tc>
        <w:tc>
          <w:tcPr>
            <w:tcW w:w="1391" w:type="dxa"/>
            <w:vAlign w:val="center"/>
            <w:textDirection w:val="lrTb"/>
            <w:noWrap w:val="false"/>
          </w:tcPr>
          <w:p>
            <w:pPr>
              <w:pStyle w:val="1131"/>
              <w:spacing w:before="0" w:beforeAutospacing="0" w:after="0" w:afterAutospacing="0" w:line="360" w:lineRule="exact"/>
              <w:widowControl w:val="off"/>
              <w:rPr>
                <w:rFonts w:hint="eastAsia"/>
                <w:b/>
                <w:bCs/>
                <w:color w:val="000000"/>
                <w:highlight w:val="none"/>
                <w:lang w:bidi="ar"/>
              </w:rPr>
            </w:pPr>
            <w:r>
              <w:rPr>
                <w:rFonts w:hint="eastAsia"/>
                <w:b/>
                <w:bCs/>
                <w:color w:val="000000"/>
                <w:highlight w:val="none"/>
                <w:lang w:bidi="ar"/>
              </w:rPr>
              <w:t xml:space="preserve">1、提供合同复印件；</w:t>
            </w:r>
            <w:r>
              <w:rPr>
                <w:rFonts w:hint="eastAsia"/>
                <w:b/>
                <w:bCs/>
                <w:color w:val="000000"/>
                <w:highlight w:val="none"/>
                <w:lang w:bidi="ar"/>
              </w:rPr>
            </w:r>
            <w:r/>
          </w:p>
          <w:p>
            <w:pPr>
              <w:pStyle w:val="1131"/>
              <w:spacing w:before="0" w:beforeAutospacing="0" w:after="0" w:afterAutospacing="0" w:line="360" w:lineRule="exact"/>
              <w:widowControl w:val="off"/>
              <w:rPr>
                <w:rFonts w:hint="eastAsia"/>
                <w:b/>
                <w:bCs/>
                <w:color w:val="000000"/>
                <w:highlight w:val="none"/>
                <w:lang w:bidi="ar"/>
              </w:rPr>
            </w:pPr>
            <w:r>
              <w:rPr>
                <w:rFonts w:hint="eastAsia"/>
                <w:b/>
                <w:bCs/>
                <w:color w:val="000000"/>
                <w:highlight w:val="none"/>
                <w:lang w:bidi="ar"/>
              </w:rPr>
              <w:t xml:space="preserve">2、时间以合同签订时间为准；</w:t>
            </w:r>
            <w:r>
              <w:rPr>
                <w:rFonts w:hint="eastAsia"/>
                <w:b/>
                <w:bCs/>
                <w:color w:val="000000"/>
                <w:highlight w:val="none"/>
                <w:lang w:bidi="ar"/>
              </w:rPr>
            </w:r>
            <w:r/>
          </w:p>
          <w:p>
            <w:pPr>
              <w:pStyle w:val="1131"/>
              <w:spacing w:before="0" w:beforeAutospacing="0" w:after="0" w:afterAutospacing="0" w:line="360" w:lineRule="exact"/>
              <w:widowControl w:val="off"/>
              <w:rPr>
                <w:rFonts w:hint="eastAsia"/>
                <w:color w:val="000000"/>
                <w:highlight w:val="none"/>
                <w:lang w:bidi="ar"/>
              </w:rPr>
            </w:pPr>
            <w:r>
              <w:rPr>
                <w:rFonts w:hint="eastAsia"/>
                <w:b/>
                <w:bCs/>
                <w:color w:val="000000"/>
                <w:highlight w:val="none"/>
                <w:lang w:bidi="ar"/>
              </w:rPr>
              <w:t xml:space="preserve">3、合同甲方应为最终实际使用合同标的的一方。</w:t>
            </w:r>
            <w:r>
              <w:rPr>
                <w:rFonts w:hint="eastAsia"/>
                <w:color w:val="000000"/>
                <w:highlight w:val="none"/>
                <w:lang w:bidi="ar"/>
              </w:rPr>
            </w:r>
            <w:r/>
          </w:p>
        </w:tc>
      </w:tr>
      <w:tr>
        <w:trPr>
          <w:trHeight w:val="170"/>
        </w:trPr>
        <w:tc>
          <w:tcPr>
            <w:tcW w:w="451" w:type="dxa"/>
            <w:vAlign w:val="center"/>
            <w:textDirection w:val="lrTb"/>
            <w:noWrap w:val="false"/>
          </w:tcPr>
          <w:p>
            <w:pPr>
              <w:pStyle w:val="1070"/>
              <w:jc w:val="left"/>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ascii="宋体" w:hAnsi="宋体" w:eastAsia="宋体" w:cs="宋体"/>
                <w:color w:val="000000"/>
                <w:sz w:val="24"/>
                <w:highlight w:val="none"/>
                <w:lang w:val="en-US" w:eastAsia="zh-CN" w:bidi="ar"/>
              </w:rPr>
            </w:r>
            <w:r/>
          </w:p>
        </w:tc>
        <w:tc>
          <w:tcPr>
            <w:tcW w:w="738"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综合实力</w:t>
            </w:r>
            <w:r>
              <w:rPr>
                <w:rFonts w:ascii="宋体" w:hAnsi="宋体" w:eastAsia="宋体" w:cs="宋体"/>
                <w:color w:val="000000"/>
                <w:sz w:val="24"/>
                <w:highlight w:val="none"/>
                <w:lang w:val="en-US" w:eastAsia="zh-CN" w:bidi="ar"/>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w:t>
            </w:r>
            <w:r>
              <w:rPr>
                <w:rFonts w:ascii="宋体" w:hAnsi="宋体" w:eastAsia="宋体" w:cs="宋体"/>
                <w:color w:val="000000"/>
                <w:sz w:val="24"/>
                <w:highlight w:val="none"/>
                <w:lang w:val="en-US" w:eastAsia="zh-CN" w:bidi="ar"/>
              </w:rPr>
            </w:r>
            <w:r/>
          </w:p>
        </w:tc>
        <w:tc>
          <w:tcPr>
            <w:tcW w:w="1944" w:type="dxa"/>
            <w:vAlign w:val="center"/>
            <w:textDirection w:val="lrTb"/>
            <w:noWrap w:val="false"/>
          </w:tcPr>
          <w:p>
            <w:pPr>
              <w:pStyle w:val="1131"/>
              <w:spacing w:before="0" w:beforeAutospacing="0" w:after="0" w:afterAutospacing="0" w:line="360" w:lineRule="exact"/>
              <w:widowControl w:val="off"/>
              <w:rPr>
                <w:rFonts w:ascii="宋体" w:hAnsi="宋体" w:eastAsia="宋体" w:cs="宋体"/>
                <w:color w:val="000000"/>
                <w:highlight w:val="none"/>
                <w:lang w:val="en-US" w:eastAsia="zh-CN" w:bidi="ar"/>
              </w:rPr>
            </w:pPr>
            <w:r>
              <w:rPr>
                <w:rFonts w:hint="eastAsia" w:eastAsia="宋体" w:cs="宋体"/>
                <w:color w:val="000000"/>
                <w:highlight w:val="none"/>
                <w:lang w:val="en-US" w:eastAsia="zh-CN" w:bidi="ar"/>
              </w:rPr>
              <w:t xml:space="preserve">所投设备配备的软件具有软件著作权证书的，得2分。</w:t>
            </w:r>
            <w:r>
              <w:rPr>
                <w:rFonts w:ascii="宋体" w:hAnsi="宋体" w:eastAsia="宋体" w:cs="宋体"/>
                <w:color w:val="000000"/>
                <w:highlight w:val="none"/>
                <w:lang w:val="en-US" w:eastAsia="zh-CN" w:bidi="ar"/>
              </w:rPr>
            </w:r>
            <w:r/>
          </w:p>
        </w:tc>
        <w:tc>
          <w:tcPr>
            <w:tcW w:w="1391" w:type="dxa"/>
            <w:vAlign w:val="center"/>
            <w:textDirection w:val="lrTb"/>
            <w:noWrap w:val="false"/>
          </w:tcPr>
          <w:p>
            <w:pPr>
              <w:pStyle w:val="1131"/>
              <w:spacing w:before="0" w:beforeAutospacing="0" w:after="0" w:afterAutospacing="0" w:line="360" w:lineRule="exact"/>
              <w:widowControl w:val="off"/>
              <w:rPr>
                <w:rFonts w:ascii="宋体" w:hAnsi="宋体" w:eastAsia="宋体" w:cs="宋体"/>
                <w:color w:val="000000"/>
                <w:highlight w:val="none"/>
                <w:lang w:val="en-US" w:eastAsia="zh-CN" w:bidi="ar"/>
              </w:rPr>
            </w:pPr>
            <w:r>
              <w:rPr>
                <w:rFonts w:hint="eastAsia" w:eastAsia="宋体" w:cs="宋体"/>
                <w:color w:val="000000"/>
                <w:highlight w:val="none"/>
                <w:lang w:val="en-US" w:eastAsia="zh-CN" w:bidi="ar"/>
              </w:rPr>
              <w:t xml:space="preserve">提供证书复印件</w:t>
            </w:r>
            <w:r>
              <w:rPr>
                <w:rFonts w:ascii="宋体" w:hAnsi="宋体" w:eastAsia="宋体" w:cs="宋体"/>
                <w:color w:val="000000"/>
                <w:highlight w:val="none"/>
                <w:lang w:val="en-US" w:eastAsia="zh-CN" w:bidi="ar"/>
              </w:rPr>
            </w:r>
            <w:r/>
          </w:p>
        </w:tc>
      </w:tr>
      <w:tr>
        <w:trPr>
          <w:trHeight w:val="170"/>
        </w:trPr>
        <w:tc>
          <w:tcPr>
            <w:tcW w:w="451" w:type="dxa"/>
            <w:vAlign w:val="center"/>
            <w:textDirection w:val="lrTb"/>
            <w:noWrap w:val="false"/>
          </w:tcPr>
          <w:p>
            <w:pPr>
              <w:pStyle w:val="1070"/>
              <w:jc w:val="left"/>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3.4</w:t>
            </w:r>
            <w:r>
              <w:rPr>
                <w:rFonts w:ascii="宋体" w:hAnsi="宋体" w:eastAsia="宋体" w:cs="宋体"/>
                <w:color w:val="000000"/>
                <w:sz w:val="24"/>
                <w:highlight w:val="none"/>
                <w:lang w:val="en-US" w:eastAsia="zh-CN" w:bidi="ar"/>
              </w:rPr>
            </w:r>
            <w:r/>
          </w:p>
        </w:tc>
        <w:tc>
          <w:tcPr>
            <w:tcW w:w="738" w:type="dxa"/>
            <w:vAlign w:val="center"/>
            <w:textDirection w:val="lrTb"/>
            <w:noWrap w:val="false"/>
          </w:tcPr>
          <w:p>
            <w:pPr>
              <w:pStyle w:val="1070"/>
              <w:ind w:firstLine="28"/>
              <w:jc w:val="center"/>
              <w:rPr>
                <w:rFonts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认证证书</w:t>
            </w:r>
            <w:r>
              <w:rPr>
                <w:rFonts w:ascii="宋体" w:hAnsi="宋体" w:eastAsia="宋体" w:cs="宋体"/>
                <w:color w:val="000000"/>
                <w:sz w:val="24"/>
                <w:szCs w:val="24"/>
                <w:highlight w:val="none"/>
                <w:lang w:val="en-US" w:eastAsia="zh-CN" w:bidi="ar"/>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highlight w:val="none"/>
                <w:lang w:val="en-US" w:eastAsia="zh-CN" w:bidi="ar"/>
              </w:rPr>
              <w:t xml:space="preserve">投标人或生产厂家具有有效的质量管理体系认证、医疗器械质量管理体系认证、环境管理体系认证得，每有一个得1分，本项最高得3分。</w:t>
            </w:r>
            <w:r>
              <w:rPr>
                <w:rFonts w:hint="eastAsia" w:ascii="宋体" w:hAnsi="宋体" w:eastAsia="宋体" w:cs="宋体"/>
                <w:color w:val="000000"/>
                <w:sz w:val="24"/>
                <w:szCs w:val="24"/>
                <w:highlight w:val="none"/>
                <w:lang w:val="en-US" w:eastAsia="zh-CN" w:bidi="ar"/>
              </w:rPr>
            </w:r>
            <w:r/>
          </w:p>
        </w:tc>
        <w:tc>
          <w:tcPr>
            <w:tcW w:w="1391" w:type="dxa"/>
            <w:vAlign w:val="center"/>
            <w:textDirection w:val="lrTb"/>
            <w:noWrap w:val="false"/>
          </w:tcPr>
          <w:p>
            <w:pPr>
              <w:pStyle w:val="1131"/>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highlight w:val="none"/>
                <w:lang w:bidi="ar"/>
              </w:rPr>
              <w:t xml:space="preserve">提供证书复印件及国家认证认可监督管理委员会官网查询截图并加盖供应商公章，否则不得分。</w:t>
            </w:r>
            <w:r>
              <w:rPr>
                <w:rFonts w:hint="eastAsia" w:ascii="宋体" w:hAnsi="宋体" w:eastAsia="宋体" w:cs="宋体"/>
                <w:color w:val="000000"/>
                <w:sz w:val="24"/>
                <w:szCs w:val="24"/>
                <w:highlight w:val="none"/>
                <w:lang w:val="en-US" w:eastAsia="zh-CN" w:bidi="ar"/>
              </w:rPr>
            </w:r>
            <w:r/>
          </w:p>
        </w:tc>
      </w:tr>
      <w:tr>
        <w:trPr>
          <w:trHeight w:val="170"/>
        </w:trPr>
        <w:tc>
          <w:tcPr>
            <w:tcW w:w="451" w:type="dxa"/>
            <w:vAlign w:val="center"/>
            <w:textDirection w:val="lrTb"/>
            <w:noWrap w:val="false"/>
          </w:tcPr>
          <w:p>
            <w:pPr>
              <w:pStyle w:val="1070"/>
              <w:jc w:val="lef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3.5</w:t>
            </w:r>
            <w:r>
              <w:rPr>
                <w:rFonts w:hint="eastAsia" w:ascii="宋体" w:hAnsi="宋体" w:eastAsia="宋体" w:cs="宋体"/>
                <w:color w:val="000000"/>
                <w:sz w:val="24"/>
                <w:highlight w:val="none"/>
                <w:lang w:val="en-US" w:eastAsia="zh-CN"/>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质保期</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投标产品的免费</w:t>
            </w:r>
            <w:r>
              <w:rPr>
                <w:rFonts w:hint="eastAsia"/>
                <w:color w:val="000000"/>
                <w:highlight w:val="none"/>
                <w:lang w:bidi="ar"/>
              </w:rPr>
              <w:t xml:space="preserve">质保期</w:t>
            </w:r>
            <w:r>
              <w:rPr>
                <w:rFonts w:hint="eastAsia"/>
                <w:color w:val="000000"/>
                <w:highlight w:val="none"/>
                <w:lang w:bidi="ar"/>
              </w:rPr>
              <w:t xml:space="preserve">满足招标文件要求的基础上，免费</w:t>
            </w:r>
            <w:r>
              <w:rPr>
                <w:rFonts w:hint="eastAsia"/>
                <w:color w:val="000000"/>
                <w:highlight w:val="none"/>
                <w:lang w:bidi="ar"/>
              </w:rPr>
              <w:t xml:space="preserve">质保期</w:t>
            </w:r>
            <w:r>
              <w:rPr>
                <w:rFonts w:hint="eastAsia"/>
                <w:color w:val="000000"/>
                <w:highlight w:val="none"/>
                <w:lang w:bidi="ar"/>
              </w:rPr>
              <w:t xml:space="preserve">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提供服务承诺书</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0"/>
              <w:jc w:val="lef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val="en-US" w:eastAsia="zh-CN"/>
              </w:rPr>
            </w:r>
            <w:r/>
          </w:p>
        </w:tc>
        <w:tc>
          <w:tcPr>
            <w:tcW w:w="73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391"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0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6"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0"/>
        <w:jc w:val="center"/>
        <w:spacing w:line="360" w:lineRule="auto"/>
        <w:rPr>
          <w:rFonts w:ascii="宋体" w:hAnsi="宋体" w:cs="宋体"/>
          <w:b/>
          <w:i/>
          <w:iCs/>
          <w:color w:val="000000"/>
          <w:sz w:val="24"/>
          <w:highlight w:val="none"/>
          <w:lang w:bidi="ar"/>
        </w:rPr>
      </w:pPr>
      <w:r>
        <w:rPr>
          <w:rFonts w:hint="eastAsia" w:ascii="宋体" w:hAnsi="宋体" w:cs="宋体"/>
          <w:b/>
          <w:i/>
          <w:iCs/>
          <w:color w:val="000000"/>
          <w:sz w:val="24"/>
          <w:highlight w:val="none"/>
          <w:lang w:bidi="ar"/>
        </w:rPr>
        <w:t xml:space="preserve">（标注“★”项条款为实质性要求，必须响应并满足，否则投标无效）</w:t>
      </w:r>
      <w:r>
        <w:rPr>
          <w:rFonts w:ascii="宋体" w:hAnsi="宋体" w:cs="宋体"/>
          <w:b/>
          <w:i/>
          <w:iCs/>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本项目为常州市妇幼保健院</w:t>
      </w:r>
      <w:r>
        <w:rPr>
          <w:rFonts w:hint="eastAsia" w:ascii="宋体" w:hAnsi="宋体" w:cs="宋体"/>
          <w:color w:val="000000"/>
          <w:sz w:val="24"/>
          <w:highlight w:val="none"/>
          <w:lang w:eastAsia="zh-CN" w:bidi="ar"/>
        </w:rPr>
        <w:t xml:space="preserve">全自动染色体扫描仪及分析系统</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项目整体管理方案、人员组织管理及架构设置、项目整体实施进度计划及推进方案等。②运输安装调试方案，包括但不限于设备出库、运输及货物保障、设备安装及初始化调试、设备验收检查流程等③产品质量保障方案，包括货物质量保证、货物检验标准、货物来源渠道等。④培训方案，包括培训计划的内容、方式、时间、人次数等。⑤售后服务管理体系方案，包括售后服务人员、服务机制、响应时间、故障解决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⑥质保期满后的维修成本方案，包括出保后全保的价格、设备配件价格、维修（技术）服务费、维修完成时间、维修质量的保障措施等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⑦投标设备整体配置情况比较，</w:t>
      </w:r>
      <w:r>
        <w:rPr>
          <w:rFonts w:hint="eastAsia" w:ascii="宋体" w:hAnsi="宋体" w:cs="宋体"/>
          <w:color w:val="000000"/>
          <w:sz w:val="24"/>
          <w:highlight w:val="none"/>
        </w:rPr>
        <w:t xml:space="preserve">投标产品性能稳定性、质量可靠性等。</w:t>
      </w:r>
      <w:r>
        <w:rPr>
          <w:rFonts w:hint="eastAsia" w:ascii="宋体" w:hAnsi="宋体" w:cs="宋体"/>
          <w:color w:val="000000"/>
          <w:sz w:val="24"/>
          <w:highlight w:val="none"/>
          <w:lang w:bidi="ar"/>
        </w:rPr>
      </w:r>
      <w:r/>
    </w:p>
    <w:p>
      <w:pPr>
        <w:pStyle w:val="1164"/>
        <w:contextualSpacing/>
        <w:ind w:left="-2" w:firstLine="482"/>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560"/>
        <w:gridCol w:w="1033"/>
        <w:gridCol w:w="4476"/>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全自动染色体扫描仪及分析系统</w:t>
            </w:r>
            <w:r>
              <w:rPr>
                <w:rFonts w:hint="eastAsia" w:ascii="宋体" w:hAnsi="宋体" w:eastAsia="宋体" w:cs="宋体"/>
                <w:color w:val="000000"/>
                <w:sz w:val="24"/>
                <w:highlight w:val="none"/>
                <w:lang w:eastAsia="zh-CN"/>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ascii="宋体" w:hAnsi="宋体" w:cs="宋体"/>
                <w:color w:val="000000"/>
                <w:sz w:val="24"/>
                <w:highlight w:val="none"/>
              </w:rPr>
            </w:pPr>
            <w:r>
              <w:rPr>
                <w:rFonts w:hint="eastAsia" w:ascii="宋体" w:hAnsi="宋体" w:cs="宋体"/>
                <w:color w:val="000000"/>
                <w:sz w:val="24"/>
                <w:highlight w:val="none"/>
                <w:lang w:bidi="ar"/>
              </w:rPr>
              <w:t xml:space="preserve">不接受进口产品</w:t>
            </w:r>
            <w:r>
              <w:rPr>
                <w:rFonts w:ascii="宋体" w:hAnsi="宋体" w:cs="宋体"/>
                <w:color w:val="000000"/>
                <w:sz w:val="24"/>
                <w:highlight w:val="none"/>
              </w:rPr>
            </w:r>
            <w:r/>
          </w:p>
        </w:tc>
      </w:tr>
    </w:tbl>
    <w:p>
      <w:pPr>
        <w:pStyle w:val="1164"/>
        <w:contextualSpacing/>
        <w:ind w:left="-2" w:firstLine="482"/>
        <w:jc w:val="left"/>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r>
      <w:r/>
    </w:p>
    <w:p>
      <w:pPr>
        <w:pStyle w:val="1164"/>
        <w:contextualSpacing/>
        <w:ind w:left="-2" w:firstLine="482"/>
        <w:jc w:val="left"/>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tbl>
      <w:tblPr>
        <w:tblStyle w:val="113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8527"/>
      </w:tblGrid>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招标参数</w:t>
            </w:r>
            <w:r>
              <w:rPr>
                <w:rFonts w:hint="eastAsia" w:ascii="宋体" w:hAnsi="宋体" w:eastAsia="宋体" w:cs="宋体"/>
                <w:b/>
                <w:bCs/>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具备正置生物显微镜。（需提供正置生物显微镜安装在产品上的实物照片）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b/>
                <w:bCs w:val="0"/>
                <w:i/>
                <w:iCs/>
                <w:color w:val="000000"/>
                <w:sz w:val="24"/>
                <w:szCs w:val="24"/>
                <w:highlight w:val="none"/>
                <w:vertAlign w:val="baseline"/>
                <w:lang w:val="en-US" w:eastAsia="zh-CN"/>
              </w:rPr>
            </w:pPr>
            <w:r>
              <w:rPr>
                <w:rFonts w:hint="eastAsia" w:ascii="宋体" w:hAnsi="宋体" w:eastAsia="宋体" w:cs="宋体"/>
                <w:b/>
                <w:bCs w:val="0"/>
                <w:i/>
                <w:iCs/>
                <w:color w:val="000000"/>
                <w:sz w:val="24"/>
                <w:szCs w:val="24"/>
                <w:highlight w:val="none"/>
                <w:lang w:bidi="ar"/>
              </w:rPr>
              <w:t xml:space="preserve">★</w:t>
            </w:r>
            <w:r>
              <w:rPr>
                <w:rFonts w:hint="eastAsia" w:ascii="宋体" w:hAnsi="宋体" w:eastAsia="宋体" w:cs="宋体"/>
                <w:b/>
                <w:bCs w:val="0"/>
                <w:i/>
                <w:iCs/>
                <w:color w:val="000000"/>
                <w:sz w:val="24"/>
                <w:szCs w:val="24"/>
                <w:highlight w:val="none"/>
                <w:vertAlign w:val="baseline"/>
                <w:lang w:val="en-US" w:eastAsia="zh-CN"/>
              </w:rPr>
              <w:t xml:space="preserve">2</w:t>
            </w:r>
            <w:r>
              <w:rPr>
                <w:rFonts w:hint="eastAsia" w:ascii="宋体" w:hAnsi="宋体" w:eastAsia="宋体" w:cs="宋体"/>
                <w:b/>
                <w:bCs w:val="0"/>
                <w:i/>
                <w:iCs/>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b/>
                <w:bCs w:val="0"/>
                <w:i/>
                <w:iCs/>
                <w:color w:val="000000"/>
                <w:sz w:val="24"/>
                <w:szCs w:val="24"/>
                <w:highlight w:val="none"/>
                <w:vertAlign w:val="baseline"/>
                <w:lang w:val="en-US" w:eastAsia="zh-CN"/>
              </w:rPr>
            </w:pPr>
            <w:r>
              <w:rPr>
                <w:rFonts w:hint="eastAsia" w:ascii="宋体" w:hAnsi="宋体" w:eastAsia="宋体" w:cs="宋体"/>
                <w:b/>
                <w:bCs w:val="0"/>
                <w:i/>
                <w:iCs/>
                <w:color w:val="000000"/>
                <w:sz w:val="24"/>
                <w:szCs w:val="24"/>
                <w:highlight w:val="none"/>
                <w:vertAlign w:val="baseline"/>
                <w:lang w:val="en-US" w:eastAsia="zh-CN"/>
              </w:rPr>
              <w:t xml:space="preserve">支持≥7位电动物镜转换器。</w:t>
            </w:r>
            <w:r>
              <w:rPr>
                <w:rFonts w:hint="eastAsia" w:ascii="宋体" w:hAnsi="宋体" w:eastAsia="宋体" w:cs="宋体"/>
                <w:b/>
                <w:bCs w:val="0"/>
                <w:i/>
                <w:iCs/>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多功能三目镜筒，具备三种分光模式：100%/0、20%/80%、0/100%，倾斜角度可在0-35°范围内调节。</w:t>
            </w:r>
            <w:r>
              <w:rPr>
                <w:rFonts w:hint="eastAsia" w:ascii="宋体" w:hAnsi="宋体" w:eastAsia="宋体" w:cs="宋体"/>
                <w:color w:val="000000"/>
                <w:sz w:val="24"/>
                <w:szCs w:val="24"/>
                <w:highlight w:val="none"/>
                <w:vertAlign w:val="baseline"/>
                <w:lang w:val="en-US" w:eastAsia="zh-CN"/>
              </w:rPr>
            </w:r>
            <w:r/>
          </w:p>
        </w:tc>
      </w:tr>
      <w:tr>
        <w:trPr>
          <w:trHeight w:val="9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10倍物镜数值孔径≥0.25，工作距离≥10.6mm</w:t>
            </w:r>
            <w:r>
              <w:rPr>
                <w:rFonts w:hint="eastAsia" w:ascii="宋体" w:hAnsi="宋体" w:eastAsia="宋体" w:cs="宋体"/>
                <w:color w:val="000000"/>
                <w:sz w:val="24"/>
                <w:szCs w:val="24"/>
                <w:highlight w:val="none"/>
                <w:vertAlign w:val="baseline"/>
                <w:lang w:val="en-US" w:eastAsia="zh-CN"/>
              </w:rPr>
            </w:r>
            <w:r/>
          </w:p>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100倍物镜数值孔径≥1.30，工作距离≥0.2mm</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自动进样系统，自动进样器一次性装载玻片数量≥160片以上。（需提供装载≥160片玻片的实物照片）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6</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电动载物台：单次可装载玻片数≥6片（需提供载物台可装载</w:t>
            </w:r>
            <w:r>
              <w:rPr>
                <w:rFonts w:hint="eastAsia" w:ascii="宋体" w:hAnsi="宋体" w:eastAsia="宋体" w:cs="宋体"/>
                <w:color w:val="000000"/>
                <w:sz w:val="24"/>
                <w:szCs w:val="24"/>
                <w:highlight w:val="none"/>
                <w:vertAlign w:val="baseline"/>
                <w:lang w:val="en-US" w:eastAsia="zh-CN"/>
              </w:rPr>
              <w:t xml:space="preserve">≥6</w:t>
            </w:r>
            <w:r>
              <w:rPr>
                <w:rFonts w:hint="eastAsia" w:ascii="宋体" w:hAnsi="宋体" w:eastAsia="宋体" w:cs="宋体"/>
                <w:color w:val="000000"/>
                <w:sz w:val="24"/>
                <w:szCs w:val="24"/>
                <w:highlight w:val="none"/>
                <w:vertAlign w:val="baseline"/>
                <w:lang w:val="en-US" w:eastAsia="zh-CN"/>
              </w:rPr>
              <w:t xml:space="preserve">片玻片的实物照片）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采用高精度光栅尺测量Z轴运动位置，保证长时间扫描焦距不变。（需提供产品上光栅尺测量系统的实物照片）</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扫描速度：≤5分钟/每玻片（每张玻片拍摄高清拍照50个染色体中期分裂相）</w:t>
            </w:r>
            <w:r>
              <w:rPr>
                <w:rFonts w:hint="eastAsia" w:ascii="宋体" w:hAnsi="宋体" w:eastAsia="宋体" w:cs="宋体"/>
                <w:color w:val="000000"/>
                <w:sz w:val="24"/>
                <w:szCs w:val="24"/>
                <w:highlight w:val="none"/>
                <w:vertAlign w:val="baseline"/>
                <w:lang w:val="en-US" w:eastAsia="zh-CN"/>
              </w:rPr>
              <w:br w:type="textWrapping" w:clear="all"/>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提供</w:t>
            </w:r>
            <w:r>
              <w:rPr>
                <w:rFonts w:hint="eastAsia" w:ascii="宋体" w:hAnsi="宋体" w:eastAsia="宋体" w:cs="宋体"/>
                <w:color w:val="000000"/>
                <w:sz w:val="24"/>
                <w:szCs w:val="24"/>
                <w:highlight w:val="none"/>
                <w:lang w:val="en-US" w:eastAsia="zh-CN"/>
              </w:rPr>
              <w:t xml:space="preserve">第三方机构出具的检验报告</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支持自动拟合显微对焦平面</w:t>
            </w:r>
            <w:r>
              <w:rPr>
                <w:rFonts w:hint="eastAsia" w:ascii="宋体" w:hAnsi="宋体" w:eastAsia="宋体" w:cs="宋体"/>
                <w:color w:val="000000"/>
                <w:sz w:val="24"/>
                <w:szCs w:val="24"/>
                <w:highlight w:val="none"/>
                <w:vertAlign w:val="baseline"/>
                <w:lang w:val="en-US" w:eastAsia="zh-CN"/>
              </w:rPr>
              <w:t xml:space="preserve">（提供</w:t>
            </w:r>
            <w:r>
              <w:rPr>
                <w:rFonts w:hint="eastAsia" w:ascii="宋体" w:hAnsi="宋体" w:eastAsia="宋体" w:cs="宋体"/>
                <w:color w:val="000000"/>
                <w:sz w:val="24"/>
                <w:szCs w:val="24"/>
                <w:highlight w:val="none"/>
                <w:lang w:val="en-US" w:eastAsia="zh-CN"/>
              </w:rPr>
              <w:t xml:space="preserve">第三方机构出具的检验报告</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支持运行保障，系统能够自动矫正显微系统和电机的标定参数。（提供证明材料）</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算法训练所调用的数据库来自≥3家医院</w:t>
            </w:r>
            <w:r>
              <w:rPr>
                <w:rFonts w:hint="eastAsia" w:ascii="宋体" w:hAnsi="宋体" w:eastAsia="宋体" w:cs="宋体"/>
                <w:color w:val="000000"/>
                <w:sz w:val="24"/>
                <w:szCs w:val="24"/>
                <w:highlight w:val="none"/>
                <w:vertAlign w:val="baseline"/>
                <w:lang w:val="en-US" w:eastAsia="zh-CN"/>
              </w:rPr>
            </w:r>
            <w:r/>
          </w:p>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（提供≥3家医院盖章的数据调用授权协议）</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系统经过≥3家医院临床性能和安全性验证</w:t>
            </w:r>
            <w:r>
              <w:rPr>
                <w:rFonts w:hint="eastAsia" w:ascii="宋体" w:hAnsi="宋体" w:eastAsia="宋体" w:cs="宋体"/>
                <w:color w:val="000000"/>
                <w:sz w:val="24"/>
                <w:szCs w:val="24"/>
                <w:highlight w:val="none"/>
                <w:vertAlign w:val="baseline"/>
                <w:lang w:val="en-US" w:eastAsia="zh-CN"/>
              </w:rPr>
            </w:r>
            <w:r/>
          </w:p>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（提供≥3家医院临床试验证明，并由药品监督管理局盖章）</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13</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支持将玻片上相邻视场拍摄的核型图自动拼接</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vertAlign w:val="baseline"/>
                <w:lang w:val="en-US" w:eastAsia="zh-CN"/>
              </w:rPr>
              <w:t xml:space="preserve">14</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系统内置常见异常核型知识库，支持查询染色体异常相关疾病、基因、蛋白质和预后措施等信息。系统自动将分析样本的核型与知识库中的核型匹配，提示相关异常描述。</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系统可以自定义设置自动清除不再需要的数据图像，以节约储存空间。</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支持浏览器在线分析染色体，支持专家在线审核，支持染色体核型分析在线练习与培训，支持染色体题目在线编辑功能以便于在线创建多类型题目，支持在线考核组织与管理功能以便于开展多人考核</w:t>
            </w:r>
            <w:r>
              <w:rPr>
                <w:rFonts w:hint="eastAsia" w:ascii="宋体" w:hAnsi="宋体" w:eastAsia="宋体" w:cs="宋体"/>
                <w:color w:val="000000"/>
                <w:sz w:val="24"/>
                <w:szCs w:val="24"/>
                <w:highlight w:val="none"/>
                <w:lang w:val="en-US" w:eastAsia="zh-CN"/>
              </w:rPr>
            </w:r>
            <w:r/>
          </w:p>
        </w:tc>
      </w:tr>
      <w:tr>
        <w:trPr>
          <w:trHeight w:val="289"/>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17</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系统可以为不同用户建立不同的组别，并对不同组别分配不同的数据访问权限</w:t>
            </w:r>
            <w:r>
              <w:rPr>
                <w:rFonts w:hint="eastAsia" w:ascii="宋体" w:hAnsi="宋体" w:eastAsia="宋体" w:cs="宋体"/>
                <w:color w:val="000000"/>
                <w:sz w:val="24"/>
                <w:szCs w:val="24"/>
                <w:highlight w:val="none"/>
                <w:lang w:val="en-US" w:eastAsia="zh-CN"/>
              </w:rPr>
            </w:r>
            <w:r/>
          </w:p>
        </w:tc>
      </w:tr>
      <w:tr>
        <w:trPr>
          <w:trHeight w:val="548"/>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18</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实时统计计数确认和排列确认的核型图数量，分析进度以进度条的形式直观显示（提供软件界面截图）</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19</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具备病例分配功能，支持样本分配给多个账号，每个账号仅可见被分配的样本；对于同一个样本，支持不同用户自定义不同的图像优化模式。</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支持对单条染色体或全部染色体进行优化，可以将优化效果应用到单条染色体、当前图片、当前病例或所有病例中。（提供软件界面截图）。</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自动调用10x物镜扫描，自动检查盖玻片边缘和滴水区域，进行准确、快速的对焦。</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用户可以在分析时将病例标记为需要复检，方便查找和优先分析。</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在处理核型排队时，能同时显现所处理的染色体在中期相的位置。</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软件界面支持中英文切换。</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25</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支持不同条带分辨率（G、R显带）的模式图显示。</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26</w:t>
            </w:r>
            <w:r>
              <w:rPr>
                <w:rFonts w:hint="eastAsia"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染色体分析系统具备人工智能算法（注册证上需要体现）。</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b/>
                <w:bCs w:val="0"/>
                <w:i w:val="0"/>
                <w:iCs w:val="0"/>
                <w:color w:val="000000"/>
                <w:sz w:val="24"/>
                <w:szCs w:val="24"/>
                <w:highlight w:val="none"/>
                <w:vertAlign w:val="baseline"/>
                <w:lang w:val="en-US" w:eastAsia="zh-CN"/>
              </w:rPr>
            </w:pPr>
            <w:r>
              <w:rPr>
                <w:rFonts w:hint="eastAsia" w:ascii="宋体" w:hAnsi="宋体" w:eastAsia="宋体" w:cs="宋体"/>
                <w:b/>
                <w:bCs w:val="0"/>
                <w:i w:val="0"/>
                <w:iCs w:val="0"/>
                <w:color w:val="000000"/>
                <w:sz w:val="24"/>
                <w:szCs w:val="24"/>
                <w:highlight w:val="none"/>
                <w:lang w:bidi="ar"/>
              </w:rPr>
              <w:t xml:space="preserve">★</w:t>
            </w:r>
            <w:r>
              <w:rPr>
                <w:rFonts w:hint="eastAsia" w:ascii="宋体" w:hAnsi="宋体" w:eastAsia="宋体" w:cs="宋体"/>
                <w:b/>
                <w:bCs w:val="0"/>
                <w:i/>
                <w:iCs/>
                <w:color w:val="000000"/>
                <w:sz w:val="24"/>
                <w:szCs w:val="24"/>
                <w:highlight w:val="none"/>
                <w:lang w:val="en-US" w:eastAsia="zh-CN" w:bidi="ar"/>
              </w:rPr>
              <w:t xml:space="preserve">27</w:t>
            </w:r>
            <w:r>
              <w:rPr>
                <w:rFonts w:hint="eastAsia" w:ascii="宋体" w:hAnsi="宋体" w:eastAsia="宋体" w:cs="宋体"/>
                <w:b/>
                <w:bCs w:val="0"/>
                <w:i w:val="0"/>
                <w:iCs w:val="0"/>
                <w:color w:val="000000"/>
                <w:sz w:val="24"/>
                <w:szCs w:val="24"/>
                <w:highlight w:val="none"/>
                <w:vertAlign w:val="baseline"/>
                <w:lang w:val="en-US" w:eastAsia="zh-CN"/>
              </w:rPr>
            </w:r>
            <w:r/>
          </w:p>
        </w:tc>
        <w:tc>
          <w:tcPr>
            <w:tcW w:w="4593" w:type="dxa"/>
            <w:vAlign w:val="top"/>
            <w:textDirection w:val="lrTb"/>
            <w:noWrap w:val="false"/>
          </w:tcPr>
          <w:p>
            <w:pPr>
              <w:pStyle w:val="1097"/>
              <w:rPr>
                <w:rFonts w:hint="eastAsia" w:ascii="宋体" w:hAnsi="宋体" w:eastAsia="宋体" w:cs="宋体"/>
                <w:color w:val="000000"/>
                <w:sz w:val="24"/>
                <w:szCs w:val="24"/>
                <w:highlight w:val="none"/>
                <w:lang w:val="en-US" w:eastAsia="zh-CN"/>
              </w:rPr>
            </w:pPr>
            <w:r>
              <w:rPr>
                <w:rFonts w:hint="eastAsia" w:ascii="宋体" w:hAnsi="宋体" w:eastAsia="宋体" w:cs="宋体"/>
                <w:b/>
                <w:bCs w:val="0"/>
                <w:i w:val="0"/>
                <w:iCs w:val="0"/>
                <w:color w:val="000000"/>
                <w:sz w:val="24"/>
                <w:szCs w:val="24"/>
                <w:highlight w:val="none"/>
                <w:lang w:val="en-US" w:eastAsia="zh-CN"/>
              </w:rPr>
              <w:t xml:space="preserve">本次要求配置为</w:t>
            </w:r>
            <w:r>
              <w:rPr>
                <w:rFonts w:hint="eastAsia" w:ascii="宋体" w:hAnsi="宋体" w:eastAsia="宋体" w:cs="宋体"/>
                <w:color w:val="000000"/>
                <w:sz w:val="24"/>
                <w:szCs w:val="24"/>
                <w:highlight w:val="none"/>
                <w:lang w:val="en-US" w:eastAsia="zh-CN"/>
              </w:rPr>
              <w:t xml:space="preserve">基站*1，专家工作站*7，具体要求如下：</w:t>
            </w:r>
            <w:r>
              <w:rPr>
                <w:rFonts w:hint="eastAsia" w:ascii="宋体" w:hAnsi="宋体" w:eastAsia="宋体" w:cs="宋体"/>
                <w:color w:val="000000"/>
                <w:sz w:val="24"/>
                <w:szCs w:val="24"/>
                <w:highlight w:val="none"/>
                <w:lang w:val="en-US" w:eastAsia="zh-CN"/>
              </w:rPr>
            </w:r>
            <w:r/>
          </w:p>
          <w:p>
            <w:pPr>
              <w:pStyle w:val="1097"/>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基站：</w:t>
            </w:r>
            <w:r>
              <w:rPr>
                <w:rFonts w:hint="eastAsia" w:ascii="宋体" w:hAnsi="宋体" w:eastAsia="宋体" w:cs="宋体"/>
                <w:color w:val="000000"/>
                <w:sz w:val="24"/>
                <w:szCs w:val="24"/>
                <w:highlight w:val="none"/>
                <w:vertAlign w:val="baseline"/>
                <w:lang w:val="en-US" w:eastAsia="zh-CN"/>
              </w:rPr>
              <w:t xml:space="preserve">运行内存≥32GB，固态硬盘≥512G，磁盘空间≥16TB，独立显卡（显存≥</w:t>
            </w:r>
            <w:r>
              <w:rPr>
                <w:rFonts w:ascii="宋体" w:hAnsi="宋体" w:eastAsia="宋体" w:cs="宋体"/>
                <w:color w:val="000000"/>
                <w:sz w:val="24"/>
                <w:szCs w:val="24"/>
                <w:highlight w:val="none"/>
              </w:rPr>
              <w:t xml:space="preserve">12GB</w:t>
            </w:r>
            <w:r>
              <w:rPr>
                <w:rFonts w:hint="eastAsia" w:ascii="宋体" w:hAnsi="宋体" w:eastAsia="宋体" w:cs="宋体"/>
                <w:color w:val="000000"/>
                <w:sz w:val="24"/>
                <w:szCs w:val="24"/>
                <w:highlight w:val="none"/>
                <w:vertAlign w:val="baseline"/>
                <w:lang w:val="en-US" w:eastAsia="zh-CN"/>
              </w:rPr>
              <w:t xml:space="preserve">），32位及以上操作系统，≥23寸高清显示器；</w:t>
            </w:r>
            <w:r>
              <w:rPr>
                <w:rFonts w:hint="eastAsia" w:ascii="宋体" w:hAnsi="宋体" w:eastAsia="宋体" w:cs="宋体"/>
                <w:color w:val="000000"/>
                <w:sz w:val="24"/>
                <w:szCs w:val="24"/>
                <w:highlight w:val="none"/>
                <w:vertAlign w:val="baseline"/>
                <w:lang w:val="en-US" w:eastAsia="zh-CN"/>
              </w:rPr>
            </w:r>
            <w:r/>
          </w:p>
          <w:p>
            <w:pPr>
              <w:pStyle w:val="1097"/>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专家工作站：</w:t>
            </w:r>
            <w:r>
              <w:rPr>
                <w:rFonts w:hint="eastAsia" w:ascii="宋体" w:hAnsi="宋体" w:eastAsia="宋体" w:cs="宋体"/>
                <w:color w:val="000000"/>
                <w:sz w:val="24"/>
                <w:szCs w:val="24"/>
                <w:highlight w:val="none"/>
                <w:vertAlign w:val="baseline"/>
                <w:lang w:val="en-US" w:eastAsia="zh-CN"/>
              </w:rPr>
              <w:t xml:space="preserve">内存≥16G，固态硬盘≥512G，32位及以上操作系统，≥28寸显示器，分辨率：</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3840x2160。</w:t>
            </w:r>
            <w:r>
              <w:rPr>
                <w:rFonts w:hint="eastAsia" w:ascii="宋体" w:hAnsi="宋体" w:eastAsia="宋体" w:cs="宋体"/>
                <w:color w:val="000000"/>
                <w:sz w:val="24"/>
                <w:szCs w:val="24"/>
                <w:highlight w:val="none"/>
                <w:vertAlign w:val="baseli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28</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vertAlign w:val="baseline"/>
              </w:rPr>
              <w:t xml:space="preserve">物镜螺纹符合皇家显微镜学会（RMS）的标准，同时</w:t>
            </w:r>
            <w:r>
              <w:rPr>
                <w:rFonts w:hint="eastAsia" w:ascii="宋体" w:hAnsi="宋体" w:eastAsia="宋体" w:cs="宋体"/>
                <w:color w:val="000000"/>
                <w:sz w:val="24"/>
                <w:szCs w:val="24"/>
                <w:highlight w:val="none"/>
              </w:rPr>
              <w:t xml:space="preserve">符合GB/T 22055-2022 《显微镜成像部件的连接尺寸》中RMS螺纹尺寸（螺距0.706毫米，公称直径20.32mm）</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lang w:val="en-US" w:eastAsia="zh-CN"/>
              </w:rPr>
            </w:r>
            <w:r/>
          </w:p>
        </w:tc>
      </w:tr>
      <w:tr>
        <w:trPr>
          <w:trHeight w:val="170"/>
        </w:trPr>
        <w:tc>
          <w:tcPr>
            <w:tcW w:w="406" w:type="dxa"/>
            <w:vAlign w:val="top"/>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29</w:t>
            </w:r>
            <w:r>
              <w:rPr>
                <w:rFonts w:ascii="宋体" w:hAnsi="宋体" w:eastAsia="宋体" w:cs="宋体"/>
                <w:color w:val="000000"/>
                <w:sz w:val="24"/>
                <w:szCs w:val="24"/>
                <w:highlight w:val="none"/>
                <w:vertAlign w:val="baseline"/>
                <w:lang w:val="en-US" w:eastAsia="zh-CN"/>
              </w:rPr>
            </w:r>
            <w:r/>
          </w:p>
        </w:tc>
        <w:tc>
          <w:tcPr>
            <w:tcW w:w="4593"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vertAlign w:val="baseline"/>
              </w:rPr>
              <w:t xml:space="preserve">细胞显微成像扫描相机：靶面尺寸≥1.</w:t>
            </w:r>
            <w:r>
              <w:rPr>
                <w:rFonts w:hint="eastAsia" w:ascii="宋体" w:hAnsi="宋体" w:eastAsia="宋体" w:cs="宋体"/>
                <w:color w:val="000000"/>
                <w:sz w:val="24"/>
                <w:szCs w:val="24"/>
                <w:highlight w:val="none"/>
                <w:vertAlign w:val="baseline"/>
                <w:lang w:val="en-US" w:eastAsia="zh-CN"/>
              </w:rPr>
              <w:t xml:space="preserve">0</w:t>
            </w:r>
            <w:r>
              <w:rPr>
                <w:rFonts w:hint="eastAsia" w:ascii="宋体" w:hAnsi="宋体" w:eastAsia="宋体" w:cs="宋体"/>
                <w:color w:val="000000"/>
                <w:sz w:val="24"/>
                <w:szCs w:val="24"/>
                <w:highlight w:val="none"/>
                <w:vertAlign w:val="baseline"/>
              </w:rPr>
              <w:t xml:space="preserve">''，全帧摄取图像≥700万像素，位深≥12位。</w:t>
            </w:r>
            <w:r>
              <w:rPr>
                <w:rFonts w:hint="eastAsia" w:ascii="宋体" w:hAnsi="宋体" w:eastAsia="宋体" w:cs="宋体"/>
                <w:color w:val="000000"/>
                <w:sz w:val="24"/>
                <w:szCs w:val="24"/>
                <w:highlight w:val="none"/>
                <w:lang w:val="en-US" w:eastAsia="zh-CN"/>
              </w:rPr>
            </w:r>
            <w:r/>
          </w:p>
        </w:tc>
      </w:tr>
    </w:tbl>
    <w:p>
      <w:pPr>
        <w:pStyle w:val="1070"/>
        <w:ind w:left="420"/>
        <w:jc w:val="left"/>
        <w:spacing w:line="360" w:lineRule="auto"/>
        <w:rPr>
          <w:rFonts w:hint="eastAsia" w:ascii="宋体" w:hAnsi="宋体" w:cs="宋体"/>
          <w:b/>
          <w:bCs w:val="0"/>
          <w:i/>
          <w:iCs/>
          <w:color w:val="000000"/>
          <w:sz w:val="24"/>
          <w:highlight w:val="none"/>
          <w:lang w:val="en-US" w:eastAsia="zh-CN" w:bidi="ar"/>
        </w:rPr>
      </w:pPr>
      <w:r>
        <w:rPr>
          <w:rFonts w:hint="eastAsia" w:ascii="宋体" w:hAnsi="宋体" w:cs="宋体"/>
          <w:b/>
          <w:bCs w:val="0"/>
          <w:i/>
          <w:iCs/>
          <w:color w:val="000000"/>
          <w:sz w:val="24"/>
          <w:highlight w:val="none"/>
          <w:lang w:val="en-US" w:eastAsia="zh-CN" w:bidi="ar"/>
        </w:rPr>
        <w:t xml:space="preserve">★配置要求：</w:t>
      </w:r>
      <w:r>
        <w:rPr>
          <w:rFonts w:hint="eastAsia" w:ascii="宋体" w:hAnsi="宋体" w:cs="宋体"/>
          <w:b/>
          <w:bCs w:val="0"/>
          <w:i/>
          <w:iCs/>
          <w:color w:val="000000"/>
          <w:sz w:val="24"/>
          <w:highlight w:val="none"/>
          <w:lang w:val="en-US" w:eastAsia="zh-CN" w:bidi="ar"/>
        </w:rPr>
      </w:r>
      <w:r/>
    </w:p>
    <w:tbl>
      <w:tblPr>
        <w:tblStyle w:val="11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66"/>
        <w:gridCol w:w="2050"/>
        <w:gridCol w:w="4775"/>
        <w:gridCol w:w="1597"/>
      </w:tblGrid>
      <w:tr>
        <w:trPr/>
        <w:tc>
          <w:tcPr>
            <w:tcW w:w="866"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设备名称</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设备明细</w:t>
            </w:r>
            <w:r>
              <w:rPr>
                <w:rFonts w:hint="eastAsia" w:ascii="宋体" w:hAnsi="宋体" w:cs="宋体"/>
                <w:b/>
                <w:color w:val="000000"/>
                <w:sz w:val="24"/>
                <w:highlight w:val="none"/>
                <w:vertAlign w:val="baseline"/>
                <w:lang w:val="en-US" w:eastAsia="zh-CN" w:bidi="ar"/>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数量</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1</w:t>
            </w:r>
            <w:r>
              <w:rPr>
                <w:rFonts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10 倍物镜</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1个</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2</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100 倍物镜</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1个</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3</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电动载物台</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1套</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4</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图像采集系统</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高清 CMOS 摄像头，</w:t>
            </w: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t xml:space="preserve">710W 像素</w:t>
            </w:r>
            <w:r>
              <w:rPr>
                <w:rFonts w:hint="eastAsia" w:ascii="宋体" w:hAnsi="宋体" w:cs="宋体"/>
                <w:b/>
                <w:color w:val="000000"/>
                <w:sz w:val="24"/>
                <w:highlight w:val="none"/>
                <w:vertAlign w:val="baseline"/>
                <w:lang w:val="en-US" w:eastAsia="zh-CN" w:bidi="ar"/>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1个</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5</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片夹</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机械锁扣防玻片掉落设计</w:t>
            </w:r>
            <w:r>
              <w:rPr>
                <w:rFonts w:hint="eastAsia" w:ascii="宋体" w:hAnsi="宋体" w:cs="宋体"/>
                <w:b/>
                <w:color w:val="000000"/>
                <w:sz w:val="24"/>
                <w:highlight w:val="none"/>
                <w:vertAlign w:val="baseline"/>
                <w:lang w:val="en-US" w:eastAsia="zh-CN" w:bidi="ar"/>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27组</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6</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染色体分析软件 </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t xml:space="preserve">套</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ind w:left="425" w:hanging="425"/>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cs="宋体"/>
                <w:b/>
                <w:color w:val="000000"/>
                <w:sz w:val="24"/>
                <w:szCs w:val="24"/>
                <w:highlight w:val="none"/>
                <w:vertAlign w:val="baseline"/>
                <w:lang w:val="en-US" w:eastAsia="zh-CN" w:bidi="ar"/>
              </w:rPr>
              <w:t xml:space="preserve">7</w:t>
            </w:r>
            <w:r>
              <w:rPr>
                <w:rFonts w:hint="eastAsia"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hint="eastAsia" w:ascii="宋体" w:hAnsi="宋体" w:eastAsia="宋体" w:cs="宋体"/>
                <w:color w:val="000000"/>
                <w:sz w:val="24"/>
                <w:szCs w:val="24"/>
                <w:highlight w:val="none"/>
                <w:vertAlign w:val="baseline"/>
                <w:lang w:val="en-US" w:eastAsia="zh-CN"/>
              </w:rPr>
              <w:t xml:space="preserve">基站</w:t>
            </w:r>
            <w:r>
              <w:rPr>
                <w:rFonts w:hint="eastAsia" w:ascii="宋体" w:hAnsi="宋体" w:cs="宋体"/>
                <w:b/>
                <w:color w:val="000000"/>
                <w:sz w:val="24"/>
                <w:highlight w:val="none"/>
                <w:vertAlign w:val="baseline"/>
                <w:lang w:val="en-US" w:eastAsia="zh-CN" w:bidi="ar"/>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4"/>
                <w:highlight w:val="none"/>
                <w:vertAlign w:val="baseline"/>
                <w:lang w:val="en-US" w:eastAsia="zh-CN" w:bidi="ar"/>
              </w:rPr>
            </w:pPr>
            <w:r>
              <w:rPr>
                <w:rFonts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t xml:space="preserve">套</w:t>
            </w:r>
            <w:r>
              <w:rPr>
                <w:rFonts w:hint="eastAsia" w:ascii="宋体" w:hAnsi="宋体" w:cs="宋体"/>
                <w:b/>
                <w:color w:val="000000"/>
                <w:sz w:val="24"/>
                <w:highlight w:val="none"/>
                <w:vertAlign w:val="baseline"/>
                <w:lang w:val="en-US" w:eastAsia="zh-CN" w:bidi="ar"/>
              </w:rPr>
            </w:r>
            <w:r/>
          </w:p>
        </w:tc>
      </w:tr>
      <w:tr>
        <w:trPr/>
        <w:tc>
          <w:tcPr>
            <w:tcW w:w="866" w:type="dxa"/>
            <w:vAlign w:val="center"/>
            <w:textDirection w:val="lrTb"/>
            <w:noWrap w:val="false"/>
          </w:tcPr>
          <w:p>
            <w:pPr>
              <w:pStyle w:val="1070"/>
              <w:numPr>
                <w:ilvl w:val="0"/>
                <w:numId w:val="0"/>
              </w:numPr>
              <w:jc w:val="center"/>
              <w:keepLines w:val="0"/>
              <w:keepNext w:val="0"/>
              <w:pageBreakBefore w:val="0"/>
              <w:spacing w:line="240" w:lineRule="auto"/>
              <w:widowControl w:val="off"/>
              <w:rPr>
                <w:rFonts w:ascii="宋体" w:hAnsi="宋体" w:cs="宋体"/>
                <w:b/>
                <w:color w:val="000000"/>
                <w:sz w:val="24"/>
                <w:highlight w:val="none"/>
                <w:vertAlign w:val="baseline"/>
                <w:lang w:val="en-US" w:eastAsia="zh-CN" w:bidi="ar"/>
              </w:rPr>
            </w:pPr>
            <w:r>
              <w:rPr>
                <w:rFonts w:hint="eastAsia" w:ascii="宋体" w:hAnsi="宋体" w:cs="宋体"/>
                <w:b/>
                <w:color w:val="000000"/>
                <w:sz w:val="24"/>
                <w:highlight w:val="none"/>
                <w:vertAlign w:val="baseline"/>
                <w:lang w:val="en-US" w:eastAsia="zh-CN" w:bidi="ar"/>
              </w:rPr>
              <w:t xml:space="preserve">8</w:t>
            </w:r>
            <w:r>
              <w:rPr>
                <w:rFonts w:ascii="宋体" w:hAnsi="宋体" w:cs="宋体"/>
                <w:b/>
                <w:color w:val="000000"/>
                <w:sz w:val="24"/>
                <w:highlight w:val="none"/>
                <w:vertAlign w:val="baseline"/>
                <w:lang w:val="en-US" w:eastAsia="zh-CN" w:bidi="ar"/>
              </w:rPr>
            </w:r>
            <w:r/>
          </w:p>
        </w:tc>
        <w:tc>
          <w:tcPr>
            <w:tcW w:w="2050"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专家工作站</w:t>
            </w:r>
            <w:r>
              <w:rPr>
                <w:rFonts w:hint="eastAsia" w:ascii="宋体" w:hAnsi="宋体" w:eastAsia="宋体" w:cs="宋体"/>
                <w:color w:val="000000"/>
                <w:sz w:val="24"/>
                <w:szCs w:val="24"/>
                <w:highlight w:val="none"/>
                <w:vertAlign w:val="baseline"/>
                <w:lang w:val="en-US" w:eastAsia="zh-CN"/>
              </w:rPr>
            </w:r>
            <w:r/>
          </w:p>
        </w:tc>
        <w:tc>
          <w:tcPr>
            <w:tcW w:w="4775"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c>
          <w:tcPr>
            <w:tcW w:w="1597" w:type="dxa"/>
            <w:vAlign w:val="center"/>
            <w:textDirection w:val="lrTb"/>
            <w:noWrap w:val="false"/>
          </w:tcPr>
          <w:p>
            <w:pPr>
              <w:pStyle w:val="1070"/>
              <w:numPr>
                <w:ilvl w:val="0"/>
                <w:numId w:val="0"/>
              </w:numPr>
              <w:ind w:left="0" w:firstLine="0"/>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t xml:space="preserve">7</w:t>
            </w:r>
            <w:r>
              <w:rPr>
                <w:rFonts w:hint="eastAsia" w:ascii="宋体" w:hAnsi="宋体" w:eastAsia="宋体" w:cs="宋体"/>
                <w:color w:val="000000"/>
                <w:sz w:val="24"/>
                <w:szCs w:val="24"/>
                <w:highlight w:val="none"/>
                <w:vertAlign w:val="baseline"/>
                <w:lang w:val="en-US" w:eastAsia="zh-CN"/>
              </w:rPr>
              <w:t xml:space="preserve">套</w:t>
            </w:r>
            <w:r>
              <w:rPr>
                <w:rFonts w:ascii="宋体" w:hAnsi="宋体" w:eastAsia="宋体" w:cs="宋体"/>
                <w:color w:val="000000"/>
                <w:sz w:val="24"/>
                <w:szCs w:val="24"/>
                <w:highlight w:val="none"/>
                <w:vertAlign w:val="baseline"/>
                <w:lang w:val="en-US" w:eastAsia="zh-CN"/>
              </w:rPr>
            </w:r>
            <w:r/>
          </w:p>
        </w:tc>
      </w:tr>
    </w:tbl>
    <w:p>
      <w:pPr>
        <w:pStyle w:val="1070"/>
        <w:ind w:left="420"/>
        <w:jc w:val="left"/>
        <w:spacing w:line="360" w:lineRule="auto"/>
        <w:rPr>
          <w:rFonts w:hint="eastAsia"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五、演示</w:t>
      </w:r>
      <w:r>
        <w:rPr>
          <w:rFonts w:hint="eastAsia" w:ascii="宋体" w:hAnsi="宋体" w:cs="宋体"/>
          <w:b/>
          <w:color w:val="000000"/>
          <w:sz w:val="24"/>
          <w:highlight w:val="none"/>
          <w:lang w:val="en-US" w:eastAsia="zh-CN" w:bidi="ar"/>
        </w:rPr>
      </w:r>
      <w:r/>
    </w:p>
    <w:p>
      <w:pPr>
        <w:pStyle w:val="1070"/>
        <w:ind w:firstLine="480"/>
        <w:spacing w:line="570" w:lineRule="exact"/>
        <w:rPr>
          <w:rFonts w:hint="eastAsia" w:ascii="宋体" w:hAnsi="宋体"/>
          <w:color w:val="000000"/>
          <w:sz w:val="24"/>
          <w:highlight w:val="none"/>
        </w:rPr>
      </w:pPr>
      <w:r>
        <w:rPr>
          <w:rFonts w:hint="eastAsia" w:ascii="宋体" w:hAnsi="宋体"/>
          <w:color w:val="000000"/>
          <w:sz w:val="24"/>
          <w:highlight w:val="none"/>
        </w:rPr>
        <w:t xml:space="preserve">上传演示视频的形式</w:t>
      </w:r>
      <w:r>
        <w:rPr>
          <w:rFonts w:hint="eastAsia" w:ascii="宋体" w:hAnsi="宋体"/>
          <w:color w:val="000000"/>
          <w:sz w:val="24"/>
          <w:highlight w:val="none"/>
        </w:rPr>
      </w:r>
      <w:r/>
    </w:p>
    <w:p>
      <w:pPr>
        <w:pStyle w:val="1070"/>
        <w:ind w:firstLine="480"/>
        <w:spacing w:line="570" w:lineRule="exact"/>
        <w:rPr>
          <w:rFonts w:hint="eastAsia" w:ascii="宋体" w:hAnsi="宋体"/>
          <w:color w:val="000000"/>
          <w:sz w:val="24"/>
          <w:highlight w:val="none"/>
        </w:rPr>
      </w:pPr>
      <w:r>
        <w:rPr>
          <w:rFonts w:hint="eastAsia" w:ascii="宋体" w:hAnsi="宋体"/>
          <w:color w:val="000000"/>
          <w:sz w:val="24"/>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olor w:val="000000"/>
          <w:sz w:val="24"/>
          <w:highlight w:val="none"/>
          <w:u w:val="single"/>
        </w:rPr>
        <w:t xml:space="preserve">15</w:t>
      </w:r>
      <w:r>
        <w:rPr>
          <w:rFonts w:hint="eastAsia" w:ascii="宋体" w:hAnsi="宋体"/>
          <w:color w:val="000000"/>
          <w:sz w:val="24"/>
          <w:highlight w:val="none"/>
        </w:rPr>
        <w:t xml:space="preserve">分钟。</w:t>
      </w:r>
      <w:r>
        <w:rPr>
          <w:rFonts w:hint="eastAsia" w:ascii="宋体" w:hAnsi="宋体"/>
          <w:color w:val="000000"/>
          <w:sz w:val="24"/>
          <w:highlight w:val="none"/>
        </w:rPr>
      </w:r>
      <w:r/>
    </w:p>
    <w:p>
      <w:pPr>
        <w:pStyle w:val="1070"/>
        <w:ind w:left="420"/>
        <w:jc w:val="left"/>
        <w:spacing w:line="360" w:lineRule="auto"/>
        <w:rPr>
          <w:rFonts w:hint="eastAsia" w:ascii="宋体" w:hAnsi="宋体" w:cs="宋体"/>
          <w:b/>
          <w:color w:val="000000"/>
          <w:sz w:val="24"/>
          <w:highlight w:val="none"/>
          <w:lang w:val="en-US" w:eastAsia="zh-CN" w:bidi="ar"/>
        </w:rPr>
      </w:pPr>
      <w:r>
        <w:rPr>
          <w:rFonts w:hint="eastAsia" w:ascii="宋体" w:hAnsi="宋体"/>
          <w:color w:val="000000"/>
          <w:sz w:val="24"/>
          <w:highlight w:val="none"/>
        </w:rPr>
        <w:t xml:space="preserve">（2）演示内容如下：</w:t>
      </w:r>
      <w:r>
        <w:rPr>
          <w:rFonts w:hint="eastAsia" w:ascii="宋体" w:hAnsi="宋体" w:cs="宋体"/>
          <w:b/>
          <w:color w:val="000000"/>
          <w:sz w:val="24"/>
          <w:highlight w:val="none"/>
          <w:lang w:val="en-US" w:eastAsia="zh-CN" w:bidi="ar"/>
        </w:rPr>
      </w:r>
      <w:r/>
    </w:p>
    <w:tbl>
      <w:tblPr>
        <w:tblStyle w:val="113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8524"/>
      </w:tblGrid>
      <w:tr>
        <w:trPr>
          <w:trHeight w:val="170"/>
        </w:trPr>
        <w:tc>
          <w:tcPr>
            <w:tcW w:w="408" w:type="dxa"/>
            <w:vAlign w:val="top"/>
            <w:textDirection w:val="lrTb"/>
            <w:noWrap w:val="false"/>
          </w:tcPr>
          <w:p>
            <w:pPr>
              <w:pStyle w:val="1070"/>
              <w:numPr>
                <w:ilvl w:val="0"/>
                <w:numId w:val="0"/>
              </w:numPr>
              <w:jc w:val="center"/>
              <w:keepLines w:val="0"/>
              <w:keepNext w:val="0"/>
              <w:pageBreakBefore w:val="0"/>
              <w:spacing w:line="240" w:lineRule="auto"/>
              <w:widowControl w:val="off"/>
              <w:rPr>
                <w:rFonts w:ascii="宋体" w:hAnsi="宋体" w:eastAsia="宋体" w:cs="宋体"/>
                <w:color w:val="000000"/>
                <w:sz w:val="24"/>
                <w:szCs w:val="24"/>
                <w:highlight w:val="none"/>
                <w:vertAlign w:val="baseline"/>
                <w:lang w:val="en-US" w:eastAsia="zh-CN"/>
              </w:rPr>
            </w:pPr>
            <w:r>
              <w:rPr>
                <w:rFonts w:hint="eastAsia" w:ascii="宋体" w:hAnsi="宋体" w:cs="宋体"/>
                <w:bCs/>
                <w:color w:val="000000"/>
                <w:sz w:val="24"/>
                <w:highlight w:val="none"/>
                <w:lang w:bidi="ar"/>
              </w:rPr>
              <w:t xml:space="preserve">■</w:t>
            </w:r>
            <w:r>
              <w:rPr>
                <w:rFonts w:hint="eastAsia" w:ascii="宋体" w:hAnsi="宋体" w:eastAsia="宋体" w:cs="宋体"/>
                <w:color w:val="000000"/>
                <w:sz w:val="24"/>
                <w:szCs w:val="24"/>
                <w:highlight w:val="none"/>
                <w:vertAlign w:val="baseline"/>
                <w:lang w:val="en-US" w:eastAsia="zh-CN"/>
              </w:rPr>
              <w:t xml:space="preserve">14</w:t>
            </w:r>
            <w:r>
              <w:rPr>
                <w:rFonts w:ascii="宋体" w:hAnsi="宋体" w:eastAsia="宋体" w:cs="宋体"/>
                <w:color w:val="000000"/>
                <w:sz w:val="24"/>
                <w:szCs w:val="24"/>
                <w:highlight w:val="none"/>
                <w:vertAlign w:val="baseline"/>
                <w:lang w:val="en-US" w:eastAsia="zh-CN"/>
              </w:rPr>
            </w:r>
            <w:r/>
          </w:p>
        </w:tc>
        <w:tc>
          <w:tcPr>
            <w:tcW w:w="4591"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系统内置常见异常核型知识库，支持查询染色体异常相关疾病、基因、蛋白质和预后措施等信息。系统自动将分析样本的核型与知识库中的核型匹配，提示相关异常描述。</w:t>
            </w:r>
            <w:r>
              <w:rPr>
                <w:rFonts w:hint="eastAsia" w:ascii="宋体" w:hAnsi="宋体" w:eastAsia="宋体" w:cs="宋体"/>
                <w:color w:val="000000"/>
                <w:sz w:val="24"/>
                <w:szCs w:val="24"/>
                <w:highlight w:val="none"/>
                <w:lang w:val="en-US" w:eastAsia="zh-CN"/>
              </w:rPr>
            </w:r>
            <w:r/>
          </w:p>
        </w:tc>
      </w:tr>
      <w:tr>
        <w:trPr>
          <w:trHeight w:val="170"/>
        </w:trPr>
        <w:tc>
          <w:tcPr>
            <w:tcW w:w="408" w:type="dxa"/>
            <w:vAlign w:val="top"/>
            <w:textDirection w:val="lrTb"/>
            <w:noWrap w:val="false"/>
          </w:tcPr>
          <w:p>
            <w:pPr>
              <w:pStyle w:val="1070"/>
              <w:numPr>
                <w:ilvl w:val="0"/>
                <w:numId w:val="0"/>
              </w:numPr>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宋体"/>
                <w:bCs/>
                <w:color w:val="000000"/>
                <w:sz w:val="24"/>
                <w:highlight w:val="none"/>
                <w:lang w:bidi="ar"/>
              </w:rPr>
              <w:t xml:space="preserve">■</w:t>
            </w: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tcW w:w="4591" w:type="dxa"/>
            <w:vAlign w:val="top"/>
            <w:textDirection w:val="lrTb"/>
            <w:noWrap w:val="false"/>
          </w:tcPr>
          <w:p>
            <w:pPr>
              <w:pStyle w:val="1070"/>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支持浏览器在线分析染色体，支持专家在线审核，支持染色体核型分析在线练习与培训，支持染色体题目在线编辑功能以便于在线创建多类型题目，支持在线考核组织与管理功能以便于开展多人考核</w:t>
            </w:r>
            <w:r>
              <w:rPr>
                <w:rFonts w:hint="eastAsia" w:ascii="宋体" w:hAnsi="宋体" w:eastAsia="宋体" w:cs="宋体"/>
                <w:color w:val="000000"/>
                <w:sz w:val="24"/>
                <w:szCs w:val="24"/>
                <w:highlight w:val="none"/>
                <w:lang w:val="en-US" w:eastAsia="zh-CN"/>
              </w:rPr>
            </w:r>
            <w:r/>
          </w:p>
        </w:tc>
      </w:tr>
    </w:tbl>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常州市妇幼保健院（常州市钟楼区丁香路16号），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九</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5</w:t>
      </w:r>
      <w:r>
        <w:rPr>
          <w:rFonts w:hint="eastAsia" w:ascii="宋体" w:hAnsi="宋体" w:cs="宋体"/>
          <w:b/>
          <w:color w:val="000000"/>
          <w:sz w:val="24"/>
          <w:highlight w:val="none"/>
          <w:lang w:bidi="ar"/>
        </w:rPr>
        <w:t xml:space="preserve">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十</w:t>
      </w:r>
      <w:r>
        <w:rPr>
          <w:rFonts w:hint="eastAsia" w:ascii="宋体" w:hAnsi="宋体" w:cs="宋体"/>
          <w:b/>
          <w:color w:val="000000"/>
          <w:sz w:val="24"/>
          <w:highlight w:val="none"/>
          <w:lang w:bidi="ar"/>
        </w:rPr>
        <w:t xml:space="preserve">、付款方式（以合同签订为准）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s="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6"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0"/>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4"/>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7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w:t>
      </w:r>
      <w:r>
        <w:rPr>
          <w:rFonts w:hint="eastAsia" w:ascii="宋体" w:hAnsi="宋体" w:eastAsia="宋体" w:cs="宋体"/>
          <w:b/>
          <w:bCs/>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代理机构（章）：常州市城投建设工程招标有限公司</w:t>
      </w:r>
      <w:r>
        <w:rPr>
          <w:rFonts w:hint="eastAsia" w:ascii="宋体" w:hAnsi="宋体" w:eastAsia="宋体" w:cs="宋体"/>
          <w:b w:val="0"/>
          <w:bCs w:val="0"/>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经办人：                               电  话：</w:t>
      </w:r>
      <w:r>
        <w:rPr>
          <w:rFonts w:hint="eastAsia" w:ascii="宋体" w:hAnsi="宋体" w:eastAsia="宋体" w:cs="宋体"/>
          <w:b w:val="0"/>
          <w:bCs w:val="0"/>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18" w:name="_Toc226965746"/>
      <w:r/>
      <w:bookmarkStart w:id="819" w:name="_Toc150480794"/>
      <w:r/>
      <w:bookmarkStart w:id="820" w:name="_Toc226965829"/>
      <w:r/>
      <w:bookmarkStart w:id="821" w:name="_Toc195842921"/>
      <w:r/>
      <w:bookmarkStart w:id="822" w:name="_Toc226309800"/>
      <w:r/>
      <w:bookmarkStart w:id="823" w:name="_Toc520356217"/>
      <w:r/>
      <w:bookmarkStart w:id="824" w:name="_Toc226337252"/>
      <w:r/>
      <w:bookmarkStart w:id="825" w:name="_Toc142311058"/>
      <w:r/>
      <w:bookmarkStart w:id="826" w:name="_Toc127151556"/>
      <w:r/>
      <w:bookmarkStart w:id="827" w:name="_Toc150774761"/>
      <w:r/>
      <w:bookmarkStart w:id="828" w:name="_Toc480942349"/>
      <w:r/>
      <w:bookmarkStart w:id="829" w:name="_Ref467988698"/>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30" w:name="_Hlt520356243"/>
      <w:r/>
      <w:bookmarkEnd w:id="830"/>
      <w:r/>
      <w:bookmarkStart w:id="831" w:name="_Hlt520355938"/>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2" w:name="_Hlt520274407"/>
      <w:r/>
      <w:bookmarkEnd w:id="832"/>
      <w:r/>
      <w:bookmarkStart w:id="833" w:name="_Hlt520350918"/>
      <w:r/>
      <w:bookmarkEnd w:id="833"/>
      <w:r/>
      <w:bookmarkStart w:id="834" w:name="_Hlt520274121"/>
      <w:r/>
      <w:bookmarkEnd w:id="834"/>
      <w:r/>
      <w:bookmarkStart w:id="835" w:name="_Hlt520274393"/>
      <w:r/>
      <w:bookmarkEnd w:id="835"/>
      <w:r/>
      <w:bookmarkStart w:id="836" w:name="_Hlt520355504"/>
      <w:r/>
      <w:bookmarkEnd w:id="836"/>
      <w:r/>
      <w:bookmarkStart w:id="837" w:name="_Hlt520271212"/>
      <w:r/>
      <w:bookmarkEnd w:id="837"/>
      <w:r/>
      <w:bookmarkStart w:id="838" w:name="_Hlt520343392"/>
      <w:r/>
      <w:bookmarkEnd w:id="838"/>
      <w:r/>
      <w:bookmarkStart w:id="839" w:name="_Hlt520273711"/>
      <w:r/>
      <w:bookmarkEnd w:id="839"/>
      <w:r/>
      <w:bookmarkStart w:id="840" w:name="_Hlt520343000"/>
      <w:r/>
      <w:bookmarkEnd w:id="840"/>
      <w:r/>
      <w:bookmarkStart w:id="841" w:name="_Hlt520274065"/>
      <w:r/>
      <w:bookmarkEnd w:id="841"/>
      <w:r/>
      <w:bookmarkStart w:id="842" w:name="_Toc226965747"/>
      <w:r/>
      <w:bookmarkStart w:id="843" w:name="_Toc142311059"/>
      <w:r/>
      <w:bookmarkStart w:id="844" w:name="_Toc520356218"/>
      <w:r/>
      <w:bookmarkStart w:id="845" w:name="_Toc226309801"/>
      <w:r/>
      <w:bookmarkStart w:id="846" w:name="_Toc150480795"/>
      <w:r/>
      <w:bookmarkStart w:id="847" w:name="_Toc264969247"/>
      <w:r/>
      <w:bookmarkStart w:id="848" w:name="_Toc305158825"/>
      <w:r/>
      <w:bookmarkStart w:id="849" w:name="_Toc150774762"/>
      <w:r/>
      <w:bookmarkStart w:id="850" w:name="_Toc480942350"/>
      <w:r/>
      <w:bookmarkStart w:id="851" w:name="_Toc226337253"/>
      <w:r/>
      <w:bookmarkStart w:id="852" w:name="_Toc265228395"/>
      <w:r/>
      <w:bookmarkStart w:id="853" w:name="_Toc195842922"/>
      <w:r/>
      <w:bookmarkStart w:id="854" w:name="_Ref467988705"/>
      <w:r/>
      <w:bookmarkStart w:id="855" w:name="_Toc305158899"/>
      <w:r/>
      <w:bookmarkStart w:id="856" w:name="_Toc127151557"/>
      <w:r/>
      <w:bookmarkStart w:id="857"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8" w:name="_Toc226965748"/>
      <w:r/>
      <w:bookmarkStart w:id="859" w:name="_Toc164608827"/>
      <w:r/>
      <w:bookmarkStart w:id="860" w:name="_Toc226965831"/>
      <w:r/>
      <w:bookmarkStart w:id="861" w:name="_Toc226337254"/>
      <w:r/>
      <w:bookmarkStart w:id="862" w:name="_Toc264969248"/>
      <w:r/>
      <w:bookmarkStart w:id="863" w:name="_Toc164608672"/>
      <w:r/>
      <w:bookmarkStart w:id="864" w:name="_Toc195842923"/>
      <w:r/>
      <w:bookmarkStart w:id="865" w:name="_Toc265228396"/>
      <w:r/>
      <w:bookmarkStart w:id="866" w:name="_Toc305158826"/>
      <w:r/>
      <w:bookmarkStart w:id="867" w:name="_Toc226309802"/>
      <w:r/>
      <w:bookmarkStart w:id="868" w:name="_Toc305158900"/>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9" w:name="_Toc264969249"/>
      <w:r/>
      <w:bookmarkStart w:id="870" w:name="_Toc265228397"/>
      <w:r/>
      <w:bookmarkStart w:id="871" w:name="_Toc226309803"/>
      <w:r/>
      <w:bookmarkStart w:id="872" w:name="_Toc305158901"/>
      <w:r/>
      <w:bookmarkStart w:id="873" w:name="_Toc305158827"/>
      <w:r/>
      <w:bookmarkStart w:id="874" w:name="_Toc142311060"/>
      <w:r/>
      <w:bookmarkStart w:id="875" w:name="_Toc226965832"/>
      <w:r/>
      <w:bookmarkStart w:id="876" w:name="_Toc127151558"/>
      <w:r/>
      <w:bookmarkStart w:id="877" w:name="_Toc226337255"/>
      <w:r/>
      <w:bookmarkStart w:id="878" w:name="_Toc150774763"/>
      <w:r/>
      <w:bookmarkStart w:id="879" w:name="_Toc150480796"/>
      <w:r/>
      <w:bookmarkStart w:id="880" w:name="_Toc226965749"/>
      <w:r/>
      <w:bookmarkStart w:id="881"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0"/>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2" w:name="_Toc127151562"/>
      <w:r/>
      <w:bookmarkStart w:id="883" w:name="_Toc265228400"/>
      <w:r/>
      <w:bookmarkStart w:id="884" w:name="_Toc150480798"/>
      <w:r/>
      <w:bookmarkStart w:id="885" w:name="_Toc305158904"/>
      <w:r/>
      <w:bookmarkStart w:id="886" w:name="_Toc264969252"/>
      <w:r/>
      <w:bookmarkStart w:id="887" w:name="_Toc150774765"/>
      <w:r/>
      <w:bookmarkStart w:id="888" w:name="_Toc226965835"/>
      <w:r/>
      <w:bookmarkStart w:id="889" w:name="_Toc226337258"/>
      <w:r/>
      <w:bookmarkStart w:id="890" w:name="_Toc305158830"/>
      <w:r/>
      <w:bookmarkStart w:id="891" w:name="_Toc226965752"/>
      <w:r/>
      <w:bookmarkStart w:id="892" w:name="_Toc195842927"/>
      <w:r/>
      <w:bookmarkStart w:id="893" w:name="_Toc226309806"/>
      <w:r/>
      <w:bookmarkStart w:id="894" w:name="_Toc142311062"/>
      <w:r/>
      <w:bookmarkStart w:id="895" w:name="_Toc142311061"/>
      <w:r/>
      <w:bookmarkStart w:id="896" w:name="_Toc195842926"/>
      <w:r/>
      <w:bookmarkStart w:id="897" w:name="_Toc226337257"/>
      <w:r/>
      <w:bookmarkStart w:id="898" w:name="_Toc265228399"/>
      <w:r/>
      <w:bookmarkStart w:id="899" w:name="_Toc226965751"/>
      <w:r/>
      <w:bookmarkStart w:id="900" w:name="_Toc150480797"/>
      <w:r/>
      <w:bookmarkStart w:id="901" w:name="_Toc305158903"/>
      <w:r/>
      <w:bookmarkStart w:id="902" w:name="_Toc264969251"/>
      <w:r/>
      <w:bookmarkStart w:id="903" w:name="_Toc127151561"/>
      <w:r/>
      <w:bookmarkStart w:id="904" w:name="_Toc150774764"/>
      <w:r/>
      <w:bookmarkStart w:id="905" w:name="_Toc305158829"/>
      <w:r/>
      <w:bookmarkStart w:id="906" w:name="_Toc226309805"/>
      <w:r/>
      <w:bookmarkStart w:id="907" w:name="_Toc226965834"/>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Style w:val="1144"/>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Style w:val="1144"/>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4"/>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Style w:val="1144"/>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1"/>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0"/>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839"/>
      <w:r/>
      <w:bookmarkStart w:id="909"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15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文本首行缩进 2 字符"/>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basedOn w:val="1080"/>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表段落 字符"/>
    <w:next w:val="1163"/>
    <w:link w:val="1164"/>
    <w:uiPriority w:val="34"/>
    <w:qFormat/>
    <w:rPr>
      <w:rFonts w:ascii="Calibri" w:hAnsi="Calibri" w:eastAsia="宋体"/>
      <w:sz w:val="21"/>
      <w:szCs w:val="22"/>
      <w:lang w:val="en-US" w:eastAsia="zh-CN" w:bidi="ar-SA"/>
    </w:rPr>
  </w:style>
  <w:style w:type="paragraph" w:styleId="1164">
    <w:name w:val="列表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样式  + 首行缩进:  2 字符"/>
    <w:basedOn w:val="1070"/>
    <w:next w:val="1324"/>
    <w:link w:val="1070"/>
    <w:qFormat/>
    <w:pPr>
      <w:ind w:firstLine="524"/>
      <w:spacing w:line="360" w:lineRule="auto"/>
    </w:pPr>
    <w:rPr>
      <w:rFonts w:ascii="宋体" w:hAnsi="宋体"/>
      <w:spacing w:val="11"/>
      <w:sz w:val="24"/>
    </w:rPr>
  </w:style>
  <w:style w:type="paragraph" w:styleId="1325">
    <w:name w:val="普通(网站)1"/>
    <w:basedOn w:val="1070"/>
    <w:next w:val="1325"/>
    <w:link w:val="1070"/>
    <w:uiPriority w:val="99"/>
    <w:unhideWhenUsed/>
    <w:qFormat/>
    <w:pPr>
      <w:jc w:val="left"/>
      <w:spacing w:before="100" w:beforeAutospacing="1" w:after="100" w:afterAutospacing="1"/>
      <w:widowControl/>
    </w:pPr>
    <w:rPr>
      <w:rFonts w:ascii="宋体" w:hAnsi="宋体" w:cs="宋体"/>
      <w:sz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6</cp:revision>
  <dcterms:created xsi:type="dcterms:W3CDTF">2026-04-16T02:07:00Z</dcterms:created>
  <dcterms:modified xsi:type="dcterms:W3CDTF">2026-06-02T04:52:38Z</dcterms:modified>
</cp:coreProperties>
</file>