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b/>
          <w:bCs/>
          <w:color w:val="000000" w:themeColor="text1"/>
          <w:sz w:val="72"/>
          <w14:textFill>
            <w14:solidFill>
              <w14:schemeClr w14:val="tx1"/>
            </w14:solidFill>
          </w14:textFill>
        </w:rPr>
      </w:pPr>
      <w:r>
        <w:rPr>
          <w:b/>
          <w:bCs/>
          <w:color w:val="000000" w:themeColor="text1"/>
          <w:sz w:val="72"/>
          <w14:textFill>
            <w14:solidFill>
              <w14:schemeClr w14:val="tx1"/>
            </w14:solidFill>
          </w14:textFill>
        </w:rPr>
      </w:r>
      <w:r/>
    </w:p>
    <w:p>
      <w:pPr>
        <w:jc w:val="center"/>
        <w:rPr>
          <w:rFonts w:eastAsia="楷体"/>
          <w:b/>
          <w:color w:val="000000" w:themeColor="text1"/>
          <w:sz w:val="72"/>
          <w:szCs w:val="72"/>
          <w14:textFill>
            <w14:solidFill>
              <w14:schemeClr w14:val="tx1"/>
            </w14:solidFill>
          </w14:textFill>
        </w:rPr>
      </w:pPr>
      <w:r>
        <w:rPr>
          <w:rFonts w:eastAsia="楷体"/>
          <w:b/>
          <w:color w:val="000000" w:themeColor="text1"/>
          <w:sz w:val="72"/>
          <w:szCs w:val="72"/>
          <w14:textFill>
            <w14:solidFill>
              <w14:schemeClr w14:val="tx1"/>
            </w14:solidFill>
          </w14:textFill>
        </w:rPr>
        <w:t xml:space="preserve">苏州工业园区政府采购</w:t>
      </w:r>
      <w:r/>
    </w:p>
    <w:p>
      <w:pPr>
        <w:jc w:val="center"/>
        <w:rPr>
          <w:rFonts w:eastAsia="楷体"/>
          <w:b/>
          <w:color w:val="000000" w:themeColor="text1"/>
          <w:sz w:val="72"/>
          <w:szCs w:val="72"/>
          <w14:textFill>
            <w14:solidFill>
              <w14:schemeClr w14:val="tx1"/>
            </w14:solidFill>
          </w14:textFill>
        </w:rPr>
      </w:pPr>
      <w:r>
        <w:rPr>
          <w:rFonts w:eastAsia="楷体"/>
          <w:b/>
          <w:color w:val="000000" w:themeColor="text1"/>
          <w:sz w:val="72"/>
          <w:szCs w:val="72"/>
          <w14:textFill>
            <w14:solidFill>
              <w14:schemeClr w14:val="tx1"/>
            </w14:solidFill>
          </w14:textFill>
        </w:rPr>
      </w:r>
      <w:r/>
    </w:p>
    <w:p>
      <w:pPr>
        <w:jc w:val="center"/>
        <w:rPr>
          <w:rFonts w:eastAsia="楷体"/>
          <w:b/>
          <w:color w:val="000000" w:themeColor="text1"/>
          <w:sz w:val="72"/>
          <w:szCs w:val="72"/>
          <w14:textFill>
            <w14:solidFill>
              <w14:schemeClr w14:val="tx1"/>
            </w14:solidFill>
          </w14:textFill>
        </w:rPr>
      </w:pPr>
      <w:r>
        <w:rPr>
          <w:rFonts w:eastAsia="楷体"/>
          <w:b/>
          <w:color w:val="000000" w:themeColor="text1"/>
          <w:sz w:val="72"/>
          <w:szCs w:val="72"/>
          <w14:textFill>
            <w14:solidFill>
              <w14:schemeClr w14:val="tx1"/>
            </w14:solidFill>
          </w14:textFill>
        </w:rPr>
        <w:t xml:space="preserve">竞争性谈判文件</w:t>
      </w:r>
      <w:r/>
    </w:p>
    <w:p>
      <w:pPr>
        <w:rPr>
          <w:b/>
          <w:bCs/>
          <w:color w:val="000000" w:themeColor="text1"/>
          <w:sz w:val="32"/>
          <w14:textFill>
            <w14:solidFill>
              <w14:schemeClr w14:val="tx1"/>
            </w14:solidFill>
          </w14:textFill>
        </w:rPr>
      </w:pPr>
      <w:r>
        <w:rPr>
          <w:b/>
          <w:bCs/>
          <w:color w:val="000000" w:themeColor="text1"/>
          <w:sz w:val="32"/>
          <w14:textFill>
            <w14:solidFill>
              <w14:schemeClr w14:val="tx1"/>
            </w14:solidFill>
          </w14:textFill>
        </w:rPr>
      </w:r>
      <w:r/>
    </w:p>
    <w:p>
      <w:pPr>
        <w:spacing w:line="600" w:lineRule="exact"/>
        <w:rPr>
          <w:b/>
          <w:bCs/>
          <w:color w:val="000000" w:themeColor="text1"/>
          <w:sz w:val="32"/>
          <w14:textFill>
            <w14:solidFill>
              <w14:schemeClr w14:val="tx1"/>
            </w14:solidFill>
          </w14:textFill>
        </w:rPr>
      </w:pPr>
      <w:r>
        <w:rPr>
          <w:b/>
          <w:bCs/>
          <w:color w:val="000000" w:themeColor="text1"/>
          <w:sz w:val="32"/>
          <w14:textFill>
            <w14:solidFill>
              <w14:schemeClr w14:val="tx1"/>
            </w14:solidFill>
          </w14:textFill>
        </w:rPr>
      </w:r>
      <w:r/>
    </w:p>
    <w:p>
      <w:pPr>
        <w:spacing w:line="600" w:lineRule="exact"/>
        <w:rPr>
          <w:b/>
          <w:bCs/>
          <w:color w:val="000000" w:themeColor="text1"/>
          <w:sz w:val="32"/>
          <w14:textFill>
            <w14:solidFill>
              <w14:schemeClr w14:val="tx1"/>
            </w14:solidFill>
          </w14:textFill>
        </w:rPr>
      </w:pPr>
      <w:r>
        <w:rPr>
          <w:b/>
          <w:bCs/>
          <w:color w:val="000000" w:themeColor="text1"/>
          <w:sz w:val="32"/>
          <w14:textFill>
            <w14:solidFill>
              <w14:schemeClr w14:val="tx1"/>
            </w14:solidFill>
          </w14:textFill>
        </w:rPr>
      </w:r>
      <w:r/>
    </w:p>
    <w:p>
      <w:pPr>
        <w:ind w:firstLine="1325"/>
        <w:spacing w:line="360" w:lineRule="auto"/>
        <w:rPr>
          <w:rFonts w:eastAsia="楷体"/>
          <w:b/>
          <w:bCs/>
          <w:color w:val="000000" w:themeColor="text1"/>
          <w:sz w:val="44"/>
          <w:szCs w:val="44"/>
          <w:highlight w:val="none"/>
          <w14:textFill>
            <w14:solidFill>
              <w14:schemeClr w14:val="tx1"/>
            </w14:solidFill>
          </w14:textFill>
        </w:rPr>
      </w:pPr>
      <w:r>
        <w:rPr>
          <w:rFonts w:eastAsia="楷体"/>
          <w:b/>
          <w:bCs/>
          <w:color w:val="000000" w:themeColor="text1"/>
          <w:sz w:val="44"/>
          <w:szCs w:val="44"/>
          <w:highlight w:val="none"/>
          <w14:textFill>
            <w14:solidFill>
              <w14:schemeClr w14:val="tx1"/>
            </w14:solidFill>
          </w14:textFill>
        </w:rPr>
        <w:t xml:space="preserve">采购编号：</w:t>
      </w:r>
      <w:r>
        <w:rPr>
          <w:rFonts w:hint="eastAsia" w:eastAsia="楷体"/>
          <w:b/>
          <w:bCs/>
          <w:sz w:val="44"/>
          <w:szCs w:val="44"/>
          <w:highlight w:val="none"/>
        </w:rPr>
        <w:t xml:space="preserve">JSZC-320591-JZCG-T2026-0016</w:t>
      </w:r>
      <w:r/>
    </w:p>
    <w:p>
      <w:pPr>
        <w:ind w:left="3484" w:hanging="2182"/>
        <w:spacing w:line="360" w:lineRule="auto"/>
        <w:rPr>
          <w:rFonts w:eastAsia="楷体"/>
          <w:b/>
          <w:bCs/>
          <w:color w:val="000000" w:themeColor="text1"/>
          <w:sz w:val="44"/>
          <w:szCs w:val="44"/>
          <w14:textFill>
            <w14:solidFill>
              <w14:schemeClr w14:val="tx1"/>
            </w14:solidFill>
          </w14:textFill>
        </w:rPr>
      </w:pPr>
      <w:r>
        <w:rPr>
          <w:rFonts w:eastAsia="楷体"/>
          <w:b/>
          <w:bCs/>
          <w:color w:val="000000" w:themeColor="text1"/>
          <w:sz w:val="44"/>
          <w:szCs w:val="44"/>
          <w14:textFill>
            <w14:solidFill>
              <w14:schemeClr w14:val="tx1"/>
            </w14:solidFill>
          </w14:textFill>
        </w:rPr>
        <w:t xml:space="preserve">项目名称：苏州工业园区青少年活动中心电梯采购</w:t>
      </w:r>
      <w:r/>
    </w:p>
    <w:p>
      <w:pPr>
        <w:ind w:left="3484" w:hanging="2182"/>
        <w:spacing w:line="360" w:lineRule="auto"/>
        <w:rPr>
          <w:rFonts w:eastAsia="楷体"/>
          <w:b/>
          <w:bCs/>
          <w:color w:val="000000" w:themeColor="text1"/>
          <w:sz w:val="44"/>
          <w:szCs w:val="44"/>
          <w14:textFill>
            <w14:solidFill>
              <w14:schemeClr w14:val="tx1"/>
            </w14:solidFill>
          </w14:textFill>
        </w:rPr>
      </w:pPr>
      <w:r>
        <w:rPr>
          <w:rFonts w:eastAsia="楷体"/>
          <w:b/>
          <w:bCs/>
          <w:color w:val="000000" w:themeColor="text1"/>
          <w:sz w:val="44"/>
          <w:szCs w:val="44"/>
          <w14:textFill>
            <w14:solidFill>
              <w14:schemeClr w14:val="tx1"/>
            </w14:solidFill>
          </w14:textFill>
        </w:rPr>
        <w:t xml:space="preserve">采 购 人：苏州工业园区青少年活动中心</w:t>
      </w:r>
      <w:r/>
    </w:p>
    <w:p>
      <w:pPr>
        <w:ind w:left="3484" w:hanging="2182"/>
        <w:spacing w:line="360" w:lineRule="auto"/>
        <w:rPr>
          <w:rFonts w:hint="eastAsia" w:eastAsia="楷体"/>
          <w:b/>
          <w:bCs/>
          <w:color w:val="000000" w:themeColor="text1"/>
          <w:sz w:val="44"/>
          <w:szCs w:val="44"/>
          <w:lang w:eastAsia="zh-CN"/>
          <w14:textFill>
            <w14:solidFill>
              <w14:schemeClr w14:val="tx1"/>
            </w14:solidFill>
          </w14:textFill>
        </w:rPr>
      </w:pPr>
      <w:r>
        <w:rPr>
          <w:rFonts w:ascii="楷体" w:hAnsi="楷体" w:eastAsia="楷体" w:cs="宋体"/>
          <w:b/>
          <w:bCs/>
          <w:color w:val="auto"/>
          <w:sz w:val="44"/>
          <w:szCs w:val="44"/>
        </w:rPr>
        <w:t xml:space="preserve">项目类别</w:t>
      </w:r>
      <w:r>
        <w:rPr>
          <w:rFonts w:hint="eastAsia" w:ascii="楷体" w:hAnsi="楷体" w:eastAsia="楷体" w:cs="宋体"/>
          <w:b/>
          <w:bCs/>
          <w:color w:val="auto"/>
          <w:sz w:val="44"/>
          <w:szCs w:val="44"/>
        </w:rPr>
        <w:t xml:space="preserve">：</w:t>
      </w:r>
      <w:r>
        <w:rPr>
          <w:rFonts w:hint="eastAsia" w:eastAsia="楷体"/>
          <w:b/>
          <w:bCs/>
          <w:color w:val="auto"/>
          <w:sz w:val="44"/>
          <w:szCs w:val="44"/>
          <w:lang w:eastAsia="zh-CN"/>
        </w:rPr>
        <w:t xml:space="preserve">货</w:t>
      </w:r>
      <w:r>
        <w:rPr>
          <w:rFonts w:hint="eastAsia" w:eastAsia="楷体"/>
          <w:b/>
          <w:bCs/>
          <w:color w:val="000000" w:themeColor="text1"/>
          <w:sz w:val="44"/>
          <w:szCs w:val="44"/>
          <w:lang w:eastAsia="zh-CN"/>
          <w14:textFill>
            <w14:solidFill>
              <w14:schemeClr w14:val="tx1"/>
            </w14:solidFill>
          </w14:textFill>
        </w:rPr>
        <w:t xml:space="preserve">物类</w:t>
      </w:r>
      <w:r/>
    </w:p>
    <w:p>
      <w:pPr>
        <w:jc w:val="center"/>
        <w:rPr>
          <w:b/>
          <w:bCs/>
          <w:color w:val="000000" w:themeColor="text1"/>
          <w:sz w:val="32"/>
          <w14:textFill>
            <w14:solidFill>
              <w14:schemeClr w14:val="tx1"/>
            </w14:solidFill>
          </w14:textFill>
        </w:rPr>
      </w:pPr>
      <w:r>
        <w:rPr>
          <w:b/>
          <w:bCs/>
          <w:color w:val="000000" w:themeColor="text1"/>
          <w:sz w:val="32"/>
          <w14:textFill>
            <w14:solidFill>
              <w14:schemeClr w14:val="tx1"/>
            </w14:solidFill>
          </w14:textFill>
        </w:rPr>
      </w:r>
      <w:r/>
    </w:p>
    <w:p>
      <w:pPr>
        <w:rPr>
          <w:b/>
          <w:bCs/>
          <w:color w:val="000000" w:themeColor="text1"/>
          <w:sz w:val="32"/>
          <w14:textFill>
            <w14:solidFill>
              <w14:schemeClr w14:val="tx1"/>
            </w14:solidFill>
          </w14:textFill>
        </w:rPr>
      </w:pPr>
      <w:r>
        <w:rPr>
          <w:b/>
          <w:bCs/>
          <w:color w:val="000000" w:themeColor="text1"/>
          <w:sz w:val="32"/>
          <w14:textFill>
            <w14:solidFill>
              <w14:schemeClr w14:val="tx1"/>
            </w14:solidFill>
          </w14:textFill>
        </w:rPr>
      </w:r>
      <w:r/>
    </w:p>
    <w:p>
      <w:pPr>
        <w:rPr>
          <w:b/>
          <w:bCs/>
          <w:color w:val="000000" w:themeColor="text1"/>
          <w:sz w:val="32"/>
          <w14:textFill>
            <w14:solidFill>
              <w14:schemeClr w14:val="tx1"/>
            </w14:solidFill>
          </w14:textFill>
        </w:rPr>
      </w:pPr>
      <w:r>
        <w:rPr>
          <w:b/>
          <w:bCs/>
          <w:color w:val="000000" w:themeColor="text1"/>
          <w:sz w:val="32"/>
          <w14:textFill>
            <w14:solidFill>
              <w14:schemeClr w14:val="tx1"/>
            </w14:solidFill>
          </w14:textFill>
        </w:rPr>
      </w:r>
      <w:r/>
    </w:p>
    <w:p>
      <w:pPr>
        <w:rPr>
          <w:b/>
          <w:bCs/>
          <w:color w:val="000000" w:themeColor="text1"/>
          <w:sz w:val="32"/>
          <w14:textFill>
            <w14:solidFill>
              <w14:schemeClr w14:val="tx1"/>
            </w14:solidFill>
          </w14:textFill>
        </w:rPr>
      </w:pPr>
      <w:r>
        <w:rPr>
          <w:b/>
          <w:bCs/>
          <w:color w:val="000000" w:themeColor="text1"/>
          <w:sz w:val="32"/>
          <w14:textFill>
            <w14:solidFill>
              <w14:schemeClr w14:val="tx1"/>
            </w14:solidFill>
          </w14:textFill>
        </w:rPr>
      </w:r>
      <w:r/>
    </w:p>
    <w:p>
      <w:pPr>
        <w:rPr>
          <w:b/>
          <w:bCs/>
          <w:color w:val="000000" w:themeColor="text1"/>
          <w:sz w:val="32"/>
          <w14:textFill>
            <w14:solidFill>
              <w14:schemeClr w14:val="tx1"/>
            </w14:solidFill>
          </w14:textFill>
        </w:rPr>
      </w:pPr>
      <w:r>
        <w:rPr>
          <w:b/>
          <w:bCs/>
          <w:color w:val="000000" w:themeColor="text1"/>
          <w:sz w:val="32"/>
          <w14:textFill>
            <w14:solidFill>
              <w14:schemeClr w14:val="tx1"/>
            </w14:solidFill>
          </w14:textFill>
        </w:rPr>
      </w:r>
      <w:r/>
    </w:p>
    <w:p>
      <w:pPr>
        <w:jc w:val="center"/>
        <w:rPr>
          <w:rFonts w:eastAsia="楷体"/>
          <w:b/>
          <w:bCs/>
          <w:color w:val="000000" w:themeColor="text1"/>
          <w:sz w:val="44"/>
          <w:szCs w:val="44"/>
          <w14:textFill>
            <w14:solidFill>
              <w14:schemeClr w14:val="tx1"/>
            </w14:solidFill>
          </w14:textFill>
        </w:rPr>
      </w:pPr>
      <w:r>
        <w:rPr>
          <w:rFonts w:eastAsia="楷体"/>
          <w:b/>
          <w:bCs/>
          <w:color w:val="000000" w:themeColor="text1"/>
          <w:sz w:val="44"/>
          <w:szCs w:val="44"/>
          <w14:textFill>
            <w14:solidFill>
              <w14:schemeClr w14:val="tx1"/>
            </w14:solidFill>
          </w14:textFill>
        </w:rPr>
        <w:t xml:space="preserve">苏州工业园区集中采购中心</w:t>
      </w:r>
      <w:r/>
    </w:p>
    <w:p>
      <w:pPr>
        <w:jc w:val="center"/>
        <w:rPr>
          <w:rFonts w:eastAsia="楷体"/>
          <w:b/>
          <w:bCs/>
          <w:color w:val="000000" w:themeColor="text1"/>
          <w:sz w:val="44"/>
          <w:szCs w:val="44"/>
          <w14:textFill>
            <w14:solidFill>
              <w14:schemeClr w14:val="tx1"/>
            </w14:solidFill>
          </w14:textFill>
        </w:rPr>
      </w:pPr>
      <w:r>
        <w:rPr>
          <w:rFonts w:eastAsia="楷体"/>
          <w:b/>
          <w:bCs/>
          <w:sz w:val="44"/>
          <w:szCs w:val="44"/>
        </w:rPr>
        <w:t xml:space="preserve">二〇二六年</w:t>
      </w:r>
      <w:r>
        <w:rPr>
          <w:rFonts w:hint="eastAsia" w:eastAsia="楷体"/>
          <w:b/>
          <w:bCs/>
          <w:sz w:val="44"/>
          <w:szCs w:val="44"/>
          <w:highlight w:val="none"/>
        </w:rPr>
        <w:t xml:space="preserve">六</w:t>
      </w:r>
      <w:r>
        <w:rPr>
          <w:rFonts w:eastAsia="楷体"/>
          <w:b/>
          <w:bCs/>
          <w:color w:val="000000" w:themeColor="text1"/>
          <w:sz w:val="44"/>
          <w:szCs w:val="44"/>
          <w:highlight w:val="none"/>
          <w14:textFill>
            <w14:solidFill>
              <w14:schemeClr w14:val="tx1"/>
            </w14:solidFill>
          </w14:textFill>
        </w:rPr>
        <w:t xml:space="preserve">月</w:t>
      </w:r>
      <w:r/>
    </w:p>
    <w:p>
      <w:pPr>
        <w:jc w:val="center"/>
        <w:rPr>
          <w:b/>
          <w:bCs/>
          <w:color w:val="000000" w:themeColor="text1"/>
          <w:sz w:val="48"/>
          <w14:textFill>
            <w14:solidFill>
              <w14:schemeClr w14:val="tx1"/>
            </w14:solidFill>
          </w14:textFill>
        </w:rPr>
      </w:pPr>
      <w:r>
        <w:rPr>
          <w:b/>
          <w:bCs/>
          <w:color w:val="000000" w:themeColor="text1"/>
          <w:sz w:val="48"/>
          <w14:textFill>
            <w14:solidFill>
              <w14:schemeClr w14:val="tx1"/>
            </w14:solidFill>
          </w14:textFill>
        </w:rPr>
      </w:r>
      <w:r/>
    </w:p>
    <w:p>
      <w:pPr>
        <w:jc w:val="center"/>
        <w:rPr>
          <w:b/>
          <w:bCs/>
          <w:color w:val="000000" w:themeColor="text1"/>
          <w:sz w:val="48"/>
          <w14:textFill>
            <w14:solidFill>
              <w14:schemeClr w14:val="tx1"/>
            </w14:solidFill>
          </w14:textFill>
        </w:rPr>
      </w:pPr>
      <w:r>
        <w:rPr>
          <w:b/>
          <w:bCs/>
          <w:color w:val="000000" w:themeColor="text1"/>
          <w:sz w:val="48"/>
          <w14:textFill>
            <w14:solidFill>
              <w14:schemeClr w14:val="tx1"/>
            </w14:solidFill>
          </w14:textFill>
        </w:rPr>
      </w:r>
      <w:r/>
    </w:p>
    <w:p>
      <w:pPr>
        <w:jc w:val="center"/>
        <w:rPr>
          <w:b/>
          <w:bCs/>
          <w:sz w:val="48"/>
          <w:szCs w:val="48"/>
          <w14:textFill>
            <w14:solidFill>
              <w14:schemeClr w14:val="tx1"/>
            </w14:solidFill>
          </w14:textFill>
        </w:rPr>
      </w:pPr>
      <w:r>
        <w:rPr>
          <w:b/>
          <w:bCs/>
          <w:color w:val="000000" w:themeColor="text1"/>
          <w:sz w:val="48"/>
          <w14:textFill>
            <w14:solidFill>
              <w14:schemeClr w14:val="tx1"/>
            </w14:solidFill>
          </w14:textFill>
        </w:rPr>
      </w:r>
      <w:r>
        <w:rPr>
          <w:b/>
          <w:bCs/>
          <w:color w:val="000000" w:themeColor="text1"/>
          <w:sz w:val="48"/>
          <w14:textFill>
            <w14:solidFill>
              <w14:schemeClr w14:val="tx1"/>
            </w14:solidFill>
          </w14:textFill>
        </w:rPr>
      </w:r>
      <w:r/>
    </w:p>
    <w:p>
      <w:pPr>
        <w:jc w:val="center"/>
        <w:rPr>
          <w:b/>
          <w:bCs/>
          <w:sz w:val="48"/>
          <w:szCs w:val="48"/>
          <w14:textFill>
            <w14:solidFill>
              <w14:schemeClr w14:val="tx1"/>
            </w14:solidFill>
          </w14:textFill>
        </w:rPr>
      </w:pPr>
      <w:r>
        <w:rPr>
          <w:b/>
          <w:bCs/>
          <w:color w:val="000000" w:themeColor="text1"/>
          <w:sz w:val="48"/>
          <w14:textFill>
            <w14:solidFill>
              <w14:schemeClr w14:val="tx1"/>
            </w14:solidFill>
          </w14:textFill>
        </w:rPr>
      </w:r>
      <w:r/>
    </w:p>
    <w:p>
      <w:pPr>
        <w:jc w:val="center"/>
        <w:rPr>
          <w:b/>
          <w:bCs/>
          <w:color w:val="000000" w:themeColor="text1"/>
          <w:sz w:val="48"/>
          <w14:textFill>
            <w14:solidFill>
              <w14:schemeClr w14:val="tx1"/>
            </w14:solidFill>
          </w14:textFill>
        </w:rPr>
      </w:pPr>
      <w:r>
        <w:rPr>
          <w:b/>
          <w:bCs/>
          <w:color w:val="000000" w:themeColor="text1"/>
          <w:sz w:val="48"/>
          <w14:textFill>
            <w14:solidFill>
              <w14:schemeClr w14:val="tx1"/>
            </w14:solidFill>
          </w14:textFill>
        </w:rPr>
        <w:t xml:space="preserve">目录</w:t>
      </w:r>
      <w:r/>
    </w:p>
    <w:p>
      <w:pPr>
        <w:pStyle w:val="941"/>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p>
      <w:r/>
      <w:r/>
    </w:p>
    <w:p>
      <w:pPr>
        <w:spacing w:line="720" w:lineRule="auto"/>
        <w:rPr>
          <w:color w:val="000000" w:themeColor="text1"/>
          <w:sz w:val="28"/>
          <w14:textFill>
            <w14:solidFill>
              <w14:schemeClr w14:val="tx1"/>
            </w14:solidFill>
          </w14:textFill>
        </w:rPr>
      </w:pPr>
      <w:r>
        <w:rPr>
          <w:color w:val="000000" w:themeColor="text1"/>
          <w:sz w:val="28"/>
          <w14:textFill>
            <w14:solidFill>
              <w14:schemeClr w14:val="tx1"/>
            </w14:solidFill>
          </w14:textFill>
        </w:rPr>
      </w:r>
      <w:r/>
    </w:p>
    <w:p>
      <w:pPr>
        <w:numPr>
          <w:ilvl w:val="0"/>
          <w:numId w:val="4"/>
        </w:numPr>
        <w:spacing w:line="720" w:lineRule="auto"/>
        <w:rPr>
          <w:color w:val="000000" w:themeColor="text1"/>
          <w:sz w:val="32"/>
          <w:szCs w:val="24"/>
          <w14:textFill>
            <w14:solidFill>
              <w14:schemeClr w14:val="tx1"/>
            </w14:solidFill>
          </w14:textFill>
        </w:rPr>
      </w:pPr>
      <w:r>
        <w:rPr>
          <w:color w:val="000000" w:themeColor="text1"/>
          <w:sz w:val="32"/>
          <w:szCs w:val="24"/>
          <w14:textFill>
            <w14:solidFill>
              <w14:schemeClr w14:val="tx1"/>
            </w14:solidFill>
          </w14:textFill>
        </w:rPr>
        <w:t xml:space="preserve">竞争性谈判公告</w:t>
      </w:r>
      <w:r/>
    </w:p>
    <w:p>
      <w:pPr>
        <w:numPr>
          <w:ilvl w:val="0"/>
          <w:numId w:val="4"/>
        </w:numPr>
        <w:spacing w:line="720" w:lineRule="auto"/>
        <w:rPr>
          <w:color w:val="000000" w:themeColor="text1"/>
          <w:sz w:val="32"/>
          <w:szCs w:val="24"/>
          <w14:textFill>
            <w14:solidFill>
              <w14:schemeClr w14:val="tx1"/>
            </w14:solidFill>
          </w14:textFill>
        </w:rPr>
      </w:pPr>
      <w:r>
        <w:rPr>
          <w:color w:val="000000" w:themeColor="text1"/>
          <w:sz w:val="32"/>
          <w:szCs w:val="24"/>
          <w14:textFill>
            <w14:solidFill>
              <w14:schemeClr w14:val="tx1"/>
            </w14:solidFill>
          </w14:textFill>
        </w:rPr>
        <w:t xml:space="preserve">响应须知</w:t>
      </w:r>
      <w:r/>
    </w:p>
    <w:p>
      <w:pPr>
        <w:numPr>
          <w:ilvl w:val="0"/>
          <w:numId w:val="4"/>
        </w:numPr>
        <w:spacing w:line="720" w:lineRule="auto"/>
        <w:rPr>
          <w:color w:val="000000" w:themeColor="text1"/>
          <w:sz w:val="32"/>
          <w:szCs w:val="24"/>
          <w14:textFill>
            <w14:solidFill>
              <w14:schemeClr w14:val="tx1"/>
            </w14:solidFill>
          </w14:textFill>
        </w:rPr>
      </w:pPr>
      <w:r>
        <w:rPr>
          <w:color w:val="000000" w:themeColor="text1"/>
          <w:sz w:val="32"/>
          <w:szCs w:val="24"/>
          <w14:textFill>
            <w14:solidFill>
              <w14:schemeClr w14:val="tx1"/>
            </w14:solidFill>
          </w14:textFill>
        </w:rPr>
        <w:t xml:space="preserve">采购需求</w:t>
      </w:r>
      <w:r/>
    </w:p>
    <w:p>
      <w:pPr>
        <w:numPr>
          <w:ilvl w:val="0"/>
          <w:numId w:val="4"/>
        </w:numPr>
        <w:spacing w:line="720" w:lineRule="auto"/>
        <w:rPr>
          <w:color w:val="000000" w:themeColor="text1"/>
          <w:sz w:val="32"/>
          <w:szCs w:val="24"/>
          <w14:textFill>
            <w14:solidFill>
              <w14:schemeClr w14:val="tx1"/>
            </w14:solidFill>
          </w14:textFill>
        </w:rPr>
      </w:pPr>
      <w:r>
        <w:rPr>
          <w:color w:val="000000" w:themeColor="text1"/>
          <w:sz w:val="32"/>
          <w:szCs w:val="24"/>
          <w14:textFill>
            <w14:solidFill>
              <w14:schemeClr w14:val="tx1"/>
            </w14:solidFill>
          </w14:textFill>
        </w:rPr>
        <w:t xml:space="preserve">评定成交标准</w:t>
      </w:r>
      <w:r/>
    </w:p>
    <w:p>
      <w:pPr>
        <w:numPr>
          <w:ilvl w:val="0"/>
          <w:numId w:val="4"/>
        </w:numPr>
        <w:spacing w:line="720" w:lineRule="auto"/>
        <w:rPr>
          <w:color w:val="000000" w:themeColor="text1"/>
          <w:sz w:val="32"/>
          <w:szCs w:val="24"/>
          <w14:textFill>
            <w14:solidFill>
              <w14:schemeClr w14:val="tx1"/>
            </w14:solidFill>
          </w14:textFill>
        </w:rPr>
      </w:pPr>
      <w:r>
        <w:rPr>
          <w:color w:val="000000" w:themeColor="text1"/>
          <w:sz w:val="32"/>
          <w:szCs w:val="24"/>
          <w14:textFill>
            <w14:solidFill>
              <w14:schemeClr w14:val="tx1"/>
            </w14:solidFill>
          </w14:textFill>
        </w:rPr>
        <w:t xml:space="preserve">合同文本　</w:t>
      </w:r>
      <w:r/>
    </w:p>
    <w:p>
      <w:pPr>
        <w:numPr>
          <w:ilvl w:val="0"/>
          <w:numId w:val="4"/>
        </w:numPr>
        <w:spacing w:line="720" w:lineRule="auto"/>
        <w:rPr>
          <w:color w:val="000000" w:themeColor="text1"/>
          <w:sz w:val="32"/>
          <w:szCs w:val="24"/>
          <w14:textFill>
            <w14:solidFill>
              <w14:schemeClr w14:val="tx1"/>
            </w14:solidFill>
          </w14:textFill>
        </w:rPr>
      </w:pPr>
      <w:r>
        <w:rPr>
          <w:color w:val="000000" w:themeColor="text1"/>
          <w:sz w:val="32"/>
          <w:szCs w:val="24"/>
          <w14:textFill>
            <w14:solidFill>
              <w14:schemeClr w14:val="tx1"/>
            </w14:solidFill>
          </w14:textFill>
        </w:rPr>
        <w:t xml:space="preserve">响应文件格式</w:t>
      </w:r>
      <w:r/>
    </w:p>
    <w:p>
      <w:pPr>
        <w:pStyle w:val="898"/>
        <w:numPr>
          <w:ilvl w:val="0"/>
          <w:numId w:val="5"/>
        </w:numPr>
        <w:ind w:hanging="1276"/>
        <w:jc w:val="center"/>
        <w:spacing w:line="480" w:lineRule="auto"/>
        <w:rPr>
          <w:b/>
          <w:bCs/>
          <w:color w:val="000000" w:themeColor="text1"/>
          <w:sz w:val="44"/>
          <w:szCs w:val="44"/>
          <w14:textFill>
            <w14:solidFill>
              <w14:schemeClr w14:val="tx1"/>
            </w14:solidFill>
          </w14:textFill>
        </w:rPr>
        <w:outlineLvl w:val="0"/>
      </w:pPr>
      <w:r>
        <w:rPr>
          <w:b/>
          <w:bCs/>
          <w:color w:val="000000" w:themeColor="text1"/>
          <w:sz w:val="30"/>
          <w:szCs w:val="30"/>
          <w14:textFill>
            <w14:solidFill>
              <w14:schemeClr w14:val="tx1"/>
            </w14:solidFill>
          </w14:textFill>
        </w:rPr>
        <w:br w:type="page" w:clear="all"/>
      </w:r>
      <w:r>
        <w:rPr>
          <w:b/>
          <w:bCs/>
          <w:color w:val="000000" w:themeColor="text1"/>
          <w:sz w:val="44"/>
          <w:szCs w:val="44"/>
          <w14:textFill>
            <w14:solidFill>
              <w14:schemeClr w14:val="tx1"/>
            </w14:solidFill>
          </w14:textFill>
        </w:rPr>
        <w:t xml:space="preserve">竞争性谈判公告</w:t>
      </w:r>
      <w:r/>
    </w:p>
    <w:tbl>
      <w:tblPr>
        <w:tblStyle w:val="88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rHeight w:val="90"/>
        </w:trPr>
        <w:tc>
          <w:tcPr>
            <w:tcW w:w="10173" w:type="dxa"/>
            <w:textDirection w:val="lrTb"/>
            <w:noWrap w:val="false"/>
          </w:tcPr>
          <w:p>
            <w:pPr>
              <w:ind w:firstLine="422"/>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项目概况：</w:t>
            </w:r>
            <w:r/>
          </w:p>
          <w:p>
            <w:pPr>
              <w:ind w:left="630"/>
              <w:spacing w:line="360" w:lineRule="auto"/>
              <w:rPr>
                <w:color w:val="000000" w:themeColor="text1"/>
                <w:szCs w:val="21"/>
                <w14:textFill>
                  <w14:solidFill>
                    <w14:schemeClr w14:val="tx1"/>
                  </w14:solidFill>
                </w14:textFill>
              </w:rPr>
            </w:pPr>
            <w:r>
              <w:rPr>
                <w:color w:val="000000" w:themeColor="text1"/>
                <w:szCs w:val="21"/>
                <w:u w:val="single"/>
                <w14:textFill>
                  <w14:solidFill>
                    <w14:schemeClr w14:val="tx1"/>
                  </w14:solidFill>
                </w14:textFill>
              </w:rPr>
              <w:t xml:space="preserve">苏州工业园区青少年活动中心电梯采购</w:t>
            </w:r>
            <w:r>
              <w:rPr>
                <w:color w:val="000000" w:themeColor="text1"/>
                <w:szCs w:val="21"/>
                <w14:textFill>
                  <w14:solidFill>
                    <w14:schemeClr w14:val="tx1"/>
                  </w14:solidFill>
                </w14:textFill>
              </w:rPr>
              <w:t xml:space="preserve">项目的潜在供应商应在</w:t>
            </w:r>
            <w:r>
              <w:rPr>
                <w:color w:val="000000" w:themeColor="text1"/>
                <w14:textFill>
                  <w14:solidFill>
                    <w14:schemeClr w14:val="tx1"/>
                  </w14:solidFill>
                </w14:textFill>
              </w:rPr>
              <w:t xml:space="preserve">江苏省政府采购一体化平台“苏采云”系统自行免费下载</w:t>
            </w:r>
            <w:r>
              <w:rPr>
                <w:color w:val="000000" w:themeColor="text1"/>
                <w:szCs w:val="21"/>
                <w14:textFill>
                  <w14:solidFill>
                    <w14:schemeClr w14:val="tx1"/>
                  </w14:solidFill>
                </w14:textFill>
              </w:rPr>
              <w:t xml:space="preserve">采购文件</w:t>
            </w:r>
            <w:r>
              <w:rPr>
                <w:color w:val="000000" w:themeColor="text1"/>
                <w:szCs w:val="21"/>
                <w14:textFill>
                  <w14:solidFill>
                    <w14:schemeClr w14:val="tx1"/>
                  </w14:solidFill>
                </w14:textFill>
              </w:rPr>
              <w:t xml:space="preserve">，并于</w:t>
            </w:r>
            <w:r>
              <w:rPr>
                <w:color w:val="000000" w:themeColor="text1"/>
                <w:szCs w:val="21"/>
                <w:u w:val="single"/>
                <w14:textFill>
                  <w14:solidFill>
                    <w14:schemeClr w14:val="tx1"/>
                  </w14:solidFill>
                </w14:textFill>
              </w:rPr>
              <w:t xml:space="preserve"> </w:t>
            </w:r>
            <w:r>
              <w:rPr>
                <w:rFonts w:eastAsiaTheme="minorEastAsia"/>
                <w:szCs w:val="21"/>
                <w:highlight w:val="none"/>
                <w:u w:val="single"/>
              </w:rPr>
              <w:t xml:space="preserve">202</w:t>
            </w:r>
            <w:r>
              <w:rPr>
                <w:rFonts w:hint="eastAsia" w:eastAsiaTheme="minorEastAsia"/>
                <w:szCs w:val="21"/>
                <w:highlight w:val="none"/>
                <w:u w:val="single"/>
                <w:lang w:val="en-US" w:eastAsia="zh-CN"/>
              </w:rPr>
              <w:t xml:space="preserve">6</w:t>
            </w:r>
            <w:r>
              <w:rPr>
                <w:rFonts w:eastAsiaTheme="minorEastAsia"/>
                <w:szCs w:val="21"/>
                <w:highlight w:val="none"/>
                <w:u w:val="single"/>
              </w:rPr>
              <w:t xml:space="preserve">年</w:t>
            </w:r>
            <w:r>
              <w:rPr>
                <w:rFonts w:hint="eastAsia" w:eastAsiaTheme="minorEastAsia"/>
                <w:szCs w:val="21"/>
                <w:highlight w:val="none"/>
                <w:u w:val="single"/>
                <w:lang w:val="en-US" w:eastAsia="zh-CN"/>
              </w:rPr>
              <w:t xml:space="preserve">6</w:t>
            </w:r>
            <w:r>
              <w:rPr>
                <w:rFonts w:eastAsiaTheme="minorEastAsia"/>
                <w:szCs w:val="21"/>
                <w:highlight w:val="none"/>
                <w:u w:val="single"/>
              </w:rPr>
              <w:t xml:space="preserve">月</w:t>
            </w:r>
            <w:r>
              <w:rPr>
                <w:rFonts w:hint="eastAsia" w:eastAsiaTheme="minorEastAsia"/>
                <w:szCs w:val="21"/>
                <w:highlight w:val="none"/>
                <w:u w:val="single"/>
                <w:lang w:val="en-US" w:eastAsia="zh-CN"/>
              </w:rPr>
              <w:t xml:space="preserve">26</w:t>
            </w:r>
            <w:r>
              <w:rPr>
                <w:rFonts w:eastAsiaTheme="minorEastAsia"/>
                <w:szCs w:val="21"/>
                <w:highlight w:val="none"/>
                <w:u w:val="single"/>
              </w:rPr>
              <w:t xml:space="preserve">日</w:t>
            </w:r>
            <w:r>
              <w:rPr>
                <w:rFonts w:hint="eastAsia" w:eastAsiaTheme="minorEastAsia"/>
                <w:szCs w:val="21"/>
                <w:highlight w:val="none"/>
                <w:u w:val="single"/>
                <w:lang w:val="en-US" w:eastAsia="zh-CN"/>
              </w:rPr>
              <w:t xml:space="preserve">9</w:t>
            </w:r>
            <w:r>
              <w:rPr>
                <w:rFonts w:eastAsiaTheme="minorEastAsia"/>
                <w:szCs w:val="21"/>
                <w:highlight w:val="none"/>
                <w:u w:val="single"/>
              </w:rPr>
              <w:t xml:space="preserve">点</w:t>
            </w:r>
            <w:r>
              <w:rPr>
                <w:rFonts w:hint="eastAsia" w:eastAsiaTheme="minorEastAsia"/>
                <w:szCs w:val="21"/>
                <w:highlight w:val="none"/>
                <w:u w:val="single"/>
                <w:lang w:val="en-US" w:eastAsia="zh-CN"/>
              </w:rPr>
              <w:t xml:space="preserve">30</w:t>
            </w:r>
            <w:r>
              <w:rPr>
                <w:rFonts w:eastAsiaTheme="minorEastAsia"/>
                <w:szCs w:val="21"/>
                <w:highlight w:val="none"/>
                <w:u w:val="single"/>
              </w:rPr>
              <w:t xml:space="preserve">分</w:t>
            </w:r>
            <w:r>
              <w:rPr>
                <w:color w:val="000000" w:themeColor="text1"/>
                <w:szCs w:val="21"/>
                <w:highlight w:val="none"/>
                <w14:textFill>
                  <w14:solidFill>
                    <w14:schemeClr w14:val="tx1"/>
                  </w14:solidFill>
                </w14:textFill>
              </w:rPr>
              <w:t xml:space="preserve">（</w:t>
            </w:r>
            <w:r>
              <w:rPr>
                <w:color w:val="000000" w:themeColor="text1"/>
                <w:szCs w:val="21"/>
                <w14:textFill>
                  <w14:solidFill>
                    <w14:schemeClr w14:val="tx1"/>
                  </w14:solidFill>
                </w14:textFill>
              </w:rPr>
              <w:t xml:space="preserve">北京时间）前递交响应文件。</w:t>
            </w:r>
            <w:r/>
          </w:p>
        </w:tc>
      </w:tr>
    </w:tbl>
    <w:p>
      <w:pPr>
        <w:jc w:val="left"/>
        <w:spacing w:line="360" w:lineRule="auto"/>
        <w:shd w:val="clear" w:color="auto" w:fill="ffffff"/>
        <w:widowControl/>
        <w:rPr>
          <w:b/>
          <w:color w:val="000000" w:themeColor="text1"/>
          <w:szCs w:val="21"/>
          <w:highlight w:val="none"/>
          <w14:textFill>
            <w14:solidFill>
              <w14:schemeClr w14:val="tx1"/>
            </w14:solidFill>
          </w14:textFill>
        </w:rPr>
        <w:outlineLvl w:val="1"/>
      </w:pPr>
      <w:r>
        <w:rPr>
          <w:b/>
          <w:color w:val="000000" w:themeColor="text1"/>
          <w:szCs w:val="21"/>
          <w:highlight w:val="none"/>
          <w14:textFill>
            <w14:solidFill>
              <w14:schemeClr w14:val="tx1"/>
            </w14:solidFill>
          </w14:textFill>
        </w:rPr>
        <w:t xml:space="preserve">一、项目基本情况</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项目编号：</w:t>
      </w:r>
      <w:r>
        <w:rPr>
          <w:rFonts w:hint="eastAsia"/>
          <w:color w:val="000000" w:themeColor="text1"/>
          <w:szCs w:val="21"/>
          <w:highlight w:val="none"/>
          <w14:textFill>
            <w14:solidFill>
              <w14:schemeClr w14:val="tx1"/>
            </w14:solidFill>
          </w14:textFill>
        </w:rPr>
        <w:t xml:space="preserve">JSZC-320591-JZCG-T2026-0016</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项目名称：</w:t>
      </w:r>
      <w:r>
        <w:rPr>
          <w:color w:val="000000" w:themeColor="text1"/>
          <w:szCs w:val="21"/>
          <w14:textFill>
            <w14:solidFill>
              <w14:schemeClr w14:val="tx1"/>
            </w14:solidFill>
          </w14:textFill>
        </w:rPr>
        <w:t xml:space="preserve">苏州工业园区青少年活动中心电梯采购</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采购方式：竞争性谈判</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预算总金额：</w:t>
      </w:r>
      <w:r>
        <w:rPr>
          <w:color w:val="000000" w:themeColor="text1"/>
          <w:szCs w:val="21"/>
          <w14:textFill>
            <w14:solidFill>
              <w14:schemeClr w14:val="tx1"/>
            </w14:solidFill>
          </w14:textFill>
        </w:rPr>
        <w:t xml:space="preserve">人民币贰拾万元</w:t>
      </w:r>
      <w:r>
        <w:rPr>
          <w:szCs w:val="21"/>
        </w:rPr>
        <w:t xml:space="preserve">（¥200000.00）</w:t>
      </w:r>
      <w:r/>
    </w:p>
    <w:p>
      <w:pPr>
        <w:ind w:firstLine="420"/>
        <w:spacing w:line="360" w:lineRule="auto"/>
        <w:tabs>
          <w:tab w:val="left" w:pos="654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最高限价：无</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采购需求：</w:t>
      </w:r>
      <w:bookmarkStart w:id="0" w:name="_Hlk231825476"/>
      <w:r>
        <w:rPr>
          <w:color w:val="000000" w:themeColor="text1"/>
          <w:szCs w:val="21"/>
          <w:highlight w:val="none"/>
          <w14:textFill>
            <w14:solidFill>
              <w14:schemeClr w14:val="tx1"/>
            </w14:solidFill>
          </w14:textFill>
        </w:rPr>
        <w:t xml:space="preserve">苏州工业园区青少年活动中心</w:t>
      </w:r>
      <w:r>
        <w:rPr>
          <w:color w:val="000000" w:themeColor="text1"/>
          <w:szCs w:val="21"/>
          <w:highlight w:val="none"/>
          <w14:textFill>
            <w14:solidFill>
              <w14:schemeClr w14:val="tx1"/>
            </w14:solidFill>
          </w14:textFill>
        </w:rPr>
        <w:t xml:space="preserve">本部场馆1台无机房无障碍电梯更换（含旧电梯拆除，新电梯安装），</w:t>
      </w:r>
      <w:r>
        <w:rPr>
          <w:rFonts w:hint="eastAsia" w:eastAsiaTheme="minorEastAsia"/>
          <w:szCs w:val="21"/>
          <w:highlight w:val="none"/>
        </w:rPr>
        <w:t xml:space="preserve">采购内容包括：旧电梯拆除清运、井道及厅门修复、新电梯设计制造、运输、安装、调试、验收、培训、质保期维保等交钥匙服务。要求严格按照国家有关规范生产，</w:t>
      </w:r>
      <w:r>
        <w:rPr>
          <w:rFonts w:hint="eastAsia"/>
          <w:szCs w:val="21"/>
          <w:highlight w:val="none"/>
        </w:rPr>
        <w:t xml:space="preserve">符合国家相关标准和规范要求</w:t>
      </w:r>
      <w:r>
        <w:rPr>
          <w:rFonts w:hint="eastAsia" w:eastAsiaTheme="minorEastAsia"/>
          <w:szCs w:val="21"/>
          <w:highlight w:val="none"/>
        </w:rPr>
        <w:t xml:space="preserve">。</w:t>
      </w:r>
      <w:r>
        <w:rPr>
          <w:rFonts w:hint="eastAsia"/>
          <w:strike w:val="0"/>
          <w:highlight w:val="none"/>
        </w:rPr>
        <w:t xml:space="preserve">旧电梯由供应商负责拆除并清运</w:t>
      </w:r>
      <w:r>
        <w:rPr>
          <w:rFonts w:hint="eastAsia"/>
          <w:strike w:val="0"/>
          <w:highlight w:val="none"/>
          <w:lang w:eastAsia="zh-CN"/>
        </w:rPr>
        <w:t xml:space="preserve">。</w:t>
      </w:r>
      <w:r>
        <w:rPr>
          <w:strike w:val="0"/>
          <w:color w:val="000000" w:themeColor="text1"/>
          <w:szCs w:val="21"/>
          <w:highlight w:val="none"/>
          <w14:textFill>
            <w14:solidFill>
              <w14:schemeClr w14:val="tx1"/>
            </w14:solidFill>
          </w14:textFill>
        </w:rPr>
        <w:t xml:space="preserve">具体详见谈判文件第三章。</w:t>
      </w:r>
      <w:bookmarkEnd w:id="0"/>
      <w:r/>
      <w:r/>
    </w:p>
    <w:p>
      <w:pPr>
        <w:ind w:firstLine="420"/>
        <w:spacing w:line="360" w:lineRule="auto"/>
        <w:rPr>
          <w:rFonts w:hint="eastAsia"/>
          <w:color w:val="000000" w:themeColor="text1"/>
          <w:szCs w:val="21"/>
          <w:highlight w:val="cyan"/>
          <w14:textFill>
            <w14:solidFill>
              <w14:schemeClr w14:val="tx1"/>
            </w14:solidFill>
          </w14:textFill>
        </w:rPr>
      </w:pPr>
      <w:r>
        <w:rPr>
          <w:color w:val="000000" w:themeColor="text1"/>
          <w:szCs w:val="21"/>
          <w14:textFill>
            <w14:solidFill>
              <w14:schemeClr w14:val="tx1"/>
            </w14:solidFill>
          </w14:textFill>
        </w:rPr>
        <w:t xml:space="preserve">合同履行期</w:t>
      </w:r>
      <w:r>
        <w:rPr>
          <w:color w:val="000000" w:themeColor="text1"/>
          <w:szCs w:val="21"/>
          <w:highlight w:val="none"/>
          <w14:textFill>
            <w14:solidFill>
              <w14:schemeClr w14:val="tx1"/>
            </w14:solidFill>
          </w14:textFill>
        </w:rPr>
        <w:t xml:space="preserve">限：</w:t>
      </w:r>
      <w:bookmarkStart w:id="1" w:name="_Hlk231831018"/>
      <w:r>
        <w:rPr>
          <w:rFonts w:hint="eastAsia"/>
          <w:color w:val="000000" w:themeColor="text1"/>
          <w:szCs w:val="21"/>
          <w:highlight w:val="none"/>
          <w14:textFill>
            <w14:solidFill>
              <w14:schemeClr w14:val="tx1"/>
            </w14:solidFill>
          </w14:textFill>
        </w:rPr>
        <w:t xml:space="preserve">合同签订后</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50</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天内供货并安装调试完毕。如因现场不具备进场安装条件，采购人将书面或邮件通知成交供应商，履行期限相应顺延（顺延天数自通知之日起至具备条件之日止）。</w:t>
      </w:r>
      <w:bookmarkEnd w:id="1"/>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本项目</w:t>
      </w:r>
      <w:r>
        <w:rPr>
          <w:color w:val="000000" w:themeColor="text1"/>
          <w:szCs w:val="21"/>
          <w:u w:val="single"/>
          <w14:textFill>
            <w14:solidFill>
              <w14:schemeClr w14:val="tx1"/>
            </w14:solidFill>
          </w14:textFill>
        </w:rPr>
        <w:t xml:space="preserve">不接受</w:t>
      </w:r>
      <w:r>
        <w:rPr>
          <w:color w:val="000000" w:themeColor="text1"/>
          <w:szCs w:val="21"/>
          <w14:textFill>
            <w14:solidFill>
              <w14:schemeClr w14:val="tx1"/>
            </w14:solidFill>
          </w14:textFill>
        </w:rPr>
        <w:t xml:space="preserve">联合体投标。</w:t>
      </w:r>
      <w:r/>
    </w:p>
    <w:p>
      <w:pPr>
        <w:jc w:val="left"/>
        <w:spacing w:line="360" w:lineRule="auto"/>
        <w:shd w:val="clear" w:color="auto" w:fill="ffffff"/>
        <w:widowControl/>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二、申请人的资格要求：</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1、满足《中华人民共和国政府采购法》第二十二条规定：</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(1)具有独立承担民事责任的能力；</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(2)具有良好的商业信誉和健全的财务会计制度；</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(3)具有履行合同所必需的设备和专业技术能力；</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(4)有依法缴纳税收和社会保障资金的良好记录；</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(5)参加政府采购活动前三年内，在经营活动中没有出现重大违法记录；</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(6)法律、行政法规规定的其他条件。</w:t>
      </w:r>
      <w:r/>
    </w:p>
    <w:p>
      <w:pPr>
        <w:ind w:firstLine="420"/>
        <w:spacing w:line="360" w:lineRule="auto"/>
        <w:rPr>
          <w:rFonts w:hint="eastAsia" w:eastAsia="宋体"/>
          <w:color w:val="000000" w:themeColor="text1"/>
          <w:lang w:eastAsia="zh-CN"/>
          <w14:textFill>
            <w14:solidFill>
              <w14:schemeClr w14:val="tx1"/>
            </w14:solidFill>
          </w14:textFill>
        </w:rPr>
      </w:pPr>
      <w:r>
        <w:rPr>
          <w:color w:val="000000" w:themeColor="text1"/>
          <w:szCs w:val="21"/>
          <w14:textFill>
            <w14:solidFill>
              <w14:schemeClr w14:val="tx1"/>
            </w14:solidFill>
          </w14:textFill>
        </w:rPr>
        <w:t xml:space="preserve">2、落实政府采购政策需满足的资格要求：</w:t>
      </w:r>
      <w:r>
        <w:rPr>
          <w:rFonts w:hint="eastAsia"/>
          <w:color w:val="000000" w:themeColor="text1"/>
          <w:highlight w:val="none"/>
          <w:lang w:eastAsia="zh-CN"/>
          <w14:textFill>
            <w14:solidFill>
              <w14:schemeClr w14:val="tx1"/>
            </w14:solidFill>
          </w14:textFill>
        </w:rPr>
        <w:t xml:space="preserve">无</w:t>
      </w:r>
      <w:r/>
    </w:p>
    <w:p>
      <w:pPr>
        <w:numPr>
          <w:ilvl w:val="0"/>
          <w:numId w:val="6"/>
        </w:num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本项目的特定资格要求：</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3.1如供应商为电梯制造单位，电梯制造单位应具备行政主管部门颁发的有效期内的《中华人民共和国特种设备生产许可证》【许可项目：电梯制造（含安装、修理、改造），许可子项目包含</w:t>
      </w:r>
      <w:r>
        <w:rPr>
          <w:rFonts w:hint="eastAsia"/>
          <w:color w:val="000000" w:themeColor="text1"/>
          <w:szCs w:val="21"/>
          <w:highlight w:val="none"/>
          <w14:textFill>
            <w14:solidFill>
              <w14:schemeClr w14:val="tx1"/>
            </w14:solidFill>
          </w14:textFill>
        </w:rPr>
        <w:t xml:space="preserve">曳引驱动乘客电梯（含消防员电梯）</w:t>
      </w:r>
      <w:r>
        <w:rPr>
          <w:color w:val="000000" w:themeColor="text1"/>
          <w:szCs w:val="21"/>
          <w:highlight w:val="none"/>
          <w14:textFill>
            <w14:solidFill>
              <w14:schemeClr w14:val="tx1"/>
            </w14:solidFill>
          </w14:textFill>
        </w:rPr>
        <w:t xml:space="preserve">】；</w:t>
      </w:r>
      <w:r>
        <w:rPr>
          <w:b/>
          <w:bCs/>
          <w:color w:val="000000" w:themeColor="text1"/>
          <w:szCs w:val="21"/>
          <w:highlight w:val="none"/>
          <w14:textFill>
            <w14:solidFill>
              <w14:schemeClr w14:val="tx1"/>
            </w14:solidFill>
          </w14:textFill>
        </w:rPr>
        <w:t xml:space="preserve">响应文件中提供电梯制造单位的对应许可证书扫描件</w:t>
      </w:r>
      <w:r>
        <w:rPr>
          <w:color w:val="000000" w:themeColor="text1"/>
          <w:szCs w:val="21"/>
          <w:highlight w:val="none"/>
          <w14:textFill>
            <w14:solidFill>
              <w14:schemeClr w14:val="tx1"/>
            </w14:solidFill>
          </w14:textFill>
        </w:rPr>
        <w:t xml:space="preserve">；</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3.2如供应商为代理商（经销商），安装、维修应取得电梯制造单位委托、同意，并且供应商具备行政主管部门颁发的有效期内的《中华人民共和国特种设备生产许可证》【许可项目：电梯安装（含修理），许可子项目包含</w:t>
      </w:r>
      <w:r>
        <w:rPr>
          <w:rFonts w:hint="eastAsia"/>
          <w:color w:val="000000" w:themeColor="text1"/>
          <w:szCs w:val="21"/>
          <w:highlight w:val="none"/>
          <w14:textFill>
            <w14:solidFill>
              <w14:schemeClr w14:val="tx1"/>
            </w14:solidFill>
          </w14:textFill>
        </w:rPr>
        <w:t xml:space="preserve">曳引驱动乘客电梯（含消防员电梯）</w:t>
      </w:r>
      <w:r>
        <w:rPr>
          <w:color w:val="000000" w:themeColor="text1"/>
          <w:szCs w:val="21"/>
          <w:highlight w:val="none"/>
          <w14:textFill>
            <w14:solidFill>
              <w14:schemeClr w14:val="tx1"/>
            </w14:solidFill>
          </w14:textFill>
        </w:rPr>
        <w:t xml:space="preserve">】，同时电梯制造单位应具备行政主管部门颁发的有效期内的《中华人民共和国特种设备生产许可证》【许可项目：电梯制造（含安装、修理、改造），许可子项目包含</w:t>
      </w:r>
      <w:r>
        <w:rPr>
          <w:rFonts w:hint="eastAsia"/>
          <w:color w:val="000000" w:themeColor="text1"/>
          <w:szCs w:val="21"/>
          <w:highlight w:val="none"/>
          <w14:textFill>
            <w14:solidFill>
              <w14:schemeClr w14:val="tx1"/>
            </w14:solidFill>
          </w14:textFill>
        </w:rPr>
        <w:t xml:space="preserve">曳引驱动乘客电梯（含消防员电梯）</w:t>
      </w:r>
      <w:r>
        <w:rPr>
          <w:color w:val="000000" w:themeColor="text1"/>
          <w:szCs w:val="21"/>
          <w:highlight w:val="none"/>
          <w14:textFill>
            <w14:solidFill>
              <w14:schemeClr w14:val="tx1"/>
            </w14:solidFill>
          </w14:textFill>
        </w:rPr>
        <w:t xml:space="preserve">】；</w:t>
      </w:r>
      <w:r>
        <w:rPr>
          <w:rFonts w:hint="eastAsia"/>
          <w:b/>
          <w:bCs/>
          <w:color w:val="000000" w:themeColor="text1"/>
          <w:szCs w:val="21"/>
          <w:highlight w:val="none"/>
          <w:lang w:eastAsia="zh-CN"/>
          <w14:textFill>
            <w14:solidFill>
              <w14:schemeClr w14:val="tx1"/>
            </w14:solidFill>
          </w14:textFill>
        </w:rPr>
        <w:t xml:space="preserve">响应</w:t>
      </w:r>
      <w:r>
        <w:rPr>
          <w:b/>
          <w:bCs/>
          <w:color w:val="000000" w:themeColor="text1"/>
          <w:szCs w:val="21"/>
          <w:highlight w:val="none"/>
          <w14:textFill>
            <w14:solidFill>
              <w14:schemeClr w14:val="tx1"/>
            </w14:solidFill>
          </w14:textFill>
        </w:rPr>
        <w:t xml:space="preserve">文件中提供电梯制造单位对应许可证书扫描件、代理商（经销商）的对应许可证书扫描件及电梯制造单位委托/同意的相应有效证明材料扫描件</w:t>
      </w:r>
      <w:r>
        <w:rPr>
          <w:color w:val="000000" w:themeColor="text1"/>
          <w:szCs w:val="21"/>
          <w:highlight w:val="none"/>
          <w14:textFill>
            <w14:solidFill>
              <w14:schemeClr w14:val="tx1"/>
            </w14:solidFill>
          </w14:textFill>
        </w:rPr>
        <w:t xml:space="preserve">。</w:t>
      </w:r>
      <w:r/>
    </w:p>
    <w:p>
      <w:pPr>
        <w:jc w:val="left"/>
        <w:spacing w:line="360" w:lineRule="auto"/>
        <w:shd w:val="clear" w:color="auto" w:fill="ffffff"/>
        <w:widowControl/>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三、获取采购文件</w:t>
      </w:r>
      <w:r/>
    </w:p>
    <w:p>
      <w:pPr>
        <w:ind w:firstLine="420"/>
        <w:jc w:val="left"/>
        <w:spacing w:line="360" w:lineRule="auto"/>
        <w:shd w:val="clear" w:color="auto" w:fill="ffffff"/>
        <w:widowControl/>
        <w:rPr>
          <w:color w:val="000000" w:themeColor="text1"/>
          <w:szCs w:val="21"/>
          <w:highlight w:val="none"/>
          <w:u w:val="single"/>
          <w14:textFill>
            <w14:solidFill>
              <w14:schemeClr w14:val="tx1"/>
            </w14:solidFill>
          </w14:textFill>
        </w:rPr>
      </w:pPr>
      <w:r>
        <w:rPr>
          <w:color w:val="000000" w:themeColor="text1"/>
          <w:szCs w:val="21"/>
          <w14:textFill>
            <w14:solidFill>
              <w14:schemeClr w14:val="tx1"/>
            </w14:solidFill>
          </w14:textFill>
        </w:rPr>
        <w:t xml:space="preserve">1、时间</w:t>
      </w:r>
      <w:r>
        <w:rPr>
          <w:color w:val="000000" w:themeColor="text1"/>
          <w:szCs w:val="21"/>
          <w:highlight w:val="none"/>
          <w14:textFill>
            <w14:solidFill>
              <w14:schemeClr w14:val="tx1"/>
            </w14:solidFill>
          </w14:textFill>
        </w:rPr>
        <w:t xml:space="preserve">：</w:t>
      </w:r>
      <w:r>
        <w:rPr>
          <w:szCs w:val="21"/>
          <w:highlight w:val="none"/>
          <w:u w:val="single"/>
        </w:rPr>
        <w:t xml:space="preserve">2026年</w:t>
      </w:r>
      <w:r>
        <w:rPr>
          <w:rFonts w:hint="eastAsia"/>
          <w:szCs w:val="21"/>
          <w:highlight w:val="none"/>
          <w:u w:val="single"/>
          <w:lang w:val="en-US" w:eastAsia="zh-CN"/>
        </w:rPr>
        <w:t xml:space="preserve">6</w:t>
      </w:r>
      <w:r>
        <w:rPr>
          <w:szCs w:val="21"/>
          <w:highlight w:val="none"/>
          <w:u w:val="single"/>
        </w:rPr>
        <w:t xml:space="preserve">月</w:t>
      </w:r>
      <w:r>
        <w:rPr>
          <w:rFonts w:hint="eastAsia"/>
          <w:szCs w:val="21"/>
          <w:highlight w:val="none"/>
          <w:u w:val="single"/>
          <w:lang w:val="en-US" w:eastAsia="zh-CN"/>
        </w:rPr>
        <w:t xml:space="preserve">18</w:t>
      </w:r>
      <w:r>
        <w:rPr>
          <w:szCs w:val="21"/>
          <w:highlight w:val="none"/>
          <w:u w:val="single"/>
        </w:rPr>
        <w:t xml:space="preserve">日</w:t>
      </w:r>
      <w:r>
        <w:rPr>
          <w:szCs w:val="21"/>
          <w:highlight w:val="none"/>
        </w:rPr>
        <w:t xml:space="preserve">至</w:t>
      </w:r>
      <w:r>
        <w:rPr>
          <w:szCs w:val="21"/>
          <w:highlight w:val="none"/>
          <w:u w:val="single"/>
        </w:rPr>
        <w:t xml:space="preserve">2026年</w:t>
      </w:r>
      <w:r>
        <w:rPr>
          <w:rFonts w:hint="eastAsia"/>
          <w:szCs w:val="21"/>
          <w:highlight w:val="none"/>
          <w:u w:val="single"/>
          <w:lang w:val="en-US" w:eastAsia="zh-CN"/>
        </w:rPr>
        <w:t xml:space="preserve">6</w:t>
      </w:r>
      <w:r>
        <w:rPr>
          <w:szCs w:val="21"/>
          <w:highlight w:val="none"/>
          <w:u w:val="single"/>
        </w:rPr>
        <w:t xml:space="preserve">月</w:t>
      </w:r>
      <w:r>
        <w:rPr>
          <w:rFonts w:hint="eastAsia"/>
          <w:szCs w:val="21"/>
          <w:highlight w:val="none"/>
          <w:u w:val="single"/>
          <w:lang w:val="en-US" w:eastAsia="zh-CN"/>
        </w:rPr>
        <w:t xml:space="preserve">24</w:t>
      </w:r>
      <w:r>
        <w:rPr>
          <w:szCs w:val="21"/>
          <w:highlight w:val="none"/>
          <w:u w:val="single"/>
        </w:rPr>
        <w:t xml:space="preserve">日</w:t>
      </w:r>
      <w:r>
        <w:rPr>
          <w:szCs w:val="21"/>
          <w:highlight w:val="none"/>
        </w:rPr>
        <w:t xml:space="preserve">。</w:t>
      </w:r>
      <w:r>
        <w:rPr>
          <w:highlight w:val="none"/>
        </w:rP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2、地点：</w:t>
      </w:r>
      <w:r>
        <w:rPr>
          <w:color w:val="000000" w:themeColor="text1"/>
          <w14:textFill>
            <w14:solidFill>
              <w14:schemeClr w14:val="tx1"/>
            </w14:solidFill>
          </w14:textFill>
        </w:rPr>
        <w:t xml:space="preserve">江苏省政府采购一体化平台“苏采云”系统自行免费下载</w:t>
      </w:r>
      <w:r>
        <w:rPr>
          <w:rFonts w:eastAsiaTheme="minorEastAsia"/>
          <w:szCs w:val="21"/>
        </w:rPr>
        <w:t xml:space="preserve">。</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3、方式：</w:t>
      </w:r>
      <w:r/>
    </w:p>
    <w:p>
      <w:pPr>
        <w:ind w:firstLine="420"/>
        <w:spacing w:line="360" w:lineRule="auto"/>
        <w:rPr>
          <w:rFonts w:eastAsiaTheme="minorEastAsia"/>
          <w:szCs w:val="21"/>
        </w:rPr>
      </w:pPr>
      <w:r>
        <w:rPr>
          <w:rFonts w:eastAsiaTheme="minorEastAsia"/>
          <w:szCs w:val="21"/>
        </w:rPr>
        <w:t xml:space="preserve">（1）CA办理</w:t>
      </w:r>
      <w:r/>
    </w:p>
    <w:p>
      <w:pPr>
        <w:ind w:firstLine="420"/>
        <w:spacing w:line="360" w:lineRule="auto"/>
        <w:rPr>
          <w:rFonts w:eastAsiaTheme="minorEastAsia"/>
          <w:szCs w:val="21"/>
        </w:rPr>
      </w:pPr>
      <w:r>
        <w:rPr>
          <w:rFonts w:eastAsiaTheme="minorEastAsia"/>
          <w:szCs w:val="21"/>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eastAsiaTheme="minorEastAsia"/>
          <w:b/>
          <w:szCs w:val="21"/>
        </w:rPr>
        <w:t xml:space="preserve">“苏采云”系统目前仅支持“苏采云”系统下的政务CA证书，江苏省内各地区办理的“苏采云”系统下的政务CA证书全省通用。苏州现场办理地址：苏州市高新区邓尉路105号狮山科技馆1楼服务大厅政府采购CA办理窗口，咨询电话：0512-65737699</w:t>
      </w:r>
      <w:r>
        <w:rPr>
          <w:rFonts w:eastAsiaTheme="minorEastAsia"/>
          <w:szCs w:val="21"/>
        </w:rPr>
        <w:t xml:space="preserve">。</w:t>
      </w:r>
      <w:r/>
    </w:p>
    <w:p>
      <w:pPr>
        <w:ind w:firstLine="420"/>
        <w:spacing w:line="360" w:lineRule="auto"/>
        <w:rPr>
          <w:rFonts w:eastAsiaTheme="minorEastAsia"/>
          <w:szCs w:val="21"/>
        </w:rPr>
      </w:pPr>
      <w:r>
        <w:rPr>
          <w:rFonts w:eastAsiaTheme="minorEastAsia"/>
          <w:szCs w:val="21"/>
        </w:rPr>
        <w:t xml:space="preserve">（2）依法获取采购文件</w:t>
      </w:r>
      <w:r/>
    </w:p>
    <w:p>
      <w:pPr>
        <w:ind w:firstLine="420"/>
        <w:spacing w:line="360" w:lineRule="auto"/>
        <w:rPr>
          <w:rFonts w:eastAsiaTheme="minorEastAsia"/>
          <w:szCs w:val="21"/>
        </w:rPr>
      </w:pPr>
      <w:r>
        <w:rPr>
          <w:rFonts w:eastAsiaTheme="minorEastAsia"/>
          <w:szCs w:val="21"/>
        </w:rPr>
        <w:t xml:space="preserve">供应商插入CA证书</w:t>
      </w:r>
      <w:r>
        <w:rPr>
          <w:rFonts w:hint="eastAsia" w:eastAsiaTheme="minorEastAsia"/>
          <w:szCs w:val="21"/>
          <w:lang w:eastAsia="zh-CN"/>
        </w:rPr>
        <w:t xml:space="preserve">登录</w:t>
      </w:r>
      <w:r>
        <w:rPr>
          <w:rFonts w:eastAsiaTheme="minorEastAsia"/>
          <w:szCs w:val="21"/>
        </w:rPr>
        <w:t xml:space="preserve">“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rFonts w:eastAsiaTheme="minorEastAsia"/>
          <w:szCs w:val="21"/>
        </w:rPr>
        <w:t xml:space="preserve">考虑到熟悉“苏采云”系统、办理</w:t>
      </w:r>
      <w:r>
        <w:rPr>
          <w:rFonts w:eastAsiaTheme="minorEastAsia"/>
          <w:szCs w:val="21"/>
        </w:rPr>
        <w:t xml:space="preserve">CA证书都</w:t>
      </w:r>
      <w:r>
        <w:rPr>
          <w:rFonts w:eastAsiaTheme="minorEastAsia"/>
          <w:szCs w:val="21"/>
        </w:rPr>
        <w:t xml:space="preserve">需要一定的时间，请提早准备以免耽误招标采购活动。</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4、售价：</w:t>
      </w:r>
      <w:r>
        <w:rPr>
          <w:b/>
          <w:color w:val="000000" w:themeColor="text1"/>
          <w:szCs w:val="21"/>
          <w14:textFill>
            <w14:solidFill>
              <w14:schemeClr w14:val="tx1"/>
            </w14:solidFill>
          </w14:textFill>
        </w:rPr>
        <w:t xml:space="preserve">免费</w:t>
      </w:r>
      <w:r>
        <w:rPr>
          <w:color w:val="000000" w:themeColor="text1"/>
          <w:szCs w:val="21"/>
          <w14:textFill>
            <w14:solidFill>
              <w14:schemeClr w14:val="tx1"/>
            </w14:solidFill>
          </w14:textFill>
        </w:rPr>
        <w:t xml:space="preserve">。</w:t>
      </w:r>
      <w:r/>
    </w:p>
    <w:p>
      <w:pPr>
        <w:ind w:firstLine="422"/>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5、未依照采购公告要求获取谈判文件的供应商，视为未参加该项政府采购活动，不具备对该政府采购项目提出质疑的法定权利。</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6、</w:t>
      </w:r>
      <w:bookmarkStart w:id="2" w:name="_Hlk157935701"/>
      <w:r>
        <w:rPr>
          <w:rFonts w:eastAsiaTheme="minorEastAsia"/>
          <w:szCs w:val="21"/>
        </w:rPr>
        <w:t xml:space="preserve">更正（补充）公告及附件的获取：供应商应及时关注政府采购信息发布媒体上发布的更正（补充）公告，同时在“苏采云”系统中下载更正（补充）资料，</w:t>
      </w:r>
      <w:r>
        <w:rPr>
          <w:rFonts w:eastAsiaTheme="minorEastAsia"/>
          <w:b/>
          <w:szCs w:val="21"/>
        </w:rPr>
        <w:t xml:space="preserve">如有遗漏（包括但不限于文件未下载或下载不完整），可能无法解密投标（响应）文件，由此所造成的响应失败或损失由供应商自行负责。</w:t>
      </w:r>
      <w:bookmarkEnd w:id="2"/>
      <w:r/>
      <w:r/>
    </w:p>
    <w:p>
      <w:pPr>
        <w:jc w:val="left"/>
        <w:spacing w:line="360" w:lineRule="auto"/>
        <w:shd w:val="clear" w:color="auto" w:fill="ffffff"/>
        <w:widowControl/>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四、响应文件提交</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14:textFill>
            <w14:solidFill>
              <w14:schemeClr w14:val="tx1"/>
            </w14:solidFill>
          </w14:textFill>
        </w:rPr>
        <w:t xml:space="preserve">1、截止时</w:t>
      </w:r>
      <w:r>
        <w:rPr>
          <w:color w:val="000000" w:themeColor="text1"/>
          <w:szCs w:val="21"/>
          <w:highlight w:val="none"/>
          <w14:textFill>
            <w14:solidFill>
              <w14:schemeClr w14:val="tx1"/>
            </w14:solidFill>
          </w14:textFill>
        </w:rPr>
        <w:t xml:space="preserve">间：</w:t>
      </w:r>
      <w:r>
        <w:rPr>
          <w:szCs w:val="21"/>
          <w:highlight w:val="none"/>
          <w:u w:val="single"/>
        </w:rPr>
        <w:t xml:space="preserve">2026年</w:t>
      </w:r>
      <w:r>
        <w:rPr>
          <w:rFonts w:hint="eastAsia"/>
          <w:szCs w:val="21"/>
          <w:highlight w:val="none"/>
          <w:u w:val="single"/>
          <w:lang w:val="en-US" w:eastAsia="zh-CN"/>
        </w:rPr>
        <w:t xml:space="preserve">6</w:t>
      </w:r>
      <w:r>
        <w:rPr>
          <w:szCs w:val="21"/>
          <w:highlight w:val="none"/>
          <w:u w:val="single"/>
        </w:rPr>
        <w:t xml:space="preserve">月</w:t>
      </w:r>
      <w:r>
        <w:rPr>
          <w:rFonts w:hint="eastAsia"/>
          <w:szCs w:val="21"/>
          <w:highlight w:val="none"/>
          <w:u w:val="single"/>
          <w:lang w:val="en-US" w:eastAsia="zh-CN"/>
        </w:rPr>
        <w:t xml:space="preserve">26</w:t>
      </w:r>
      <w:r>
        <w:rPr>
          <w:szCs w:val="21"/>
          <w:highlight w:val="none"/>
          <w:u w:val="single"/>
        </w:rPr>
        <w:t xml:space="preserve">日09点30分</w:t>
      </w:r>
      <w:r>
        <w:rPr>
          <w:b/>
          <w:szCs w:val="21"/>
          <w:highlight w:val="none"/>
          <w:u w:val="single"/>
        </w:rPr>
        <w:t xml:space="preserve">（北京时间）</w:t>
      </w:r>
      <w:r>
        <w:rPr>
          <w:highlight w:val="none"/>
        </w:rPr>
      </w:r>
    </w:p>
    <w:p>
      <w:pPr>
        <w:ind w:firstLine="420"/>
        <w:jc w:val="left"/>
        <w:spacing w:line="360" w:lineRule="auto"/>
        <w:shd w:val="clear" w:color="auto" w:fill="ffffff"/>
        <w:widowControl/>
        <w:rPr>
          <w:rFonts w:eastAsia="PMingLiU"/>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2、地点：</w:t>
      </w:r>
      <w:bookmarkStart w:id="3" w:name="_Hlk157935878"/>
      <w:r>
        <w:rPr>
          <w:rFonts w:eastAsiaTheme="minorEastAsia"/>
          <w:szCs w:val="21"/>
          <w:highlight w:val="none"/>
        </w:rPr>
        <w:t xml:space="preserve">“苏采云”系统（网址：http://jszfcg.jsczt.cn/）</w:t>
      </w:r>
      <w:bookmarkEnd w:id="3"/>
      <w:r>
        <w:rPr>
          <w:highlight w:val="none"/>
        </w:rPr>
      </w:r>
      <w:r>
        <w:rPr>
          <w:highlight w:val="none"/>
        </w:rPr>
      </w:r>
    </w:p>
    <w:p>
      <w:pPr>
        <w:ind w:firstLine="420"/>
        <w:jc w:val="left"/>
        <w:spacing w:line="360" w:lineRule="auto"/>
        <w:shd w:val="clear" w:color="auto" w:fill="ffffff"/>
        <w:widowControl/>
        <w:rPr>
          <w:rFonts w:eastAsia="PMingLiU"/>
          <w:b/>
          <w:color w:val="000000" w:themeColor="text1"/>
          <w:szCs w:val="21"/>
          <w:highlight w:val="none"/>
          <w14:textFill>
            <w14:solidFill>
              <w14:schemeClr w14:val="tx1"/>
            </w14:solidFill>
          </w14:textFill>
        </w:rPr>
      </w:pPr>
      <w:r>
        <w:rPr>
          <w:color w:val="000000" w:themeColor="text1"/>
          <w:szCs w:val="21"/>
          <w:highlight w:val="none"/>
          <w:lang w:eastAsia="zh-TW"/>
          <w14:textFill>
            <w14:solidFill>
              <w14:schemeClr w14:val="tx1"/>
            </w14:solidFill>
          </w14:textFill>
        </w:rPr>
        <w:t xml:space="preserve">3、方式：</w:t>
      </w:r>
      <w:r>
        <w:rPr>
          <w:rFonts w:eastAsiaTheme="minorEastAsia"/>
          <w:b/>
          <w:szCs w:val="21"/>
          <w:highlight w:val="none"/>
        </w:rPr>
        <w:t xml:space="preserve">响应文件网上递交</w:t>
      </w:r>
      <w:r>
        <w:rPr>
          <w:highlight w:val="none"/>
        </w:rPr>
      </w:r>
    </w:p>
    <w:p>
      <w:pPr>
        <w:jc w:val="left"/>
        <w:spacing w:line="360" w:lineRule="auto"/>
        <w:shd w:val="clear" w:color="auto" w:fill="ffffff"/>
        <w:widowControl/>
        <w:rPr>
          <w:b/>
          <w:color w:val="000000" w:themeColor="text1"/>
          <w:szCs w:val="21"/>
          <w:highlight w:val="none"/>
          <w14:textFill>
            <w14:solidFill>
              <w14:schemeClr w14:val="tx1"/>
            </w14:solidFill>
          </w14:textFill>
        </w:rPr>
        <w:outlineLvl w:val="1"/>
      </w:pPr>
      <w:r>
        <w:rPr>
          <w:b/>
          <w:color w:val="000000" w:themeColor="text1"/>
          <w:szCs w:val="21"/>
          <w:highlight w:val="none"/>
          <w14:textFill>
            <w14:solidFill>
              <w14:schemeClr w14:val="tx1"/>
            </w14:solidFill>
          </w14:textFill>
        </w:rPr>
        <w:t xml:space="preserve">五、开启</w:t>
      </w:r>
      <w:r>
        <w:rPr>
          <w:highlight w:val="none"/>
        </w:rP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时间：</w:t>
      </w:r>
      <w:r>
        <w:rPr>
          <w:szCs w:val="21"/>
          <w:highlight w:val="none"/>
          <w:u w:val="single"/>
        </w:rPr>
        <w:t xml:space="preserve">2026年</w:t>
      </w:r>
      <w:r>
        <w:rPr>
          <w:rFonts w:hint="eastAsia"/>
          <w:szCs w:val="21"/>
          <w:highlight w:val="none"/>
          <w:u w:val="single"/>
          <w:lang w:val="en-US" w:eastAsia="zh-CN"/>
        </w:rPr>
        <w:t xml:space="preserve">6</w:t>
      </w:r>
      <w:r>
        <w:rPr>
          <w:szCs w:val="21"/>
          <w:highlight w:val="none"/>
          <w:u w:val="single"/>
        </w:rPr>
        <w:t xml:space="preserve">月</w:t>
      </w:r>
      <w:r>
        <w:rPr>
          <w:rFonts w:hint="eastAsia"/>
          <w:szCs w:val="21"/>
          <w:highlight w:val="none"/>
          <w:u w:val="single"/>
          <w:lang w:val="en-US" w:eastAsia="zh-CN"/>
        </w:rPr>
        <w:t xml:space="preserve">26</w:t>
      </w:r>
      <w:r>
        <w:rPr>
          <w:szCs w:val="21"/>
          <w:highlight w:val="none"/>
          <w:u w:val="single"/>
        </w:rPr>
        <w:t xml:space="preserve">日09点30分</w:t>
      </w:r>
      <w:r>
        <w:rPr>
          <w:b/>
          <w:szCs w:val="21"/>
          <w:highlight w:val="none"/>
          <w:u w:val="single"/>
        </w:rPr>
        <w:t xml:space="preserve">（北京时间）</w:t>
      </w:r>
      <w:r>
        <w:rPr>
          <w:highlight w:val="none"/>
        </w:rPr>
      </w:r>
    </w:p>
    <w:p>
      <w:pPr>
        <w:ind w:firstLine="420"/>
        <w:spacing w:line="360" w:lineRule="auto"/>
        <w:rPr>
          <w:rFonts w:eastAsiaTheme="minorEastAsia"/>
          <w:szCs w:val="21"/>
        </w:rPr>
      </w:pPr>
      <w:r>
        <w:rPr>
          <w:szCs w:val="21"/>
        </w:rPr>
        <w:t xml:space="preserve">地点：</w:t>
      </w:r>
      <w:bookmarkStart w:id="4" w:name="_Hlk157935908"/>
      <w:r>
        <w:rPr>
          <w:rFonts w:eastAsiaTheme="minorEastAsia"/>
          <w:szCs w:val="21"/>
        </w:rPr>
        <w:t xml:space="preserve">“苏采云”系统（网址： http://jszfcg.jsczt.cn/）“开标大厅”</w:t>
      </w:r>
      <w:bookmarkEnd w:id="4"/>
      <w:r/>
      <w:r/>
    </w:p>
    <w:p>
      <w:pPr>
        <w:ind w:firstLine="420"/>
        <w:jc w:val="left"/>
        <w:spacing w:line="360" w:lineRule="auto"/>
        <w:shd w:val="clear" w:color="auto" w:fill="ffffff"/>
        <w:widowControl/>
        <w:rPr>
          <w:rFonts w:eastAsiaTheme="minorEastAsia"/>
          <w:szCs w:val="21"/>
        </w:rPr>
      </w:pPr>
      <w:r>
        <w:rPr>
          <w:rFonts w:eastAsiaTheme="minorEastAsia"/>
          <w:szCs w:val="21"/>
        </w:rPr>
        <w:t xml:space="preserve">线上参加开标（开启）会方式：供应商登录“苏采云”系统，点击“开标大厅”，选择对应项目，点击进入不见面开标系统。</w:t>
      </w:r>
      <w:r/>
    </w:p>
    <w:p>
      <w:pPr>
        <w:ind w:firstLine="422"/>
        <w:jc w:val="left"/>
        <w:spacing w:line="360" w:lineRule="auto"/>
        <w:shd w:val="clear" w:color="auto" w:fill="ffffff"/>
        <w:widowControl/>
        <w:rPr>
          <w:rFonts w:eastAsiaTheme="minorEastAsia"/>
          <w:b/>
          <w:szCs w:val="21"/>
        </w:rPr>
      </w:pPr>
      <w:r>
        <w:rPr>
          <w:rFonts w:eastAsiaTheme="minorEastAsia"/>
          <w:b/>
          <w:szCs w:val="21"/>
        </w:rPr>
        <w:t xml:space="preserve">本项目为不见面开标（开启）项目，开启阶段供应商在【解密环节】必须使用 CA证书解密电子响应文件，如在“苏采云”系统规定的时间内未能成功解密的视为放弃参与本项目，响应无效。</w:t>
      </w:r>
      <w:r/>
    </w:p>
    <w:p>
      <w:pPr>
        <w:ind w:firstLine="422"/>
        <w:spacing w:line="360" w:lineRule="auto"/>
        <w:rPr>
          <w:rFonts w:eastAsiaTheme="minorEastAsia"/>
          <w:szCs w:val="21"/>
        </w:rPr>
      </w:pPr>
      <w:r>
        <w:rPr>
          <w:rFonts w:eastAsiaTheme="minorEastAsia"/>
          <w:b/>
          <w:szCs w:val="21"/>
        </w:rPr>
        <w:t xml:space="preserve">请供应商确保电脑、系统及其他设备（视频输入输出设备等）无误，且开启直至项目结束始终保持系统在线状态。</w:t>
      </w:r>
      <w:r/>
    </w:p>
    <w:p>
      <w:pPr>
        <w:jc w:val="left"/>
        <w:spacing w:line="360" w:lineRule="auto"/>
        <w:shd w:val="clear" w:color="auto" w:fill="ffffff"/>
        <w:widowControl/>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六、公告期限</w:t>
      </w:r>
      <w:r/>
    </w:p>
    <w:p>
      <w:pPr>
        <w:ind w:firstLine="420"/>
        <w:jc w:val="left"/>
        <w:spacing w:line="360" w:lineRule="auto"/>
        <w:shd w:val="clear" w:color="auto" w:fill="ffffff"/>
        <w:widowControl/>
        <w:rPr>
          <w:b/>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自本公告发布之日起3个工作日。</w:t>
      </w:r>
      <w:r/>
    </w:p>
    <w:p>
      <w:pPr>
        <w:jc w:val="left"/>
        <w:spacing w:line="360" w:lineRule="auto"/>
        <w:shd w:val="clear" w:color="auto" w:fill="ffffff"/>
        <w:widowControl/>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七、其他补充事宜</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rPr>
          <w:rFonts w:eastAsiaTheme="minorEastAsia"/>
          <w:color w:val="000000" w:themeColor="text1"/>
          <w:szCs w:val="21"/>
          <w14:textFill>
            <w14:solidFill>
              <w14:schemeClr w14:val="tx1"/>
            </w14:solidFill>
          </w14:textFill>
        </w:rPr>
        <w:t xml:space="preserve">苏州工业园区财政审计局政府采购监督电话：0512-66681110</w:t>
      </w:r>
      <w:r>
        <w:rPr>
          <w:color w:val="000000" w:themeColor="text1"/>
          <w:szCs w:val="21"/>
          <w14:textFill>
            <w14:solidFill>
              <w14:schemeClr w14:val="tx1"/>
            </w14:solidFill>
          </w14:textFill>
        </w:rPr>
        <w:t xml:space="preserve">。</w:t>
      </w:r>
      <w:r/>
    </w:p>
    <w:p>
      <w:pPr>
        <w:ind w:firstLine="420"/>
        <w:spacing w:line="360" w:lineRule="auto"/>
        <w:rPr>
          <w:color w:val="333333"/>
          <w:shd w:val="clear" w:color="auto" w:fill="ffffff"/>
        </w:rPr>
      </w:pPr>
      <w:r>
        <w:rPr>
          <w:rFonts w:eastAsiaTheme="majorEastAsia"/>
          <w:szCs w:val="21"/>
        </w:rPr>
        <w:t xml:space="preserve">2、</w:t>
      </w:r>
      <w:r>
        <w:rPr>
          <w:color w:val="333333"/>
          <w:shd w:val="clear" w:color="auto" w:fill="ffffff"/>
        </w:rPr>
        <w:t xml:space="preserve">制作电子投标（响应）文件：</w:t>
      </w:r>
      <w:r/>
    </w:p>
    <w:p>
      <w:pPr>
        <w:ind w:firstLine="420"/>
        <w:spacing w:line="360" w:lineRule="auto"/>
        <w:rPr>
          <w:b/>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本项目采用电子网上招投标，请供应商插入CA 证书</w:t>
      </w:r>
      <w:r>
        <w:rPr>
          <w:rFonts w:hint="eastAsia" w:eastAsiaTheme="minorEastAsia"/>
          <w:color w:val="000000" w:themeColor="text1"/>
          <w:szCs w:val="21"/>
          <w:lang w:eastAsia="zh-CN"/>
          <w14:textFill>
            <w14:solidFill>
              <w14:schemeClr w14:val="tx1"/>
            </w14:solidFill>
          </w14:textFill>
        </w:rPr>
        <w:t xml:space="preserve">登录</w:t>
      </w:r>
      <w:r>
        <w:rPr>
          <w:rFonts w:eastAsiaTheme="minorEastAsia"/>
          <w:color w:val="000000" w:themeColor="text1"/>
          <w:szCs w:val="21"/>
          <w14:textFill>
            <w14:solidFill>
              <w14:schemeClr w14:val="tx1"/>
            </w14:solidFill>
          </w14:textFill>
        </w:rPr>
        <w:t xml:space="preserve">“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fldChar w:fldCharType="begin"/>
      </w:r>
      <w:r>
        <w:instrText xml:space="preserve"> HYPERLINK "http://www.ccgp-jiangsu.gov.cn/jiangsu/zlxz/ee/ee3a4bc5a3454aa2b0d9312230633ce9.html" </w:instrText>
      </w:r>
      <w:r>
        <w:fldChar w:fldCharType="separate"/>
      </w:r>
      <w:r>
        <w:rPr>
          <w:rStyle w:val="938"/>
          <w:rFonts w:eastAsiaTheme="minorEastAsia"/>
          <w:szCs w:val="21"/>
        </w:rPr>
        <w:t xml:space="preserve">http://www.ccgp-jiangsu.gov.cn/jiangsu/zlxz/ee/ee3a4bc5a3454aa2b0d9312230633ce9.html</w:t>
      </w:r>
      <w:r>
        <w:rPr>
          <w:rStyle w:val="938"/>
          <w:rFonts w:eastAsiaTheme="minorEastAsia"/>
          <w:szCs w:val="21"/>
        </w:rPr>
        <w:fldChar w:fldCharType="end"/>
      </w:r>
      <w:r>
        <w:rPr>
          <w:rFonts w:eastAsiaTheme="minorEastAsia"/>
          <w:color w:val="000000" w:themeColor="text1"/>
          <w:szCs w:val="21"/>
          <w14:textFill>
            <w14:solidFill>
              <w14:schemeClr w14:val="tx1"/>
            </w14:solidFill>
          </w14:textFill>
        </w:rPr>
        <w:t xml:space="preserve">）。</w:t>
      </w:r>
      <w:r>
        <w:rPr>
          <w:color w:val="333333"/>
          <w:shd w:val="clear" w:color="auto" w:fill="ffffff"/>
        </w:rPr>
        <w:t xml:space="preserve">电子投标（响应）文件制作完成后请于投标（响应）截止时间前成功上传，</w:t>
      </w:r>
      <w:r>
        <w:rPr>
          <w:b/>
          <w:color w:val="000000" w:themeColor="text1"/>
          <w:szCs w:val="21"/>
          <w14:textFill>
            <w14:solidFill>
              <w14:schemeClr w14:val="tx1"/>
            </w14:solidFill>
          </w14:textFill>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rFonts w:eastAsiaTheme="minorEastAsia"/>
          <w:b/>
          <w:szCs w:val="21"/>
        </w:rPr>
      </w:pPr>
      <w:r>
        <w:rPr>
          <w:shd w:val="clear" w:color="auto" w:fill="ffffff"/>
        </w:rPr>
        <w:t xml:space="preserve">3、</w:t>
      </w:r>
      <w:r>
        <w:rPr>
          <w:b/>
          <w:shd w:val="clear" w:color="auto" w:fill="ffffff"/>
        </w:rPr>
        <w:t xml:space="preserve">投标供应商需保持</w:t>
      </w:r>
      <w:r>
        <w:rPr>
          <w:rFonts w:eastAsiaTheme="minorEastAsia"/>
          <w:b/>
          <w:szCs w:val="21"/>
        </w:rPr>
        <w:t xml:space="preserve">“苏采云”系统不见面开标大厅</w:t>
      </w:r>
      <w:r>
        <w:rPr>
          <w:b/>
          <w:shd w:val="clear" w:color="auto" w:fill="ffffff"/>
        </w:rPr>
        <w:t xml:space="preserve">在线状态，并按要求在规定时间内进行响应。</w:t>
      </w:r>
      <w:r>
        <w:rPr>
          <w:rFonts w:eastAsiaTheme="minorEastAsia"/>
          <w:szCs w:val="21"/>
        </w:rPr>
        <w:t xml:space="preserve">在评审过程中系统如有特殊情况，工作人员会及时通过《投标供应商确认函》或法人授权委托书（如有）中留存的手机号与供应商联系。</w:t>
      </w:r>
      <w:r>
        <w:rPr>
          <w:rFonts w:eastAsiaTheme="minorEastAsia"/>
          <w:b/>
          <w:szCs w:val="21"/>
        </w:rPr>
        <w:t xml:space="preserve">请供应商确保系统在线状态且该手机号开评标当日通讯畅通，否则导致的对供应商不利的后果由供应商自行承担。</w:t>
      </w:r>
      <w:r/>
    </w:p>
    <w:p>
      <w:pPr>
        <w:ind w:firstLine="420"/>
        <w:spacing w:line="360" w:lineRule="auto"/>
        <w:rPr>
          <w:shd w:val="clear" w:color="auto" w:fill="ffffff"/>
        </w:rPr>
      </w:pPr>
      <w:r>
        <w:rPr>
          <w:shd w:val="clear" w:color="auto" w:fill="ffffff"/>
        </w:rPr>
        <w:t xml:space="preserve">4、</w:t>
      </w:r>
      <w:r>
        <w:rPr>
          <w:szCs w:val="21"/>
          <w:lang w:val="zh-CN"/>
        </w:rPr>
        <w:t xml:space="preserve">本项目获取采购文件截止日期之后仍可以下载采购文件，但截止日期之后下载的采购文件，视为非有效方式且不作为供应商权益受到损害的证明材料和依据。</w:t>
      </w:r>
      <w:r/>
    </w:p>
    <w:p>
      <w:pPr>
        <w:ind w:firstLine="420"/>
        <w:spacing w:line="360" w:lineRule="auto"/>
        <w:rPr>
          <w:shd w:val="clear" w:color="auto" w:fill="ffffff"/>
        </w:rPr>
      </w:pPr>
      <w:r>
        <w:rPr>
          <w:shd w:val="clear" w:color="auto" w:fill="ffffff"/>
        </w:rPr>
        <w:t xml:space="preserve">5、技术支持</w:t>
      </w:r>
      <w:r/>
    </w:p>
    <w:p>
      <w:pPr>
        <w:ind w:firstLine="420"/>
        <w:spacing w:line="360" w:lineRule="auto"/>
        <w:rPr>
          <w:color w:val="333333"/>
          <w:shd w:val="clear" w:color="auto" w:fill="ffffff"/>
        </w:rPr>
      </w:pPr>
      <w:r>
        <w:rPr>
          <w:color w:val="333333"/>
          <w:shd w:val="clear" w:color="auto" w:fill="ffffff"/>
        </w:rPr>
        <w:t xml:space="preserve">CA技术咨询服务电话：400-608-6099</w:t>
      </w:r>
      <w:r/>
    </w:p>
    <w:p>
      <w:pPr>
        <w:ind w:firstLine="420"/>
        <w:spacing w:line="360" w:lineRule="auto"/>
        <w:rPr>
          <w:color w:val="333333"/>
          <w:shd w:val="clear" w:color="auto" w:fill="ffffff"/>
        </w:rPr>
      </w:pPr>
      <w:r>
        <w:rPr>
          <w:color w:val="333333"/>
          <w:shd w:val="clear" w:color="auto" w:fill="ffffff"/>
        </w:rPr>
        <w:t xml:space="preserve">电子签章技术咨询服务电话：15380932027、15371015030 、13675197356、 13675197221 </w:t>
      </w:r>
      <w:r/>
    </w:p>
    <w:p>
      <w:pPr>
        <w:ind w:firstLine="420"/>
        <w:spacing w:line="360" w:lineRule="auto"/>
        <w:rPr>
          <w:color w:val="333333"/>
          <w:shd w:val="clear" w:color="auto" w:fill="ffffff"/>
        </w:rPr>
      </w:pPr>
      <w:r>
        <w:rPr>
          <w:color w:val="333333"/>
          <w:shd w:val="clear" w:color="auto" w:fill="ffffff"/>
        </w:rPr>
        <w:t xml:space="preserve">“苏采云”平台技术咨询电话： 0519-86722802、13914088964、18261002950</w:t>
      </w:r>
      <w:r/>
    </w:p>
    <w:p>
      <w:pPr>
        <w:jc w:val="left"/>
        <w:spacing w:line="360" w:lineRule="auto"/>
        <w:shd w:val="clear" w:color="auto" w:fill="ffffff"/>
        <w:widowControl/>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八、对本次采购提出询问，请按以下方式联系</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1、采购人信息</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名称：苏州工业园区青少年活动中心</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地址：苏州工业园区南施街288号</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联系方式：</w:t>
      </w:r>
      <w:r>
        <w:rPr>
          <w:rFonts w:hint="eastAsia"/>
          <w:color w:val="000000" w:themeColor="text1"/>
          <w:szCs w:val="21"/>
          <w:highlight w:val="none"/>
          <w14:textFill>
            <w14:solidFill>
              <w14:schemeClr w14:val="tx1"/>
            </w14:solidFill>
          </w14:textFill>
        </w:rPr>
        <w:t xml:space="preserve">0512-69997200转8089 后勤部</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2、采购代理机构信息</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名称：苏州工业园区集中采购中心</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地址：</w:t>
      </w:r>
      <w:bookmarkStart w:id="5" w:name="_Hlk195628382"/>
      <w:r/>
      <w:bookmarkStart w:id="6" w:name="_Hlk195628655"/>
      <w:r>
        <w:rPr>
          <w:color w:val="000000" w:themeColor="text1"/>
          <w:szCs w:val="21"/>
          <w14:textFill>
            <w14:solidFill>
              <w14:schemeClr w14:val="tx1"/>
            </w14:solidFill>
          </w14:textFill>
        </w:rPr>
        <w:t xml:space="preserve">苏州工业园区苏州大道东136号星塘大厦（园区市民服务中心）3楼园区集中采购中心</w:t>
      </w:r>
      <w:bookmarkEnd w:id="5"/>
      <w:r/>
      <w:bookmarkEnd w:id="6"/>
      <w:r>
        <w:rPr>
          <w:color w:val="000000" w:themeColor="text1"/>
          <w:szCs w:val="21"/>
          <w14:textFill>
            <w14:solidFill>
              <w14:schemeClr w14:val="tx1"/>
            </w14:solidFill>
          </w14:textFill>
        </w:rPr>
        <w:t xml:space="preserve">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联系方式：</w:t>
      </w:r>
      <w:r>
        <w:rPr>
          <w:color w:val="000000" w:themeColor="text1"/>
          <w:szCs w:val="21"/>
          <w14:textFill>
            <w14:solidFill>
              <w14:schemeClr w14:val="tx1"/>
            </w14:solidFill>
          </w14:textFill>
        </w:rPr>
        <w:t xml:space="preserve">0512-66605633</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3、项目联系方式</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项目联系人：柳涵</w:t>
      </w:r>
      <w:r/>
    </w:p>
    <w:p>
      <w:pPr>
        <w:pStyle w:val="898"/>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电话：0512-66605633</w:t>
      </w:r>
      <w:r/>
    </w:p>
    <w:p>
      <w:pPr>
        <w:pStyle w:val="898"/>
        <w:numPr>
          <w:ilvl w:val="0"/>
          <w:numId w:val="5"/>
        </w:numPr>
        <w:ind w:hanging="1276"/>
        <w:jc w:val="center"/>
        <w:spacing w:line="480" w:lineRule="auto"/>
        <w:rPr>
          <w:b/>
          <w:bCs/>
          <w:color w:val="000000" w:themeColor="text1"/>
          <w:sz w:val="44"/>
          <w:szCs w:val="44"/>
          <w14:textFill>
            <w14:solidFill>
              <w14:schemeClr w14:val="tx1"/>
            </w14:solidFill>
          </w14:textFill>
        </w:rPr>
        <w:outlineLvl w:val="0"/>
      </w:pPr>
      <w:r>
        <w:rPr>
          <w:color w:val="000000" w:themeColor="text1"/>
          <w14:textFill>
            <w14:solidFill>
              <w14:schemeClr w14:val="tx1"/>
            </w14:solidFill>
          </w14:textFill>
        </w:rPr>
        <w:br w:type="page" w:clear="all"/>
      </w:r>
      <w:r>
        <w:rPr>
          <w:b/>
          <w:bCs/>
          <w:color w:val="000000" w:themeColor="text1"/>
          <w:sz w:val="44"/>
          <w:szCs w:val="44"/>
          <w14:textFill>
            <w14:solidFill>
              <w14:schemeClr w14:val="tx1"/>
            </w14:solidFill>
          </w14:textFill>
        </w:rPr>
        <w:t xml:space="preserve">响应须知</w:t>
      </w:r>
      <w:r/>
    </w:p>
    <w:p>
      <w:pPr>
        <w:numPr>
          <w:ilvl w:val="0"/>
          <w:numId w:val="7"/>
        </w:numPr>
        <w:ind w:left="0" w:firstLine="425"/>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outlineLvl w:val="1"/>
      </w:pPr>
      <w:r>
        <w:rPr>
          <w:rFonts w:eastAsiaTheme="minorEastAsia"/>
          <w:b/>
          <w:color w:val="000000" w:themeColor="text1"/>
          <w:szCs w:val="21"/>
          <w14:textFill>
            <w14:solidFill>
              <w14:schemeClr w14:val="tx1"/>
            </w14:solidFill>
          </w14:textFill>
        </w:rPr>
        <w:t xml:space="preserve">总则</w:t>
      </w:r>
      <w:r/>
    </w:p>
    <w:p>
      <w:pPr>
        <w:numPr>
          <w:ilvl w:val="1"/>
          <w:numId w:val="8"/>
        </w:numPr>
        <w:ind w:left="0" w:firstLine="708"/>
        <w:spacing w:line="400" w:lineRule="exact"/>
        <w:tabs>
          <w:tab w:val="left" w:pos="851" w:leader="none"/>
        </w:tabs>
        <w:rPr>
          <w:rFonts w:eastAsiaTheme="minorEastAsia"/>
          <w:b/>
          <w:bCs/>
          <w:color w:val="000000" w:themeColor="text1"/>
          <w:szCs w:val="21"/>
          <w14:textFill>
            <w14:solidFill>
              <w14:schemeClr w14:val="tx1"/>
            </w14:solidFill>
          </w14:textFill>
        </w:rPr>
      </w:pPr>
      <w:r>
        <w:rPr>
          <w:rFonts w:eastAsiaTheme="minorEastAsia"/>
          <w:b/>
          <w:bCs/>
          <w:color w:val="000000" w:themeColor="text1"/>
          <w:szCs w:val="21"/>
          <w14:textFill>
            <w14:solidFill>
              <w14:schemeClr w14:val="tx1"/>
            </w14:solidFill>
          </w14:textFill>
        </w:rPr>
        <w:t xml:space="preserve">供应商资格要求</w:t>
      </w:r>
      <w:r/>
    </w:p>
    <w:p>
      <w:pPr>
        <w:numPr>
          <w:ilvl w:val="2"/>
          <w:numId w:val="8"/>
        </w:numPr>
        <w:ind w:left="0" w:firstLine="705"/>
        <w:spacing w:line="400" w:lineRule="exact"/>
        <w:tabs>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详见第一章竞争性谈判公告中“二、申请人的资格要求”。</w:t>
      </w:r>
      <w:r/>
    </w:p>
    <w:p>
      <w:pPr>
        <w:numPr>
          <w:ilvl w:val="2"/>
          <w:numId w:val="8"/>
        </w:numPr>
        <w:ind w:left="0" w:firstLine="705"/>
        <w:spacing w:line="400" w:lineRule="exact"/>
        <w:tabs>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供应商不得存在下列情形之一：</w:t>
      </w:r>
      <w:r/>
    </w:p>
    <w:p>
      <w:pPr>
        <w:ind w:firstLine="705"/>
        <w:spacing w:line="400" w:lineRule="exac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（1））《财政部关于在政府采购活动中查询及使用信用记录有关问题的通知》（财库〔2016〕125号）、 苏州市财政局《关于印发苏州市市级政府采购信用记录查询和使用工作试行办法的通知》（</w:t>
      </w:r>
      <w:r>
        <w:rPr>
          <w:rFonts w:hint="eastAsia" w:eastAsiaTheme="minorEastAsia"/>
          <w:color w:val="000000" w:themeColor="text1"/>
          <w:szCs w:val="21"/>
          <w14:textFill>
            <w14:solidFill>
              <w14:schemeClr w14:val="tx1"/>
            </w14:solidFill>
          </w14:textFill>
        </w:rPr>
        <w:t xml:space="preserve">苏财购〔2017〕11号</w:t>
      </w:r>
      <w:r>
        <w:rPr>
          <w:rFonts w:eastAsiaTheme="minorEastAsia"/>
          <w:color w:val="000000" w:themeColor="text1"/>
          <w:szCs w:val="21"/>
          <w14:textFill>
            <w14:solidFill>
              <w14:schemeClr w14:val="tx1"/>
            </w14:solidFill>
          </w14:textFill>
        </w:rPr>
        <w:t xml:space="preserve">）文件规定应拒绝的失信信息。</w:t>
      </w:r>
      <w:r/>
    </w:p>
    <w:p>
      <w:pPr>
        <w:ind w:firstLine="705"/>
        <w:spacing w:line="400" w:lineRule="exac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（2）为采购项目提供整体设计、规范编制或者项目管理、监理、检测等服务的供应商，不得再参加该采购项目的其他采购活动；本项目的此类供应商是：</w:t>
      </w:r>
      <w:r>
        <w:rPr>
          <w:rFonts w:eastAsiaTheme="minorEastAsia"/>
          <w:color w:val="000000" w:themeColor="text1"/>
          <w:szCs w:val="21"/>
          <w:u w:val="single"/>
          <w14:textFill>
            <w14:solidFill>
              <w14:schemeClr w14:val="tx1"/>
            </w14:solidFill>
          </w14:textFill>
        </w:rPr>
        <w:t xml:space="preserve">无</w:t>
      </w:r>
      <w:r>
        <w:rPr>
          <w:rFonts w:eastAsiaTheme="minorEastAsia"/>
          <w:color w:val="000000" w:themeColor="text1"/>
          <w:szCs w:val="21"/>
          <w14:textFill>
            <w14:solidFill>
              <w14:schemeClr w14:val="tx1"/>
            </w14:solidFill>
          </w14:textFill>
        </w:rPr>
        <w:t xml:space="preserve">。</w:t>
      </w:r>
      <w:r/>
    </w:p>
    <w:p>
      <w:pPr>
        <w:ind w:firstLine="705"/>
        <w:spacing w:line="400" w:lineRule="exac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（3）单位负责人为同一人或者存在直接控股、管理关系的不同供应商，不得参加同一合同项下的政府采购活动。</w:t>
      </w:r>
      <w:r/>
    </w:p>
    <w:p>
      <w:pPr>
        <w:numPr>
          <w:ilvl w:val="2"/>
          <w:numId w:val="8"/>
        </w:numPr>
        <w:ind w:left="0" w:firstLine="705"/>
        <w:spacing w:line="400" w:lineRule="exact"/>
        <w:tabs>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联合体投标：第一章竞争性谈判公告规定接受联合体投标的，联合体除应符合上述资格要求外，还应遵守以下规定：</w:t>
      </w:r>
      <w:r/>
    </w:p>
    <w:p>
      <w:pPr>
        <w:ind w:firstLine="708"/>
        <w:spacing w:line="400" w:lineRule="exact"/>
        <w:rPr>
          <w:rFonts w:eastAsiaTheme="minorEastAsia"/>
          <w:b/>
          <w:bCs/>
          <w:color w:val="000000" w:themeColor="text1"/>
          <w:szCs w:val="21"/>
          <w14:textFill>
            <w14:solidFill>
              <w14:schemeClr w14:val="tx1"/>
            </w14:solidFill>
          </w14:textFill>
        </w:rPr>
      </w:pPr>
      <w:r>
        <w:rPr>
          <w:rFonts w:eastAsiaTheme="minorEastAsia"/>
          <w:b/>
          <w:bCs/>
          <w:color w:val="000000" w:themeColor="text1"/>
          <w:szCs w:val="21"/>
          <w14:textFill>
            <w14:solidFill>
              <w14:schemeClr w14:val="tx1"/>
            </w14:solidFill>
          </w14:textFill>
        </w:rPr>
        <w:t xml:space="preserve">（1）联合体各方应当向采购人提交联合体协议书，载明联合体各方承担的工作和义务，否则投标无效。</w:t>
      </w:r>
      <w:r/>
    </w:p>
    <w:p>
      <w:pPr>
        <w:ind w:firstLine="705"/>
        <w:spacing w:line="400" w:lineRule="exac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（2）联合体中有同类资质的供应商按照联合体分工承担相同工作的，应当按照资质等级较低的供应商确定资质等级。</w:t>
      </w:r>
      <w:r/>
    </w:p>
    <w:p>
      <w:pPr>
        <w:ind w:firstLine="708"/>
        <w:spacing w:line="400" w:lineRule="exact"/>
        <w:rPr>
          <w:rFonts w:eastAsiaTheme="minorEastAsia"/>
          <w:b/>
          <w:bCs/>
          <w:color w:val="000000" w:themeColor="text1"/>
          <w:szCs w:val="21"/>
          <w14:textFill>
            <w14:solidFill>
              <w14:schemeClr w14:val="tx1"/>
            </w14:solidFill>
          </w14:textFill>
        </w:rPr>
      </w:pPr>
      <w:r>
        <w:rPr>
          <w:rFonts w:eastAsiaTheme="minorEastAsia"/>
          <w:b/>
          <w:bCs/>
          <w:color w:val="000000" w:themeColor="text1"/>
          <w:szCs w:val="21"/>
          <w14:textFill>
            <w14:solidFill>
              <w14:schemeClr w14:val="tx1"/>
            </w14:solidFill>
          </w14:textFill>
        </w:rPr>
        <w:t xml:space="preserve">（3）联合体各方不得再单独参加或者与其他供应商另外组成联合体参加同一合同项下的政府采购活动，否则各相关投标均无效。</w:t>
      </w:r>
      <w:r/>
    </w:p>
    <w:p>
      <w:pPr>
        <w:ind w:firstLine="705"/>
        <w:spacing w:line="400" w:lineRule="exac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（4）联合体各方应当共同与采购人签订采购合同，就采购合同约定的事项对采购人承担连带责任。</w:t>
      </w:r>
      <w:r/>
    </w:p>
    <w:p>
      <w:pPr>
        <w:numPr>
          <w:ilvl w:val="1"/>
          <w:numId w:val="8"/>
        </w:numPr>
        <w:ind w:left="0" w:firstLine="426"/>
        <w:spacing w:line="360" w:lineRule="auto"/>
        <w:tabs>
          <w:tab w:val="left" w:pos="851" w:leader="none"/>
        </w:tabs>
        <w:rPr>
          <w:rFonts w:eastAsiaTheme="minorEastAsia"/>
          <w:b/>
          <w:szCs w:val="21"/>
        </w:rPr>
      </w:pPr>
      <w:r>
        <w:rPr>
          <w:rFonts w:eastAsiaTheme="minorEastAsia"/>
          <w:b/>
          <w:szCs w:val="21"/>
        </w:rPr>
        <w:t xml:space="preserve">分包</w:t>
      </w:r>
      <w:r/>
    </w:p>
    <w:p>
      <w:pPr>
        <w:ind w:left="424" w:firstLine="634"/>
        <w:spacing w:line="360" w:lineRule="auto"/>
        <w:tabs>
          <w:tab w:val="left" w:pos="540" w:leader="none"/>
          <w:tab w:val="left" w:pos="600" w:leader="none"/>
        </w:tabs>
        <w:rPr>
          <w:rFonts w:eastAsiaTheme="minorEastAsia"/>
          <w:szCs w:val="21"/>
        </w:rPr>
      </w:pPr>
      <w:r>
        <w:rPr>
          <w:rFonts w:eastAsiaTheme="minorEastAsia"/>
          <w:szCs w:val="21"/>
        </w:rPr>
        <w:t xml:space="preserve">本项目</w:t>
      </w:r>
      <w:r>
        <w:rPr>
          <w:rFonts w:eastAsiaTheme="minorEastAsia"/>
          <w:color w:val="000000" w:themeColor="text1"/>
          <w:szCs w:val="21"/>
          <w14:textFill>
            <w14:solidFill>
              <w14:schemeClr w14:val="tx1"/>
            </w14:solidFill>
          </w14:textFill>
        </w:rPr>
        <w:t xml:space="preserve">☑</w:t>
      </w:r>
      <w:r>
        <w:rPr>
          <w:rFonts w:eastAsiaTheme="minorEastAsia"/>
          <w:szCs w:val="21"/>
        </w:rPr>
        <w:t xml:space="preserve">不允许分包</w:t>
      </w:r>
      <w:r/>
    </w:p>
    <w:p>
      <w:pPr>
        <w:ind w:left="424" w:firstLine="525"/>
        <w:spacing w:line="400" w:lineRule="exact"/>
        <w:tabs>
          <w:tab w:val="left" w:pos="851" w:leader="none"/>
        </w:tabs>
        <w:rPr>
          <w:rFonts w:eastAsiaTheme="minorEastAsia"/>
          <w:b/>
          <w:bCs/>
          <w:color w:val="000000" w:themeColor="text1"/>
          <w:szCs w:val="21"/>
          <w14:textFill>
            <w14:solidFill>
              <w14:schemeClr w14:val="tx1"/>
            </w14:solidFill>
          </w14:textFill>
        </w:rPr>
      </w:pPr>
      <w:r>
        <w:rPr>
          <w:rFonts w:eastAsiaTheme="minorEastAsia"/>
          <w:szCs w:val="21"/>
        </w:rPr>
        <w:t xml:space="preserve">       □允许分包，分包要求：</w:t>
      </w:r>
      <w:r/>
    </w:p>
    <w:p>
      <w:pPr>
        <w:numPr>
          <w:ilvl w:val="1"/>
          <w:numId w:val="8"/>
        </w:numPr>
        <w:ind w:left="0" w:firstLine="426"/>
        <w:spacing w:line="400" w:lineRule="exact"/>
        <w:tabs>
          <w:tab w:val="left" w:pos="851" w:leader="none"/>
        </w:tabs>
        <w:rPr>
          <w:rFonts w:eastAsiaTheme="minorEastAsia"/>
          <w:b/>
          <w:bCs/>
          <w:color w:val="000000" w:themeColor="text1"/>
          <w:szCs w:val="21"/>
          <w14:textFill>
            <w14:solidFill>
              <w14:schemeClr w14:val="tx1"/>
            </w14:solidFill>
          </w14:textFill>
        </w:rPr>
      </w:pPr>
      <w:r>
        <w:rPr>
          <w:rFonts w:eastAsiaTheme="minorEastAsia"/>
          <w:b/>
          <w:bCs/>
          <w:color w:val="000000" w:themeColor="text1"/>
          <w:szCs w:val="21"/>
          <w14:textFill>
            <w14:solidFill>
              <w14:schemeClr w14:val="tx1"/>
            </w14:solidFill>
          </w14:textFill>
        </w:rPr>
        <w:t xml:space="preserve">代理服务费用</w:t>
      </w:r>
      <w:r/>
    </w:p>
    <w:p>
      <w:pPr>
        <w:numPr>
          <w:ilvl w:val="2"/>
          <w:numId w:val="8"/>
        </w:numPr>
        <w:ind w:left="0" w:firstLine="707"/>
        <w:spacing w:line="400" w:lineRule="exact"/>
        <w:tabs>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供应商应自行承担所有准备及参加谈判的相关费用。不论谈判结果如何，采购代理机构在任何情况下均无义务也无责任承担这些费用。</w:t>
      </w:r>
      <w:r/>
    </w:p>
    <w:p>
      <w:pPr>
        <w:numPr>
          <w:ilvl w:val="2"/>
          <w:numId w:val="8"/>
        </w:numPr>
        <w:ind w:left="0" w:firstLine="707"/>
        <w:spacing w:line="400" w:lineRule="exact"/>
        <w:tabs>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本次谈判项目由苏州工业园区集中采购中心代理，不收取谈判文件费用及代理服务费用。</w:t>
      </w:r>
      <w:r/>
    </w:p>
    <w:p>
      <w:pPr>
        <w:numPr>
          <w:ilvl w:val="1"/>
          <w:numId w:val="8"/>
        </w:numPr>
        <w:ind w:left="0" w:firstLine="426"/>
        <w:spacing w:line="400" w:lineRule="exact"/>
        <w:tabs>
          <w:tab w:val="left" w:pos="851" w:leader="none"/>
        </w:tabs>
        <w:rPr>
          <w:rFonts w:eastAsiaTheme="minorEastAsia"/>
          <w:b/>
          <w:bCs/>
          <w:color w:val="000000" w:themeColor="text1"/>
          <w:szCs w:val="21"/>
          <w14:textFill>
            <w14:solidFill>
              <w14:schemeClr w14:val="tx1"/>
            </w14:solidFill>
          </w14:textFill>
        </w:rPr>
      </w:pPr>
      <w:r>
        <w:rPr>
          <w:rFonts w:eastAsiaTheme="minorEastAsia"/>
          <w:b/>
          <w:bCs/>
          <w:color w:val="000000" w:themeColor="text1"/>
          <w:szCs w:val="21"/>
          <w14:textFill>
            <w14:solidFill>
              <w14:schemeClr w14:val="tx1"/>
            </w14:solidFill>
          </w14:textFill>
        </w:rPr>
        <w:t xml:space="preserve">保密</w:t>
      </w:r>
      <w:r/>
    </w:p>
    <w:p>
      <w:pPr>
        <w:ind w:firstLine="630"/>
        <w:spacing w:line="400" w:lineRule="exact"/>
        <w:tabs>
          <w:tab w:val="left" w:pos="540" w:leader="none"/>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参与采购活动的各方应对采购文件和响应文件中的商业和技术等秘密保密，否则应承担相应的法律责任。</w:t>
      </w:r>
      <w:r/>
    </w:p>
    <w:p>
      <w:pPr>
        <w:numPr>
          <w:ilvl w:val="1"/>
          <w:numId w:val="8"/>
        </w:numPr>
        <w:ind w:left="0" w:firstLine="426"/>
        <w:spacing w:line="400" w:lineRule="exact"/>
        <w:tabs>
          <w:tab w:val="left" w:pos="851"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语言文字</w:t>
      </w:r>
      <w:r/>
    </w:p>
    <w:p>
      <w:pPr>
        <w:ind w:firstLine="707"/>
        <w:spacing w:line="400" w:lineRule="exact"/>
        <w:tabs>
          <w:tab w:val="left" w:pos="540" w:leader="none"/>
          <w:tab w:val="left" w:pos="851" w:leader="none"/>
        </w:tabs>
        <w:rPr>
          <w:rFonts w:eastAsiaTheme="minorEastAsia"/>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谈判文件</w:t>
      </w:r>
      <w:r>
        <w:rPr>
          <w:rFonts w:eastAsiaTheme="minorEastAsia"/>
          <w:color w:val="000000" w:themeColor="text1"/>
          <w:szCs w:val="21"/>
          <w14:textFill>
            <w14:solidFill>
              <w14:schemeClr w14:val="tx1"/>
            </w14:solidFill>
          </w14:textFill>
        </w:rPr>
        <w:t xml:space="preserve">响应文件使用的语言文字为中文。使用外文的，应附有中文注释或译本，对不同文本响应文件的解释发生异议的，以中文文本为准。因未附注释或译本引起的对供应商不利的后果由供应商自行承担。</w:t>
      </w:r>
      <w:r/>
    </w:p>
    <w:p>
      <w:pPr>
        <w:numPr>
          <w:ilvl w:val="1"/>
          <w:numId w:val="8"/>
        </w:numPr>
        <w:ind w:left="0" w:firstLine="426"/>
        <w:spacing w:line="400" w:lineRule="exact"/>
        <w:tabs>
          <w:tab w:val="left" w:pos="851"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计量单位</w:t>
      </w:r>
      <w:r/>
    </w:p>
    <w:p>
      <w:pPr>
        <w:ind w:firstLine="707"/>
        <w:spacing w:line="400" w:lineRule="exact"/>
        <w:tabs>
          <w:tab w:val="left" w:pos="540" w:leader="none"/>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除</w:t>
      </w:r>
      <w:r>
        <w:rPr>
          <w:color w:val="000000" w:themeColor="text1"/>
          <w:szCs w:val="21"/>
          <w14:textFill>
            <w14:solidFill>
              <w14:schemeClr w14:val="tx1"/>
            </w14:solidFill>
          </w14:textFill>
        </w:rPr>
        <w:t xml:space="preserve">谈判文件</w:t>
      </w:r>
      <w:r>
        <w:rPr>
          <w:rFonts w:eastAsiaTheme="minorEastAsia"/>
          <w:color w:val="000000" w:themeColor="text1"/>
          <w:szCs w:val="21"/>
          <w14:textFill>
            <w14:solidFill>
              <w14:schemeClr w14:val="tx1"/>
            </w14:solidFill>
          </w14:textFill>
        </w:rPr>
        <w:t xml:space="preserve">有特殊要求外，所有计量均采用中华人民共和国法定计量单位。</w:t>
      </w:r>
      <w:r/>
    </w:p>
    <w:p>
      <w:pPr>
        <w:numPr>
          <w:ilvl w:val="1"/>
          <w:numId w:val="8"/>
        </w:numPr>
        <w:ind w:left="0" w:firstLine="426"/>
        <w:spacing w:line="400" w:lineRule="exact"/>
        <w:tabs>
          <w:tab w:val="left" w:pos="851" w:leader="none"/>
        </w:tabs>
        <w:rPr>
          <w:b/>
          <w:bCs/>
          <w:color w:val="000000" w:themeColor="text1"/>
          <w:szCs w:val="21"/>
          <w14:textFill>
            <w14:solidFill>
              <w14:schemeClr w14:val="tx1"/>
            </w14:solidFill>
          </w14:textFill>
        </w:rPr>
      </w:pPr>
      <w:r/>
      <w:bookmarkStart w:id="7" w:name="_Hlk104384000"/>
      <w:r>
        <w:rPr>
          <w:b/>
          <w:bCs/>
          <w:color w:val="000000" w:themeColor="text1"/>
          <w:szCs w:val="21"/>
          <w14:textFill>
            <w14:solidFill>
              <w14:schemeClr w14:val="tx1"/>
            </w14:solidFill>
          </w14:textFill>
        </w:rPr>
        <w:t xml:space="preserve">扫描件</w:t>
      </w:r>
      <w:r/>
    </w:p>
    <w:p>
      <w:pPr>
        <w:ind w:firstLine="707"/>
        <w:spacing w:line="400" w:lineRule="exact"/>
        <w:tabs>
          <w:tab w:val="left" w:pos="540" w:leader="none"/>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扫描件是指原件的各种彩色复制件，包括扫描、照片等。</w:t>
      </w:r>
      <w:bookmarkEnd w:id="7"/>
      <w:r/>
      <w:r/>
    </w:p>
    <w:p>
      <w:pPr>
        <w:numPr>
          <w:ilvl w:val="1"/>
          <w:numId w:val="8"/>
        </w:numPr>
        <w:ind w:left="0" w:firstLine="426"/>
        <w:spacing w:line="400" w:lineRule="exact"/>
        <w:tabs>
          <w:tab w:val="left" w:pos="851"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知识产权</w:t>
      </w:r>
      <w:r/>
    </w:p>
    <w:p>
      <w:pPr>
        <w:ind w:firstLine="707"/>
        <w:spacing w:line="400" w:lineRule="exact"/>
        <w:tabs>
          <w:tab w:val="left" w:pos="540" w:leader="none"/>
          <w:tab w:val="left" w:pos="851"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numPr>
          <w:ilvl w:val="1"/>
          <w:numId w:val="8"/>
        </w:numPr>
        <w:ind w:left="0" w:firstLine="426"/>
        <w:spacing w:line="400" w:lineRule="exact"/>
        <w:tabs>
          <w:tab w:val="left" w:pos="851"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现场踏勘</w:t>
      </w:r>
      <w:r/>
    </w:p>
    <w:p>
      <w:pPr>
        <w:pStyle w:val="899"/>
        <w:ind w:left="0" w:firstLine="420"/>
        <w:spacing w:after="0"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供应商可自行对有关现场和周围环境进行踏勘，以获取编制投标文件和签署合同所需的信息，踏勘现场所发生的费用由供应商自己承担。供应商在现场勘察时，熟悉现场及周围交通道路等情况，以获得一切可能影响其投标（响应）的直接资料。中标（成交）后，供应商不得以不完全了解现场情况为理由而向采购人或采购代理机构提出任何索赔的要求，对此采购人或采购代理机构不承担任何责任并将不作任何答复与考虑。 </w:t>
      </w:r>
      <w:r/>
    </w:p>
    <w:p>
      <w:pPr>
        <w:numPr>
          <w:ilvl w:val="1"/>
          <w:numId w:val="8"/>
        </w:numPr>
        <w:ind w:left="0" w:firstLine="426"/>
        <w:spacing w:line="400" w:lineRule="exact"/>
        <w:tabs>
          <w:tab w:val="left" w:pos="851"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集中现场考察</w:t>
      </w:r>
      <w:r/>
    </w:p>
    <w:p>
      <w:pPr>
        <w:pStyle w:val="899"/>
        <w:ind w:left="0" w:firstLine="420"/>
        <w:spacing w:after="0"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本项目按以下第</w:t>
      </w:r>
      <w:r>
        <w:rPr>
          <w:rFonts w:eastAsiaTheme="minorEastAsia"/>
          <w:color w:val="000000" w:themeColor="text1"/>
          <w:szCs w:val="21"/>
          <w:u w:val="single"/>
          <w14:textFill>
            <w14:solidFill>
              <w14:schemeClr w14:val="tx1"/>
            </w14:solidFill>
          </w14:textFill>
        </w:rPr>
        <w:t xml:space="preserve">  ②  </w:t>
      </w:r>
      <w:r>
        <w:rPr>
          <w:rFonts w:eastAsiaTheme="minorEastAsia"/>
          <w:color w:val="000000" w:themeColor="text1"/>
          <w:szCs w:val="21"/>
          <w14:textFill>
            <w14:solidFill>
              <w14:schemeClr w14:val="tx1"/>
            </w14:solidFill>
          </w14:textFill>
        </w:rPr>
        <w:t xml:space="preserve">种方式组织集中现场考察：</w:t>
      </w:r>
      <w:r/>
    </w:p>
    <w:p>
      <w:pPr>
        <w:pStyle w:val="899"/>
        <w:ind w:left="0" w:firstLine="420"/>
        <w:spacing w:after="0"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①采购人不组织集中现场考察；</w:t>
      </w:r>
      <w:r/>
    </w:p>
    <w:p>
      <w:pPr>
        <w:pStyle w:val="899"/>
        <w:ind w:left="0" w:firstLine="420"/>
        <w:spacing w:after="0"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②采购人组织集中现场考察，请供应商持在“苏采云”系统中下载本项目采购文件的</w:t>
      </w:r>
      <w:r>
        <w:rPr>
          <w:rFonts w:eastAsiaTheme="minorEastAsia"/>
          <w:b/>
          <w:color w:val="000000" w:themeColor="text1"/>
          <w:szCs w:val="21"/>
          <w14:textFill>
            <w14:solidFill>
              <w14:schemeClr w14:val="tx1"/>
            </w14:solidFill>
          </w14:textFill>
        </w:rPr>
        <w:t xml:space="preserve">《投标供应商确认函》</w:t>
      </w:r>
      <w:r>
        <w:rPr>
          <w:rFonts w:eastAsiaTheme="minorEastAsia"/>
          <w:color w:val="000000" w:themeColor="text1"/>
          <w:szCs w:val="21"/>
          <w14:textFill>
            <w14:solidFill>
              <w14:schemeClr w14:val="tx1"/>
            </w14:solidFill>
          </w14:textFill>
        </w:rPr>
        <w:t xml:space="preserve">，按以下时间地点参加集中现场考察：</w:t>
      </w:r>
      <w:r/>
    </w:p>
    <w:p>
      <w:pPr>
        <w:pStyle w:val="899"/>
        <w:ind w:left="0" w:firstLine="420"/>
        <w:spacing w:after="0" w:line="360" w:lineRule="auto"/>
        <w:rPr>
          <w:rFonts w:eastAsiaTheme="minorEastAsia"/>
          <w:color w:val="000000" w:themeColor="text1"/>
          <w:szCs w:val="21"/>
          <w:highlight w:val="none"/>
          <w14:textFill>
            <w14:solidFill>
              <w14:schemeClr w14:val="tx1"/>
            </w14:solidFill>
          </w14:textFill>
        </w:rPr>
      </w:pPr>
      <w:r>
        <w:rPr>
          <w:rFonts w:eastAsiaTheme="minorEastAsia"/>
          <w:color w:val="000000" w:themeColor="text1"/>
          <w:szCs w:val="21"/>
          <w14:textFill>
            <w14:solidFill>
              <w14:schemeClr w14:val="tx1"/>
            </w14:solidFill>
          </w14:textFill>
        </w:rPr>
        <w:t xml:space="preserve">集合</w:t>
      </w:r>
      <w:r>
        <w:rPr>
          <w:rFonts w:eastAsiaTheme="minorEastAsia"/>
          <w:color w:val="000000" w:themeColor="text1"/>
          <w:szCs w:val="21"/>
          <w:highlight w:val="none"/>
          <w14:textFill>
            <w14:solidFill>
              <w14:schemeClr w14:val="tx1"/>
            </w14:solidFill>
          </w14:textFill>
        </w:rPr>
        <w:t xml:space="preserve">时间</w:t>
      </w:r>
      <w:r>
        <w:rPr>
          <w:rFonts w:eastAsiaTheme="minorEastAsia"/>
          <w:color w:val="000000" w:themeColor="text1"/>
          <w:szCs w:val="21"/>
          <w:highlight w:val="none"/>
          <w14:textFill>
            <w14:solidFill>
              <w14:schemeClr w14:val="tx1"/>
            </w14:solidFill>
          </w14:textFill>
        </w:rPr>
        <w:t xml:space="preserve">：</w:t>
      </w:r>
      <w:r>
        <w:rPr>
          <w:rFonts w:eastAsiaTheme="minorEastAsia"/>
          <w:color w:val="000000" w:themeColor="text1"/>
          <w:szCs w:val="21"/>
          <w:highlight w:val="none"/>
          <w:u w:val="single"/>
          <w14:textFill>
            <w14:solidFill>
              <w14:schemeClr w14:val="tx1"/>
            </w14:solidFill>
          </w14:textFill>
        </w:rPr>
        <w:t xml:space="preserve"> </w:t>
      </w:r>
      <w:r>
        <w:rPr>
          <w:rFonts w:hint="eastAsia" w:eastAsiaTheme="minorEastAsia"/>
          <w:color w:val="000000" w:themeColor="text1"/>
          <w:szCs w:val="21"/>
          <w:highlight w:val="none"/>
          <w:u w:val="single"/>
          <w:lang w:val="en-US" w:eastAsia="zh-CN"/>
          <w14:textFill>
            <w14:solidFill>
              <w14:schemeClr w14:val="tx1"/>
            </w14:solidFill>
          </w14:textFill>
        </w:rPr>
        <w:t xml:space="preserve">2026</w:t>
      </w:r>
      <w:r>
        <w:rPr>
          <w:rFonts w:eastAsiaTheme="minorEastAsia"/>
          <w:color w:val="000000" w:themeColor="text1"/>
          <w:szCs w:val="21"/>
          <w:highlight w:val="none"/>
          <w:u w:val="single"/>
          <w14:textFill>
            <w14:solidFill>
              <w14:schemeClr w14:val="tx1"/>
            </w14:solidFill>
          </w14:textFill>
        </w:rPr>
        <w:t xml:space="preserve">年</w:t>
      </w:r>
      <w:r>
        <w:rPr>
          <w:rFonts w:hint="eastAsia" w:eastAsiaTheme="minorEastAsia"/>
          <w:color w:val="000000" w:themeColor="text1"/>
          <w:szCs w:val="21"/>
          <w:highlight w:val="none"/>
          <w:u w:val="single"/>
          <w:lang w:val="en-US" w:eastAsia="zh-CN"/>
          <w14:textFill>
            <w14:solidFill>
              <w14:schemeClr w14:val="tx1"/>
            </w14:solidFill>
          </w14:textFill>
        </w:rPr>
        <w:t xml:space="preserve">6</w:t>
      </w:r>
      <w:r>
        <w:rPr>
          <w:rFonts w:eastAsiaTheme="minorEastAsia"/>
          <w:color w:val="000000" w:themeColor="text1"/>
          <w:szCs w:val="21"/>
          <w:highlight w:val="none"/>
          <w:u w:val="single"/>
          <w14:textFill>
            <w14:solidFill>
              <w14:schemeClr w14:val="tx1"/>
            </w14:solidFill>
          </w14:textFill>
        </w:rPr>
        <w:t xml:space="preserve">月</w:t>
      </w:r>
      <w:r>
        <w:rPr>
          <w:rFonts w:hint="eastAsia" w:eastAsiaTheme="minorEastAsia"/>
          <w:color w:val="000000" w:themeColor="text1"/>
          <w:szCs w:val="21"/>
          <w:highlight w:val="none"/>
          <w:u w:val="single"/>
          <w:lang w:val="en-US" w:eastAsia="zh-CN"/>
          <w14:textFill>
            <w14:solidFill>
              <w14:schemeClr w14:val="tx1"/>
            </w14:solidFill>
          </w14:textFill>
        </w:rPr>
        <w:t xml:space="preserve">25</w:t>
      </w:r>
      <w:r>
        <w:rPr>
          <w:rFonts w:eastAsiaTheme="minorEastAsia"/>
          <w:color w:val="000000" w:themeColor="text1"/>
          <w:szCs w:val="21"/>
          <w:highlight w:val="none"/>
          <w:u w:val="single"/>
          <w14:textFill>
            <w14:solidFill>
              <w14:schemeClr w14:val="tx1"/>
            </w14:solidFill>
          </w14:textFill>
        </w:rPr>
        <w:t xml:space="preserve">日</w:t>
      </w:r>
      <w:r>
        <w:rPr>
          <w:rFonts w:hint="eastAsia" w:eastAsiaTheme="minorEastAsia"/>
          <w:color w:val="000000" w:themeColor="text1"/>
          <w:szCs w:val="21"/>
          <w:highlight w:val="none"/>
          <w:u w:val="single"/>
          <w:lang w:val="en-US" w:eastAsia="zh-CN"/>
          <w14:textFill>
            <w14:solidFill>
              <w14:schemeClr w14:val="tx1"/>
            </w14:solidFill>
          </w14:textFill>
        </w:rPr>
        <w:t xml:space="preserve">9</w:t>
      </w:r>
      <w:r>
        <w:rPr>
          <w:rFonts w:eastAsiaTheme="minorEastAsia"/>
          <w:color w:val="000000" w:themeColor="text1"/>
          <w:szCs w:val="21"/>
          <w:highlight w:val="none"/>
          <w:u w:val="single"/>
          <w14:textFill>
            <w14:solidFill>
              <w14:schemeClr w14:val="tx1"/>
            </w14:solidFill>
          </w14:textFill>
        </w:rPr>
        <w:t xml:space="preserve">时</w:t>
      </w:r>
      <w:r>
        <w:rPr>
          <w:rFonts w:hint="eastAsia" w:eastAsiaTheme="minorEastAsia"/>
          <w:color w:val="000000" w:themeColor="text1"/>
          <w:szCs w:val="21"/>
          <w:highlight w:val="none"/>
          <w:u w:val="single"/>
          <w:lang w:val="en-US" w:eastAsia="zh-CN"/>
          <w14:textFill>
            <w14:solidFill>
              <w14:schemeClr w14:val="tx1"/>
            </w14:solidFill>
          </w14:textFill>
        </w:rPr>
        <w:t xml:space="preserve">30</w:t>
      </w:r>
      <w:bookmarkStart w:id="105" w:name="_GoBack"/>
      <w:r>
        <w:rPr>
          <w:highlight w:val="none"/>
        </w:rPr>
      </w:r>
      <w:bookmarkEnd w:id="105"/>
      <w:r>
        <w:rPr>
          <w:rFonts w:eastAsiaTheme="minorEastAsia"/>
          <w:color w:val="000000" w:themeColor="text1"/>
          <w:szCs w:val="21"/>
          <w:highlight w:val="none"/>
          <w:u w:val="single"/>
          <w14:textFill>
            <w14:solidFill>
              <w14:schemeClr w14:val="tx1"/>
            </w14:solidFill>
          </w14:textFill>
        </w:rPr>
        <w:t xml:space="preserve">分（北京时间）</w:t>
      </w:r>
      <w:r>
        <w:rPr>
          <w:rFonts w:eastAsiaTheme="minorEastAsia"/>
          <w:color w:val="000000" w:themeColor="text1"/>
          <w:szCs w:val="21"/>
          <w:highlight w:val="none"/>
          <w14:textFill>
            <w14:solidFill>
              <w14:schemeClr w14:val="tx1"/>
            </w14:solidFill>
          </w14:textFill>
        </w:rPr>
        <w:t xml:space="preserve">；</w:t>
      </w:r>
      <w:r>
        <w:rPr>
          <w:highlight w:val="none"/>
        </w:rPr>
      </w:r>
    </w:p>
    <w:p>
      <w:pPr>
        <w:pStyle w:val="899"/>
        <w:ind w:left="0" w:firstLine="420"/>
        <w:spacing w:after="0" w:line="360" w:lineRule="auto"/>
        <w:rPr>
          <w:rFonts w:eastAsiaTheme="minorEastAsia"/>
          <w:color w:val="000000" w:themeColor="text1"/>
          <w:szCs w:val="21"/>
          <w:highlight w:val="none"/>
          <w14:textFill>
            <w14:solidFill>
              <w14:schemeClr w14:val="tx1"/>
            </w14:solidFill>
          </w14:textFill>
        </w:rPr>
      </w:pPr>
      <w:r>
        <w:rPr>
          <w:rFonts w:eastAsiaTheme="minorEastAsia"/>
          <w:color w:val="000000" w:themeColor="text1"/>
          <w:szCs w:val="21"/>
          <w:highlight w:val="none"/>
          <w14:textFill>
            <w14:solidFill>
              <w14:schemeClr w14:val="tx1"/>
            </w14:solidFill>
          </w14:textFill>
        </w:rPr>
        <w:t xml:space="preserve">集合地点：</w:t>
      </w:r>
      <w:r>
        <w:rPr>
          <w:rFonts w:eastAsiaTheme="minorEastAsia"/>
          <w:color w:val="000000" w:themeColor="text1"/>
          <w:szCs w:val="21"/>
          <w:highlight w:val="none"/>
          <w:u w:val="single"/>
          <w14:textFill>
            <w14:solidFill>
              <w14:schemeClr w14:val="tx1"/>
            </w14:solidFill>
          </w14:textFill>
        </w:rPr>
        <w:t xml:space="preserve"> </w:t>
      </w:r>
      <w:r>
        <w:rPr>
          <w:rFonts w:hint="eastAsia" w:eastAsiaTheme="minorEastAsia"/>
          <w:color w:val="000000" w:themeColor="text1"/>
          <w:szCs w:val="21"/>
          <w:highlight w:val="none"/>
          <w:u w:val="single"/>
          <w:lang w:eastAsia="zh-CN"/>
          <w14:textFill>
            <w14:solidFill>
              <w14:schemeClr w14:val="tx1"/>
            </w14:solidFill>
          </w14:textFill>
        </w:rPr>
        <w:t xml:space="preserve">苏州工业园区南施街</w:t>
      </w:r>
      <w:r>
        <w:rPr>
          <w:rFonts w:hint="eastAsia" w:eastAsiaTheme="minorEastAsia"/>
          <w:color w:val="000000" w:themeColor="text1"/>
          <w:szCs w:val="21"/>
          <w:highlight w:val="none"/>
          <w:u w:val="single"/>
          <w:lang w:val="en-US" w:eastAsia="zh-CN"/>
          <w14:textFill>
            <w14:solidFill>
              <w14:schemeClr w14:val="tx1"/>
            </w14:solidFill>
          </w14:textFill>
        </w:rPr>
        <w:t xml:space="preserve">288号苏州工业园区青少年活动中心主入口</w:t>
      </w:r>
      <w:r>
        <w:rPr>
          <w:rFonts w:eastAsiaTheme="minorEastAsia"/>
          <w:color w:val="000000" w:themeColor="text1"/>
          <w:szCs w:val="21"/>
          <w:highlight w:val="none"/>
          <w:u w:val="single"/>
          <w14:textFill>
            <w14:solidFill>
              <w14:schemeClr w14:val="tx1"/>
            </w14:solidFill>
          </w14:textFill>
        </w:rPr>
        <w:t xml:space="preserve"> </w:t>
      </w:r>
      <w:r>
        <w:rPr>
          <w:rFonts w:eastAsiaTheme="minorEastAsia"/>
          <w:color w:val="000000" w:themeColor="text1"/>
          <w:szCs w:val="21"/>
          <w:highlight w:val="none"/>
          <w14:textFill>
            <w14:solidFill>
              <w14:schemeClr w14:val="tx1"/>
            </w14:solidFill>
          </w14:textFill>
        </w:rPr>
        <w:t xml:space="preserve">。</w:t>
      </w:r>
      <w:r/>
    </w:p>
    <w:p>
      <w:pPr>
        <w:pStyle w:val="899"/>
        <w:ind w:left="0" w:firstLine="420"/>
        <w:spacing w:after="0" w:line="360" w:lineRule="auto"/>
        <w:rPr>
          <w:rFonts w:eastAsiaTheme="minorEastAsia"/>
          <w:color w:val="000000" w:themeColor="text1"/>
          <w:szCs w:val="21"/>
          <w:highlight w:val="none"/>
          <w14:textFill>
            <w14:solidFill>
              <w14:schemeClr w14:val="tx1"/>
            </w14:solidFill>
          </w14:textFill>
        </w:rPr>
      </w:pPr>
      <w:r>
        <w:rPr>
          <w:rFonts w:eastAsiaTheme="minorEastAsia"/>
          <w:color w:val="000000" w:themeColor="text1"/>
          <w:szCs w:val="21"/>
          <w:highlight w:val="none"/>
          <w14:textFill>
            <w14:solidFill>
              <w14:schemeClr w14:val="tx1"/>
            </w14:solidFill>
          </w14:textFill>
        </w:rPr>
        <w:t xml:space="preserve">联系人：</w:t>
      </w:r>
      <w:r>
        <w:rPr>
          <w:rFonts w:eastAsiaTheme="minorEastAsia"/>
          <w:color w:val="000000" w:themeColor="text1"/>
          <w:szCs w:val="21"/>
          <w:highlight w:val="none"/>
          <w:u w:val="single"/>
          <w14:textFill>
            <w14:solidFill>
              <w14:schemeClr w14:val="tx1"/>
            </w14:solidFill>
          </w14:textFill>
        </w:rPr>
        <w:t xml:space="preserve"> </w:t>
      </w:r>
      <w:r>
        <w:rPr>
          <w:rFonts w:hint="eastAsia" w:eastAsiaTheme="minorEastAsia"/>
          <w:color w:val="000000" w:themeColor="text1"/>
          <w:szCs w:val="21"/>
          <w:highlight w:val="none"/>
          <w:u w:val="single"/>
          <w:lang w:eastAsia="zh-CN"/>
          <w14:textFill>
            <w14:solidFill>
              <w14:schemeClr w14:val="tx1"/>
            </w14:solidFill>
          </w14:textFill>
        </w:rPr>
        <w:t xml:space="preserve">韩老师</w:t>
      </w:r>
      <w:r>
        <w:rPr>
          <w:rFonts w:eastAsiaTheme="minorEastAsia"/>
          <w:color w:val="000000" w:themeColor="text1"/>
          <w:szCs w:val="21"/>
          <w:highlight w:val="none"/>
          <w:u w:val="single"/>
          <w14:textFill>
            <w14:solidFill>
              <w14:schemeClr w14:val="tx1"/>
            </w14:solidFill>
          </w14:textFill>
        </w:rPr>
        <w:t xml:space="preserve"> </w:t>
      </w:r>
      <w:r>
        <w:rPr>
          <w:rFonts w:eastAsiaTheme="minorEastAsia"/>
          <w:color w:val="000000" w:themeColor="text1"/>
          <w:szCs w:val="21"/>
          <w:highlight w:val="none"/>
          <w14:textFill>
            <w14:solidFill>
              <w14:schemeClr w14:val="tx1"/>
            </w14:solidFill>
          </w14:textFill>
        </w:rPr>
        <w:t xml:space="preserve">；联系电话：</w:t>
      </w:r>
      <w:r>
        <w:rPr>
          <w:rFonts w:eastAsiaTheme="minorEastAsia"/>
          <w:color w:val="000000" w:themeColor="text1"/>
          <w:szCs w:val="21"/>
          <w:highlight w:val="none"/>
          <w:u w:val="single"/>
          <w14:textFill>
            <w14:solidFill>
              <w14:schemeClr w14:val="tx1"/>
            </w14:solidFill>
          </w14:textFill>
        </w:rPr>
        <w:t xml:space="preserve"> </w:t>
      </w:r>
      <w:r>
        <w:rPr>
          <w:rFonts w:hint="eastAsia" w:eastAsiaTheme="minorEastAsia"/>
          <w:color w:val="000000" w:themeColor="text1"/>
          <w:szCs w:val="21"/>
          <w:highlight w:val="none"/>
          <w:u w:val="single"/>
          <w:lang w:val="en-US" w:eastAsia="zh-CN"/>
          <w14:textFill>
            <w14:solidFill>
              <w14:schemeClr w14:val="tx1"/>
            </w14:solidFill>
          </w14:textFill>
        </w:rPr>
        <w:t xml:space="preserve">0512-69997200-8089</w:t>
      </w:r>
      <w:r>
        <w:rPr>
          <w:rFonts w:eastAsiaTheme="minorEastAsia"/>
          <w:color w:val="000000" w:themeColor="text1"/>
          <w:szCs w:val="21"/>
          <w:highlight w:val="none"/>
          <w:u w:val="single"/>
          <w14:textFill>
            <w14:solidFill>
              <w14:schemeClr w14:val="tx1"/>
            </w14:solidFill>
          </w14:textFill>
        </w:rPr>
        <w:t xml:space="preserve"> </w:t>
      </w:r>
      <w:r>
        <w:rPr>
          <w:rFonts w:eastAsiaTheme="minorEastAsia"/>
          <w:color w:val="000000" w:themeColor="text1"/>
          <w:szCs w:val="21"/>
          <w:highlight w:val="none"/>
          <w14:textFill>
            <w14:solidFill>
              <w14:schemeClr w14:val="tx1"/>
            </w14:solidFill>
          </w14:textFill>
        </w:rPr>
        <w:t xml:space="preserve">。</w:t>
      </w:r>
      <w:r/>
    </w:p>
    <w:p>
      <w:pPr>
        <w:pStyle w:val="899"/>
        <w:ind w:left="0" w:firstLine="422"/>
        <w:spacing w:after="0" w:line="360" w:lineRule="auto"/>
        <w:rPr>
          <w:rFonts w:eastAsiaTheme="minorEastAsia"/>
          <w:b/>
          <w:color w:val="000000" w:themeColor="text1"/>
          <w:szCs w:val="21"/>
          <w14:textFill>
            <w14:solidFill>
              <w14:schemeClr w14:val="tx1"/>
            </w14:solidFill>
          </w14:textFill>
        </w:rPr>
      </w:pPr>
      <w:r>
        <w:rPr>
          <w:rFonts w:eastAsiaTheme="minorEastAsia"/>
          <w:b/>
          <w:color w:val="000000" w:themeColor="text1"/>
          <w:szCs w:val="21"/>
          <w14:textFill>
            <w14:solidFill>
              <w14:schemeClr w14:val="tx1"/>
            </w14:solidFill>
          </w14:textFill>
        </w:rPr>
        <w:t xml:space="preserve">请供应商安排好行程，不得迟到。未提供《投标供应商确认函》或迟到者，恕不接待。</w:t>
      </w:r>
      <w:r/>
    </w:p>
    <w:p>
      <w:pPr>
        <w:pStyle w:val="899"/>
        <w:ind w:left="0" w:firstLine="420"/>
        <w:spacing w:after="0"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（1）根据自身投标需要，供应商可对项目相关情况进行考察，以获取编制投标文件和签署合同所需的信息。考察现场所发生的费用由供应商自己承担。</w:t>
      </w:r>
      <w:r/>
    </w:p>
    <w:p>
      <w:pPr>
        <w:pStyle w:val="899"/>
        <w:ind w:left="0" w:firstLine="420"/>
        <w:spacing w:after="0"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pStyle w:val="899"/>
        <w:ind w:left="0" w:firstLine="420"/>
        <w:spacing w:after="0"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（3）经采购人允许，供应商可为考察目的进入采购人的项目现场，但供应商不得因此使采购人承担有关的责任和蒙受损失。供应商应承担考察现场的责任和风险。</w:t>
      </w:r>
      <w:r/>
    </w:p>
    <w:p>
      <w:pPr>
        <w:pStyle w:val="899"/>
        <w:ind w:left="0" w:firstLine="420"/>
        <w:spacing w:after="0"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pStyle w:val="941"/>
        <w:ind w:firstLine="420"/>
        <w:rPr>
          <w:rFonts w:ascii="Times New Roman"/>
        </w:rPr>
      </w:pPr>
      <w:r>
        <w:rPr>
          <w:rFonts w:ascii="Times New Roman" w:eastAsiaTheme="minorEastAsia"/>
          <w:color w:val="000000" w:themeColor="text1"/>
          <w:szCs w:val="21"/>
          <w14:textFill>
            <w14:solidFill>
              <w14:schemeClr w14:val="tx1"/>
            </w14:solidFill>
          </w14:textFill>
        </w:rPr>
        <w:t xml:space="preserve">（5）由于未进行现场考察造成的任何问题由供应商自行承担。</w:t>
      </w:r>
      <w:r/>
    </w:p>
    <w:p>
      <w:pPr>
        <w:ind w:firstLine="710"/>
        <w:spacing w:line="400" w:lineRule="exact"/>
        <w:tabs>
          <w:tab w:val="left" w:pos="540" w:leader="none"/>
          <w:tab w:val="left" w:pos="851" w:leader="none"/>
        </w:tabs>
        <w:rPr>
          <w:b/>
          <w:bCs/>
          <w:color w:val="000000" w:themeColor="text1"/>
          <w:szCs w:val="21"/>
          <w14:textFill>
            <w14:solidFill>
              <w14:schemeClr w14:val="tx1"/>
            </w14:solidFill>
          </w14:textFill>
        </w:rPr>
      </w:pPr>
      <w:r/>
      <w:bookmarkStart w:id="8" w:name="_Hlk205572333"/>
      <w:r/>
      <w:bookmarkStart w:id="9" w:name="_Hlk205571361"/>
      <w:r>
        <w:rPr>
          <w:b/>
          <w:bCs/>
          <w:color w:val="000000" w:themeColor="text1"/>
          <w:szCs w:val="21"/>
          <w14:textFill>
            <w14:solidFill>
              <w14:schemeClr w14:val="tx1"/>
            </w14:solidFill>
          </w14:textFill>
        </w:rPr>
        <w:t xml:space="preserve">1.11本项目若涉及采购货物，则应满足以下要求</w:t>
      </w:r>
      <w:r>
        <w:rPr>
          <w:rFonts w:eastAsiaTheme="minorEastAsia"/>
          <w:b/>
          <w:bCs/>
          <w:szCs w:val="21"/>
        </w:rPr>
        <w:t xml:space="preserve">，否则投标无效</w:t>
      </w:r>
      <w:r>
        <w:rPr>
          <w:b/>
          <w:bCs/>
          <w:color w:val="000000" w:themeColor="text1"/>
          <w:szCs w:val="21"/>
          <w14:textFill>
            <w14:solidFill>
              <w14:schemeClr w14:val="tx1"/>
            </w14:solidFill>
          </w14:textFill>
        </w:rPr>
        <w:t xml:space="preserve">：</w:t>
      </w:r>
      <w:r/>
    </w:p>
    <w:p>
      <w:pPr>
        <w:pStyle w:val="899"/>
        <w:ind w:left="0" w:firstLine="420"/>
        <w:spacing w:after="0"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（1）必须是全新、未使用过的原装合格正品（包括零部件），如安装或配置了软件的，须为正版软件。</w:t>
      </w:r>
      <w:r/>
    </w:p>
    <w:p>
      <w:pPr>
        <w:pStyle w:val="899"/>
        <w:ind w:left="0" w:firstLine="420"/>
        <w:spacing w:after="0"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（2）国产的货物及其有关服务必须符合中华人民共和国的设计、制造生产标准及行业标准。招标公告有其他要求的，亦应符合其要求。</w:t>
      </w:r>
      <w:bookmarkStart w:id="10" w:name="OLE_LINK14"/>
      <w:r/>
      <w:bookmarkStart w:id="11" w:name="OLE_LINK15"/>
      <w:r>
        <w:rPr>
          <w:rFonts w:eastAsiaTheme="minorEastAsia"/>
          <w:szCs w:val="21"/>
        </w:rPr>
        <w:t xml:space="preserve">在本项目政府采购活动过程中，如果所执行的标准有更新的，按照最新标准执行。</w:t>
      </w:r>
      <w:bookmarkEnd w:id="10"/>
      <w:r/>
      <w:bookmarkEnd w:id="11"/>
      <w:r/>
      <w:r/>
    </w:p>
    <w:p>
      <w:pPr>
        <w:pStyle w:val="899"/>
        <w:ind w:left="0" w:firstLine="420"/>
        <w:spacing w:after="0"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3）投标人、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p>
    <w:p>
      <w:pPr>
        <w:pStyle w:val="899"/>
        <w:ind w:left="0" w:firstLine="420"/>
        <w:spacing w:after="0"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4）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p>
    <w:p>
      <w:pPr>
        <w:pStyle w:val="899"/>
        <w:ind w:left="0" w:firstLine="420"/>
        <w:spacing w:after="0"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（5）投标人、制造商及其所提供的货物未能满足前述要求而导致采购人遭受任何损失的，投标人应承担全部责任。</w:t>
      </w:r>
      <w:r/>
    </w:p>
    <w:p>
      <w:pPr>
        <w:ind w:firstLine="710"/>
        <w:spacing w:line="400" w:lineRule="exact"/>
        <w:tabs>
          <w:tab w:val="left" w:pos="540" w:leader="none"/>
          <w:tab w:val="left" w:pos="851"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1.12法律适用</w:t>
      </w:r>
      <w:r/>
    </w:p>
    <w:p>
      <w:pPr>
        <w:ind w:firstLine="707"/>
        <w:spacing w:line="400" w:lineRule="exact"/>
        <w:tabs>
          <w:tab w:val="left" w:pos="540" w:leader="none"/>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本次采购活动及因本次采购产生的合同受中华人民共和国有关的法律法规制约和保护。</w:t>
      </w:r>
      <w:bookmarkEnd w:id="8"/>
      <w:r/>
      <w:bookmarkEnd w:id="9"/>
      <w:r/>
      <w:r/>
    </w:p>
    <w:p>
      <w:pPr>
        <w:numPr>
          <w:ilvl w:val="0"/>
          <w:numId w:val="7"/>
        </w:numPr>
        <w:ind w:left="0" w:firstLine="425"/>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outlineLvl w:val="1"/>
      </w:pPr>
      <w:r>
        <w:rPr>
          <w:rFonts w:eastAsiaTheme="minorEastAsia"/>
          <w:b/>
          <w:color w:val="000000" w:themeColor="text1"/>
          <w:szCs w:val="21"/>
          <w14:textFill>
            <w14:solidFill>
              <w14:schemeClr w14:val="tx1"/>
            </w14:solidFill>
          </w14:textFill>
        </w:rPr>
        <w:t xml:space="preserve">谈判文件的说明</w:t>
      </w:r>
      <w:r/>
    </w:p>
    <w:p>
      <w:pPr>
        <w:numPr>
          <w:ilvl w:val="1"/>
          <w:numId w:val="7"/>
        </w:numPr>
        <w:ind w:left="0" w:firstLine="708"/>
        <w:spacing w:line="400" w:lineRule="exact"/>
        <w:tabs>
          <w:tab w:val="left" w:pos="0" w:leader="none"/>
          <w:tab w:val="left" w:pos="600" w:leader="none"/>
        </w:tabs>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谈判文件的获取</w:t>
      </w:r>
      <w:r/>
    </w:p>
    <w:p>
      <w:pPr>
        <w:ind w:left="424" w:firstLine="705"/>
        <w:spacing w:line="400" w:lineRule="exact"/>
        <w:tabs>
          <w:tab w:val="left" w:pos="0"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见第一章竞争性谈判公告</w:t>
      </w:r>
      <w:r/>
    </w:p>
    <w:p>
      <w:pPr>
        <w:numPr>
          <w:ilvl w:val="1"/>
          <w:numId w:val="7"/>
        </w:numPr>
        <w:ind w:left="0" w:firstLine="708"/>
        <w:spacing w:line="400" w:lineRule="exact"/>
        <w:tabs>
          <w:tab w:val="left" w:pos="0" w:leader="none"/>
          <w:tab w:val="left" w:pos="600" w:leader="none"/>
        </w:tabs>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谈判文件的询问</w:t>
      </w:r>
      <w:r/>
    </w:p>
    <w:p>
      <w:pPr>
        <w:ind w:firstLine="705"/>
        <w:spacing w:line="400" w:lineRule="exact"/>
        <w:tabs>
          <w:tab w:val="left" w:pos="540" w:leader="none"/>
          <w:tab w:val="left" w:pos="851" w:leader="none"/>
        </w:tabs>
        <w:rPr>
          <w:b/>
          <w:bCs/>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供应商在收到谈判文件后，若有问题需要询问，应于下载谈判文件后，</w:t>
      </w:r>
      <w:r>
        <w:rPr>
          <w:rFonts w:eastAsiaTheme="minorEastAsia"/>
          <w:szCs w:val="21"/>
        </w:rPr>
        <w:t xml:space="preserve">通过公告中的联系方式及时提出，采购人或采购代理机构将予以解答</w:t>
      </w:r>
      <w:r>
        <w:rPr>
          <w:color w:val="000000" w:themeColor="text1"/>
          <w:szCs w:val="21"/>
          <w14:textFill>
            <w14:solidFill>
              <w14:schemeClr w14:val="tx1"/>
            </w14:solidFill>
          </w14:textFill>
        </w:rPr>
        <w:t xml:space="preserve">，但答复内容不得涉及商业秘密。</w:t>
      </w:r>
      <w:r/>
    </w:p>
    <w:p>
      <w:pPr>
        <w:numPr>
          <w:ilvl w:val="1"/>
          <w:numId w:val="7"/>
        </w:numPr>
        <w:ind w:left="0" w:firstLine="708"/>
        <w:spacing w:line="400" w:lineRule="exact"/>
        <w:tabs>
          <w:tab w:val="left" w:pos="0" w:leader="none"/>
          <w:tab w:val="left" w:pos="600" w:leader="none"/>
        </w:tabs>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谈判文件的澄清或修改</w:t>
      </w:r>
      <w:r/>
    </w:p>
    <w:p>
      <w:pPr>
        <w:pStyle w:val="1069"/>
        <w:numPr>
          <w:ilvl w:val="2"/>
          <w:numId w:val="7"/>
        </w:numPr>
        <w:ind w:left="0" w:firstLine="705"/>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 xml:space="preserve">提交响应文件截止之日前，采购代理机构有权在出于实际需要的情况下，以更正（补充）公告的形式在原公告发布媒体上对已发出的谈判文件进行必要的澄清或者修改。澄清或者修改的内容作为谈判文件的组成部分，对所有供应商具有约束力。</w:t>
      </w:r>
      <w:r/>
    </w:p>
    <w:p>
      <w:pPr>
        <w:pStyle w:val="1069"/>
        <w:numPr>
          <w:ilvl w:val="2"/>
          <w:numId w:val="7"/>
        </w:numPr>
        <w:ind w:left="0" w:firstLine="705"/>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 xml:space="preserve">为保证供应商有足够时间修正响应文件，或出于其他合理原因，采购代理机构可依法顺延提交响应文件截止之日和谈判时间。</w:t>
      </w:r>
      <w:r/>
    </w:p>
    <w:p>
      <w:pPr>
        <w:pStyle w:val="1069"/>
        <w:numPr>
          <w:ilvl w:val="2"/>
          <w:numId w:val="7"/>
        </w:numPr>
        <w:ind w:left="0" w:firstLine="705"/>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bookmarkStart w:id="12" w:name="_Hlk157941221"/>
      <w:r>
        <w:rPr>
          <w:rFonts w:ascii="Times New Roman" w:hAnsi="Times New Roman" w:eastAsiaTheme="minorEastAsia"/>
          <w:color w:val="000000" w:themeColor="text1"/>
          <w:sz w:val="21"/>
          <w:szCs w:val="21"/>
          <w14:textFill>
            <w14:solidFill>
              <w14:schemeClr w14:val="tx1"/>
            </w14:solidFill>
          </w14:textFill>
        </w:rPr>
        <w:t xml:space="preserve">供应商</w:t>
      </w:r>
      <w:bookmarkStart w:id="13" w:name="_Hlk155803365"/>
      <w:r>
        <w:rPr>
          <w:rFonts w:ascii="Times New Roman" w:hAnsi="Times New Roman" w:eastAsiaTheme="minorEastAsia"/>
          <w:color w:val="000000" w:themeColor="text1"/>
          <w:sz w:val="21"/>
          <w:szCs w:val="21"/>
          <w14:textFill>
            <w14:solidFill>
              <w14:schemeClr w14:val="tx1"/>
            </w14:solidFill>
          </w14:textFill>
        </w:rPr>
        <w:t xml:space="preserve">应及时关注政府采购信息发布媒体上发布的更正（补充）公告，同时在“苏采云”系统中下载更正（补充）资料，</w:t>
      </w:r>
      <w:r>
        <w:rPr>
          <w:rFonts w:ascii="Times New Roman" w:hAnsi="Times New Roman" w:eastAsiaTheme="minorEastAsia"/>
          <w:b/>
          <w:color w:val="000000" w:themeColor="text1"/>
          <w:sz w:val="21"/>
          <w:szCs w:val="21"/>
          <w14:textFill>
            <w14:solidFill>
              <w14:schemeClr w14:val="tx1"/>
            </w14:solidFill>
          </w14:textFill>
        </w:rPr>
        <w:t xml:space="preserve">如有遗漏（包括但不限于文件未下载或下载不完整），可能无法解密投标（响应）文件，由此所造成的投标失败或损失由供应商自行负责</w:t>
      </w:r>
      <w:bookmarkEnd w:id="12"/>
      <w:r>
        <w:rPr>
          <w:rFonts w:ascii="Times New Roman" w:hAnsi="Times New Roman" w:eastAsiaTheme="minorEastAsia"/>
          <w:b/>
          <w:color w:val="000000" w:themeColor="text1"/>
          <w:sz w:val="21"/>
          <w:szCs w:val="21"/>
          <w14:textFill>
            <w14:solidFill>
              <w14:schemeClr w14:val="tx1"/>
            </w14:solidFill>
          </w14:textFill>
        </w:rPr>
        <w:t xml:space="preserve">。</w:t>
      </w:r>
      <w:bookmarkEnd w:id="13"/>
      <w:r/>
      <w:r/>
    </w:p>
    <w:p>
      <w:pPr>
        <w:numPr>
          <w:ilvl w:val="1"/>
          <w:numId w:val="7"/>
        </w:numPr>
        <w:ind w:left="0" w:firstLine="708"/>
        <w:spacing w:line="400" w:lineRule="exact"/>
        <w:tabs>
          <w:tab w:val="left" w:pos="0" w:leader="none"/>
          <w:tab w:val="left" w:pos="600"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响应文件的约束力</w:t>
      </w:r>
      <w:r/>
    </w:p>
    <w:p>
      <w:pPr>
        <w:pStyle w:val="1069"/>
        <w:numPr>
          <w:ilvl w:val="2"/>
          <w:numId w:val="7"/>
        </w:numPr>
        <w:ind w:left="0" w:firstLine="705"/>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 xml:space="preserve">供应商一旦参加本项目采购活动，即被认为接受了本采购文件的规定和约束。</w:t>
      </w:r>
      <w:r/>
    </w:p>
    <w:p>
      <w:pPr>
        <w:pStyle w:val="1069"/>
        <w:numPr>
          <w:ilvl w:val="2"/>
          <w:numId w:val="7"/>
        </w:numPr>
        <w:ind w:left="0" w:firstLine="705"/>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 xml:space="preserve">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numPr>
          <w:ilvl w:val="0"/>
          <w:numId w:val="7"/>
        </w:numPr>
        <w:ind w:left="0" w:firstLine="425"/>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响应文件说明</w:t>
      </w:r>
      <w:r/>
    </w:p>
    <w:p>
      <w:pPr>
        <w:ind w:firstLine="708"/>
        <w:spacing w:line="400" w:lineRule="exact"/>
        <w:tabs>
          <w:tab w:val="left" w:pos="540"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供应商应详细阅读谈判文件的全部内容，不按谈判文件的要求提供的响应文件和资料，其风险由供应商自行承担，并根据有关条款规定，可能导致响应无效。</w:t>
      </w:r>
      <w:r/>
    </w:p>
    <w:p>
      <w:pPr>
        <w:numPr>
          <w:ilvl w:val="1"/>
          <w:numId w:val="7"/>
        </w:numPr>
        <w:ind w:left="0" w:firstLine="708"/>
        <w:spacing w:line="400" w:lineRule="exact"/>
        <w:tabs>
          <w:tab w:val="left" w:pos="142" w:leader="none"/>
          <w:tab w:val="left" w:pos="600" w:leader="none"/>
        </w:tabs>
        <w:rPr>
          <w:rFonts w:eastAsiaTheme="minorEastAsia"/>
          <w:bCs/>
          <w:color w:val="000000" w:themeColor="text1"/>
          <w:szCs w:val="21"/>
          <w14:textFill>
            <w14:solidFill>
              <w14:schemeClr w14:val="tx1"/>
            </w14:solidFill>
          </w14:textFill>
        </w:rPr>
      </w:pPr>
      <w:r>
        <w:rPr>
          <w:rFonts w:eastAsiaTheme="minorEastAsia"/>
          <w:b/>
          <w:color w:val="000000" w:themeColor="text1"/>
          <w:szCs w:val="21"/>
          <w14:textFill>
            <w14:solidFill>
              <w14:schemeClr w14:val="tx1"/>
            </w14:solidFill>
          </w14:textFill>
        </w:rPr>
        <w:t xml:space="preserve">响应文件的组成</w:t>
      </w:r>
      <w:r/>
    </w:p>
    <w:p>
      <w:pPr>
        <w:pStyle w:val="1069"/>
        <w:numPr>
          <w:ilvl w:val="2"/>
          <w:numId w:val="7"/>
        </w:numPr>
        <w:ind w:left="0" w:firstLine="705"/>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sz w:val="21"/>
          <w:szCs w:val="21"/>
        </w:rPr>
        <w:t xml:space="preserve">开标一览表</w:t>
      </w:r>
      <w:r>
        <w:rPr>
          <w:rFonts w:ascii="Times New Roman" w:hAnsi="Times New Roman" w:eastAsiaTheme="minorEastAsia"/>
          <w:color w:val="000000" w:themeColor="text1"/>
          <w:sz w:val="21"/>
          <w:szCs w:val="21"/>
          <w14:textFill>
            <w14:solidFill>
              <w14:schemeClr w14:val="tx1"/>
            </w14:solidFill>
          </w14:textFill>
        </w:rPr>
        <w:t xml:space="preserve">；</w:t>
      </w:r>
      <w:r/>
    </w:p>
    <w:p>
      <w:pPr>
        <w:pStyle w:val="1069"/>
        <w:numPr>
          <w:ilvl w:val="2"/>
          <w:numId w:val="7"/>
        </w:numPr>
        <w:ind w:left="0" w:firstLine="708"/>
        <w:spacing w:line="400" w:lineRule="exact"/>
        <w:tabs>
          <w:tab w:val="left" w:pos="851" w:leader="none"/>
        </w:tabs>
        <w:rPr>
          <w:rFonts w:ascii="Times New Roman" w:hAnsi="Times New Roman" w:eastAsiaTheme="minorEastAsia"/>
          <w:b/>
          <w:color w:val="000000" w:themeColor="text1"/>
          <w:sz w:val="21"/>
          <w:szCs w:val="21"/>
          <w14:textFill>
            <w14:solidFill>
              <w14:schemeClr w14:val="tx1"/>
            </w14:solidFill>
          </w14:textFill>
        </w:rPr>
      </w:pPr>
      <w:r>
        <w:rPr>
          <w:rFonts w:ascii="Times New Roman" w:hAnsi="Times New Roman" w:eastAsiaTheme="minorEastAsia"/>
          <w:b/>
          <w:sz w:val="21"/>
          <w:szCs w:val="21"/>
        </w:rPr>
        <w:t xml:space="preserve">资格性审查文件</w:t>
      </w:r>
      <w:r/>
    </w:p>
    <w:p>
      <w:pPr>
        <w:pStyle w:val="1069"/>
        <w:ind w:left="708"/>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 xml:space="preserve">3.1.2.1具有独立承担民事责任的能力的材料：包括法人或者其他组织的营业执照等证明文件，自然人的身份证明；</w:t>
      </w:r>
      <w:r/>
    </w:p>
    <w:p>
      <w:pPr>
        <w:pStyle w:val="1069"/>
        <w:ind w:left="708"/>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 xml:space="preserve">3.1.2.2具有良好的商业信誉和健全的财务会计制度的材料：最近一期经审计的财务报告，或银行出具的资信证明，或财政部门认可的政府采购专业担保机构出具的投标担保函；</w:t>
      </w:r>
      <w:r/>
    </w:p>
    <w:p>
      <w:pPr>
        <w:pStyle w:val="1069"/>
        <w:ind w:left="708"/>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 xml:space="preserve">3.1.2.3具有履行合同所必需的设备和专业技术能力的证明材料；</w:t>
      </w:r>
      <w:r/>
    </w:p>
    <w:p>
      <w:pPr>
        <w:pStyle w:val="1069"/>
        <w:ind w:left="708"/>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 xml:space="preserve">3.1.2.4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w:t>
      </w:r>
      <w:r>
        <w:rPr>
          <w:rFonts w:ascii="Times New Roman" w:hAnsi="Times New Roman" w:eastAsiaTheme="minorEastAsia"/>
          <w:b/>
          <w:color w:val="000000" w:themeColor="text1"/>
          <w:sz w:val="21"/>
          <w:szCs w:val="21"/>
          <w14:textFill>
            <w14:solidFill>
              <w14:schemeClr w14:val="tx1"/>
            </w14:solidFill>
          </w14:textFill>
        </w:rPr>
        <w:t xml:space="preserve">否则不予认可；</w:t>
      </w:r>
      <w:r/>
    </w:p>
    <w:p>
      <w:pPr>
        <w:pStyle w:val="1069"/>
        <w:ind w:left="708"/>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 xml:space="preserve">3.1.2.5参加政府采购活动前三年内，在经营活动中没有出现重大违法记录的书面声明函（格式见第六章）；</w:t>
      </w:r>
      <w:r/>
    </w:p>
    <w:p>
      <w:pPr>
        <w:pStyle w:val="1069"/>
        <w:ind w:left="708"/>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 xml:space="preserve">3.1.2.6中小企业声明函（如有）（格式见第六章），</w:t>
      </w:r>
      <w:r>
        <w:rPr>
          <w:rFonts w:ascii="Times New Roman" w:hAnsi="Times New Roman" w:eastAsiaTheme="minorEastAsia"/>
          <w:b/>
          <w:color w:val="000000" w:themeColor="text1"/>
          <w:sz w:val="21"/>
          <w:szCs w:val="21"/>
          <w14:textFill>
            <w14:solidFill>
              <w14:schemeClr w14:val="tx1"/>
            </w14:solidFill>
          </w14:textFill>
        </w:rPr>
        <w:t xml:space="preserve">未提供不享受中小企业扶持政策；</w:t>
      </w:r>
      <w:r/>
    </w:p>
    <w:p>
      <w:pPr>
        <w:pStyle w:val="1069"/>
        <w:ind w:left="708"/>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 xml:space="preserve">3.1.2.7残疾人福利性单位声明函（如有）（格式见第六章），</w:t>
      </w:r>
      <w:r>
        <w:rPr>
          <w:rFonts w:ascii="Times New Roman" w:hAnsi="Times New Roman" w:eastAsiaTheme="minorEastAsia"/>
          <w:b/>
          <w:color w:val="000000" w:themeColor="text1"/>
          <w:sz w:val="21"/>
          <w:szCs w:val="21"/>
          <w14:textFill>
            <w14:solidFill>
              <w14:schemeClr w14:val="tx1"/>
            </w14:solidFill>
          </w14:textFill>
        </w:rPr>
        <w:t xml:space="preserve">未提供视为非残疾人福利性单位，不视同小微企业，不享受残疾人福利性单位政策；</w:t>
      </w:r>
      <w:r/>
    </w:p>
    <w:p>
      <w:pPr>
        <w:pStyle w:val="1069"/>
        <w:ind w:left="708"/>
        <w:spacing w:line="400" w:lineRule="exact"/>
        <w:tabs>
          <w:tab w:val="left" w:pos="851" w:leader="none"/>
        </w:tabs>
        <w:rPr>
          <w:rFonts w:ascii="Times New Roman" w:hAnsi="Times New Roman" w:eastAsiaTheme="minorEastAsia"/>
          <w:b/>
          <w:color w:val="000000" w:themeColor="text1"/>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 xml:space="preserve">3.1.2.8监狱企业证明文件（如有），由省级以上监狱管理局、戒毒管理局（含新疆生产建设兵团）出具，</w:t>
      </w:r>
      <w:r>
        <w:rPr>
          <w:rFonts w:ascii="Times New Roman" w:hAnsi="Times New Roman" w:eastAsiaTheme="minorEastAsia"/>
          <w:b/>
          <w:color w:val="000000" w:themeColor="text1"/>
          <w:sz w:val="21"/>
          <w:szCs w:val="21"/>
          <w14:textFill>
            <w14:solidFill>
              <w14:schemeClr w14:val="tx1"/>
            </w14:solidFill>
          </w14:textFill>
        </w:rPr>
        <w:t xml:space="preserve">未提供视为非监狱企业，不视同小微企业，不享受监狱企业政策；</w:t>
      </w:r>
      <w:r/>
    </w:p>
    <w:p>
      <w:pPr>
        <w:pStyle w:val="1069"/>
        <w:ind w:left="708"/>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bCs/>
          <w:color w:val="000000" w:themeColor="text1"/>
          <w:sz w:val="21"/>
          <w:szCs w:val="21"/>
          <w14:textFill>
            <w14:solidFill>
              <w14:schemeClr w14:val="tx1"/>
            </w14:solidFill>
          </w14:textFill>
        </w:rPr>
        <w:t xml:space="preserve">3.1.2.9 </w:t>
      </w:r>
      <w:r>
        <w:rPr>
          <w:rFonts w:ascii="Times New Roman" w:hAnsi="Times New Roman" w:eastAsiaTheme="minorEastAsia"/>
          <w:sz w:val="21"/>
          <w:szCs w:val="21"/>
        </w:rPr>
        <w:t xml:space="preserve">特定资格要求的证明材料：</w:t>
      </w:r>
      <w:r/>
    </w:p>
    <w:p>
      <w:pPr>
        <w:pStyle w:val="1069"/>
        <w:ind w:left="708"/>
        <w:spacing w:line="400" w:lineRule="exact"/>
        <w:tabs>
          <w:tab w:val="left" w:pos="851" w:leader="none"/>
        </w:tabs>
        <w:rPr>
          <w:rFonts w:hint="eastAsia" w:ascii="Times New Roman" w:hAnsi="Times New Roman" w:eastAsiaTheme="minorEastAsia"/>
          <w:b/>
          <w:bCs/>
          <w:sz w:val="21"/>
          <w:szCs w:val="21"/>
          <w:highlight w:val="none"/>
        </w:rPr>
      </w:pPr>
      <w:r>
        <w:rPr>
          <w:rFonts w:ascii="Times New Roman" w:hAnsi="Times New Roman" w:eastAsiaTheme="minorEastAsia"/>
          <w:sz w:val="21"/>
          <w:szCs w:val="21"/>
          <w:highlight w:val="none"/>
        </w:rPr>
        <w:t xml:space="preserve">3.1.2.9.1如</w:t>
      </w:r>
      <w:r>
        <w:rPr>
          <w:rFonts w:hint="eastAsia" w:ascii="Times New Roman" w:hAnsi="Times New Roman" w:eastAsiaTheme="minorEastAsia"/>
          <w:sz w:val="21"/>
          <w:szCs w:val="21"/>
          <w:highlight w:val="none"/>
          <w:lang w:eastAsia="zh-CN"/>
        </w:rPr>
        <w:t xml:space="preserve">供应商</w:t>
      </w:r>
      <w:r>
        <w:rPr>
          <w:rFonts w:ascii="Times New Roman" w:hAnsi="Times New Roman" w:eastAsiaTheme="minorEastAsia"/>
          <w:sz w:val="21"/>
          <w:szCs w:val="21"/>
          <w:highlight w:val="none"/>
        </w:rPr>
        <w:t xml:space="preserve">为电梯制造单位，</w:t>
      </w:r>
      <w:r>
        <w:rPr>
          <w:rFonts w:hint="eastAsia" w:ascii="Times New Roman" w:hAnsi="Times New Roman" w:eastAsiaTheme="minorEastAsia"/>
          <w:sz w:val="21"/>
          <w:szCs w:val="21"/>
          <w:highlight w:val="none"/>
        </w:rPr>
        <w:t xml:space="preserve">电梯制造单位应具备行政主管部门颁发的有效期内的《中华人民共和国特种设备生产许可证》【许可项目：电梯制造（含安装、修理、改造），许可子项目包含曳引驱动乘客电梯（含消防员电梯）】；</w:t>
      </w:r>
      <w:r>
        <w:rPr>
          <w:rFonts w:hint="eastAsia" w:ascii="Times New Roman" w:hAnsi="Times New Roman" w:eastAsiaTheme="minorEastAsia"/>
          <w:b/>
          <w:bCs/>
          <w:sz w:val="21"/>
          <w:szCs w:val="21"/>
          <w:highlight w:val="none"/>
        </w:rPr>
        <w:t xml:space="preserve">响应文件中提供电梯制造单位的对应许可证书扫描件。</w:t>
      </w:r>
      <w:r/>
    </w:p>
    <w:p>
      <w:pPr>
        <w:pStyle w:val="1069"/>
        <w:ind w:left="708"/>
        <w:spacing w:line="400" w:lineRule="exact"/>
        <w:tabs>
          <w:tab w:val="left" w:pos="851" w:leader="none"/>
        </w:tabs>
        <w:rPr>
          <w:rFonts w:ascii="Times New Roman" w:hAnsi="Times New Roman" w:eastAsiaTheme="minorEastAsia"/>
          <w:b/>
          <w:bCs/>
          <w:sz w:val="21"/>
          <w:szCs w:val="21"/>
          <w:highlight w:val="none"/>
        </w:rPr>
      </w:pPr>
      <w:r>
        <w:rPr>
          <w:rFonts w:ascii="Times New Roman" w:hAnsi="Times New Roman" w:eastAsiaTheme="minorEastAsia"/>
          <w:sz w:val="21"/>
          <w:szCs w:val="21"/>
          <w:highlight w:val="none"/>
        </w:rPr>
        <w:t xml:space="preserve">3.1.2.9.2 如</w:t>
      </w:r>
      <w:r>
        <w:rPr>
          <w:rFonts w:hint="eastAsia" w:ascii="Times New Roman" w:hAnsi="Times New Roman" w:eastAsiaTheme="minorEastAsia"/>
          <w:sz w:val="21"/>
          <w:szCs w:val="21"/>
          <w:highlight w:val="none"/>
        </w:rPr>
        <w:t xml:space="preserve">供应商</w:t>
      </w:r>
      <w:r>
        <w:rPr>
          <w:rFonts w:ascii="Times New Roman" w:hAnsi="Times New Roman" w:eastAsiaTheme="minorEastAsia"/>
          <w:sz w:val="21"/>
          <w:szCs w:val="21"/>
          <w:highlight w:val="none"/>
        </w:rPr>
        <w:t xml:space="preserve">为代理商（经销商），安装、维修应取得电梯制造单位委托、同意，并具备行政主管部门颁发的有效期内的《中华人民共和国特种设备生产许可证》【许可项目：</w:t>
      </w:r>
      <w:r>
        <w:rPr>
          <w:rFonts w:hint="eastAsia" w:ascii="Times New Roman" w:hAnsi="Times New Roman" w:eastAsiaTheme="minorEastAsia"/>
          <w:sz w:val="21"/>
          <w:szCs w:val="21"/>
          <w:highlight w:val="none"/>
        </w:rPr>
        <w:t xml:space="preserve">电梯安装（含修理），许可子项目包含曳引驱动乘客电梯（含消防员电梯）】，同时电梯制造单位应具备行政主管部门颁发的有效期内的《中华人民共和国特种设备生产许可证》【许可项目：电梯制造（含安装、修理、改造），许可子项目包含曳引驱动乘客电梯（含消防员电梯）】；</w:t>
      </w:r>
      <w:r>
        <w:rPr>
          <w:rFonts w:hint="eastAsia" w:ascii="Times New Roman" w:hAnsi="Times New Roman" w:eastAsiaTheme="minorEastAsia"/>
          <w:b/>
          <w:bCs/>
          <w:sz w:val="21"/>
          <w:szCs w:val="21"/>
          <w:highlight w:val="none"/>
        </w:rPr>
        <w:t xml:space="preserve">响应文件中提供电梯制造单位对应许可证书扫描件、代理商（经销商）的对应许可证书扫描件及电梯制造单位委托</w:t>
      </w:r>
      <w:r>
        <w:rPr>
          <w:rFonts w:ascii="Times New Roman" w:hAnsi="Times New Roman" w:eastAsiaTheme="minorEastAsia"/>
          <w:b/>
          <w:bCs/>
          <w:sz w:val="21"/>
          <w:szCs w:val="21"/>
          <w:highlight w:val="none"/>
        </w:rPr>
        <w:t xml:space="preserve">/</w:t>
      </w:r>
      <w:r>
        <w:rPr>
          <w:rFonts w:hint="eastAsia" w:ascii="Times New Roman" w:hAnsi="Times New Roman" w:eastAsiaTheme="minorEastAsia"/>
          <w:b/>
          <w:bCs/>
          <w:sz w:val="21"/>
          <w:szCs w:val="21"/>
          <w:highlight w:val="none"/>
        </w:rPr>
        <w:t xml:space="preserve">同意的相应有效证明材料扫描件。</w:t>
      </w:r>
      <w:r/>
    </w:p>
    <w:p>
      <w:pPr>
        <w:pStyle w:val="1069"/>
        <w:ind w:left="706" w:firstLine="422"/>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b/>
          <w:bCs/>
          <w:color w:val="ff0000"/>
          <w:sz w:val="21"/>
          <w:szCs w:val="21"/>
        </w:rPr>
        <w:t xml:space="preserve">3.1.2.9.3如</w:t>
      </w:r>
      <w:r>
        <w:rPr>
          <w:rFonts w:hint="eastAsia" w:ascii="Times New Roman" w:hAnsi="Times New Roman" w:eastAsiaTheme="minorEastAsia"/>
          <w:b/>
          <w:bCs/>
          <w:color w:val="ff0000"/>
          <w:sz w:val="21"/>
          <w:szCs w:val="21"/>
          <w:lang w:eastAsia="zh-CN"/>
        </w:rPr>
        <w:t xml:space="preserve">供应商</w:t>
      </w:r>
      <w:r>
        <w:rPr>
          <w:rFonts w:ascii="Times New Roman" w:hAnsi="Times New Roman" w:eastAsiaTheme="minorEastAsia"/>
          <w:b/>
          <w:bCs/>
          <w:color w:val="ff0000"/>
          <w:sz w:val="21"/>
          <w:szCs w:val="21"/>
        </w:rPr>
        <w:t xml:space="preserve">非电梯制造单位许可证书上的制造单位，即视为代理商（经销商）投标，应当提供3.1.3.9.2要求的材料</w:t>
      </w:r>
      <w:r>
        <w:rPr>
          <w:rFonts w:ascii="Times New Roman" w:hAnsi="Times New Roman" w:eastAsiaTheme="minorEastAsia"/>
          <w:sz w:val="21"/>
          <w:szCs w:val="21"/>
        </w:rPr>
        <w:t xml:space="preserve">。</w:t>
      </w:r>
      <w:r/>
    </w:p>
    <w:p>
      <w:pPr>
        <w:pStyle w:val="1069"/>
        <w:ind w:left="709" w:firstLine="422"/>
        <w:spacing w:line="400" w:lineRule="exact"/>
        <w:tabs>
          <w:tab w:val="left" w:pos="851" w:leader="none"/>
        </w:tabs>
        <w:rPr>
          <w:rFonts w:ascii="Times New Roman" w:hAnsi="Times New Roman" w:eastAsiaTheme="minorEastAsia"/>
          <w:b/>
          <w:color w:val="000000" w:themeColor="text1"/>
          <w:sz w:val="21"/>
          <w:szCs w:val="21"/>
          <w:u w:val="single"/>
          <w14:textFill>
            <w14:solidFill>
              <w14:schemeClr w14:val="tx1"/>
            </w14:solidFill>
          </w14:textFill>
        </w:rPr>
      </w:pPr>
      <w:r>
        <w:rPr>
          <w:rFonts w:ascii="Times New Roman" w:hAnsi="Times New Roman" w:eastAsiaTheme="minorEastAsia"/>
          <w:b/>
          <w:color w:val="000000" w:themeColor="text1"/>
          <w:sz w:val="21"/>
          <w:szCs w:val="21"/>
          <w:u w:val="single"/>
          <w14:textFill>
            <w14:solidFill>
              <w14:schemeClr w14:val="tx1"/>
            </w14:solidFill>
          </w14:textFill>
        </w:rPr>
        <w:t xml:space="preserve">以上3.1.2.1---3.1.2.5、3.1.2.9项是资格审查要求必须提供的材料，专门面向中小企业的项目还必须提供3.1.2.6或3.1.2.7或3.1.2.8项资料，否则响应无效。</w:t>
      </w:r>
      <w:r/>
    </w:p>
    <w:p>
      <w:pPr>
        <w:pStyle w:val="1069"/>
        <w:numPr>
          <w:ilvl w:val="2"/>
          <w:numId w:val="7"/>
        </w:numPr>
        <w:ind w:left="0" w:firstLine="708"/>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b/>
          <w:sz w:val="21"/>
          <w:szCs w:val="21"/>
        </w:rPr>
        <w:t xml:space="preserve">响应性审查文件</w:t>
      </w:r>
      <w:r/>
    </w:p>
    <w:p>
      <w:pPr>
        <w:pStyle w:val="1069"/>
        <w:numPr>
          <w:ilvl w:val="3"/>
          <w:numId w:val="7"/>
        </w:numPr>
        <w:ind w:hanging="850"/>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响应函（格式见第六章）；</w:t>
      </w:r>
      <w:r/>
    </w:p>
    <w:p>
      <w:pPr>
        <w:pStyle w:val="1069"/>
        <w:numPr>
          <w:ilvl w:val="3"/>
          <w:numId w:val="7"/>
        </w:numPr>
        <w:ind w:hanging="850"/>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谈判响应报价表</w:t>
      </w:r>
      <w:bookmarkStart w:id="14" w:name="_Hlk159233160"/>
      <w:r>
        <w:rPr>
          <w:rFonts w:ascii="Times New Roman" w:hAnsi="Times New Roman" w:eastAsiaTheme="minorEastAsia"/>
          <w:sz w:val="21"/>
          <w:szCs w:val="21"/>
        </w:rPr>
        <w:t xml:space="preserve">（格式见第六章）</w:t>
      </w:r>
      <w:bookmarkEnd w:id="14"/>
      <w:r>
        <w:rPr>
          <w:rFonts w:ascii="Times New Roman" w:hAnsi="Times New Roman" w:eastAsiaTheme="minorEastAsia"/>
          <w:sz w:val="21"/>
          <w:szCs w:val="21"/>
        </w:rPr>
        <w:t xml:space="preserve">；</w:t>
      </w:r>
      <w:r/>
    </w:p>
    <w:p>
      <w:pPr>
        <w:pStyle w:val="1069"/>
        <w:numPr>
          <w:ilvl w:val="3"/>
          <w:numId w:val="7"/>
        </w:numPr>
        <w:ind w:hanging="850"/>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采购需求偏离表（格式见第六章）；</w:t>
      </w:r>
      <w:r/>
    </w:p>
    <w:p>
      <w:pPr>
        <w:pStyle w:val="1069"/>
        <w:numPr>
          <w:ilvl w:val="3"/>
          <w:numId w:val="7"/>
        </w:numPr>
        <w:ind w:hanging="850"/>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color w:val="000000" w:themeColor="text1"/>
          <w:sz w:val="21"/>
          <w:szCs w:val="21"/>
          <w14:textFill>
            <w14:solidFill>
              <w14:schemeClr w14:val="tx1"/>
            </w14:solidFill>
          </w14:textFill>
        </w:rPr>
        <w:t xml:space="preserve">谈判文件要求的节能（节水）证书、环境标志证书（如有）；</w:t>
      </w:r>
      <w:r/>
    </w:p>
    <w:p>
      <w:pPr>
        <w:pStyle w:val="1069"/>
        <w:numPr>
          <w:ilvl w:val="3"/>
          <w:numId w:val="7"/>
        </w:numPr>
        <w:ind w:hanging="850"/>
        <w:spacing w:line="400" w:lineRule="exact"/>
        <w:tabs>
          <w:tab w:val="left" w:pos="851" w:leader="none"/>
        </w:tabs>
        <w:rPr>
          <w:rFonts w:ascii="Times New Roman" w:hAnsi="Times New Roman" w:eastAsiaTheme="minorEastAsia"/>
          <w:sz w:val="21"/>
          <w:szCs w:val="21"/>
        </w:rPr>
      </w:pPr>
      <w:r/>
      <w:bookmarkStart w:id="15" w:name="_Hlk157941350"/>
      <w:r>
        <w:rPr>
          <w:rFonts w:ascii="Times New Roman" w:hAnsi="Times New Roman" w:eastAsiaTheme="minorEastAsia"/>
          <w:sz w:val="21"/>
          <w:szCs w:val="21"/>
        </w:rPr>
        <w:t xml:space="preserve">采购需求中所涉及到的或响应单位认为需加以说明或证明的其他材料、证明（如有）；</w:t>
      </w:r>
      <w:bookmarkEnd w:id="15"/>
      <w:r/>
      <w:r/>
    </w:p>
    <w:p>
      <w:pPr>
        <w:pStyle w:val="1069"/>
        <w:numPr>
          <w:ilvl w:val="3"/>
          <w:numId w:val="7"/>
        </w:numPr>
        <w:ind w:hanging="850"/>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法人授权委托书（如有授权委托，格式见第六章）或法定代表人身份证；</w:t>
      </w:r>
      <w:r/>
    </w:p>
    <w:p>
      <w:pPr>
        <w:pStyle w:val="1069"/>
        <w:numPr>
          <w:ilvl w:val="3"/>
          <w:numId w:val="7"/>
        </w:numPr>
        <w:ind w:hanging="850"/>
        <w:spacing w:line="400" w:lineRule="exact"/>
        <w:tabs>
          <w:tab w:val="left" w:pos="851" w:leader="none"/>
        </w:tabs>
        <w:rPr>
          <w:rFonts w:ascii="Times New Roman" w:hAnsi="Times New Roman" w:eastAsiaTheme="minorEastAsia"/>
          <w:sz w:val="21"/>
          <w:szCs w:val="21"/>
        </w:rPr>
      </w:pPr>
      <w:r/>
      <w:bookmarkStart w:id="16" w:name="_Hlk157941369"/>
      <w:r>
        <w:rPr>
          <w:rFonts w:ascii="Times New Roman" w:hAnsi="Times New Roman" w:eastAsiaTheme="minorEastAsia"/>
          <w:sz w:val="21"/>
          <w:szCs w:val="21"/>
        </w:rPr>
        <w:t xml:space="preserve">代理人身份证（如有授权委托）</w:t>
      </w:r>
      <w:bookmarkEnd w:id="16"/>
      <w:r>
        <w:rPr>
          <w:rFonts w:ascii="Times New Roman" w:hAnsi="Times New Roman" w:eastAsiaTheme="minorEastAsia"/>
          <w:sz w:val="21"/>
          <w:szCs w:val="21"/>
        </w:rPr>
        <w:t xml:space="preserve">；</w:t>
      </w:r>
      <w:r/>
    </w:p>
    <w:p>
      <w:pPr>
        <w:pStyle w:val="1069"/>
        <w:ind w:left="709" w:firstLine="422"/>
        <w:spacing w:line="400" w:lineRule="exact"/>
        <w:tabs>
          <w:tab w:val="left" w:pos="851" w:leader="none"/>
        </w:tabs>
        <w:rPr>
          <w:rFonts w:ascii="Times New Roman" w:hAnsi="Times New Roman" w:eastAsiaTheme="minorEastAsia"/>
          <w:b/>
          <w:color w:val="000000" w:themeColor="text1"/>
          <w:sz w:val="21"/>
          <w:szCs w:val="21"/>
          <w:u w:val="single"/>
          <w14:textFill>
            <w14:solidFill>
              <w14:schemeClr w14:val="tx1"/>
            </w14:solidFill>
          </w14:textFill>
        </w:rPr>
      </w:pPr>
      <w:r>
        <w:rPr>
          <w:rFonts w:ascii="Times New Roman" w:hAnsi="Times New Roman" w:eastAsiaTheme="minorEastAsia"/>
          <w:b/>
          <w:color w:val="000000" w:themeColor="text1"/>
          <w:sz w:val="21"/>
          <w:szCs w:val="21"/>
          <w:u w:val="single"/>
          <w14:textFill>
            <w14:solidFill>
              <w14:schemeClr w14:val="tx1"/>
            </w14:solidFill>
          </w14:textFill>
        </w:rPr>
        <w:t xml:space="preserve">以上3.1.3.1-3.1.3.7为响应性审查必须提供的资料，如有授权委托，还必须提供3.1.3.8项材料，否则响应无效。</w:t>
      </w:r>
      <w:r/>
    </w:p>
    <w:p>
      <w:pPr>
        <w:pStyle w:val="1069"/>
        <w:numPr>
          <w:ilvl w:val="2"/>
          <w:numId w:val="7"/>
        </w:numPr>
        <w:ind w:left="0" w:firstLine="708"/>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b/>
          <w:sz w:val="21"/>
          <w:szCs w:val="21"/>
        </w:rPr>
        <w:t xml:space="preserve">价格折扣文件（如有）</w:t>
      </w:r>
      <w:r/>
    </w:p>
    <w:p>
      <w:pPr>
        <w:pStyle w:val="1069"/>
        <w:numPr>
          <w:ilvl w:val="3"/>
          <w:numId w:val="7"/>
        </w:numPr>
        <w:ind w:hanging="850"/>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非专门面向中小企业的项目如提供3.1.2.6或3.1.2.7或3.1.2.8项材料，将按照评定成交标准享受价格评审优惠政策。</w:t>
      </w:r>
      <w:r/>
    </w:p>
    <w:p>
      <w:pPr>
        <w:pStyle w:val="1069"/>
        <w:numPr>
          <w:ilvl w:val="3"/>
          <w:numId w:val="7"/>
        </w:numPr>
        <w:ind w:hanging="850"/>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供应商对其提供的产品出具符合要求的《关于符合本国产品标准的声明函》（格式见第六章》）或财政部会同有关部门规定的有关证明文件的，将按照评定成交标准享受价格评审优惠政策。</w:t>
      </w:r>
      <w:r/>
    </w:p>
    <w:p>
      <w:pPr>
        <w:pStyle w:val="1104"/>
        <w:ind w:left="708"/>
        <w:spacing w:line="400" w:lineRule="exact"/>
        <w:rPr>
          <w:rFonts w:ascii="Times New Roman" w:hAnsi="Times New Roman"/>
          <w:b/>
          <w:bCs/>
          <w:sz w:val="21"/>
          <w:szCs w:val="21"/>
        </w:rPr>
      </w:pPr>
      <w:r>
        <w:rPr>
          <w:rFonts w:ascii="Times New Roman" w:hAnsi="Times New Roman" w:eastAsiaTheme="minorEastAsia"/>
          <w:b/>
          <w:sz w:val="21"/>
          <w:szCs w:val="21"/>
        </w:rPr>
        <w:t xml:space="preserve">注：制作电子投标（响应）文件时请与电子投标（响应）文件制作软件目录一一对应，将相关资料上传至相应模块。</w:t>
      </w:r>
      <w:r>
        <w:rPr>
          <w:rFonts w:ascii="Times New Roman" w:hAnsi="Times New Roman"/>
          <w:b/>
          <w:sz w:val="21"/>
          <w:szCs w:val="21"/>
        </w:rPr>
        <w:t xml:space="preserve">供应商应保证上传的投标（响应）文件完整、清晰可辨认，若因上传资料过小或模糊不清等无法辨认的都视为该资料未提供。</w:t>
      </w:r>
      <w:r/>
    </w:p>
    <w:p>
      <w:pPr>
        <w:ind w:left="708" w:firstLine="422"/>
        <w:spacing w:line="400" w:lineRule="exact"/>
        <w:tabs>
          <w:tab w:val="left" w:pos="540" w:leader="none"/>
        </w:tabs>
        <w:rPr>
          <w:rFonts w:eastAsiaTheme="minorEastAsia"/>
          <w:b/>
          <w:bCs/>
          <w:szCs w:val="21"/>
        </w:rPr>
      </w:pPr>
      <w:r>
        <w:rPr>
          <w:rFonts w:eastAsiaTheme="minorEastAsia"/>
          <w:b/>
          <w:bCs/>
          <w:szCs w:val="21"/>
        </w:rPr>
        <w:t xml:space="preserve">响应单位必须保证全部响应资料的真实性，如有虚假或对采购文件所要求说明的情况故意隐瞒或虚报，视为不实质性响应谈判文件，响应无效。</w:t>
      </w:r>
      <w:r/>
    </w:p>
    <w:p>
      <w:pPr>
        <w:ind w:left="708" w:firstLine="422"/>
        <w:spacing w:line="400" w:lineRule="exact"/>
        <w:tabs>
          <w:tab w:val="left" w:pos="540" w:leader="none"/>
        </w:tabs>
        <w:rPr>
          <w:b/>
          <w:bCs/>
          <w:color w:val="000000" w:themeColor="text1"/>
          <w:szCs w:val="21"/>
          <w14:textFill>
            <w14:solidFill>
              <w14:schemeClr w14:val="tx1"/>
            </w14:solidFill>
          </w14:textFill>
        </w:rPr>
      </w:pPr>
      <w:r>
        <w:rPr>
          <w:rFonts w:eastAsiaTheme="minorEastAsia"/>
          <w:b/>
          <w:bCs/>
          <w:szCs w:val="21"/>
        </w:rPr>
        <w:t xml:space="preserve">如供应商响应文件中某些条款不响应谈判文件提出的全部服务内容与要求，须在偏离表中逐条列出，未列出的视同响应。</w:t>
      </w:r>
      <w:r/>
    </w:p>
    <w:p>
      <w:pPr>
        <w:numPr>
          <w:ilvl w:val="1"/>
          <w:numId w:val="7"/>
        </w:numPr>
        <w:ind w:left="0" w:firstLine="708"/>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pPr>
      <w:r>
        <w:rPr>
          <w:rFonts w:eastAsiaTheme="minorEastAsia"/>
          <w:b/>
          <w:color w:val="000000" w:themeColor="text1"/>
          <w:szCs w:val="21"/>
          <w14:textFill>
            <w14:solidFill>
              <w14:schemeClr w14:val="tx1"/>
            </w14:solidFill>
          </w14:textFill>
        </w:rPr>
        <w:t xml:space="preserve">响应报价</w:t>
      </w:r>
      <w:r/>
    </w:p>
    <w:p>
      <w:pPr>
        <w:pStyle w:val="1069"/>
        <w:numPr>
          <w:ilvl w:val="2"/>
          <w:numId w:val="7"/>
        </w:numPr>
        <w:ind w:left="0" w:firstLine="705"/>
        <w:spacing w:line="400" w:lineRule="exact"/>
        <w:tabs>
          <w:tab w:val="left" w:pos="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响应报价应包括为提供本合同约定的采购货物及与其相关的所有服务而发生的一切成本、费用、支出及合理利润。除非合同条款中另有规定，供应商所报价格在合同实施期间不因市场变化因素而变动。</w:t>
      </w:r>
      <w:r/>
    </w:p>
    <w:p>
      <w:pPr>
        <w:pStyle w:val="1069"/>
        <w:numPr>
          <w:ilvl w:val="2"/>
          <w:numId w:val="7"/>
        </w:numPr>
        <w:ind w:left="0" w:firstLine="705"/>
        <w:spacing w:line="400" w:lineRule="exact"/>
        <w:tabs>
          <w:tab w:val="left" w:pos="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如果谈判文件要求分采购包投标的，则供应商可以根据自身经营许可范围，选择响应其中部分或者全部采购包，但各采购包应分别计算填写单价和总价。</w:t>
      </w:r>
      <w:r/>
    </w:p>
    <w:p>
      <w:pPr>
        <w:pStyle w:val="1069"/>
        <w:numPr>
          <w:ilvl w:val="2"/>
          <w:numId w:val="7"/>
        </w:numPr>
        <w:ind w:left="0" w:firstLine="708"/>
        <w:spacing w:line="400" w:lineRule="exact"/>
        <w:tabs>
          <w:tab w:val="left" w:pos="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b/>
          <w:color w:val="000000" w:themeColor="text1"/>
          <w:sz w:val="21"/>
          <w:szCs w:val="21"/>
          <w14:textFill>
            <w14:solidFill>
              <w14:schemeClr w14:val="tx1"/>
            </w14:solidFill>
          </w14:textFill>
        </w:rPr>
        <w:t xml:space="preserve">供应商应对谈判文件内所要采购的的全部内容进行报价，只对其中部分内容报价的，响应无效。</w:t>
      </w:r>
      <w:r/>
    </w:p>
    <w:p>
      <w:pPr>
        <w:pStyle w:val="1069"/>
        <w:numPr>
          <w:ilvl w:val="2"/>
          <w:numId w:val="7"/>
        </w:numPr>
        <w:ind w:left="0" w:firstLine="708"/>
        <w:spacing w:line="400" w:lineRule="exact"/>
        <w:tabs>
          <w:tab w:val="left" w:pos="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b/>
          <w:color w:val="000000" w:themeColor="text1"/>
          <w:sz w:val="21"/>
          <w:szCs w:val="21"/>
          <w14:textFill>
            <w14:solidFill>
              <w14:schemeClr w14:val="tx1"/>
            </w14:solidFill>
          </w14:textFill>
        </w:rPr>
        <w:t xml:space="preserve">一项采购内容只允许一个报价，任何有选择性响应报价的，其响应无效。</w:t>
      </w:r>
      <w:r/>
    </w:p>
    <w:p>
      <w:pPr>
        <w:pStyle w:val="1069"/>
        <w:numPr>
          <w:ilvl w:val="2"/>
          <w:numId w:val="7"/>
        </w:numPr>
        <w:ind w:left="0" w:firstLine="705"/>
        <w:spacing w:line="400" w:lineRule="exact"/>
        <w:tabs>
          <w:tab w:val="left" w:pos="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任意一次报价（包括首次报价、多轮报价）超过谈判文件中规定的预算金额或者最高限价的，包括报的各标的物的单价超过预算单价的（针对采购文件标明预算单价的项目），</w:t>
      </w:r>
      <w:r>
        <w:rPr>
          <w:rFonts w:ascii="Times New Roman" w:hAnsi="Times New Roman"/>
          <w:b/>
          <w:color w:val="000000" w:themeColor="text1"/>
          <w:sz w:val="21"/>
          <w:szCs w:val="21"/>
          <w14:textFill>
            <w14:solidFill>
              <w14:schemeClr w14:val="tx1"/>
            </w14:solidFill>
          </w14:textFill>
        </w:rPr>
        <w:t xml:space="preserve">其响应文件按无效文件处理。</w:t>
      </w:r>
      <w:r/>
    </w:p>
    <w:p>
      <w:pPr>
        <w:pStyle w:val="1069"/>
        <w:numPr>
          <w:ilvl w:val="2"/>
          <w:numId w:val="7"/>
        </w:numPr>
        <w:ind w:left="0" w:firstLine="705"/>
        <w:spacing w:line="400" w:lineRule="exact"/>
        <w:tabs>
          <w:tab w:val="left" w:pos="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除因谈判文件修改导致成本增加外，供应商二次报价超过第一次报价的，</w:t>
      </w:r>
      <w:r>
        <w:rPr>
          <w:rFonts w:ascii="Times New Roman" w:hAnsi="Times New Roman"/>
          <w:b/>
          <w:color w:val="000000" w:themeColor="text1"/>
          <w:sz w:val="21"/>
          <w:szCs w:val="21"/>
          <w14:textFill>
            <w14:solidFill>
              <w14:schemeClr w14:val="tx1"/>
            </w14:solidFill>
          </w14:textFill>
        </w:rPr>
        <w:t xml:space="preserve">其响应文件按无效处理。</w:t>
      </w:r>
      <w:r/>
    </w:p>
    <w:p>
      <w:pPr>
        <w:pStyle w:val="1069"/>
        <w:numPr>
          <w:ilvl w:val="2"/>
          <w:numId w:val="7"/>
        </w:numPr>
        <w:ind w:left="0" w:firstLine="705"/>
        <w:spacing w:line="400" w:lineRule="exact"/>
        <w:tabs>
          <w:tab w:val="left" w:pos="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报价的大写金额和小写金额不一致的，以大写金额为准。</w:t>
      </w:r>
      <w:r/>
    </w:p>
    <w:p>
      <w:pPr>
        <w:pStyle w:val="1069"/>
        <w:numPr>
          <w:ilvl w:val="2"/>
          <w:numId w:val="7"/>
        </w:numPr>
        <w:ind w:left="0" w:firstLine="705"/>
        <w:spacing w:line="400" w:lineRule="exact"/>
        <w:tabs>
          <w:tab w:val="left" w:pos="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单价金额小数点或者百分比有明显错位的，以该次报价总价为准。</w:t>
      </w:r>
      <w:r/>
    </w:p>
    <w:p>
      <w:pPr>
        <w:pStyle w:val="1069"/>
        <w:numPr>
          <w:ilvl w:val="2"/>
          <w:numId w:val="7"/>
        </w:numPr>
        <w:ind w:left="0" w:firstLine="705"/>
        <w:spacing w:line="400" w:lineRule="exact"/>
        <w:tabs>
          <w:tab w:val="left" w:pos="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总价金额与按单价汇总金额不一致的，以单价金额计算结果为准。</w:t>
      </w:r>
      <w:r/>
    </w:p>
    <w:p>
      <w:pPr>
        <w:pStyle w:val="1069"/>
        <w:numPr>
          <w:ilvl w:val="2"/>
          <w:numId w:val="7"/>
        </w:numPr>
        <w:ind w:left="0" w:firstLine="705"/>
        <w:spacing w:line="400" w:lineRule="exact"/>
        <w:tabs>
          <w:tab w:val="left" w:pos="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响应文件报价中的单价和总价全部采用人民币表示，除非另有规定。</w:t>
      </w:r>
      <w:r/>
    </w:p>
    <w:p>
      <w:pPr>
        <w:numPr>
          <w:ilvl w:val="1"/>
          <w:numId w:val="7"/>
        </w:numPr>
        <w:ind w:left="0" w:firstLine="708"/>
        <w:spacing w:line="400" w:lineRule="exact"/>
        <w:tabs>
          <w:tab w:val="left" w:pos="142" w:leader="none"/>
          <w:tab w:val="left" w:pos="600" w:leader="none"/>
        </w:tabs>
        <w:rPr>
          <w:rFonts w:eastAsiaTheme="minorEastAsia"/>
          <w:b/>
          <w:bCs/>
          <w:color w:val="000000" w:themeColor="text1"/>
          <w:szCs w:val="21"/>
          <w14:textFill>
            <w14:solidFill>
              <w14:schemeClr w14:val="tx1"/>
            </w14:solidFill>
          </w14:textFill>
        </w:rPr>
      </w:pPr>
      <w:r>
        <w:rPr>
          <w:rFonts w:eastAsiaTheme="minorEastAsia"/>
          <w:b/>
          <w:bCs/>
          <w:color w:val="000000" w:themeColor="text1"/>
          <w:szCs w:val="21"/>
          <w14:textFill>
            <w14:solidFill>
              <w14:schemeClr w14:val="tx1"/>
            </w14:solidFill>
          </w14:textFill>
        </w:rPr>
        <w:t xml:space="preserve">谈判保证金：</w:t>
      </w:r>
      <w:r>
        <w:rPr>
          <w:rFonts w:eastAsiaTheme="minorEastAsia"/>
          <w:bCs/>
          <w:color w:val="000000" w:themeColor="text1"/>
          <w:szCs w:val="21"/>
          <w14:textFill>
            <w14:solidFill>
              <w14:schemeClr w14:val="tx1"/>
            </w14:solidFill>
          </w14:textFill>
        </w:rPr>
        <w:t xml:space="preserve">无</w:t>
      </w:r>
      <w:r/>
    </w:p>
    <w:p>
      <w:pPr>
        <w:numPr>
          <w:ilvl w:val="1"/>
          <w:numId w:val="7"/>
        </w:numPr>
        <w:ind w:left="0" w:firstLine="708"/>
        <w:spacing w:line="400" w:lineRule="exact"/>
        <w:tabs>
          <w:tab w:val="left" w:pos="142" w:leader="none"/>
          <w:tab w:val="left" w:pos="600" w:leader="none"/>
        </w:tabs>
        <w:rPr>
          <w:rFonts w:eastAsiaTheme="minorEastAsia"/>
          <w:b/>
          <w:bCs/>
          <w:color w:val="000000" w:themeColor="text1"/>
          <w:szCs w:val="21"/>
          <w14:textFill>
            <w14:solidFill>
              <w14:schemeClr w14:val="tx1"/>
            </w14:solidFill>
          </w14:textFill>
        </w:rPr>
      </w:pPr>
      <w:r>
        <w:rPr>
          <w:rFonts w:eastAsiaTheme="minorEastAsia"/>
          <w:b/>
          <w:color w:val="000000" w:themeColor="text1"/>
          <w:szCs w:val="21"/>
          <w14:textFill>
            <w14:solidFill>
              <w14:schemeClr w14:val="tx1"/>
            </w14:solidFill>
          </w14:textFill>
        </w:rPr>
        <w:t xml:space="preserve">电子投标（响应）文件的编制与递交</w:t>
      </w:r>
      <w:r/>
    </w:p>
    <w:p>
      <w:pPr>
        <w:pStyle w:val="1069"/>
        <w:numPr>
          <w:ilvl w:val="2"/>
          <w:numId w:val="7"/>
        </w:numPr>
        <w:ind w:left="1276"/>
        <w:spacing w:line="400" w:lineRule="exact"/>
        <w:tabs>
          <w:tab w:val="left" w:pos="142" w:leader="none"/>
          <w:tab w:val="left" w:pos="600" w:leader="none"/>
        </w:tabs>
        <w:rPr>
          <w:rFonts w:ascii="Times New Roman" w:hAnsi="Times New Roman"/>
          <w:sz w:val="21"/>
          <w:szCs w:val="21"/>
        </w:rPr>
      </w:pPr>
      <w:r/>
      <w:bookmarkStart w:id="17" w:name="_Hlk157941471"/>
      <w:r/>
      <w:bookmarkStart w:id="18" w:name="_Hlk159235635"/>
      <w:r>
        <w:rPr>
          <w:rFonts w:ascii="Times New Roman" w:hAnsi="Times New Roman"/>
          <w:sz w:val="21"/>
          <w:szCs w:val="21"/>
        </w:rPr>
        <w:t xml:space="preserve">电子投标（响应）文件制作：</w:t>
      </w:r>
      <w:r>
        <w:rPr>
          <w:rFonts w:ascii="Times New Roman" w:hAnsi="Times New Roman" w:eastAsiaTheme="minorEastAsia"/>
          <w:sz w:val="21"/>
          <w:szCs w:val="21"/>
        </w:rPr>
        <w:t xml:space="preserve">本项目为网上招投标项目，请供应商插入CA 证书</w:t>
      </w:r>
      <w:r>
        <w:rPr>
          <w:rFonts w:hint="eastAsia" w:ascii="Times New Roman" w:hAnsi="Times New Roman" w:eastAsiaTheme="minorEastAsia"/>
          <w:sz w:val="21"/>
          <w:szCs w:val="21"/>
          <w:lang w:eastAsia="zh-CN"/>
        </w:rPr>
        <w:t xml:space="preserve">登录</w:t>
      </w:r>
      <w:r>
        <w:rPr>
          <w:rFonts w:ascii="Times New Roman" w:hAnsi="Times New Roman" w:eastAsiaTheme="minorEastAsia"/>
          <w:sz w:val="21"/>
          <w:szCs w:val="21"/>
        </w:rPr>
        <w:t xml:space="preserve">“苏采云”系统下载客户端（参与项目页面可下载客户端及客户端使用说明），在客户端编制电子投标（响应）文件并进行CA加密。操作步骤详见“苏采云”系统页面提示和《操作手册》</w:t>
      </w:r>
      <w:bookmarkEnd w:id="17"/>
      <w:r>
        <w:rPr>
          <w:rFonts w:ascii="Times New Roman" w:hAnsi="Times New Roman" w:eastAsiaTheme="minorEastAsia"/>
          <w:sz w:val="21"/>
          <w:szCs w:val="21"/>
        </w:rPr>
        <w:t xml:space="preserve">。</w:t>
      </w:r>
      <w:bookmarkEnd w:id="18"/>
      <w:r/>
      <w:r/>
    </w:p>
    <w:p>
      <w:pPr>
        <w:pStyle w:val="1069"/>
        <w:numPr>
          <w:ilvl w:val="2"/>
          <w:numId w:val="7"/>
        </w:numPr>
        <w:ind w:left="1276"/>
        <w:spacing w:line="400" w:lineRule="exact"/>
        <w:tabs>
          <w:tab w:val="left" w:pos="142" w:leader="none"/>
          <w:tab w:val="left" w:pos="600" w:leader="none"/>
        </w:tabs>
        <w:rPr>
          <w:rFonts w:ascii="Times New Roman" w:hAnsi="Times New Roman"/>
          <w:sz w:val="21"/>
          <w:szCs w:val="21"/>
        </w:rPr>
      </w:pPr>
      <w:r/>
      <w:bookmarkStart w:id="19" w:name="_Hlk157941597"/>
      <w:r/>
      <w:bookmarkStart w:id="20" w:name="_Hlk159235644"/>
      <w:r>
        <w:rPr>
          <w:rFonts w:ascii="Times New Roman" w:hAnsi="Times New Roman" w:eastAsiaTheme="minorEastAsia"/>
          <w:sz w:val="21"/>
          <w:szCs w:val="21"/>
        </w:rPr>
        <w:t xml:space="preserve">电子投标（响应)文件递交：供应商应当按照《操作手册》指引，</w:t>
      </w:r>
      <w:r>
        <w:rPr>
          <w:rFonts w:ascii="Times New Roman" w:hAnsi="Times New Roman" w:eastAsiaTheme="minorEastAsia"/>
          <w:b/>
          <w:sz w:val="21"/>
          <w:szCs w:val="21"/>
        </w:rPr>
        <w:t xml:space="preserve">在投标（响应）文件提交截止时间前完成电子投标（响应）文件的上传，未按要求成功上传的投标（响应）文件视为未递交。</w:t>
      </w:r>
      <w:r>
        <w:rPr>
          <w:rFonts w:ascii="Times New Roman" w:hAnsi="Times New Roman" w:eastAsiaTheme="minorEastAsia"/>
          <w:sz w:val="21"/>
          <w:szCs w:val="21"/>
        </w:rPr>
        <w:t xml:space="preserve">供应商应充分考虑到网络环境、网络带宽等风险因素，如因供应商自身原因造成的电子投标（响应）文件上传不成功由供应商自行承担全部责任</w:t>
      </w:r>
      <w:bookmarkEnd w:id="19"/>
      <w:r>
        <w:rPr>
          <w:rFonts w:ascii="Times New Roman" w:hAnsi="Times New Roman" w:eastAsiaTheme="minorEastAsia"/>
          <w:sz w:val="21"/>
          <w:szCs w:val="21"/>
        </w:rPr>
        <w:t xml:space="preserve">。</w:t>
      </w:r>
      <w:bookmarkEnd w:id="20"/>
      <w:r/>
      <w:r/>
    </w:p>
    <w:p>
      <w:pPr>
        <w:pStyle w:val="1069"/>
        <w:ind w:left="1276" w:firstLine="0"/>
        <w:spacing w:line="400" w:lineRule="exact"/>
        <w:rPr>
          <w:rFonts w:ascii="Times New Roman" w:hAnsi="Times New Roman" w:eastAsiaTheme="minorEastAsia"/>
          <w:color w:val="ff0000"/>
          <w:sz w:val="21"/>
          <w:szCs w:val="21"/>
        </w:rPr>
      </w:pPr>
      <w:r/>
      <w:bookmarkStart w:id="21" w:name="_Hlk159235660"/>
      <w:r>
        <w:rPr>
          <w:rFonts w:ascii="Times New Roman" w:hAnsi="Times New Roman" w:eastAsiaTheme="minorEastAsia"/>
          <w:color w:val="ff0000"/>
          <w:sz w:val="21"/>
          <w:szCs w:val="21"/>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pStyle w:val="1069"/>
        <w:ind w:left="1276" w:firstLine="0"/>
        <w:spacing w:line="400" w:lineRule="exact"/>
        <w:rPr>
          <w:rFonts w:ascii="Times New Roman" w:hAnsi="Times New Roman"/>
          <w:sz w:val="21"/>
          <w:szCs w:val="21"/>
        </w:rPr>
      </w:pPr>
      <w:r>
        <w:rPr>
          <w:rFonts w:ascii="Times New Roman" w:hAnsi="Times New Roman" w:eastAsiaTheme="minorEastAsia"/>
          <w:color w:val="ff0000"/>
          <w:sz w:val="21"/>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bookmarkEnd w:id="21"/>
      <w:r/>
      <w:r/>
    </w:p>
    <w:p>
      <w:pPr>
        <w:pStyle w:val="1069"/>
        <w:numPr>
          <w:ilvl w:val="2"/>
          <w:numId w:val="7"/>
        </w:numPr>
        <w:ind w:left="1276"/>
        <w:spacing w:line="400" w:lineRule="exact"/>
        <w:tabs>
          <w:tab w:val="left" w:pos="142" w:leader="none"/>
          <w:tab w:val="left" w:pos="600" w:leader="none"/>
        </w:tabs>
        <w:rPr>
          <w:rFonts w:ascii="Times New Roman" w:hAnsi="Times New Roman"/>
          <w:sz w:val="21"/>
          <w:szCs w:val="21"/>
        </w:rPr>
      </w:pPr>
      <w:r/>
      <w:bookmarkStart w:id="22" w:name="_Hlk132648951"/>
      <w:r/>
      <w:bookmarkStart w:id="23" w:name="_Hlk132648979"/>
      <w:r/>
      <w:bookmarkStart w:id="24" w:name="_Hlk157941668"/>
      <w:r/>
      <w:bookmarkStart w:id="25" w:name="_Hlk132648682"/>
      <w:r>
        <w:rPr>
          <w:rFonts w:ascii="Times New Roman" w:hAnsi="Times New Roman" w:eastAsiaTheme="minorEastAsia"/>
          <w:b/>
          <w:sz w:val="21"/>
          <w:szCs w:val="21"/>
        </w:rPr>
        <w:t xml:space="preserve">响应文件未按照谈判文件要求加盖CA电子公章的，响应无效。</w:t>
      </w:r>
      <w:bookmarkEnd w:id="22"/>
      <w:r/>
      <w:bookmarkEnd w:id="23"/>
      <w:r/>
      <w:bookmarkEnd w:id="24"/>
      <w:r/>
      <w:bookmarkEnd w:id="25"/>
      <w:r/>
      <w:r/>
    </w:p>
    <w:p>
      <w:pPr>
        <w:pStyle w:val="1069"/>
        <w:numPr>
          <w:ilvl w:val="2"/>
          <w:numId w:val="7"/>
        </w:numPr>
        <w:ind w:left="1276"/>
        <w:spacing w:line="400" w:lineRule="exact"/>
        <w:tabs>
          <w:tab w:val="left" w:pos="142" w:leader="none"/>
          <w:tab w:val="left" w:pos="600" w:leader="none"/>
        </w:tabs>
        <w:rPr>
          <w:rFonts w:ascii="Times New Roman" w:hAnsi="Times New Roman"/>
          <w:sz w:val="21"/>
          <w:szCs w:val="21"/>
        </w:rPr>
      </w:pPr>
      <w:r/>
      <w:bookmarkStart w:id="26" w:name="_Hlk159235709"/>
      <w:r>
        <w:rPr>
          <w:rFonts w:ascii="Times New Roman" w:hAnsi="Times New Roman" w:eastAsiaTheme="minorEastAsia"/>
          <w:sz w:val="21"/>
          <w:szCs w:val="21"/>
        </w:rPr>
        <w:t xml:space="preserve">联合体投标：如招标（采购）公告中允许联合体投标，联合体投标的投标（响应）文件制作上传操作如下：</w:t>
      </w:r>
      <w:r/>
    </w:p>
    <w:p>
      <w:pPr>
        <w:pStyle w:val="1104"/>
        <w:ind w:left="1276" w:firstLine="0"/>
        <w:spacing w:line="400" w:lineRule="exact"/>
        <w:rPr>
          <w:rFonts w:ascii="Times New Roman" w:hAnsi="Times New Roman" w:eastAsiaTheme="minorEastAsia"/>
          <w:sz w:val="21"/>
          <w:szCs w:val="21"/>
        </w:rPr>
      </w:pPr>
      <w:r>
        <w:rPr>
          <w:rFonts w:ascii="Times New Roman" w:hAnsi="Times New Roman" w:eastAsiaTheme="minorEastAsia"/>
          <w:sz w:val="21"/>
          <w:szCs w:val="21"/>
        </w:rPr>
        <w:t xml:space="preserve">第一步：在投标（响应）文件中上传联合体投标协议书。</w:t>
      </w:r>
      <w:r/>
    </w:p>
    <w:p>
      <w:pPr>
        <w:pStyle w:val="1069"/>
        <w:ind w:left="1276" w:firstLine="0"/>
        <w:spacing w:line="400" w:lineRule="exact"/>
        <w:tabs>
          <w:tab w:val="left" w:pos="142" w:leader="none"/>
          <w:tab w:val="left" w:pos="600" w:leader="none"/>
        </w:tabs>
        <w:rPr>
          <w:rFonts w:ascii="Times New Roman" w:hAnsi="Times New Roman"/>
          <w:sz w:val="21"/>
          <w:szCs w:val="21"/>
        </w:rPr>
      </w:pPr>
      <w:r>
        <w:rPr>
          <w:rFonts w:ascii="Times New Roman" w:hAnsi="Times New Roman" w:eastAsiaTheme="minorEastAsia"/>
          <w:sz w:val="21"/>
          <w:szCs w:val="21"/>
        </w:rPr>
        <w:t xml:space="preserve">第二步；在投标（响应）文件中，由联合体中的牵头人制作投标（响应）文件。</w:t>
      </w:r>
      <w:bookmarkEnd w:id="26"/>
      <w:r/>
      <w:r/>
    </w:p>
    <w:p>
      <w:pPr>
        <w:pStyle w:val="1069"/>
        <w:numPr>
          <w:ilvl w:val="2"/>
          <w:numId w:val="7"/>
        </w:numPr>
        <w:ind w:left="1276"/>
        <w:spacing w:line="400" w:lineRule="exact"/>
        <w:tabs>
          <w:tab w:val="left" w:pos="142" w:leader="none"/>
          <w:tab w:val="left" w:pos="600" w:leader="none"/>
        </w:tabs>
        <w:rPr>
          <w:rFonts w:ascii="Times New Roman" w:hAnsi="Times New Roman"/>
          <w:b/>
          <w:color w:val="000000" w:themeColor="text1"/>
          <w:sz w:val="21"/>
          <w:szCs w:val="21"/>
          <w14:textFill>
            <w14:solidFill>
              <w14:schemeClr w14:val="tx1"/>
            </w14:solidFill>
          </w14:textFill>
        </w:rPr>
      </w:pPr>
      <w:r>
        <w:rPr>
          <w:rFonts w:ascii="Times New Roman" w:hAnsi="Times New Roman" w:eastAsiaTheme="minorEastAsia"/>
          <w:b/>
          <w:sz w:val="21"/>
          <w:szCs w:val="21"/>
        </w:rPr>
        <w:t xml:space="preserve">如投标（响应）文件制作机器码信息一致，视为不同投标供应商使用同一台电脑编制投标（响应）文件，投标（响应）无效</w:t>
      </w:r>
      <w:r>
        <w:rPr>
          <w:rFonts w:ascii="Times New Roman" w:hAnsi="Times New Roman"/>
          <w:b/>
          <w:color w:val="000000" w:themeColor="text1"/>
          <w:sz w:val="21"/>
          <w:szCs w:val="21"/>
          <w14:textFill>
            <w14:solidFill>
              <w14:schemeClr w14:val="tx1"/>
            </w14:solidFill>
          </w14:textFill>
        </w:rPr>
        <w:t xml:space="preserve">。</w:t>
      </w:r>
      <w:r/>
    </w:p>
    <w:p>
      <w:pPr>
        <w:numPr>
          <w:ilvl w:val="1"/>
          <w:numId w:val="7"/>
        </w:numPr>
        <w:ind w:left="0" w:firstLine="708"/>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pPr>
      <w:r>
        <w:rPr>
          <w:rFonts w:eastAsiaTheme="minorEastAsia"/>
          <w:b/>
          <w:color w:val="000000" w:themeColor="text1"/>
          <w:szCs w:val="21"/>
          <w14:textFill>
            <w14:solidFill>
              <w14:schemeClr w14:val="tx1"/>
            </w14:solidFill>
          </w14:textFill>
        </w:rPr>
        <w:t xml:space="preserve">响应文件开启、评标（评审）</w:t>
      </w:r>
      <w:r/>
    </w:p>
    <w:p>
      <w:pPr>
        <w:pStyle w:val="1069"/>
        <w:numPr>
          <w:ilvl w:val="2"/>
          <w:numId w:val="7"/>
        </w:numPr>
        <w:ind w:left="1276"/>
        <w:spacing w:line="400" w:lineRule="exact"/>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bookmarkStart w:id="27" w:name="_Hlk159235808"/>
      <w:r>
        <w:rPr>
          <w:rFonts w:ascii="Times New Roman" w:hAnsi="Times New Roman" w:eastAsiaTheme="minorEastAsia"/>
          <w:sz w:val="21"/>
          <w:szCs w:val="21"/>
        </w:rPr>
        <w:t xml:space="preserve">本项目为不见面开标（开启）项目，</w:t>
      </w:r>
      <w:r>
        <w:rPr>
          <w:rFonts w:ascii="Times New Roman" w:hAnsi="Times New Roman" w:eastAsiaTheme="minorEastAsia"/>
          <w:b/>
          <w:sz w:val="21"/>
          <w:szCs w:val="21"/>
        </w:rPr>
        <w:t xml:space="preserve">开启阶段供应商在【解密环节】必须使用 CA证书解密电子投标（响应）文件，请供应商确保电脑、系统及其他设备（视频输入输出设备等）无误，且开启直至项目结束始终保持系统在线状态。</w:t>
      </w:r>
      <w:r/>
    </w:p>
    <w:p>
      <w:pPr>
        <w:pStyle w:val="1069"/>
        <w:numPr>
          <w:ilvl w:val="2"/>
          <w:numId w:val="7"/>
        </w:numPr>
        <w:ind w:left="1276"/>
        <w:spacing w:line="400" w:lineRule="exact"/>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eastAsiaTheme="minorEastAsia"/>
          <w:sz w:val="21"/>
          <w:szCs w:val="21"/>
        </w:rPr>
        <w:t xml:space="preserve">线上参加（观看）开标（开启）会方式：登录“苏采云”系统，点击“开标大厅”，选择对应项目，点击进入不见面开标系统。</w:t>
      </w:r>
      <w:r/>
    </w:p>
    <w:p>
      <w:pPr>
        <w:pStyle w:val="1069"/>
        <w:numPr>
          <w:ilvl w:val="2"/>
          <w:numId w:val="7"/>
        </w:numPr>
        <w:ind w:left="1276"/>
        <w:spacing w:line="400" w:lineRule="exact"/>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bookmarkStart w:id="28" w:name="_Hlk116921337"/>
      <w:r>
        <w:rPr>
          <w:rFonts w:ascii="Times New Roman" w:hAnsi="Times New Roman" w:eastAsiaTheme="minorEastAsia"/>
          <w:sz w:val="21"/>
          <w:szCs w:val="21"/>
        </w:rPr>
        <w:t xml:space="preserve">响应文件开启时，</w:t>
      </w:r>
      <w:bookmarkStart w:id="29" w:name="_Hlk157947025"/>
      <w:r>
        <w:rPr>
          <w:rFonts w:ascii="Times New Roman" w:hAnsi="Times New Roman" w:eastAsiaTheme="minorEastAsia"/>
          <w:sz w:val="21"/>
          <w:szCs w:val="21"/>
        </w:rPr>
        <w:t xml:space="preserve">供应商应当按照《操作手册》规定，在“苏采云”系统规定的时间内对谈判响应文件进行解密。等待开标流程进入“解锁环境”，点击“点击立即解密”进行标书解密，解锁完成后及时关注开标大厅，等待后续多次报价、答疑澄清、不合格原因告知等提示，</w:t>
      </w:r>
      <w:r>
        <w:rPr>
          <w:rFonts w:ascii="Times New Roman" w:hAnsi="Times New Roman" w:eastAsiaTheme="minorEastAsia"/>
          <w:b/>
          <w:sz w:val="21"/>
          <w:szCs w:val="21"/>
        </w:rPr>
        <w:t xml:space="preserve">否则导致的对供应商不利的后果由供应商自行承担。</w:t>
      </w:r>
      <w:bookmarkEnd w:id="29"/>
      <w:r/>
      <w:bookmarkEnd w:id="28"/>
      <w:r/>
      <w:r/>
    </w:p>
    <w:p>
      <w:pPr>
        <w:pStyle w:val="1069"/>
        <w:numPr>
          <w:ilvl w:val="2"/>
          <w:numId w:val="7"/>
        </w:numPr>
        <w:ind w:left="1276"/>
        <w:spacing w:line="400" w:lineRule="exact"/>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bookmarkStart w:id="30" w:name="_Hlk157947180"/>
      <w:r>
        <w:rPr>
          <w:rFonts w:ascii="Times New Roman" w:hAnsi="Times New Roman" w:eastAsiaTheme="minorEastAsia"/>
          <w:sz w:val="21"/>
          <w:szCs w:val="21"/>
        </w:rPr>
        <w:t xml:space="preserve">供应商在“苏采云”系统规定的时间内未成功解密电子响应文件的，</w:t>
      </w:r>
      <w:r>
        <w:rPr>
          <w:rFonts w:ascii="Times New Roman" w:hAnsi="Times New Roman" w:eastAsiaTheme="minorEastAsia"/>
          <w:b/>
          <w:sz w:val="21"/>
          <w:szCs w:val="21"/>
        </w:rPr>
        <w:t xml:space="preserve">响应无效</w:t>
      </w:r>
      <w:r>
        <w:rPr>
          <w:rFonts w:ascii="Times New Roman" w:hAnsi="Times New Roman" w:eastAsiaTheme="minorEastAsia"/>
          <w:sz w:val="21"/>
          <w:szCs w:val="21"/>
        </w:rPr>
        <w:t xml:space="preserve">。</w:t>
      </w:r>
      <w:bookmarkEnd w:id="30"/>
      <w:r/>
      <w:r/>
    </w:p>
    <w:p>
      <w:pPr>
        <w:pStyle w:val="1069"/>
        <w:numPr>
          <w:ilvl w:val="2"/>
          <w:numId w:val="7"/>
        </w:numPr>
        <w:ind w:left="1276"/>
        <w:spacing w:line="400" w:lineRule="exact"/>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bookmarkStart w:id="31" w:name="_Hlk157947204"/>
      <w:r>
        <w:rPr>
          <w:rFonts w:ascii="Times New Roman" w:hAnsi="Times New Roman" w:eastAsiaTheme="minorEastAsia"/>
          <w:sz w:val="21"/>
          <w:szCs w:val="21"/>
        </w:rPr>
        <w:t xml:space="preserve">供应商电脑环境最低要求：谷歌浏览器，版本可直接网上下载最新版本即可。如需收听现场语音需配置放音设备，如视频直播、互动交流使用异常，请刷新网页，如仍无法解决，请联系技术支持</w:t>
      </w:r>
      <w:bookmarkEnd w:id="31"/>
      <w:r>
        <w:rPr>
          <w:rFonts w:ascii="Times New Roman" w:hAnsi="Times New Roman" w:eastAsiaTheme="minorEastAsia"/>
          <w:sz w:val="21"/>
          <w:szCs w:val="21"/>
        </w:rPr>
        <w:t xml:space="preserve">。</w:t>
      </w:r>
      <w:bookmarkEnd w:id="27"/>
      <w:r/>
      <w:r/>
    </w:p>
    <w:p>
      <w:pPr>
        <w:pStyle w:val="1069"/>
        <w:numPr>
          <w:ilvl w:val="2"/>
          <w:numId w:val="7"/>
        </w:numPr>
        <w:ind w:left="1276"/>
        <w:spacing w:line="400" w:lineRule="exact"/>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开标大厅系统出现故障、断电断网等特殊情形导致无法直播时，交易中心将通过微信直播对外公布相关情况，供应商可登录微信直播平台（微信-发现-直播-搜索视频号“园小易直播”）观看现场实况。</w:t>
      </w:r>
      <w:r/>
    </w:p>
    <w:p>
      <w:pPr>
        <w:numPr>
          <w:ilvl w:val="1"/>
          <w:numId w:val="7"/>
        </w:numPr>
        <w:ind w:left="0" w:firstLine="708"/>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pPr>
      <w:r>
        <w:rPr>
          <w:rFonts w:eastAsiaTheme="minorEastAsia"/>
          <w:b/>
          <w:color w:val="000000" w:themeColor="text1"/>
          <w:szCs w:val="21"/>
          <w14:textFill>
            <w14:solidFill>
              <w14:schemeClr w14:val="tx1"/>
            </w14:solidFill>
          </w14:textFill>
        </w:rPr>
        <w:t xml:space="preserve">技术支持</w:t>
      </w:r>
      <w:r/>
    </w:p>
    <w:p>
      <w:pPr>
        <w:pStyle w:val="1069"/>
        <w:numPr>
          <w:ilvl w:val="2"/>
          <w:numId w:val="7"/>
        </w:numPr>
        <w:ind w:left="1276"/>
        <w:spacing w:line="400" w:lineRule="exact"/>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bookmarkStart w:id="32" w:name="_Hlk159235826"/>
      <w:r>
        <w:rPr>
          <w:rFonts w:ascii="Times New Roman" w:hAnsi="Times New Roman"/>
          <w:color w:val="000000" w:themeColor="text1"/>
          <w:sz w:val="21"/>
          <w:szCs w:val="21"/>
          <w14:textFill>
            <w14:solidFill>
              <w14:schemeClr w14:val="tx1"/>
            </w14:solidFill>
          </w14:textFill>
        </w:rPr>
        <w:t xml:space="preserve">CA技术咨询服务电话：400-608-6099</w:t>
      </w:r>
      <w:r/>
    </w:p>
    <w:p>
      <w:pPr>
        <w:pStyle w:val="1069"/>
        <w:ind w:left="1276" w:firstLine="0"/>
        <w:spacing w:line="400" w:lineRule="exact"/>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电子签章技术咨询服务电话：15380932027、15371015030 、13675197356、 13675197221 </w:t>
      </w:r>
      <w:r/>
    </w:p>
    <w:p>
      <w:pPr>
        <w:pStyle w:val="1069"/>
        <w:ind w:left="1276" w:firstLine="0"/>
        <w:spacing w:line="400" w:lineRule="exact"/>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“苏采云”平台技术咨询电话： 0519-86722802、13914088964、18261002950</w:t>
      </w:r>
      <w:bookmarkEnd w:id="32"/>
      <w:r/>
      <w:r/>
    </w:p>
    <w:p>
      <w:pPr>
        <w:pStyle w:val="1069"/>
        <w:numPr>
          <w:ilvl w:val="2"/>
          <w:numId w:val="7"/>
        </w:numPr>
        <w:ind w:left="1276"/>
        <w:spacing w:line="400" w:lineRule="exact"/>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网络中断故障技术支持：园区公共资源交易中心</w:t>
      </w:r>
      <w:r/>
    </w:p>
    <w:p>
      <w:pPr>
        <w:pStyle w:val="1069"/>
        <w:ind w:left="1276" w:firstLine="0"/>
        <w:spacing w:line="400" w:lineRule="exact"/>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服务时间及方式：8:00-21:00 X7天</w:t>
      </w:r>
      <w:r/>
    </w:p>
    <w:p>
      <w:pPr>
        <w:pStyle w:val="1069"/>
        <w:ind w:left="1276" w:firstLine="0"/>
        <w:spacing w:line="400" w:lineRule="exact"/>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电话： 0512-66605052；手机： 17315885859</w:t>
      </w:r>
      <w:r/>
    </w:p>
    <w:p>
      <w:pPr>
        <w:numPr>
          <w:ilvl w:val="1"/>
          <w:numId w:val="7"/>
        </w:numPr>
        <w:ind w:left="0" w:firstLine="426"/>
        <w:spacing w:line="400" w:lineRule="exact"/>
        <w:tabs>
          <w:tab w:val="left" w:pos="142" w:leader="none"/>
          <w:tab w:val="left" w:pos="600" w:leader="none"/>
        </w:tabs>
        <w:rPr>
          <w:rFonts w:eastAsiaTheme="minorEastAsia"/>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响应文件的修改和撤回</w:t>
      </w:r>
      <w:r/>
    </w:p>
    <w:p>
      <w:pPr>
        <w:pStyle w:val="1069"/>
        <w:numPr>
          <w:ilvl w:val="2"/>
          <w:numId w:val="7"/>
        </w:numPr>
        <w:ind w:left="0" w:firstLine="709"/>
        <w:spacing w:line="400" w:lineRule="exact"/>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eastAsiaTheme="minorEastAsia"/>
          <w:sz w:val="21"/>
          <w:szCs w:val="21"/>
        </w:rPr>
        <w:t xml:space="preserve">供应商在提交投标（响应）文件截止时间前，</w:t>
      </w:r>
      <w:bookmarkStart w:id="33" w:name="_Hlk157942116"/>
      <w:r>
        <w:rPr>
          <w:rFonts w:ascii="Times New Roman" w:hAnsi="Times New Roman" w:eastAsiaTheme="minorEastAsia"/>
          <w:sz w:val="21"/>
          <w:szCs w:val="21"/>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bookmarkEnd w:id="33"/>
      <w:r>
        <w:rPr>
          <w:rFonts w:ascii="Times New Roman" w:hAnsi="Times New Roman" w:eastAsiaTheme="minorEastAsia"/>
          <w:sz w:val="21"/>
          <w:szCs w:val="21"/>
        </w:rPr>
        <w:t xml:space="preserve">。</w:t>
      </w:r>
      <w:r/>
    </w:p>
    <w:p>
      <w:pPr>
        <w:numPr>
          <w:ilvl w:val="0"/>
          <w:numId w:val="7"/>
        </w:numPr>
        <w:ind w:left="0" w:firstLine="425"/>
        <w:spacing w:line="400" w:lineRule="exact"/>
        <w:tabs>
          <w:tab w:val="left" w:pos="142" w:leader="none"/>
          <w:tab w:val="left" w:pos="600" w:leader="none"/>
        </w:tabs>
        <w:rPr>
          <w:b/>
          <w:color w:val="000000" w:themeColor="text1"/>
          <w:szCs w:val="21"/>
          <w14:textFill>
            <w14:solidFill>
              <w14:schemeClr w14:val="tx1"/>
            </w14:solidFill>
          </w14:textFill>
        </w:rPr>
        <w:outlineLvl w:val="1"/>
      </w:pPr>
      <w:r>
        <w:rPr>
          <w:b/>
          <w:color w:val="000000" w:themeColor="text1"/>
          <w:szCs w:val="24"/>
          <w14:textFill>
            <w14:solidFill>
              <w14:schemeClr w14:val="tx1"/>
            </w14:solidFill>
          </w14:textFill>
        </w:rPr>
        <w:t xml:space="preserve">谈判小组</w:t>
      </w:r>
      <w:r/>
    </w:p>
    <w:p>
      <w:pPr>
        <w:numPr>
          <w:ilvl w:val="1"/>
          <w:numId w:val="7"/>
        </w:numPr>
        <w:ind w:left="0" w:firstLine="707"/>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谈判小组由采购人代表和评审专家共3人以上单数组成。如某一评审项出现评审专家意见不一致时，则按少数服从多数的原则确定该评审项结论。</w:t>
      </w:r>
      <w:r/>
    </w:p>
    <w:p>
      <w:pPr>
        <w:pStyle w:val="1069"/>
        <w:numPr>
          <w:ilvl w:val="1"/>
          <w:numId w:val="7"/>
        </w:numPr>
        <w:spacing w:line="400" w:lineRule="exact"/>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谈判小组与参加采购活动的供应商存在下列利害关系之一的，应当回避：</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(一)参加采购活动前三年内,与供应商存在劳动关系,或者担任过供应商的董事、监事,或者是供应商的控股股东或实际控制人;</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(二)与供应商的法定代表人或者负责人有夫妻、直系血亲、三代以内旁系血亲或者近姻亲关系;</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(三)与供应商有其他可能影响政府采购活动公平、公正进行的关系。</w:t>
      </w:r>
      <w:r/>
    </w:p>
    <w:p>
      <w:pPr>
        <w:ind w:firstLine="420"/>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谈判小组发现本人与参加采购活动的供应商有利害关系的,应当主动提出回避。采购人或者采购代理机构发现谈判小组与参加采购活动的供应商有利害关系的，应当要求其回避。</w:t>
      </w:r>
      <w:r/>
    </w:p>
    <w:p>
      <w:pPr>
        <w:pStyle w:val="1069"/>
        <w:numPr>
          <w:ilvl w:val="1"/>
          <w:numId w:val="7"/>
        </w:numPr>
        <w:ind w:left="0" w:firstLine="710"/>
        <w:spacing w:line="400" w:lineRule="exact"/>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评审专家应当遵守评审工作纪律，不得泄露评审文件、评审情况和评审中获悉的商业秘密。谈判小组在评审过程中发现供应商有行贿、提供虚假材料或者串通等违法行为的，应当及时向财政部门报告。政府采购评审专家在评审过程中受到非法干预的，应当及时向财政、监察等部门举报。</w:t>
      </w:r>
      <w:r/>
    </w:p>
    <w:p>
      <w:pPr>
        <w:pStyle w:val="1069"/>
        <w:numPr>
          <w:ilvl w:val="1"/>
          <w:numId w:val="7"/>
        </w:numPr>
        <w:ind w:left="0" w:firstLine="710"/>
        <w:spacing w:line="400" w:lineRule="exact"/>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谈判小组成员应当按照客观、公正、审慎的原则，根据谈判文件规定的评审程序、评审方法和评审标准进行独立评审。</w:t>
      </w:r>
      <w:r/>
    </w:p>
    <w:p>
      <w:pPr>
        <w:numPr>
          <w:ilvl w:val="0"/>
          <w:numId w:val="7"/>
        </w:numPr>
        <w:ind w:left="0" w:firstLine="425"/>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outlineLvl w:val="1"/>
      </w:pPr>
      <w:r>
        <w:rPr>
          <w:rFonts w:eastAsiaTheme="minorEastAsia"/>
          <w:b/>
          <w:color w:val="000000" w:themeColor="text1"/>
          <w:szCs w:val="21"/>
          <w14:textFill>
            <w14:solidFill>
              <w14:schemeClr w14:val="tx1"/>
            </w14:solidFill>
          </w14:textFill>
        </w:rPr>
        <w:t xml:space="preserve">谈判程序</w:t>
      </w:r>
      <w:r/>
    </w:p>
    <w:p>
      <w:pPr>
        <w:numPr>
          <w:ilvl w:val="1"/>
          <w:numId w:val="7"/>
        </w:numPr>
        <w:ind w:left="0" w:firstLine="707"/>
        <w:spacing w:line="400" w:lineRule="exact"/>
        <w:tabs>
          <w:tab w:val="left" w:pos="142" w:leader="none"/>
          <w:tab w:val="left" w:pos="600" w:leader="none"/>
        </w:tabs>
        <w:rPr>
          <w:b/>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至响应文件提交截止时间，</w:t>
      </w:r>
      <w:r>
        <w:rPr>
          <w:b/>
          <w:color w:val="000000" w:themeColor="text1"/>
          <w:szCs w:val="21"/>
          <w14:textFill>
            <w14:solidFill>
              <w14:schemeClr w14:val="tx1"/>
            </w14:solidFill>
          </w14:textFill>
        </w:rPr>
        <w:t xml:space="preserve">提交响应文件的供应商不足三家的，项目终止。</w:t>
      </w:r>
      <w:r/>
    </w:p>
    <w:p>
      <w:pPr>
        <w:numPr>
          <w:ilvl w:val="1"/>
          <w:numId w:val="7"/>
        </w:numPr>
        <w:ind w:left="0" w:firstLine="707"/>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谈判小组对响应文件进行实质性响应评审。</w:t>
      </w:r>
      <w:r/>
    </w:p>
    <w:p>
      <w:pPr>
        <w:numPr>
          <w:ilvl w:val="1"/>
          <w:numId w:val="7"/>
        </w:numPr>
        <w:ind w:left="0" w:firstLine="707"/>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信用查询：根据政府采购法及相关法律法规，采购人、采购代理机构对供应商进行信用查询。</w:t>
      </w:r>
      <w:r/>
    </w:p>
    <w:p>
      <w:pPr>
        <w:numPr>
          <w:ilvl w:val="2"/>
          <w:numId w:val="7"/>
        </w:numPr>
        <w:ind w:left="0" w:firstLine="709"/>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查询时间：响应文件递交截止时间。</w:t>
      </w:r>
      <w:r/>
    </w:p>
    <w:p>
      <w:pPr>
        <w:numPr>
          <w:ilvl w:val="2"/>
          <w:numId w:val="7"/>
        </w:numPr>
        <w:ind w:left="0" w:firstLine="709"/>
        <w:spacing w:line="400" w:lineRule="exact"/>
        <w:tabs>
          <w:tab w:val="left" w:pos="142" w:leader="none"/>
          <w:tab w:val="left" w:pos="600" w:leader="none"/>
        </w:tabs>
        <w:rPr>
          <w:color w:val="000000" w:themeColor="text1"/>
          <w:szCs w:val="21"/>
          <w14:textFill>
            <w14:solidFill>
              <w14:schemeClr w14:val="tx1"/>
            </w14:solidFill>
          </w14:textFill>
        </w:rPr>
      </w:pPr>
      <w:r/>
      <w:bookmarkStart w:id="34" w:name="_Hlk159235877"/>
      <w:r/>
      <w:bookmarkStart w:id="35" w:name="_Hlk132385414"/>
      <w:r>
        <w:rPr>
          <w:rFonts w:eastAsiaTheme="minorEastAsia"/>
          <w:color w:val="000000" w:themeColor="text1"/>
          <w:szCs w:val="21"/>
          <w14:textFill>
            <w14:solidFill>
              <w14:schemeClr w14:val="tx1"/>
            </w14:solidFill>
          </w14:textFill>
        </w:rPr>
        <w:t xml:space="preserve">查询渠道：通过“信用中国”、 “中国政府采购网”上的信用信息查询供应商的信用记录</w:t>
      </w:r>
      <w:bookmarkEnd w:id="34"/>
      <w:r>
        <w:rPr>
          <w:rFonts w:eastAsiaTheme="minorEastAsia"/>
          <w:color w:val="000000" w:themeColor="text1"/>
          <w:szCs w:val="21"/>
          <w14:textFill>
            <w14:solidFill>
              <w14:schemeClr w14:val="tx1"/>
            </w14:solidFill>
          </w14:textFill>
        </w:rPr>
        <w:t xml:space="preserve">。</w:t>
      </w:r>
      <w:bookmarkEnd w:id="35"/>
      <w:r/>
      <w:r/>
    </w:p>
    <w:p>
      <w:pPr>
        <w:numPr>
          <w:ilvl w:val="2"/>
          <w:numId w:val="7"/>
        </w:numPr>
        <w:ind w:left="0" w:firstLine="709"/>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查询证据留存方式：对存在失信信息的供应商，谈判小组应填写《苏州市级政府采购供应商失信信息确认函》，由失信供应商签名（章）确认。同时，采购代理机构工作人员应根据谈判小组确认的失信信息，</w:t>
      </w:r>
      <w:r>
        <w:rPr>
          <w:rFonts w:hint="eastAsia"/>
          <w:color w:val="000000" w:themeColor="text1"/>
          <w:szCs w:val="21"/>
          <w:lang w:eastAsia="zh-CN"/>
          <w14:textFill>
            <w14:solidFill>
              <w14:schemeClr w14:val="tx1"/>
            </w14:solidFill>
          </w14:textFill>
        </w:rPr>
        <w:t xml:space="preserve">登录</w:t>
      </w:r>
      <w:r>
        <w:rPr>
          <w:color w:val="000000" w:themeColor="text1"/>
          <w:szCs w:val="21"/>
          <w14:textFill>
            <w14:solidFill>
              <w14:schemeClr w14:val="tx1"/>
            </w14:solidFill>
          </w14:textFill>
        </w:rPr>
        <w:t xml:space="preserve">到来源网站页面进行复核并打印，作为证据留存。</w:t>
      </w:r>
      <w:r/>
    </w:p>
    <w:p>
      <w:pPr>
        <w:numPr>
          <w:ilvl w:val="2"/>
          <w:numId w:val="7"/>
        </w:numPr>
        <w:ind w:left="0" w:firstLine="709"/>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信用记录使用规则：谈判小组在对供应商进行资格性审查时，应根据查询结果对供应商的不良信用记录逐项甄别确认。按照《中华人民共和国政府采购法》第二十二条规定，</w:t>
      </w:r>
      <w:r>
        <w:rPr>
          <w:b/>
          <w:color w:val="000000" w:themeColor="text1"/>
          <w:szCs w:val="21"/>
          <w14:textFill>
            <w14:solidFill>
              <w14:schemeClr w14:val="tx1"/>
            </w14:solidFill>
          </w14:textFill>
        </w:rPr>
        <w:t xml:space="preserve">下列信用记录属于应依法拒绝供应商参加政府采购的失信信息，存在此类失信信息的供应商的响应文件按无效处理：</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（二）财政部门与法院、工商、税务等部门联合惩戒的失信信息，包括：</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（1）被列入失信被执行人名单；</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（2）被列入重大税收违法案件当事人名单；</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（3）</w:t>
      </w:r>
      <w:bookmarkStart w:id="36" w:name="_Hlk92794362"/>
      <w:r>
        <w:rPr>
          <w:color w:val="000000" w:themeColor="text1"/>
          <w:szCs w:val="24"/>
          <w14:textFill>
            <w14:solidFill>
              <w14:schemeClr w14:val="tx1"/>
            </w14:solidFill>
          </w14:textFill>
        </w:rPr>
        <w:t xml:space="preserve">企业经营异常名录中被责令停产停业、暂扣或者吊销许可证或者执照，或者对经营活动中的违法行为处以200万元及以上数额罚款</w:t>
      </w:r>
      <w:bookmarkStart w:id="37" w:name="_Hlk111647106"/>
      <w:r>
        <w:rPr>
          <w:color w:val="000000" w:themeColor="text1"/>
          <w:szCs w:val="24"/>
          <w14:textFill>
            <w14:solidFill>
              <w14:schemeClr w14:val="tx1"/>
            </w14:solidFill>
          </w14:textFill>
        </w:rPr>
        <w:t xml:space="preserve">（或法律、行政法规以及国务院有关部门明确规定相关领域“较大数额罚款”标准高于200万元的，从其规定）</w:t>
      </w:r>
      <w:bookmarkEnd w:id="37"/>
      <w:r>
        <w:rPr>
          <w:color w:val="000000" w:themeColor="text1"/>
          <w:szCs w:val="24"/>
          <w14:textFill>
            <w14:solidFill>
              <w14:schemeClr w14:val="tx1"/>
            </w14:solidFill>
          </w14:textFill>
        </w:rPr>
        <w:t xml:space="preserve">的信用记录。处罚生效日至递交投标（响应）文件日未满三年的。</w:t>
      </w:r>
      <w:bookmarkEnd w:id="36"/>
      <w:r/>
      <w:r/>
    </w:p>
    <w:p>
      <w:pPr>
        <w:numPr>
          <w:ilvl w:val="2"/>
          <w:numId w:val="7"/>
        </w:numPr>
        <w:ind w:left="0" w:firstLine="709"/>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接受联合体的项目，两个以上的自然人、法人或者其他组织组成一个联合体，以一个供应商的身份共同参加政府采购活动的，联合体成员其中一名成员存在失信信息的，视同联合体存在失信信息。</w:t>
      </w:r>
      <w:r/>
    </w:p>
    <w:p>
      <w:pPr>
        <w:numPr>
          <w:ilvl w:val="1"/>
          <w:numId w:val="7"/>
        </w:numPr>
        <w:spacing w:line="400" w:lineRule="exact"/>
        <w:tabs>
          <w:tab w:val="left" w:pos="142" w:leader="none"/>
          <w:tab w:val="left" w:pos="600" w:leader="none"/>
        </w:tabs>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谈判</w:t>
      </w:r>
      <w:r/>
    </w:p>
    <w:p>
      <w:pPr>
        <w:pStyle w:val="1069"/>
        <w:numPr>
          <w:ilvl w:val="2"/>
          <w:numId w:val="7"/>
        </w:numPr>
        <w:ind w:left="0" w:firstLine="709"/>
        <w:spacing w:line="400" w:lineRule="exact"/>
        <w:tabs>
          <w:tab w:val="left" w:pos="142" w:leader="none"/>
          <w:tab w:val="left" w:pos="600" w:leader="none"/>
        </w:tabs>
        <w:rPr>
          <w:rFonts w:ascii="Times New Roman" w:hAnsi="Times New Roman"/>
          <w:color w:val="000000" w:themeColor="text1"/>
          <w:sz w:val="21"/>
          <w:szCs w:val="21"/>
          <w:lang w:val="zh-CN"/>
          <w14:textFill>
            <w14:solidFill>
              <w14:schemeClr w14:val="tx1"/>
            </w14:solidFill>
          </w14:textFill>
        </w:rPr>
      </w:pPr>
      <w:r/>
      <w:bookmarkStart w:id="38" w:name="_Hlk159254158"/>
      <w:r>
        <w:rPr>
          <w:rFonts w:ascii="Times New Roman" w:hAnsi="Times New Roman"/>
          <w:color w:val="000000" w:themeColor="text1"/>
          <w:sz w:val="21"/>
          <w:szCs w:val="21"/>
          <w:lang w:val="zh-CN"/>
          <w14:textFill>
            <w14:solidFill>
              <w14:schemeClr w14:val="tx1"/>
            </w14:solidFill>
          </w14:textFill>
        </w:rPr>
        <w:t xml:space="preserve">本项目采用线上谈判：谈判小组通过“苏采云”系统向供应商发布“谈判函”，供应商可通过查看【谈判响应】菜单中的待办信息，应当按照要求在“苏采云”系统提交“谈判响应函”并加盖CA电子公章，具体操作方式见《操作手册》。</w:t>
      </w:r>
      <w:r/>
    </w:p>
    <w:p>
      <w:pPr>
        <w:pStyle w:val="1069"/>
        <w:numPr>
          <w:ilvl w:val="2"/>
          <w:numId w:val="7"/>
        </w:numPr>
        <w:ind w:left="0" w:firstLine="709"/>
        <w:spacing w:line="400" w:lineRule="exact"/>
        <w:tabs>
          <w:tab w:val="left" w:pos="142" w:leader="none"/>
          <w:tab w:val="left" w:pos="600" w:leader="none"/>
        </w:tabs>
        <w:rPr>
          <w:rFonts w:ascii="Times New Roman" w:hAnsi="Times New Roman"/>
          <w:color w:val="000000" w:themeColor="text1"/>
          <w:sz w:val="21"/>
          <w:szCs w:val="21"/>
          <w:lang w:val="zh-CN"/>
          <w14:textFill>
            <w14:solidFill>
              <w14:schemeClr w14:val="tx1"/>
            </w14:solidFill>
          </w14:textFill>
        </w:rPr>
      </w:pPr>
      <w:r>
        <w:rPr>
          <w:rFonts w:ascii="Times New Roman" w:hAnsi="Times New Roman"/>
          <w:color w:val="000000" w:themeColor="text1"/>
          <w:sz w:val="21"/>
          <w:szCs w:val="21"/>
          <w:lang w:val="zh-CN"/>
          <w14:textFill>
            <w14:solidFill>
              <w14:schemeClr w14:val="tx1"/>
            </w14:solidFill>
          </w14:textFill>
        </w:rPr>
        <w:t xml:space="preserve">谈判小组认为有必要与供应商进行谈判的，谈判供应商按顺序进行谈判。谈判小组所有成员应当集中与单一供应商分别进行谈判，并给予所有参加谈判的供应商平等的谈判机会。</w:t>
      </w:r>
      <w:r/>
    </w:p>
    <w:p>
      <w:pPr>
        <w:pStyle w:val="1069"/>
        <w:numPr>
          <w:ilvl w:val="2"/>
          <w:numId w:val="7"/>
        </w:numPr>
        <w:ind w:left="0" w:firstLine="709"/>
        <w:spacing w:line="400" w:lineRule="exact"/>
        <w:tabs>
          <w:tab w:val="left" w:pos="142" w:leader="none"/>
          <w:tab w:val="left" w:pos="600" w:leader="none"/>
        </w:tabs>
        <w:rPr>
          <w:rFonts w:ascii="Times New Roman" w:hAnsi="Times New Roman"/>
          <w:color w:val="000000" w:themeColor="text1"/>
          <w:sz w:val="21"/>
          <w:szCs w:val="21"/>
          <w:lang w:val="zh-CN"/>
          <w14:textFill>
            <w14:solidFill>
              <w14:schemeClr w14:val="tx1"/>
            </w14:solidFill>
          </w14:textFill>
        </w:rPr>
      </w:pPr>
      <w:r>
        <w:rPr>
          <w:rFonts w:ascii="Times New Roman" w:hAnsi="Times New Roman"/>
          <w:color w:val="000000" w:themeColor="text1"/>
          <w:sz w:val="21"/>
          <w:szCs w:val="21"/>
          <w:lang w:val="zh-CN"/>
          <w14:textFill>
            <w14:solidFill>
              <w14:schemeClr w14:val="tx1"/>
            </w14:solidFill>
          </w14:textFill>
        </w:rPr>
        <w:t xml:space="preserve">在谈判过程中，谈判小组可以根据谈判文件和谈判情况实质性变动采购需求中的技术、服务要求以及合同草案条款，但不得变动谈判文件中的其他内容。实质性变动的内容，须经采购人代表确认。</w:t>
      </w:r>
      <w:r/>
    </w:p>
    <w:p>
      <w:pPr>
        <w:pStyle w:val="1069"/>
        <w:numPr>
          <w:ilvl w:val="2"/>
          <w:numId w:val="7"/>
        </w:numPr>
        <w:ind w:left="0" w:firstLine="709"/>
        <w:spacing w:line="400" w:lineRule="exact"/>
        <w:tabs>
          <w:tab w:val="left" w:pos="142" w:leader="none"/>
          <w:tab w:val="left" w:pos="600" w:leader="none"/>
        </w:tabs>
        <w:rPr>
          <w:rFonts w:ascii="Times New Roman" w:hAnsi="Times New Roman"/>
          <w:color w:val="000000" w:themeColor="text1"/>
          <w:sz w:val="21"/>
          <w:szCs w:val="21"/>
          <w:lang w:val="zh-CN"/>
          <w14:textFill>
            <w14:solidFill>
              <w14:schemeClr w14:val="tx1"/>
            </w14:solidFill>
          </w14:textFill>
        </w:rPr>
      </w:pPr>
      <w:r>
        <w:rPr>
          <w:rFonts w:ascii="Times New Roman" w:hAnsi="Times New Roman"/>
          <w:color w:val="000000" w:themeColor="text1"/>
          <w:sz w:val="21"/>
          <w:szCs w:val="21"/>
          <w:lang w:val="zh-CN"/>
          <w14:textFill>
            <w14:solidFill>
              <w14:schemeClr w14:val="tx1"/>
            </w14:solidFill>
          </w14:textFill>
        </w:rPr>
        <w:t xml:space="preserve">对谈判文件作出的实质性变动是谈判文件的有效组成部分，谈判小组应以书面形式记录具体变动内容并经采购人代表签字确认后及时以书面形式</w:t>
      </w:r>
      <w:r>
        <w:rPr>
          <w:rFonts w:ascii="Times New Roman" w:hAnsi="Times New Roman" w:eastAsiaTheme="minorEastAsia"/>
          <w:sz w:val="21"/>
          <w:szCs w:val="21"/>
        </w:rPr>
        <w:t xml:space="preserve">（通过“苏采云”系统）</w:t>
      </w:r>
      <w:r>
        <w:rPr>
          <w:rFonts w:ascii="Times New Roman" w:hAnsi="Times New Roman"/>
          <w:color w:val="000000" w:themeColor="text1"/>
          <w:sz w:val="21"/>
          <w:szCs w:val="21"/>
          <w:lang w:val="zh-CN"/>
          <w14:textFill>
            <w14:solidFill>
              <w14:schemeClr w14:val="tx1"/>
            </w14:solidFill>
          </w14:textFill>
        </w:rPr>
        <w:t xml:space="preserve">同时通知所有参加谈判的供应商。</w:t>
      </w:r>
      <w:r/>
    </w:p>
    <w:p>
      <w:pPr>
        <w:numPr>
          <w:ilvl w:val="1"/>
          <w:numId w:val="7"/>
        </w:numPr>
        <w:ind w:left="0" w:firstLine="707"/>
        <w:spacing w:line="400" w:lineRule="exact"/>
        <w:tabs>
          <w:tab w:val="left" w:pos="142" w:leader="none"/>
          <w:tab w:val="left" w:pos="600" w:leader="none"/>
        </w:tabs>
        <w:rPr>
          <w:b/>
          <w:bCs/>
          <w:color w:val="000000" w:themeColor="text1"/>
          <w14:textFill>
            <w14:solidFill>
              <w14:schemeClr w14:val="tx1"/>
            </w14:solidFill>
          </w14:textFill>
        </w:rPr>
      </w:pPr>
      <w:r>
        <w:rPr>
          <w:rFonts w:eastAsiaTheme="minorEastAsia"/>
          <w:szCs w:val="21"/>
        </w:rPr>
        <w:t xml:space="preserve">供应商应当在规定时间内按照谈判文件的变动情况和谈判小组的要求通过“苏采云”系统重新提交响应文件，并加盖CA电子公章。重新提交的响应文件按谈判文件进行评审。</w:t>
      </w:r>
      <w:r>
        <w:rPr>
          <w:b/>
          <w:bCs/>
          <w:szCs w:val="21"/>
          <w:lang w:val="zh-CN"/>
        </w:rPr>
        <w:t xml:space="preserve">未按要求重新提交响应文件的按响应无效处理</w:t>
      </w:r>
      <w:bookmarkEnd w:id="38"/>
      <w:r>
        <w:rPr>
          <w:b/>
          <w:bCs/>
          <w:szCs w:val="21"/>
          <w:lang w:val="zh-CN"/>
        </w:rPr>
        <w:t xml:space="preserve">。</w:t>
      </w:r>
      <w:r/>
    </w:p>
    <w:p>
      <w:pPr>
        <w:numPr>
          <w:ilvl w:val="1"/>
          <w:numId w:val="7"/>
        </w:numPr>
        <w:ind w:left="0" w:firstLine="710"/>
        <w:spacing w:line="400" w:lineRule="exact"/>
        <w:tabs>
          <w:tab w:val="left" w:pos="142" w:leader="none"/>
          <w:tab w:val="left" w:pos="600" w:leader="none"/>
        </w:tabs>
        <w:rPr>
          <w:b/>
          <w:bCs/>
          <w:color w:val="000000" w:themeColor="text1"/>
          <w14:textFill>
            <w14:solidFill>
              <w14:schemeClr w14:val="tx1"/>
            </w14:solidFill>
          </w14:textFill>
        </w:rPr>
      </w:pPr>
      <w:r>
        <w:rPr>
          <w:b/>
          <w:bCs/>
          <w:color w:val="000000" w:themeColor="text1"/>
          <w:szCs w:val="21"/>
          <w14:textFill>
            <w14:solidFill>
              <w14:schemeClr w14:val="tx1"/>
            </w14:solidFill>
          </w14:textFill>
        </w:rPr>
        <w:t xml:space="preserve">澄清</w:t>
      </w:r>
      <w:r/>
    </w:p>
    <w:p>
      <w:pPr>
        <w:pStyle w:val="1069"/>
        <w:numPr>
          <w:ilvl w:val="2"/>
          <w:numId w:val="7"/>
        </w:numPr>
        <w:ind w:left="0" w:firstLine="709"/>
        <w:spacing w:line="400" w:lineRule="exact"/>
        <w:tabs>
          <w:tab w:val="left" w:pos="142" w:leader="none"/>
          <w:tab w:val="left" w:pos="600" w:leader="none"/>
        </w:tabs>
        <w:rPr>
          <w:rFonts w:ascii="Times New Roman" w:hAnsi="Times New Roman"/>
          <w:sz w:val="21"/>
          <w:szCs w:val="21"/>
          <w:lang w:val="zh-CN"/>
        </w:rPr>
      </w:pPr>
      <w:r>
        <w:rPr>
          <w:rFonts w:ascii="Times New Roman" w:hAnsi="Times New Roman"/>
          <w:sz w:val="21"/>
          <w:szCs w:val="21"/>
          <w:lang w:val="zh-CN"/>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69"/>
        <w:numPr>
          <w:ilvl w:val="2"/>
          <w:numId w:val="7"/>
        </w:numPr>
        <w:ind w:left="0" w:firstLine="709"/>
        <w:spacing w:line="400" w:lineRule="exact"/>
        <w:tabs>
          <w:tab w:val="left" w:pos="142" w:leader="none"/>
          <w:tab w:val="left" w:pos="600" w:leader="none"/>
        </w:tabs>
        <w:rPr>
          <w:rFonts w:ascii="Times New Roman" w:hAnsi="Times New Roman"/>
          <w:b/>
          <w:sz w:val="21"/>
          <w:szCs w:val="21"/>
          <w:lang w:val="zh-CN"/>
        </w:rPr>
      </w:pPr>
      <w:r/>
      <w:bookmarkStart w:id="39" w:name="_Hlk159235938"/>
      <w:r>
        <w:rPr>
          <w:rFonts w:ascii="Times New Roman" w:hAnsi="Times New Roman" w:eastAsiaTheme="minorEastAsia"/>
          <w:sz w:val="21"/>
          <w:szCs w:val="21"/>
        </w:rPr>
        <w:t xml:space="preserve">本项目采用</w:t>
      </w:r>
      <w:r>
        <w:rPr>
          <w:rFonts w:ascii="Times New Roman" w:hAnsi="Times New Roman" w:eastAsiaTheme="minorEastAsia"/>
          <w:b/>
          <w:sz w:val="21"/>
          <w:szCs w:val="21"/>
        </w:rPr>
        <w:t xml:space="preserve">线上澄清</w:t>
      </w:r>
      <w:r>
        <w:rPr>
          <w:rFonts w:ascii="Times New Roman" w:hAnsi="Times New Roman"/>
          <w:b/>
          <w:sz w:val="21"/>
          <w:szCs w:val="21"/>
          <w:lang w:val="zh-CN"/>
        </w:rPr>
        <w:t xml:space="preserve">。</w:t>
      </w:r>
      <w:bookmarkEnd w:id="39"/>
      <w:r/>
      <w:r/>
    </w:p>
    <w:p>
      <w:pPr>
        <w:pStyle w:val="1104"/>
        <w:numPr>
          <w:ilvl w:val="2"/>
          <w:numId w:val="7"/>
        </w:numPr>
        <w:ind w:left="0" w:firstLine="709"/>
        <w:spacing w:line="400" w:lineRule="exact"/>
        <w:tabs>
          <w:tab w:val="left" w:pos="142" w:leader="none"/>
          <w:tab w:val="left" w:pos="600" w:leader="none"/>
        </w:tabs>
        <w:rPr>
          <w:rFonts w:ascii="Times New Roman" w:hAnsi="Times New Roman"/>
          <w:sz w:val="21"/>
          <w:szCs w:val="21"/>
          <w:lang w:val="zh-CN"/>
        </w:rPr>
      </w:pPr>
      <w:r/>
      <w:bookmarkStart w:id="40" w:name="_Hlk157961147"/>
      <w:r>
        <w:rPr>
          <w:rFonts w:ascii="Times New Roman" w:hAnsi="Times New Roman" w:eastAsiaTheme="minorEastAsia"/>
          <w:sz w:val="21"/>
          <w:szCs w:val="21"/>
        </w:rPr>
        <w:t xml:space="preserve">线上澄清答复的方式：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Times New Roman" w:hAnsi="Times New Roman" w:eastAsiaTheme="minorEastAsia"/>
          <w:b/>
          <w:sz w:val="21"/>
          <w:szCs w:val="21"/>
        </w:rPr>
        <w:t xml:space="preserve">未加盖CA电子公章的澄清无效。</w:t>
      </w:r>
      <w:bookmarkEnd w:id="40"/>
      <w:r/>
      <w:r/>
    </w:p>
    <w:p>
      <w:pPr>
        <w:pStyle w:val="1104"/>
        <w:numPr>
          <w:ilvl w:val="2"/>
          <w:numId w:val="7"/>
        </w:numPr>
        <w:ind w:left="0" w:firstLine="709"/>
        <w:spacing w:line="400" w:lineRule="exact"/>
        <w:tabs>
          <w:tab w:val="left" w:pos="142" w:leader="none"/>
          <w:tab w:val="left" w:pos="600" w:leader="none"/>
        </w:tabs>
        <w:rPr>
          <w:rFonts w:ascii="Times New Roman" w:hAnsi="Times New Roman"/>
          <w:sz w:val="21"/>
          <w:szCs w:val="21"/>
          <w:lang w:val="zh-CN"/>
        </w:rPr>
      </w:pPr>
      <w:r/>
      <w:bookmarkStart w:id="41" w:name="_Hlk157961236"/>
      <w:r>
        <w:rPr>
          <w:rFonts w:ascii="Times New Roman" w:hAnsi="Times New Roman" w:eastAsiaTheme="minorEastAsia"/>
          <w:sz w:val="21"/>
          <w:szCs w:val="21"/>
        </w:rPr>
        <w:t xml:space="preserve">接到谈判小组澄清、说明和更正要求的供应商如未按规定做出澄清、说明和更正，其风险由供应商自行承担。</w:t>
      </w:r>
      <w:bookmarkEnd w:id="41"/>
      <w:r/>
      <w:r/>
    </w:p>
    <w:p>
      <w:pPr>
        <w:numPr>
          <w:ilvl w:val="1"/>
          <w:numId w:val="7"/>
        </w:numPr>
        <w:ind w:left="0" w:firstLine="710"/>
        <w:spacing w:line="400" w:lineRule="exact"/>
        <w:tabs>
          <w:tab w:val="left" w:pos="142" w:leader="none"/>
          <w:tab w:val="left" w:pos="600" w:leader="none"/>
        </w:tabs>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最后报价</w:t>
      </w:r>
      <w:r/>
    </w:p>
    <w:p>
      <w:pPr>
        <w:pStyle w:val="1069"/>
        <w:numPr>
          <w:ilvl w:val="2"/>
          <w:numId w:val="7"/>
        </w:numPr>
        <w:ind w:left="0" w:firstLine="709"/>
        <w:spacing w:line="400" w:lineRule="exact"/>
        <w:tabs>
          <w:tab w:val="left" w:pos="142" w:leader="none"/>
          <w:tab w:val="left" w:pos="600" w:leader="none"/>
        </w:tabs>
        <w:rPr>
          <w:rFonts w:ascii="Times New Roman" w:hAnsi="Times New Roman"/>
          <w:color w:val="000000" w:themeColor="text1"/>
          <w:sz w:val="21"/>
          <w:szCs w:val="21"/>
          <w:lang w:val="zh-CN"/>
          <w14:textFill>
            <w14:solidFill>
              <w14:schemeClr w14:val="tx1"/>
            </w14:solidFill>
          </w14:textFill>
        </w:rPr>
      </w:pPr>
      <w:r>
        <w:rPr>
          <w:rFonts w:ascii="Times New Roman" w:hAnsi="Times New Roman"/>
          <w:color w:val="000000" w:themeColor="text1"/>
          <w:sz w:val="21"/>
          <w:szCs w:val="21"/>
          <w:lang w:val="zh-CN"/>
          <w14:textFill>
            <w14:solidFill>
              <w14:schemeClr w14:val="tx1"/>
            </w14:solidFill>
          </w14:textFill>
        </w:rPr>
        <w:t xml:space="preserve">谈判结束后，谈判小组应当要求所有继续参加谈判的供应商在规定时间内提交最后报价（</w:t>
      </w:r>
      <w:r>
        <w:rPr>
          <w:rFonts w:ascii="Times New Roman" w:hAnsi="Times New Roman"/>
          <w:b/>
          <w:bCs/>
          <w:color w:val="000000" w:themeColor="text1"/>
          <w:sz w:val="21"/>
          <w:szCs w:val="21"/>
          <w:lang w:val="zh-CN"/>
          <w14:textFill>
            <w14:solidFill>
              <w14:schemeClr w14:val="tx1"/>
            </w14:solidFill>
          </w14:textFill>
        </w:rPr>
        <w:t xml:space="preserve">除因谈判文件修改导致成本增加外，二次报价不得超过第一次报价，否则为无效响应报价</w:t>
      </w:r>
      <w:r>
        <w:rPr>
          <w:rFonts w:ascii="Times New Roman" w:hAnsi="Times New Roman"/>
          <w:color w:val="000000" w:themeColor="text1"/>
          <w:sz w:val="21"/>
          <w:szCs w:val="21"/>
          <w:lang w:val="zh-CN"/>
          <w14:textFill>
            <w14:solidFill>
              <w14:schemeClr w14:val="tx1"/>
            </w14:solidFill>
          </w14:textFill>
        </w:rPr>
        <w:t xml:space="preserve">），最后报价作为评审价格（各谈判供应商可提供最后报价总价或最后报价总价的明细报价；若未提供明细报价的则合同单价按最终报价与第一次报价总价的下浮比例同比例下浮）。最后报价是供应商响应文件的有效组成部分。</w:t>
      </w:r>
      <w:r/>
    </w:p>
    <w:p>
      <w:pPr>
        <w:pStyle w:val="1069"/>
        <w:numPr>
          <w:ilvl w:val="2"/>
          <w:numId w:val="7"/>
        </w:numPr>
        <w:ind w:left="0" w:firstLine="709"/>
        <w:spacing w:line="400" w:lineRule="exact"/>
        <w:tabs>
          <w:tab w:val="left" w:pos="142" w:leader="none"/>
          <w:tab w:val="left" w:pos="600" w:leader="none"/>
        </w:tabs>
        <w:rPr>
          <w:rFonts w:ascii="Times New Roman" w:hAnsi="Times New Roman"/>
          <w:color w:val="000000" w:themeColor="text1"/>
          <w:sz w:val="21"/>
          <w:szCs w:val="21"/>
          <w:lang w:val="zh-CN"/>
          <w14:textFill>
            <w14:solidFill>
              <w14:schemeClr w14:val="tx1"/>
            </w14:solidFill>
          </w14:textFill>
        </w:rPr>
      </w:pPr>
      <w:r>
        <w:rPr>
          <w:rFonts w:ascii="Times New Roman" w:hAnsi="Times New Roman" w:eastAsiaTheme="minorEastAsia"/>
          <w:b/>
          <w:bCs/>
          <w:sz w:val="21"/>
          <w:szCs w:val="21"/>
        </w:rPr>
        <w:t xml:space="preserve">本项目采用线上最后报价：</w:t>
      </w:r>
      <w:bookmarkStart w:id="42" w:name="_Hlk158220653"/>
      <w:r>
        <w:rPr>
          <w:rFonts w:ascii="Times New Roman" w:hAnsi="Times New Roman" w:eastAsiaTheme="minorEastAsia"/>
          <w:bCs/>
          <w:sz w:val="21"/>
          <w:szCs w:val="21"/>
        </w:rPr>
        <w:t xml:space="preserve">谈判小组将在“苏采云”系统中向符合条件的供应商发布“最后报价要求函”及分项报价表（如有），要求其在规定时间内提交最后报价。因供应商自身原因导致线上报价失败的后果由供应商自行承担。</w:t>
      </w:r>
      <w:r>
        <w:rPr>
          <w:rFonts w:ascii="Times New Roman" w:hAnsi="Times New Roman" w:eastAsiaTheme="minorEastAsia"/>
          <w:b/>
          <w:bCs/>
          <w:sz w:val="21"/>
          <w:szCs w:val="21"/>
        </w:rPr>
        <w:t xml:space="preserve">供应商未在谈判小组规定的时间内在“苏采云”系统中提交最后报价的视为放弃谈判，其响应文件按无效响应处理，提交最后报价须加盖CA电子签章,否则视为未提交最后报价。</w:t>
      </w:r>
      <w:r>
        <w:rPr>
          <w:rFonts w:ascii="Times New Roman" w:hAnsi="Times New Roman" w:eastAsiaTheme="minorEastAsia"/>
          <w:bCs/>
          <w:sz w:val="21"/>
          <w:szCs w:val="21"/>
        </w:rPr>
        <w:t xml:space="preserve">在提交最后报价之前，可以根据谈判情况退出谈判，并在“苏采云”系统中提交“退出谈判函”并加盖CA电子公章。</w:t>
      </w:r>
      <w:bookmarkEnd w:id="42"/>
      <w:r/>
      <w:r/>
    </w:p>
    <w:p>
      <w:pPr>
        <w:pStyle w:val="1069"/>
        <w:numPr>
          <w:ilvl w:val="2"/>
          <w:numId w:val="7"/>
        </w:numPr>
        <w:ind w:left="0" w:firstLine="709"/>
        <w:spacing w:line="400" w:lineRule="exact"/>
        <w:tabs>
          <w:tab w:val="left" w:pos="142" w:leader="none"/>
          <w:tab w:val="left" w:pos="600" w:leader="none"/>
        </w:tabs>
        <w:rPr>
          <w:rFonts w:ascii="Times New Roman" w:hAnsi="Times New Roman"/>
          <w:color w:val="000000" w:themeColor="text1"/>
          <w:sz w:val="21"/>
          <w:szCs w:val="21"/>
          <w:lang w:val="zh-CN"/>
          <w14:textFill>
            <w14:solidFill>
              <w14:schemeClr w14:val="tx1"/>
            </w14:solidFill>
          </w14:textFill>
        </w:rPr>
      </w:pPr>
      <w:r>
        <w:rPr>
          <w:rFonts w:ascii="Times New Roman" w:hAnsi="Times New Roman" w:eastAsiaTheme="minorEastAsia"/>
          <w:bCs/>
          <w:sz w:val="21"/>
          <w:szCs w:val="21"/>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rFonts w:ascii="Times New Roman" w:hAnsi="Times New Roman"/>
          <w:color w:val="000000" w:themeColor="text1"/>
          <w:sz w:val="21"/>
          <w:szCs w:val="21"/>
          <w:lang w:val="zh-CN"/>
          <w14:textFill>
            <w14:solidFill>
              <w14:schemeClr w14:val="tx1"/>
            </w14:solidFill>
          </w14:textFill>
        </w:rPr>
        <w:t xml:space="preserve">。</w:t>
      </w:r>
      <w:r/>
    </w:p>
    <w:p>
      <w:pPr>
        <w:pStyle w:val="1069"/>
        <w:numPr>
          <w:ilvl w:val="2"/>
          <w:numId w:val="7"/>
        </w:numPr>
        <w:ind w:left="0" w:firstLine="709"/>
        <w:spacing w:line="400" w:lineRule="exact"/>
        <w:tabs>
          <w:tab w:val="left" w:pos="142" w:leader="none"/>
          <w:tab w:val="left" w:pos="600" w:leader="none"/>
        </w:tabs>
        <w:rPr>
          <w:rFonts w:ascii="Times New Roman" w:hAnsi="Times New Roman" w:eastAsiaTheme="minorEastAsia"/>
          <w:bCs/>
          <w:sz w:val="21"/>
          <w:szCs w:val="21"/>
        </w:rPr>
      </w:pPr>
      <w:r>
        <w:rPr>
          <w:rFonts w:ascii="Times New Roman" w:hAnsi="Times New Roman" w:eastAsiaTheme="minorEastAsia"/>
          <w:bCs/>
          <w:sz w:val="21"/>
          <w:szCs w:val="21"/>
        </w:rPr>
        <w:t xml:space="preserve">异常低价投标（响应）审查</w:t>
      </w:r>
      <w:r/>
    </w:p>
    <w:p>
      <w:pPr>
        <w:ind w:firstLine="707"/>
        <w:spacing w:line="30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评标过程中出现下列情形之一的，评标委员会应当启动异常低价投标（响应）审查程序：</w:t>
      </w:r>
      <w:r/>
    </w:p>
    <w:p>
      <w:pPr>
        <w:ind w:firstLine="707"/>
        <w:spacing w:line="30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707"/>
        <w:spacing w:line="30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707"/>
        <w:spacing w:line="30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3．投标（响应）报价低于采购项目最高限价45% 的，即投标（响应）报价&lt;采购项目最高限价×45%；</w:t>
      </w:r>
      <w:r/>
    </w:p>
    <w:p>
      <w:pPr>
        <w:ind w:firstLine="707"/>
        <w:spacing w:line="30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4．评标委员会基于专业判断，认为供应商报价过低、有可能影响产品质量或者不能诚信履约的其他情形。</w:t>
      </w:r>
      <w:r/>
    </w:p>
    <w:p>
      <w:pPr>
        <w:ind w:firstLine="707"/>
        <w:spacing w:line="30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启动异常低价投标（响应）审查后，评标委员会应当要求相关供应商在评标现场合理的时间内对投标（响应）价格作出解释</w:t>
      </w:r>
      <w:r>
        <w:rPr>
          <w:b/>
          <w:color w:val="000000" w:themeColor="text1"/>
          <w:szCs w:val="21"/>
          <w14:textFill>
            <w14:solidFill>
              <w14:schemeClr w14:val="tx1"/>
            </w14:solidFill>
          </w14:textFill>
        </w:rPr>
        <w:t xml:space="preserve">（线上开评标项目可通过“苏采云”系统要求其提供）</w:t>
      </w:r>
      <w:r>
        <w:rPr>
          <w:color w:val="000000" w:themeColor="text1"/>
          <w:szCs w:val="21"/>
          <w14:textFill>
            <w14:solidFill>
              <w14:schemeClr w14:val="tx1"/>
            </w14:solidFill>
          </w14:textFill>
        </w:rPr>
        <w:t xml:space="preserve">，提供项目具体成本测算等与报价合理性相关的书面说明及相关证明材料，包括但不限于原材料成本、人工成本、制造费用等，给予相关供应商的合理时间一般不少于30分钟。其中，属于第3项情形 ，供应商已随投标（响应）文件一并提交相关书面说明及必要的证明材料的，在评审现场可不再重复提交。</w:t>
      </w:r>
      <w:r/>
    </w:p>
    <w:p>
      <w:pPr>
        <w:ind w:firstLine="707"/>
        <w:spacing w:line="30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评标委员会依据专业经验，参考同类项目中标（成交）价格、类似产品市场价格水平、行业人工费用标准、国家有关部门指导行业协会发布的行业平均成本等情况，对报价合理性进行判断。</w:t>
      </w:r>
      <w:r>
        <w:rPr>
          <w:b/>
          <w:color w:val="000000" w:themeColor="text1"/>
          <w:szCs w:val="21"/>
          <w14:textFill>
            <w14:solidFill>
              <w14:schemeClr w14:val="tx1"/>
            </w14:solidFill>
          </w14:textFill>
        </w:rPr>
        <w:t xml:space="preserve">投标（响应）供应商不提供书面说明、证明材料，或者提供的书面说明、证明材料不能证明其报价合理性的，评标委员会应当将其作为无效投标（响应）处理。</w:t>
      </w:r>
      <w:r>
        <w:rPr>
          <w:color w:val="000000" w:themeColor="text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r/>
    </w:p>
    <w:p>
      <w:pPr>
        <w:pStyle w:val="1069"/>
        <w:numPr>
          <w:ilvl w:val="2"/>
          <w:numId w:val="7"/>
        </w:numPr>
        <w:ind w:left="0" w:firstLine="709"/>
        <w:spacing w:line="400" w:lineRule="exact"/>
        <w:tabs>
          <w:tab w:val="left" w:pos="142" w:leader="none"/>
          <w:tab w:val="left" w:pos="600" w:leader="none"/>
        </w:tabs>
        <w:rPr>
          <w:rFonts w:ascii="Times New Roman" w:hAnsi="Times New Roman"/>
          <w:b/>
          <w:bCs/>
          <w:color w:val="000000" w:themeColor="text1"/>
          <w:sz w:val="21"/>
          <w:szCs w:val="21"/>
          <w:lang w:val="zh-CN"/>
          <w14:textFill>
            <w14:solidFill>
              <w14:schemeClr w14:val="tx1"/>
            </w14:solidFill>
          </w14:textFill>
        </w:rPr>
      </w:pPr>
      <w:r>
        <w:rPr>
          <w:rFonts w:ascii="Times New Roman" w:hAnsi="Times New Roman"/>
          <w:b/>
          <w:bCs/>
          <w:color w:val="000000" w:themeColor="text1"/>
          <w:sz w:val="21"/>
          <w:szCs w:val="21"/>
          <w:lang w:val="zh-CN"/>
          <w14:textFill>
            <w14:solidFill>
              <w14:schemeClr w14:val="tx1"/>
            </w14:solidFill>
          </w14:textFill>
        </w:rPr>
        <w:t xml:space="preserve">未在规定时间提交最后报价的，响应文件按无效处理。</w:t>
      </w:r>
      <w:r/>
    </w:p>
    <w:p>
      <w:pPr>
        <w:pStyle w:val="1069"/>
        <w:numPr>
          <w:ilvl w:val="2"/>
          <w:numId w:val="7"/>
        </w:numPr>
        <w:ind w:left="0" w:firstLine="709"/>
        <w:spacing w:line="400" w:lineRule="exact"/>
        <w:tabs>
          <w:tab w:val="left" w:pos="142" w:leader="none"/>
          <w:tab w:val="left" w:pos="600" w:leader="none"/>
        </w:tabs>
        <w:rPr>
          <w:rFonts w:ascii="Times New Roman" w:hAnsi="Times New Roman"/>
          <w:color w:val="000000" w:themeColor="text1"/>
          <w:sz w:val="21"/>
          <w:szCs w:val="21"/>
          <w:lang w:val="zh-CN"/>
          <w14:textFill>
            <w14:solidFill>
              <w14:schemeClr w14:val="tx1"/>
            </w14:solidFill>
          </w14:textFill>
        </w:rPr>
      </w:pPr>
      <w:r>
        <w:rPr>
          <w:rFonts w:ascii="Times New Roman" w:hAnsi="Times New Roman"/>
          <w:color w:val="000000" w:themeColor="text1"/>
          <w:sz w:val="21"/>
          <w:szCs w:val="21"/>
          <w:lang w:val="zh-CN"/>
          <w14:textFill>
            <w14:solidFill>
              <w14:schemeClr w14:val="tx1"/>
            </w14:solidFill>
          </w14:textFill>
        </w:rPr>
        <w:t xml:space="preserve">在规定时间内提交最后报价的供应商少于3家的，项目终止。</w:t>
      </w:r>
      <w:r/>
    </w:p>
    <w:p>
      <w:pPr>
        <w:pStyle w:val="1069"/>
        <w:numPr>
          <w:ilvl w:val="2"/>
          <w:numId w:val="7"/>
        </w:numPr>
        <w:ind w:left="0" w:firstLine="709"/>
        <w:spacing w:line="400" w:lineRule="exact"/>
        <w:tabs>
          <w:tab w:val="left" w:pos="142" w:leader="none"/>
          <w:tab w:val="left" w:pos="600" w:leader="none"/>
        </w:tabs>
        <w:rPr>
          <w:rFonts w:ascii="Times New Roman" w:hAnsi="Times New Roman"/>
          <w:color w:val="000000" w:themeColor="text1"/>
          <w:sz w:val="21"/>
          <w:szCs w:val="21"/>
          <w:lang w:val="zh-CN"/>
          <w14:textFill>
            <w14:solidFill>
              <w14:schemeClr w14:val="tx1"/>
            </w14:solidFill>
          </w14:textFill>
        </w:rPr>
      </w:pPr>
      <w:r>
        <w:rPr>
          <w:rFonts w:ascii="Times New Roman" w:hAnsi="Times New Roman"/>
          <w:color w:val="000000" w:themeColor="text1"/>
          <w:sz w:val="21"/>
          <w:szCs w:val="21"/>
          <w:lang w:val="zh-CN"/>
          <w14:textFill>
            <w14:solidFill>
              <w14:schemeClr w14:val="tx1"/>
            </w14:solidFill>
          </w14:textFill>
        </w:rPr>
        <w:t xml:space="preserve">如谈判过程中出现本谈判文件未尽事宜，由谈判小组根据政府采购有关法律、法规讨论决定。</w:t>
      </w:r>
      <w:r/>
    </w:p>
    <w:p>
      <w:pPr>
        <w:numPr>
          <w:ilvl w:val="0"/>
          <w:numId w:val="7"/>
        </w:numPr>
        <w:ind w:left="0" w:firstLine="425"/>
        <w:spacing w:line="400" w:lineRule="exact"/>
        <w:tabs>
          <w:tab w:val="left" w:pos="142" w:leader="none"/>
          <w:tab w:val="left" w:pos="600" w:leader="none"/>
        </w:tabs>
        <w:rPr>
          <w:b/>
          <w:color w:val="000000" w:themeColor="text1"/>
          <w:szCs w:val="24"/>
          <w14:textFill>
            <w14:solidFill>
              <w14:schemeClr w14:val="tx1"/>
            </w14:solidFill>
          </w14:textFill>
        </w:rPr>
        <w:outlineLvl w:val="1"/>
      </w:pPr>
      <w:r>
        <w:rPr>
          <w:b/>
          <w:color w:val="000000" w:themeColor="text1"/>
          <w:szCs w:val="24"/>
          <w14:textFill>
            <w14:solidFill>
              <w14:schemeClr w14:val="tx1"/>
            </w14:solidFill>
          </w14:textFill>
        </w:rPr>
        <w:t xml:space="preserve">项目终止</w:t>
      </w:r>
      <w:r/>
    </w:p>
    <w:p>
      <w:pPr>
        <w:ind w:firstLine="707"/>
        <w:spacing w:line="30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出现下列情形之一的，采购人或者采购代理机构应当终止竞争性谈判采购活动，发布项目终止公告并说明原因，重新开展采购活动：</w:t>
      </w:r>
      <w:r/>
    </w:p>
    <w:p>
      <w:pPr>
        <w:ind w:firstLine="707"/>
        <w:spacing w:line="30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1、因情况变化，不再符合规定的竞争性谈判采购方式适用情形的；</w:t>
      </w:r>
      <w:r/>
    </w:p>
    <w:p>
      <w:pPr>
        <w:ind w:firstLine="707"/>
        <w:spacing w:line="30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2、出现影响采购公正的违法、违规行为的；</w:t>
      </w:r>
      <w:r/>
    </w:p>
    <w:p>
      <w:pPr>
        <w:ind w:firstLine="707"/>
        <w:spacing w:line="30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3、在采购过程中符合竞争要求的供应商或者报价未超过采购预算的供应商不足3家的，但《政府采购非招标采购方式管理办法》第二十七条第二款规定的情形除外。</w:t>
      </w:r>
      <w:r/>
    </w:p>
    <w:p>
      <w:pPr>
        <w:ind w:firstLine="707"/>
        <w:spacing w:line="400" w:lineRule="exact"/>
        <w:tabs>
          <w:tab w:val="left" w:pos="142" w:leader="none"/>
          <w:tab w:val="left" w:pos="600" w:leader="none"/>
          <w:tab w:val="left" w:pos="1276" w:leader="none"/>
        </w:tabs>
        <w:rPr>
          <w:b/>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项目终止后，采购代理机构应当将项目终止的理由告知所有供应商。</w:t>
      </w:r>
      <w:r/>
    </w:p>
    <w:p>
      <w:pPr>
        <w:numPr>
          <w:ilvl w:val="0"/>
          <w:numId w:val="7"/>
        </w:numPr>
        <w:ind w:left="0" w:firstLine="425"/>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成交</w:t>
      </w:r>
      <w:r/>
    </w:p>
    <w:p>
      <w:pPr>
        <w:numPr>
          <w:ilvl w:val="1"/>
          <w:numId w:val="7"/>
        </w:numPr>
        <w:ind w:left="0" w:firstLine="710"/>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谈判小组应当从质量和服务均能满足采购文件实质性响应要求的供应商中，按照最后报价由低到高的顺序提出3名成交候选人 ，并编写评审报告。最后报价相同的，按照谈判文件规定的方式确定排序；谈判文件未规定的，采取随机抽取的方式确定排序 。</w:t>
      </w:r>
      <w:r/>
    </w:p>
    <w:p>
      <w:pPr>
        <w:numPr>
          <w:ilvl w:val="1"/>
          <w:numId w:val="7"/>
        </w:numPr>
        <w:ind w:left="0" w:firstLine="710"/>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采购代理机构应当在评审结束后2个工作日内将评审报告送采购人确认，采购人或采购代理机构应当在成交供应商确定后的2个工作日内，在政府采购信息媒体上发布成交结果，成交公告期限为1个工作日。</w:t>
      </w:r>
      <w:r/>
    </w:p>
    <w:p>
      <w:pPr>
        <w:numPr>
          <w:ilvl w:val="1"/>
          <w:numId w:val="7"/>
        </w:numPr>
        <w:ind w:left="0" w:firstLine="710"/>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pPr>
      <w:r/>
      <w:bookmarkStart w:id="43" w:name="_Hlk159236133"/>
      <w:r>
        <w:rPr>
          <w:rFonts w:eastAsiaTheme="minorEastAsia"/>
          <w:szCs w:val="21"/>
        </w:rPr>
        <w:t xml:space="preserve">采</w:t>
      </w:r>
      <w:r>
        <w:rPr>
          <w:rFonts w:eastAsiaTheme="minorEastAsia"/>
          <w:bCs/>
          <w:szCs w:val="21"/>
        </w:rPr>
        <w:t xml:space="preserve">购人或采购代理机构根据相关规定发布成交公告，成交公告发出的同时应当向成交供应商发出《成交通知书》</w:t>
      </w:r>
      <w:bookmarkStart w:id="44" w:name="_Hlk132385577"/>
      <w:r/>
      <w:bookmarkStart w:id="45" w:name="_Hlk132385599"/>
      <w:r/>
      <w:bookmarkStart w:id="46" w:name="_Hlk132389804"/>
      <w:r>
        <w:rPr>
          <w:rFonts w:eastAsiaTheme="minorEastAsia"/>
          <w:bCs/>
          <w:szCs w:val="21"/>
        </w:rPr>
        <w:t xml:space="preserve">。</w:t>
      </w:r>
      <w:bookmarkStart w:id="47" w:name="_Hlk157961472"/>
      <w:r>
        <w:rPr>
          <w:rFonts w:eastAsiaTheme="minorEastAsia"/>
          <w:bCs/>
          <w:szCs w:val="21"/>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47"/>
      <w:r>
        <w:rPr>
          <w:rFonts w:eastAsiaTheme="minorEastAsia"/>
          <w:bCs/>
          <w:szCs w:val="21"/>
        </w:rPr>
        <w:t xml:space="preserve">；</w:t>
      </w:r>
      <w:bookmarkEnd w:id="44"/>
      <w:r/>
      <w:bookmarkEnd w:id="45"/>
      <w:r/>
      <w:bookmarkEnd w:id="46"/>
      <w:r>
        <w:rPr>
          <w:rFonts w:eastAsiaTheme="minorEastAsia"/>
          <w:bCs/>
          <w:szCs w:val="21"/>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bookmarkEnd w:id="43"/>
      <w:r>
        <w:rPr>
          <w:color w:val="000000" w:themeColor="text1"/>
          <w:szCs w:val="21"/>
          <w14:textFill>
            <w14:solidFill>
              <w14:schemeClr w14:val="tx1"/>
            </w14:solidFill>
          </w14:textFill>
        </w:rPr>
        <w:t xml:space="preserve">。</w:t>
      </w:r>
      <w:r/>
    </w:p>
    <w:p>
      <w:pPr>
        <w:numPr>
          <w:ilvl w:val="1"/>
          <w:numId w:val="7"/>
        </w:numPr>
        <w:ind w:left="0" w:firstLine="710"/>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成交通知书发出后，采购人不得违法改变成交结果，成交供应商无正当理由不得放弃成交。</w:t>
      </w:r>
      <w:r/>
    </w:p>
    <w:p>
      <w:pPr>
        <w:numPr>
          <w:ilvl w:val="1"/>
          <w:numId w:val="7"/>
        </w:numPr>
        <w:ind w:left="0" w:firstLine="710"/>
        <w:spacing w:line="400" w:lineRule="exact"/>
        <w:tabs>
          <w:tab w:val="left" w:pos="142" w:leader="none"/>
          <w:tab w:val="left" w:pos="600" w:leader="none"/>
        </w:tabs>
        <w:rPr>
          <w:color w:val="000000" w:themeColor="text1"/>
          <w:szCs w:val="24"/>
          <w14:textFill>
            <w14:solidFill>
              <w14:schemeClr w14:val="tx1"/>
            </w14:solidFill>
          </w14:textFill>
        </w:rPr>
      </w:pPr>
      <w:r/>
      <w:bookmarkStart w:id="48" w:name="_Hlk132393639"/>
      <w:r>
        <w:rPr>
          <w:color w:val="000000" w:themeColor="text1"/>
          <w:szCs w:val="24"/>
          <w14:textFill>
            <w14:solidFill>
              <w14:schemeClr w14:val="tx1"/>
            </w14:solidFill>
          </w14:textFill>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bookmarkEnd w:id="48"/>
      <w:r/>
      <w:r/>
    </w:p>
    <w:p>
      <w:pPr>
        <w:numPr>
          <w:ilvl w:val="0"/>
          <w:numId w:val="7"/>
        </w:numPr>
        <w:ind w:left="0" w:firstLine="422"/>
        <w:spacing w:line="400" w:lineRule="exact"/>
        <w:tabs>
          <w:tab w:val="left" w:pos="142" w:leader="none"/>
          <w:tab w:val="left" w:pos="600" w:leader="none"/>
        </w:tabs>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履约保证金</w:t>
      </w:r>
      <w:r/>
    </w:p>
    <w:p>
      <w:pPr>
        <w:numPr>
          <w:ilvl w:val="1"/>
          <w:numId w:val="7"/>
        </w:numPr>
        <w:ind w:left="0" w:firstLine="710"/>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根据《关于在全省政府采购领域推行电子履约保函（保险）的通知（</w:t>
      </w:r>
      <w:r>
        <w:rPr>
          <w:rFonts w:hint="eastAsia"/>
          <w:color w:val="000000" w:themeColor="text1"/>
          <w:szCs w:val="24"/>
          <w14:textFill>
            <w14:solidFill>
              <w14:schemeClr w14:val="tx1"/>
            </w14:solidFill>
          </w14:textFill>
        </w:rPr>
        <w:t xml:space="preserve">苏财购〔2023〕150号</w:t>
      </w:r>
      <w:r>
        <w:rPr>
          <w:color w:val="000000" w:themeColor="text1"/>
          <w:szCs w:val="24"/>
          <w14:textFill>
            <w14:solidFill>
              <w14:schemeClr w14:val="tx1"/>
            </w14:solidFill>
          </w14:textFill>
        </w:rPr>
        <w:t xml:space="preserve">》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numPr>
          <w:ilvl w:val="1"/>
          <w:numId w:val="7"/>
        </w:numPr>
        <w:ind w:left="0" w:firstLine="710"/>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详见本采购文件合同文本中的约定。</w:t>
      </w:r>
      <w:r/>
    </w:p>
    <w:p>
      <w:pPr>
        <w:numPr>
          <w:ilvl w:val="0"/>
          <w:numId w:val="7"/>
        </w:numPr>
        <w:ind w:left="0" w:firstLine="422"/>
        <w:spacing w:line="400" w:lineRule="exact"/>
        <w:tabs>
          <w:tab w:val="left" w:pos="142" w:leader="none"/>
          <w:tab w:val="left" w:pos="600" w:leader="none"/>
        </w:tabs>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合同</w:t>
      </w:r>
      <w:r/>
    </w:p>
    <w:p>
      <w:pPr>
        <w:numPr>
          <w:ilvl w:val="1"/>
          <w:numId w:val="7"/>
        </w:numPr>
        <w:ind w:left="0" w:firstLine="710"/>
        <w:spacing w:line="400" w:lineRule="exact"/>
        <w:tabs>
          <w:tab w:val="left" w:pos="142" w:leader="none"/>
          <w:tab w:val="left" w:pos="600" w:leader="none"/>
        </w:tabs>
        <w:rPr>
          <w:b/>
          <w:color w:val="000000" w:themeColor="text1"/>
          <w:szCs w:val="21"/>
          <w14:textFill>
            <w14:solidFill>
              <w14:schemeClr w14:val="tx1"/>
            </w14:solidFill>
          </w14:textFill>
        </w:rPr>
      </w:pPr>
      <w:r/>
      <w:bookmarkStart w:id="49" w:name="_Hlk116921522"/>
      <w:r/>
      <w:bookmarkStart w:id="50" w:name="_Hlk116921497"/>
      <w:r>
        <w:rPr>
          <w:color w:val="000000" w:themeColor="text1"/>
          <w:szCs w:val="21"/>
          <w14:textFill>
            <w14:solidFill>
              <w14:schemeClr w14:val="tx1"/>
            </w14:solidFill>
          </w14:textFill>
        </w:rPr>
        <w:t xml:space="preserve">采购人</w:t>
      </w:r>
      <w:r>
        <w:t xml:space="preserve">原则上</w:t>
      </w:r>
      <w:r>
        <w:rPr>
          <w:color w:val="000000" w:themeColor="text1"/>
          <w:szCs w:val="21"/>
          <w14:textFill>
            <w14:solidFill>
              <w14:schemeClr w14:val="tx1"/>
            </w14:solidFill>
          </w14:textFill>
        </w:rPr>
        <w:t xml:space="preserve">应当自中标通知书发出之日起15日内（最迟30日内），按照谈判文件确定的合同文本以及采购标的、规格型号、采购金额、采购数量、技术和服务要求等事项签订政府采购合同</w:t>
      </w:r>
      <w:bookmarkEnd w:id="49"/>
      <w:r>
        <w:rPr>
          <w:color w:val="000000" w:themeColor="text1"/>
          <w:szCs w:val="21"/>
          <w14:textFill>
            <w14:solidFill>
              <w14:schemeClr w14:val="tx1"/>
            </w14:solidFill>
          </w14:textFill>
        </w:rPr>
        <w:t xml:space="preserve">。</w:t>
      </w:r>
      <w:bookmarkEnd w:id="50"/>
      <w:r/>
      <w:r/>
    </w:p>
    <w:p>
      <w:pPr>
        <w:numPr>
          <w:ilvl w:val="1"/>
          <w:numId w:val="7"/>
        </w:numPr>
        <w:ind w:left="0" w:firstLine="710"/>
        <w:spacing w:line="400" w:lineRule="exact"/>
        <w:tabs>
          <w:tab w:val="left" w:pos="142" w:leader="none"/>
          <w:tab w:val="left" w:pos="600" w:leader="none"/>
        </w:tabs>
        <w:rPr>
          <w:b/>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采购人不得向成交供应商提出超出谈判文件以外的任何要求作为签订合同的条件，不得与成交供应商订立背离谈判文件确定的合同文本以及采购标的、规格型号、采购金额、采购数量、技术和服务要求等实质性内容的协议。</w:t>
      </w:r>
      <w:r/>
    </w:p>
    <w:p>
      <w:pPr>
        <w:numPr>
          <w:ilvl w:val="1"/>
          <w:numId w:val="7"/>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numPr>
          <w:ilvl w:val="1"/>
          <w:numId w:val="7"/>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bookmarkStart w:id="51" w:name="_Hlk195711026"/>
      <w:r/>
      <w:bookmarkStart w:id="52" w:name="OLE_LINK8"/>
      <w:r/>
      <w:bookmarkStart w:id="53" w:name="_Hlk162625425"/>
      <w:r>
        <w:rPr>
          <w:color w:val="000000" w:themeColor="text1"/>
          <w:szCs w:val="21"/>
          <w14:textFill>
            <w14:solidFill>
              <w14:schemeClr w14:val="tx1"/>
            </w14:solidFill>
          </w14:textFill>
        </w:rPr>
        <w:t xml:space="preserve">本项目将根据政府采购法及相关法规，</w:t>
      </w:r>
      <w:bookmarkStart w:id="54" w:name="OLE_LINK1"/>
      <w:r/>
      <w:bookmarkStart w:id="55" w:name="OLE_LINK22"/>
      <w:r>
        <w:rPr>
          <w:color w:val="000000" w:themeColor="text1"/>
          <w:szCs w:val="21"/>
          <w14:textFill>
            <w14:solidFill>
              <w14:schemeClr w14:val="tx1"/>
            </w14:solidFill>
          </w14:textFill>
        </w:rPr>
        <w:t xml:space="preserve">《江苏省政府采购履约验收管理办法》以及</w:t>
      </w:r>
      <w:bookmarkEnd w:id="54"/>
      <w:r/>
      <w:bookmarkEnd w:id="55"/>
      <w:r>
        <w:rPr>
          <w:color w:val="000000" w:themeColor="text1"/>
          <w:szCs w:val="21"/>
          <w14:textFill>
            <w14:solidFill>
              <w14:schemeClr w14:val="tx1"/>
            </w14:solidFill>
          </w14:textFill>
        </w:rPr>
        <w:t xml:space="preserve">《关于进一步加强履约验收管理的通知》文件的规定，</w:t>
      </w:r>
      <w:bookmarkEnd w:id="51"/>
      <w:r/>
      <w:bookmarkEnd w:id="52"/>
      <w:r>
        <w:rPr>
          <w:color w:val="000000" w:themeColor="text1"/>
          <w:szCs w:val="21"/>
          <w14:textFill>
            <w14:solidFill>
              <w14:schemeClr w14:val="tx1"/>
            </w14:solidFill>
          </w14:textFill>
        </w:rPr>
        <w:t xml:space="preserve">对供应商进行履约验收， 确认验收合格的，将出具《政府采购履约验收书》。《政府采购履约验收书》、合同是申请支付政府采购合同价款的必备资料。</w:t>
      </w:r>
      <w:bookmarkEnd w:id="53"/>
      <w:r/>
      <w:r/>
    </w:p>
    <w:p>
      <w:pPr>
        <w:numPr>
          <w:ilvl w:val="0"/>
          <w:numId w:val="7"/>
        </w:numPr>
        <w:ind w:left="0" w:firstLine="422"/>
        <w:spacing w:line="400" w:lineRule="exact"/>
        <w:tabs>
          <w:tab w:val="left" w:pos="142" w:leader="none"/>
          <w:tab w:val="left" w:pos="600" w:leader="none"/>
        </w:tabs>
        <w:rPr>
          <w:b/>
          <w:color w:val="000000" w:themeColor="text1"/>
          <w:szCs w:val="21"/>
          <w14:textFill>
            <w14:solidFill>
              <w14:schemeClr w14:val="tx1"/>
            </w14:solidFill>
          </w14:textFill>
        </w:rPr>
        <w:outlineLvl w:val="1"/>
      </w:pPr>
      <w:r/>
      <w:bookmarkStart w:id="56" w:name="_Hlk109990851"/>
      <w:r>
        <w:rPr>
          <w:b/>
          <w:color w:val="000000" w:themeColor="text1"/>
          <w:szCs w:val="21"/>
          <w14:textFill>
            <w14:solidFill>
              <w14:schemeClr w14:val="tx1"/>
            </w14:solidFill>
          </w14:textFill>
        </w:rPr>
        <w:t xml:space="preserve">质疑</w:t>
      </w:r>
      <w:r/>
    </w:p>
    <w:p>
      <w:pPr>
        <w:numPr>
          <w:ilvl w:val="1"/>
          <w:numId w:val="7"/>
        </w:numPr>
        <w:ind w:left="0" w:firstLine="710"/>
        <w:spacing w:line="400" w:lineRule="exact"/>
        <w:tabs>
          <w:tab w:val="left" w:pos="142" w:leader="none"/>
          <w:tab w:val="left" w:pos="600" w:leader="none"/>
        </w:tabs>
        <w:rPr>
          <w:b/>
          <w:color w:val="000000" w:themeColor="text1"/>
          <w:szCs w:val="21"/>
          <w14:textFill>
            <w14:solidFill>
              <w14:schemeClr w14:val="tx1"/>
            </w14:solidFill>
          </w14:textFill>
        </w:rPr>
      </w:pPr>
      <w:r/>
      <w:bookmarkStart w:id="57" w:name="_Hlk110021883"/>
      <w:r>
        <w:rPr>
          <w:color w:val="000000" w:themeColor="text1"/>
          <w:szCs w:val="21"/>
          <w14:textFill>
            <w14:solidFill>
              <w14:schemeClr w14:val="tx1"/>
            </w14:solidFill>
          </w14:textFill>
        </w:rPr>
        <w:t xml:space="preserve">质疑及答复遵守《政府采购质疑和投诉办法》（中华人民共和国财政部令第94号）规定。</w:t>
      </w:r>
      <w:r/>
    </w:p>
    <w:p>
      <w:pPr>
        <w:numPr>
          <w:ilvl w:val="1"/>
          <w:numId w:val="7"/>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供应商认为采购文件、采购过程和采购结果使自己的权益受到损害的，可以在知道或应知其权益受到损害之日起七个工作日内，以书面形式根据下述</w:t>
      </w:r>
      <w:r>
        <w:rPr>
          <w:b/>
          <w:color w:val="000000" w:themeColor="text1"/>
          <w:szCs w:val="21"/>
          <w14:textFill>
            <w14:solidFill>
              <w14:schemeClr w14:val="tx1"/>
            </w14:solidFill>
          </w14:textFill>
        </w:rPr>
        <w:t xml:space="preserve">10.5、10.6</w:t>
      </w:r>
      <w:r>
        <w:rPr>
          <w:color w:val="000000" w:themeColor="text1"/>
          <w:szCs w:val="21"/>
          <w14:textFill>
            <w14:solidFill>
              <w14:schemeClr w14:val="tx1"/>
            </w14:solidFill>
          </w14:textFill>
        </w:rPr>
        <w:t xml:space="preserve">条款的规定向集采中心或采购人提出质疑。上述应知其权益受到损害之日，是指：</w:t>
      </w:r>
      <w:r/>
    </w:p>
    <w:p>
      <w:pPr>
        <w:ind w:left="1277"/>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①对可以质疑的采购文件提出质疑的，为收到采购文件之日或者采购文件公告期限届满之日；</w:t>
      </w:r>
      <w:r/>
    </w:p>
    <w:p>
      <w:pPr>
        <w:ind w:left="1277"/>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②对采购过程提出质疑的，为各采购程序环节结束之日；</w:t>
      </w:r>
      <w:r/>
    </w:p>
    <w:p>
      <w:pPr>
        <w:ind w:left="1277"/>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③对中标或者成交结果提出质疑的，为中标或者成交结果公告期限届满之日。</w:t>
      </w:r>
      <w:r/>
    </w:p>
    <w:p>
      <w:pPr>
        <w:numPr>
          <w:ilvl w:val="1"/>
          <w:numId w:val="7"/>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供应商应当在法定质疑期内一次性提出针对同一采购程序环节的质疑。供应商如在法定期限内对同一采购程序环节提出多次质疑的，集采中心、采购人将只对供应商第一次质疑作出答复。</w:t>
      </w:r>
      <w:r/>
    </w:p>
    <w:p>
      <w:pPr>
        <w:numPr>
          <w:ilvl w:val="1"/>
          <w:numId w:val="7"/>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提出质疑的供应商应当是参与所质疑项目采购活动的供应商，未依照采购公告要求获取采购文件的供应商，视为未参与该项政府采购活动，不具备对该政府采购项目提出质疑的法定权利。</w:t>
      </w:r>
      <w:r/>
    </w:p>
    <w:p>
      <w:pPr>
        <w:ind w:firstLine="709"/>
        <w:spacing w:line="400" w:lineRule="exact"/>
        <w:rPr>
          <w:b/>
          <w:color w:val="000000" w:themeColor="text1"/>
          <w14:textFill>
            <w14:solidFill>
              <w14:schemeClr w14:val="tx1"/>
            </w14:solidFill>
          </w14:textFill>
        </w:rPr>
      </w:pPr>
      <w:r>
        <w:rPr>
          <w:b/>
          <w:color w:val="000000" w:themeColor="text1"/>
          <w14:textFill>
            <w14:solidFill>
              <w14:schemeClr w14:val="tx1"/>
            </w14:solidFill>
          </w14:textFill>
        </w:rPr>
        <w:t xml:space="preserve">对谈判文件内容质疑时，</w:t>
      </w:r>
      <w:bookmarkStart w:id="58" w:name="_Hlk159236171"/>
      <w:r>
        <w:rPr>
          <w:b/>
          <w:color w:val="000000" w:themeColor="text1"/>
          <w14:textFill>
            <w14:solidFill>
              <w14:schemeClr w14:val="tx1"/>
            </w14:solidFill>
          </w14:textFill>
        </w:rPr>
        <w:t xml:space="preserve">需提供在</w:t>
      </w:r>
      <w:bookmarkStart w:id="59" w:name="_Hlk157961655"/>
      <w:r>
        <w:rPr>
          <w:b/>
          <w:color w:val="000000" w:themeColor="text1"/>
          <w14:textFill>
            <w14:solidFill>
              <w14:schemeClr w14:val="tx1"/>
            </w14:solidFill>
          </w14:textFill>
        </w:rPr>
        <w:t xml:space="preserve">“苏采云”</w:t>
      </w:r>
      <w:bookmarkEnd w:id="59"/>
      <w:r>
        <w:rPr>
          <w:b/>
          <w:color w:val="000000" w:themeColor="text1"/>
          <w14:textFill>
            <w14:solidFill>
              <w14:schemeClr w14:val="tx1"/>
            </w14:solidFill>
          </w14:textFill>
        </w:rPr>
        <w:t xml:space="preserve">系统中下载本项目谈判文件的</w:t>
      </w:r>
      <w:bookmarkStart w:id="60" w:name="_Hlk157961679"/>
      <w:r>
        <w:rPr>
          <w:b/>
          <w:color w:val="000000" w:themeColor="text1"/>
          <w14:textFill>
            <w14:solidFill>
              <w14:schemeClr w14:val="tx1"/>
            </w14:solidFill>
          </w14:textFill>
        </w:rPr>
        <w:t xml:space="preserve">《投标供应商确认函》</w:t>
      </w:r>
      <w:bookmarkEnd w:id="60"/>
      <w:r>
        <w:rPr>
          <w:b/>
          <w:color w:val="000000" w:themeColor="text1"/>
          <w14:textFill>
            <w14:solidFill>
              <w14:schemeClr w14:val="tx1"/>
            </w14:solidFill>
          </w14:textFill>
        </w:rPr>
        <w:t xml:space="preserve">，</w:t>
      </w:r>
      <w:bookmarkEnd w:id="58"/>
      <w:r>
        <w:rPr>
          <w:b/>
          <w:color w:val="000000" w:themeColor="text1"/>
          <w14:textFill>
            <w14:solidFill>
              <w14:schemeClr w14:val="tx1"/>
            </w14:solidFill>
          </w14:textFill>
        </w:rPr>
        <w:t xml:space="preserve">未提供的视为未依照采购公告要求获取谈判文件的供应商，不具备对该政府采购项目提出质疑的法定权利。</w:t>
      </w:r>
      <w:r/>
    </w:p>
    <w:p>
      <w:pPr>
        <w:numPr>
          <w:ilvl w:val="1"/>
          <w:numId w:val="7"/>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供应商（含潜在供应商）对采购方式、采购需求（及采购需求中列明的供应商实质性响应条件）、评分标准、公开招标项目资格审查结果、合同文本的询问、质疑请向采购人提出，</w:t>
      </w:r>
      <w:r>
        <w:rPr>
          <w:b/>
          <w:color w:val="000000" w:themeColor="text1"/>
          <w:szCs w:val="21"/>
          <w14:textFill>
            <w14:solidFill>
              <w14:schemeClr w14:val="tx1"/>
            </w14:solidFill>
          </w14:textFill>
        </w:rPr>
        <w:t xml:space="preserve">由采购人负责答复</w:t>
      </w:r>
      <w:r>
        <w:rPr>
          <w:color w:val="000000" w:themeColor="text1"/>
          <w:szCs w:val="21"/>
          <w14:textFill>
            <w14:solidFill>
              <w14:schemeClr w14:val="tx1"/>
            </w14:solidFill>
          </w14:textFill>
        </w:rPr>
        <w:t xml:space="preserve">。</w:t>
      </w:r>
      <w:r/>
    </w:p>
    <w:p>
      <w:pPr>
        <w:ind w:left="1277"/>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采购人联系电话：</w:t>
      </w:r>
      <w:r>
        <w:rPr>
          <w:rFonts w:hint="eastAsia"/>
          <w:color w:val="000000" w:themeColor="text1"/>
          <w:szCs w:val="21"/>
          <w14:textFill>
            <w14:solidFill>
              <w14:schemeClr w14:val="tx1"/>
            </w14:solidFill>
          </w14:textFill>
        </w:rPr>
        <w:t xml:space="preserve">0512-69997200-8035 、0512-69997200-8089</w:t>
      </w:r>
      <w:r/>
    </w:p>
    <w:p>
      <w:pPr>
        <w:ind w:left="1277"/>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采购人通讯地址：</w:t>
      </w:r>
      <w:r>
        <w:rPr>
          <w:rFonts w:hint="eastAsia"/>
          <w:color w:val="000000" w:themeColor="text1"/>
          <w:szCs w:val="21"/>
          <w14:textFill>
            <w14:solidFill>
              <w14:schemeClr w14:val="tx1"/>
            </w14:solidFill>
          </w14:textFill>
        </w:rPr>
        <w:t xml:space="preserve">苏州市工业园区南施街288号</w:t>
      </w:r>
      <w:r>
        <w:rPr>
          <w:color w:val="000000" w:themeColor="text1"/>
          <w:szCs w:val="21"/>
          <w14:textFill>
            <w14:solidFill>
              <w14:schemeClr w14:val="tx1"/>
            </w14:solidFill>
          </w14:textFill>
        </w:rPr>
        <w:t xml:space="preserve">苏州工业园区</w:t>
      </w:r>
      <w:r>
        <w:rPr>
          <w:rFonts w:hint="eastAsia"/>
          <w:color w:val="000000" w:themeColor="text1"/>
          <w:szCs w:val="21"/>
          <w14:textFill>
            <w14:solidFill>
              <w14:schemeClr w14:val="tx1"/>
            </w14:solidFill>
          </w14:textFill>
        </w:rPr>
        <w:t xml:space="preserve">青少年活动中心</w:t>
      </w:r>
      <w:r/>
    </w:p>
    <w:p>
      <w:pPr>
        <w:numPr>
          <w:ilvl w:val="1"/>
          <w:numId w:val="7"/>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供应商对除上述事项以外其他事项的询问、质疑请向集采中心提出，</w:t>
      </w:r>
      <w:bookmarkStart w:id="61" w:name="_Hlk159240398"/>
      <w:r>
        <w:rPr>
          <w:b/>
          <w:color w:val="000000" w:themeColor="text1"/>
          <w:szCs w:val="21"/>
          <w14:textFill>
            <w14:solidFill>
              <w14:schemeClr w14:val="tx1"/>
            </w14:solidFill>
          </w14:textFill>
        </w:rPr>
        <w:t xml:space="preserve">采购人委托</w:t>
      </w:r>
      <w:bookmarkEnd w:id="61"/>
      <w:r>
        <w:rPr>
          <w:b/>
          <w:color w:val="000000" w:themeColor="text1"/>
          <w:szCs w:val="21"/>
          <w14:textFill>
            <w14:solidFill>
              <w14:schemeClr w14:val="tx1"/>
            </w14:solidFill>
          </w14:textFill>
        </w:rPr>
        <w:t xml:space="preserve">集采中心负责答复</w:t>
      </w:r>
      <w:r>
        <w:rPr>
          <w:color w:val="000000" w:themeColor="text1"/>
          <w:szCs w:val="21"/>
          <w14:textFill>
            <w14:solidFill>
              <w14:schemeClr w14:val="tx1"/>
            </w14:solidFill>
          </w14:textFill>
        </w:rPr>
        <w:t xml:space="preserve">。</w:t>
      </w:r>
      <w:r/>
    </w:p>
    <w:p>
      <w:pPr>
        <w:ind w:left="1277"/>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集采中心联系电话：0512-66605633、0512-66605611</w:t>
      </w:r>
      <w:r/>
    </w:p>
    <w:p>
      <w:pPr>
        <w:ind w:left="1277"/>
        <w:spacing w:line="400" w:lineRule="exact"/>
        <w:tabs>
          <w:tab w:val="left" w:pos="142" w:leader="none"/>
          <w:tab w:val="left" w:pos="600" w:leader="none"/>
        </w:tabs>
        <w:rPr>
          <w:color w:val="000000" w:themeColor="text1"/>
          <w:szCs w:val="21"/>
          <w14:textFill>
            <w14:solidFill>
              <w14:schemeClr w14:val="tx1"/>
            </w14:solidFill>
          </w14:textFill>
        </w:rPr>
      </w:pPr>
      <w:r/>
      <w:bookmarkStart w:id="62" w:name="OLE_LINK2"/>
      <w:r/>
      <w:bookmarkStart w:id="63" w:name="OLE_LINK5"/>
      <w:r>
        <w:rPr>
          <w:color w:val="000000" w:themeColor="text1"/>
          <w:szCs w:val="21"/>
          <w14:textFill>
            <w14:solidFill>
              <w14:schemeClr w14:val="tx1"/>
            </w14:solidFill>
          </w14:textFill>
        </w:rPr>
        <w:t xml:space="preserve">集采中心通讯地址：</w:t>
      </w:r>
      <w:bookmarkStart w:id="64" w:name="OLE_LINK7"/>
      <w:r/>
      <w:bookmarkStart w:id="65" w:name="_Hlk195628859"/>
      <w:r>
        <w:rPr>
          <w:color w:val="000000" w:themeColor="text1"/>
          <w:szCs w:val="21"/>
          <w14:textFill>
            <w14:solidFill>
              <w14:schemeClr w14:val="tx1"/>
            </w14:solidFill>
          </w14:textFill>
        </w:rPr>
        <w:t xml:space="preserve">苏州工业园区苏州大道东136号</w:t>
      </w:r>
      <w:bookmarkStart w:id="66" w:name="OLE_LINK4"/>
      <w:r/>
      <w:bookmarkStart w:id="67" w:name="OLE_LINK3"/>
      <w:r>
        <w:rPr>
          <w:color w:val="000000" w:themeColor="text1"/>
          <w:szCs w:val="21"/>
          <w14:textFill>
            <w14:solidFill>
              <w14:schemeClr w14:val="tx1"/>
            </w14:solidFill>
          </w14:textFill>
        </w:rPr>
        <w:t xml:space="preserve">星塘大厦</w:t>
      </w:r>
      <w:bookmarkEnd w:id="66"/>
      <w:r/>
      <w:bookmarkEnd w:id="67"/>
      <w:r>
        <w:rPr>
          <w:color w:val="000000" w:themeColor="text1"/>
          <w:szCs w:val="21"/>
          <w14:textFill>
            <w14:solidFill>
              <w14:schemeClr w14:val="tx1"/>
            </w14:solidFill>
          </w14:textFill>
        </w:rPr>
        <w:t xml:space="preserve">（园区市民服务中心）3楼北苏州工业园区集中采购中心</w:t>
      </w:r>
      <w:bookmarkEnd w:id="64"/>
      <w:r/>
      <w:bookmarkEnd w:id="65"/>
      <w:r>
        <w:rPr>
          <w:color w:val="000000" w:themeColor="text1"/>
          <w:szCs w:val="21"/>
          <w14:textFill>
            <w14:solidFill>
              <w14:schemeClr w14:val="tx1"/>
            </w14:solidFill>
          </w14:textFill>
        </w:rPr>
        <w:t xml:space="preserve"> </w:t>
      </w:r>
      <w:bookmarkEnd w:id="62"/>
      <w:r/>
      <w:bookmarkEnd w:id="63"/>
      <w:r/>
      <w:r/>
    </w:p>
    <w:p>
      <w:pPr>
        <w:numPr>
          <w:ilvl w:val="1"/>
          <w:numId w:val="7"/>
        </w:numPr>
        <w:ind w:left="0" w:firstLine="710"/>
        <w:spacing w:line="400" w:lineRule="exact"/>
        <w:tabs>
          <w:tab w:val="left" w:pos="142" w:leader="none"/>
          <w:tab w:val="left" w:pos="600" w:leader="none"/>
        </w:tabs>
        <w:rPr>
          <w:b/>
          <w:color w:val="000000" w:themeColor="text1"/>
          <w14:textFill>
            <w14:solidFill>
              <w14:schemeClr w14:val="tx1"/>
            </w14:solidFill>
          </w14:textFill>
        </w:rPr>
      </w:pPr>
      <w:r>
        <w:rPr>
          <w:color w:val="000000" w:themeColor="text1"/>
          <w:szCs w:val="21"/>
          <w14:textFill>
            <w14:solidFill>
              <w14:schemeClr w14:val="tx1"/>
            </w14:solidFill>
          </w14:textFill>
        </w:rPr>
        <w:t xml:space="preserve">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color w:val="000000" w:themeColor="text1"/>
          <w:szCs w:val="21"/>
          <w14:textFill>
            <w14:solidFill>
              <w14:schemeClr w14:val="tx1"/>
            </w14:solidFill>
          </w14:textFill>
        </w:rPr>
        <w:t xml:space="preserve">政府采购供应商质疑函范本</w:t>
      </w:r>
      <w:r>
        <w:rPr>
          <w:color w:val="000000" w:themeColor="text1"/>
          <w:szCs w:val="21"/>
          <w14:textFill>
            <w14:solidFill>
              <w14:schemeClr w14:val="tx1"/>
            </w14:solidFill>
          </w14:textFill>
        </w:rPr>
        <w:fldChar w:fldCharType="end"/>
      </w:r>
      <w:r>
        <w:rPr>
          <w:color w:val="000000" w:themeColor="text1"/>
          <w:szCs w:val="21"/>
          <w14:textFill>
            <w14:solidFill>
              <w14:schemeClr w14:val="tx1"/>
            </w14:solidFill>
          </w14:textFill>
        </w:rPr>
        <w:t xml:space="preserve">”。</w:t>
      </w:r>
      <w:r>
        <w:t xml:space="preserve"> </w:t>
      </w:r>
      <w:r>
        <w:rPr>
          <w:color w:val="000000" w:themeColor="text1"/>
          <w:szCs w:val="21"/>
          <w14:textFill>
            <w14:solidFill>
              <w14:schemeClr w14:val="tx1"/>
            </w14:solidFill>
          </w14:textFill>
        </w:rPr>
        <w:t xml:space="preserve">供应商如组成联合体参加投标，则《质疑函范本》中要求签字、盖章、加盖公章之处，联合体各方均须按要求签字、盖章、加盖公章。</w:t>
      </w:r>
      <w:r/>
    </w:p>
    <w:p>
      <w:pPr>
        <w:numPr>
          <w:ilvl w:val="1"/>
          <w:numId w:val="7"/>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bookmarkEnd w:id="57"/>
      <w:r/>
      <w:bookmarkEnd w:id="56"/>
      <w:r/>
      <w:r/>
    </w:p>
    <w:p>
      <w:pPr>
        <w:numPr>
          <w:ilvl w:val="0"/>
          <w:numId w:val="7"/>
        </w:numPr>
        <w:ind w:left="0" w:firstLine="425"/>
        <w:spacing w:line="400" w:lineRule="exact"/>
        <w:tabs>
          <w:tab w:val="left" w:pos="142" w:leader="none"/>
          <w:tab w:val="left" w:pos="600" w:leader="none"/>
        </w:tabs>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未尽事宜</w:t>
      </w:r>
      <w:r/>
    </w:p>
    <w:p>
      <w:pPr>
        <w:ind w:firstLine="63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按《中华人民共和国政府采购法》及其他有关法律法规的规定执行。</w:t>
      </w:r>
      <w:r/>
    </w:p>
    <w:p>
      <w:pPr>
        <w:pStyle w:val="898"/>
        <w:numPr>
          <w:ilvl w:val="0"/>
          <w:numId w:val="5"/>
        </w:numPr>
        <w:ind w:hanging="1276"/>
        <w:jc w:val="center"/>
        <w:spacing w:line="480" w:lineRule="auto"/>
        <w:rPr>
          <w:b/>
          <w:bCs/>
          <w:color w:val="000000" w:themeColor="text1"/>
          <w:sz w:val="44"/>
          <w:szCs w:val="44"/>
          <w14:textFill>
            <w14:solidFill>
              <w14:schemeClr w14:val="tx1"/>
            </w14:solidFill>
          </w14:textFill>
        </w:rPr>
        <w:outlineLvl w:val="0"/>
      </w:pPr>
      <w:r>
        <w:rPr>
          <w:b/>
          <w:bCs/>
          <w:color w:val="000000" w:themeColor="text1"/>
          <w:sz w:val="44"/>
          <w:szCs w:val="44"/>
          <w14:textFill>
            <w14:solidFill>
              <w14:schemeClr w14:val="tx1"/>
            </w14:solidFill>
          </w14:textFill>
        </w:rPr>
        <w:br w:type="page" w:clear="all"/>
      </w:r>
      <w:r>
        <w:rPr>
          <w:b/>
          <w:bCs/>
          <w:color w:val="000000" w:themeColor="text1"/>
          <w:sz w:val="44"/>
          <w:szCs w:val="44"/>
          <w14:textFill>
            <w14:solidFill>
              <w14:schemeClr w14:val="tx1"/>
            </w14:solidFill>
          </w14:textFill>
        </w:rPr>
        <w:t xml:space="preserve">采购需求</w:t>
      </w:r>
      <w:r/>
    </w:p>
    <w:p>
      <w:pPr>
        <w:pStyle w:val="1069"/>
        <w:numPr>
          <w:ilvl w:val="0"/>
          <w:numId w:val="9"/>
        </w:numPr>
        <w:ind w:left="630"/>
        <w:spacing w:line="360" w:lineRule="auto"/>
        <w:rPr>
          <w:rFonts w:ascii="Times New Roman" w:hAnsi="Times New Roman"/>
          <w:b/>
          <w:color w:val="000000" w:themeColor="text1"/>
          <w14:textFill>
            <w14:solidFill>
              <w14:schemeClr w14:val="tx1"/>
            </w14:solidFill>
          </w14:textFill>
        </w:rPr>
        <w:outlineLvl w:val="1"/>
      </w:pPr>
      <w:r>
        <w:rPr>
          <w:rFonts w:ascii="Times New Roman" w:hAnsi="Times New Roman"/>
          <w:b/>
          <w:color w:val="000000" w:themeColor="text1"/>
          <w14:textFill>
            <w14:solidFill>
              <w14:schemeClr w14:val="tx1"/>
            </w14:solidFill>
          </w14:textFill>
        </w:rPr>
        <w:t xml:space="preserve">项目概述</w:t>
      </w:r>
      <w:r/>
    </w:p>
    <w:p>
      <w:pPr>
        <w:pStyle w:val="899"/>
        <w:numPr>
          <w:ilvl w:val="0"/>
          <w:numId w:val="10"/>
        </w:numPr>
        <w:rPr>
          <w:b/>
          <w:bCs/>
          <w:sz w:val="24"/>
          <w:szCs w:val="28"/>
        </w:rPr>
      </w:pPr>
      <w:r>
        <w:rPr>
          <w:b/>
          <w:bCs/>
          <w:sz w:val="24"/>
          <w:szCs w:val="28"/>
        </w:rPr>
        <w:t xml:space="preserve">项目概况</w:t>
      </w:r>
      <w:r/>
    </w:p>
    <w:p>
      <w:pPr>
        <w:ind w:firstLine="420"/>
        <w:spacing w:line="360" w:lineRule="auto"/>
        <w:tabs>
          <w:tab w:val="left" w:pos="0" w:leader="none"/>
        </w:tabs>
        <w:rPr>
          <w:rFonts w:hint="eastAsia" w:eastAsiaTheme="minorEastAsia"/>
          <w:szCs w:val="21"/>
          <w:highlight w:val="none"/>
        </w:rPr>
      </w:pPr>
      <w:r>
        <w:rPr>
          <w:color w:val="000000" w:themeColor="text1"/>
          <w:szCs w:val="21"/>
          <w:highlight w:val="none"/>
          <w14:textFill>
            <w14:solidFill>
              <w14:schemeClr w14:val="tx1"/>
            </w14:solidFill>
          </w14:textFill>
        </w:rPr>
        <w:t xml:space="preserve">苏州工业园区青少年活动中心</w:t>
      </w:r>
      <w:r>
        <w:rPr>
          <w:color w:val="000000" w:themeColor="text1"/>
          <w:szCs w:val="21"/>
          <w:highlight w:val="none"/>
          <w14:textFill>
            <w14:solidFill>
              <w14:schemeClr w14:val="tx1"/>
            </w14:solidFill>
          </w14:textFill>
        </w:rPr>
        <w:t xml:space="preserve">本部场馆1台无机房无障碍电梯更换（含旧电梯拆除，新电梯安装），</w:t>
      </w:r>
      <w:r>
        <w:rPr>
          <w:rFonts w:hint="eastAsia" w:eastAsiaTheme="minorEastAsia"/>
          <w:szCs w:val="21"/>
          <w:highlight w:val="none"/>
        </w:rPr>
        <w:t xml:space="preserve">采购内容包括：旧电梯拆除清运、井道及厅门修复、新电梯设计制造、运输、安装、调试、验收、培训、质保期维保等交钥匙服务。要求严格按照国家有关规范生产，</w:t>
      </w:r>
      <w:r>
        <w:rPr>
          <w:rFonts w:hint="eastAsia"/>
          <w:szCs w:val="21"/>
          <w:highlight w:val="none"/>
        </w:rPr>
        <w:t xml:space="preserve">符合国家相关标准和规范要求</w:t>
      </w:r>
      <w:r>
        <w:rPr>
          <w:rFonts w:hint="eastAsia" w:eastAsiaTheme="minorEastAsia"/>
          <w:szCs w:val="21"/>
          <w:highlight w:val="none"/>
        </w:rPr>
        <w:t xml:space="preserve">。</w:t>
      </w:r>
      <w:r>
        <w:rPr>
          <w:rFonts w:hint="eastAsia"/>
          <w:strike w:val="0"/>
          <w:highlight w:val="none"/>
        </w:rPr>
        <w:t xml:space="preserve">旧电梯由供应商负责拆除并清运</w:t>
      </w:r>
      <w:r>
        <w:rPr>
          <w:rFonts w:hint="eastAsia"/>
          <w:strike w:val="0"/>
          <w:highlight w:val="none"/>
          <w:lang w:eastAsia="zh-CN"/>
        </w:rPr>
        <w:t xml:space="preserve">。</w:t>
      </w:r>
      <w:r>
        <w:rPr>
          <w:strike w:val="0"/>
          <w:color w:val="000000" w:themeColor="text1"/>
          <w:szCs w:val="21"/>
          <w:highlight w:val="none"/>
          <w14:textFill>
            <w14:solidFill>
              <w14:schemeClr w14:val="tx1"/>
            </w14:solidFill>
          </w14:textFill>
        </w:rPr>
        <w:t xml:space="preserve">具体详见谈判文件第三章。</w:t>
      </w:r>
      <w:r/>
    </w:p>
    <w:p>
      <w:pPr>
        <w:pStyle w:val="899"/>
        <w:numPr>
          <w:ilvl w:val="0"/>
          <w:numId w:val="10"/>
        </w:numPr>
        <w:rPr>
          <w:b/>
          <w:bCs/>
          <w:sz w:val="24"/>
          <w:szCs w:val="28"/>
        </w:rPr>
      </w:pPr>
      <w:r>
        <w:rPr>
          <w:b/>
          <w:bCs/>
          <w:sz w:val="24"/>
          <w:szCs w:val="28"/>
        </w:rPr>
        <w:t xml:space="preserve">总体要求</w:t>
      </w:r>
      <w:r/>
    </w:p>
    <w:p>
      <w:pPr>
        <w:ind w:firstLine="420"/>
        <w:spacing w:line="400" w:lineRule="exact"/>
        <w:tabs>
          <w:tab w:val="left" w:pos="142" w:leader="none"/>
          <w:tab w:val="left" w:pos="600" w:leader="none"/>
        </w:tabs>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）本项目供应商应为采购人提供本次采购项目的旧电梯拆除、清运、新电梯的安装、调试、维修保养一条龙服务，采购人只接收通过政府相关主管部门验收合格的电梯设备。</w:t>
      </w:r>
      <w:r/>
    </w:p>
    <w:p>
      <w:pPr>
        <w:ind w:firstLine="420"/>
        <w:spacing w:line="400" w:lineRule="exact"/>
        <w:tabs>
          <w:tab w:val="left" w:pos="142" w:leader="none"/>
          <w:tab w:val="left" w:pos="600" w:leader="none"/>
        </w:tabs>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）电梯间门套封堵等，采购文件未提供具体要求的，则需按照原有门套标准安装。不得改变现有建筑结构及地坑方式措施等。</w:t>
      </w:r>
      <w:r/>
    </w:p>
    <w:p>
      <w:pPr>
        <w:ind w:firstLine="420"/>
        <w:spacing w:line="400" w:lineRule="exact"/>
        <w:tabs>
          <w:tab w:val="left" w:pos="142" w:leader="none"/>
          <w:tab w:val="left" w:pos="600" w:leader="none"/>
        </w:tabs>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3</w:t>
      </w:r>
      <w:r>
        <w:rPr>
          <w:rFonts w:hint="eastAsia"/>
          <w:color w:val="000000" w:themeColor="text1"/>
          <w:szCs w:val="21"/>
          <w:highlight w:val="none"/>
          <w14:textFill>
            <w14:solidFill>
              <w14:schemeClr w14:val="tx1"/>
            </w14:solidFill>
          </w14:textFill>
        </w:rPr>
        <w:t xml:space="preserve">）供应商保证向采购人提供的设备或设备的任何一部分，免受第三方提出的侵犯其专利权、商标权或知识产权等的起诉，任何由此引起的法律责任和经济责任均由供应商承担。</w:t>
      </w:r>
      <w:r/>
    </w:p>
    <w:p>
      <w:pPr>
        <w:ind w:firstLine="420"/>
        <w:spacing w:line="400" w:lineRule="exact"/>
        <w:tabs>
          <w:tab w:val="left" w:pos="142" w:leader="none"/>
          <w:tab w:val="left" w:pos="600" w:leader="none"/>
        </w:tabs>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4</w:t>
      </w:r>
      <w:r>
        <w:rPr>
          <w:rFonts w:hint="eastAsia"/>
          <w:color w:val="000000" w:themeColor="text1"/>
          <w:szCs w:val="21"/>
          <w:highlight w:val="none"/>
          <w14:textFill>
            <w14:solidFill>
              <w14:schemeClr w14:val="tx1"/>
            </w14:solidFill>
          </w14:textFill>
        </w:rPr>
        <w:t xml:space="preserve">）质量保修期限：供应商应免费提供至少</w:t>
      </w:r>
      <w:r>
        <w:rPr>
          <w:color w:val="000000" w:themeColor="text1"/>
          <w:szCs w:val="21"/>
          <w:highlight w:val="none"/>
          <w14:textFill>
            <w14:solidFill>
              <w14:schemeClr w14:val="tx1"/>
            </w14:solidFill>
          </w14:textFill>
        </w:rPr>
        <w:t xml:space="preserve">5</w:t>
      </w:r>
      <w:r>
        <w:rPr>
          <w:rFonts w:hint="eastAsia"/>
          <w:color w:val="000000" w:themeColor="text1"/>
          <w:szCs w:val="21"/>
          <w:highlight w:val="none"/>
          <w14:textFill>
            <w14:solidFill>
              <w14:schemeClr w14:val="tx1"/>
            </w14:solidFill>
          </w14:textFill>
        </w:rPr>
        <w:t xml:space="preserve">年电梯整梯厂家质保。在质保期内该产品出现质量问题，应负责免费修理并更换有缺陷的部件。质保期自项目验收合格并发放《特种设备使用标志》之日起计算。</w:t>
      </w:r>
      <w:r/>
    </w:p>
    <w:p>
      <w:pPr>
        <w:pStyle w:val="899"/>
        <w:ind w:left="0" w:firstLine="420"/>
        <w:spacing w:line="400" w:lineRule="exact"/>
        <w:tabs>
          <w:tab w:val="left" w:pos="142" w:leader="none"/>
          <w:tab w:val="left" w:pos="600" w:leader="none"/>
        </w:tabs>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5</w:t>
      </w:r>
      <w:r>
        <w:rPr>
          <w:rFonts w:hint="eastAsia"/>
          <w:color w:val="000000" w:themeColor="text1"/>
          <w:szCs w:val="21"/>
          <w:highlight w:val="none"/>
          <w14:textFill>
            <w14:solidFill>
              <w14:schemeClr w14:val="tx1"/>
            </w14:solidFill>
          </w14:textFill>
        </w:rPr>
        <w:t xml:space="preserve">）维护保养：供应商应免费提供至少</w:t>
      </w:r>
      <w:r>
        <w:rPr>
          <w:color w:val="000000" w:themeColor="text1"/>
          <w:szCs w:val="21"/>
          <w:highlight w:val="none"/>
          <w14:textFill>
            <w14:solidFill>
              <w14:schemeClr w14:val="tx1"/>
            </w14:solidFill>
          </w14:textFill>
        </w:rPr>
        <w:t xml:space="preserve">5</w:t>
      </w:r>
      <w:r>
        <w:rPr>
          <w:rFonts w:hint="eastAsia"/>
          <w:color w:val="000000" w:themeColor="text1"/>
          <w:szCs w:val="21"/>
          <w:highlight w:val="none"/>
          <w14:textFill>
            <w14:solidFill>
              <w14:schemeClr w14:val="tx1"/>
            </w14:solidFill>
          </w14:textFill>
        </w:rPr>
        <w:t xml:space="preserve">年的日常维护保养，并定期检查。提供的电梯维保服务，保养项目应覆盖《电梯维护保养规则》（</w:t>
      </w:r>
      <w:r>
        <w:rPr>
          <w:color w:val="000000" w:themeColor="text1"/>
          <w:szCs w:val="21"/>
          <w:highlight w:val="none"/>
          <w14:textFill>
            <w14:solidFill>
              <w14:schemeClr w14:val="tx1"/>
            </w14:solidFill>
          </w14:textFill>
        </w:rPr>
        <w:t xml:space="preserve">TSG T5002-2017</w:t>
      </w:r>
      <w:r>
        <w:rPr>
          <w:rFonts w:hint="eastAsia"/>
          <w:color w:val="000000" w:themeColor="text1"/>
          <w:szCs w:val="21"/>
          <w:highlight w:val="none"/>
          <w14:textFill>
            <w14:solidFill>
              <w14:schemeClr w14:val="tx1"/>
            </w14:solidFill>
          </w14:textFill>
        </w:rPr>
        <w:t xml:space="preserve">）规定的半月、季度、半年、年度保养项目和电梯制造单位安装使用维护说明书要求所要求的特殊保养项目以及与电梯安全运行相关的其它项目。（如服务期内有最新规定的，应按新规执行）。在对在用特种设备进行检查和日常维护保养时发现异常情况的，应当及时汇报采购人。在维护保养中应严格执行国家安全技术规范的要求，保证电梯的安全技术性能，并负责落实现场安全防护措施，保证安全。免费维护保养服务期自项目验收合格并发放《特种设备使用标志》之日起计算。</w:t>
      </w:r>
      <w:r/>
    </w:p>
    <w:p>
      <w:pPr>
        <w:pStyle w:val="899"/>
        <w:numPr>
          <w:ilvl w:val="0"/>
          <w:numId w:val="10"/>
        </w:numPr>
        <w:rPr>
          <w:b/>
          <w:bCs/>
          <w:sz w:val="24"/>
          <w:szCs w:val="28"/>
        </w:rPr>
      </w:pPr>
      <w:r>
        <w:rPr>
          <w:b/>
          <w:bCs/>
          <w:sz w:val="24"/>
          <w:szCs w:val="28"/>
        </w:rPr>
        <w:t xml:space="preserve">相关标准及技术规范</w:t>
      </w:r>
      <w:r/>
    </w:p>
    <w:p>
      <w:pPr>
        <w:pStyle w:val="899"/>
        <w:ind w:left="0" w:firstLine="422"/>
        <w:spacing w:after="0"/>
        <w:rPr>
          <w:b/>
          <w:bCs/>
        </w:rPr>
      </w:pPr>
      <w:r>
        <w:rPr>
          <w:b/>
          <w:bCs/>
        </w:rPr>
        <w:t xml:space="preserve">（1）项目执行的主要标准和规范</w:t>
      </w:r>
      <w:r/>
    </w:p>
    <w:p>
      <w:pPr>
        <w:ind w:firstLine="420"/>
        <w:spacing w:line="360" w:lineRule="auto"/>
        <w:tabs>
          <w:tab w:val="left" w:pos="0" w:leader="none"/>
        </w:tabs>
      </w:pPr>
      <w:r>
        <w:t xml:space="preserve">本项目电梯的设计、制造、安装、调试、验收必须符合以下标准，包括但不限于：</w:t>
      </w:r>
      <w:r/>
    </w:p>
    <w:p>
      <w:pPr>
        <w:ind w:firstLine="420"/>
        <w:jc w:val="left"/>
        <w:spacing w:line="360" w:lineRule="auto"/>
        <w:widowControl/>
        <w:rPr>
          <w:szCs w:val="21"/>
        </w:rPr>
      </w:pPr>
      <w:r>
        <w:rPr>
          <w:szCs w:val="21"/>
        </w:rPr>
        <w:t xml:space="preserve">GB/T</w:t>
      </w:r>
      <w:r>
        <w:rPr>
          <w:rFonts w:hint="eastAsia"/>
          <w:szCs w:val="21"/>
        </w:rPr>
        <w:t xml:space="preserve"> </w:t>
      </w:r>
      <w:r>
        <w:rPr>
          <w:szCs w:val="21"/>
        </w:rPr>
        <w:t xml:space="preserve">10058-2023《电梯技术条件》 </w:t>
      </w:r>
      <w:r/>
    </w:p>
    <w:p>
      <w:pPr>
        <w:ind w:firstLine="420"/>
        <w:jc w:val="left"/>
        <w:spacing w:line="360" w:lineRule="auto"/>
        <w:widowControl/>
        <w:rPr>
          <w:szCs w:val="21"/>
        </w:rPr>
      </w:pPr>
      <w:r>
        <w:rPr>
          <w:szCs w:val="21"/>
        </w:rPr>
        <w:t xml:space="preserve">GB/T</w:t>
      </w:r>
      <w:r>
        <w:rPr>
          <w:rFonts w:hint="eastAsia"/>
          <w:szCs w:val="21"/>
        </w:rPr>
        <w:t xml:space="preserve"> </w:t>
      </w:r>
      <w:r>
        <w:rPr>
          <w:szCs w:val="21"/>
        </w:rPr>
        <w:t xml:space="preserve">10059-2023《电梯试验方法》 </w:t>
      </w:r>
      <w:r/>
    </w:p>
    <w:p>
      <w:pPr>
        <w:ind w:firstLine="420"/>
        <w:jc w:val="left"/>
        <w:spacing w:line="360" w:lineRule="auto"/>
        <w:widowControl/>
        <w:rPr>
          <w:szCs w:val="21"/>
        </w:rPr>
      </w:pPr>
      <w:r>
        <w:rPr>
          <w:szCs w:val="21"/>
        </w:rPr>
        <w:t xml:space="preserve">GB</w:t>
      </w:r>
      <w:r>
        <w:rPr>
          <w:rFonts w:hint="eastAsia"/>
          <w:szCs w:val="21"/>
        </w:rPr>
        <w:t xml:space="preserve"> </w:t>
      </w:r>
      <w:r>
        <w:rPr>
          <w:szCs w:val="21"/>
        </w:rPr>
        <w:t xml:space="preserve">10060-2023《电梯安装验收规范》 </w:t>
      </w:r>
      <w:r/>
    </w:p>
    <w:p>
      <w:pPr>
        <w:ind w:firstLine="420"/>
        <w:jc w:val="left"/>
        <w:spacing w:line="360" w:lineRule="auto"/>
        <w:widowControl/>
        <w:rPr>
          <w:szCs w:val="21"/>
        </w:rPr>
      </w:pPr>
      <w:r>
        <w:rPr>
          <w:szCs w:val="21"/>
        </w:rPr>
        <w:t xml:space="preserve">GB/T</w:t>
      </w:r>
      <w:r>
        <w:rPr>
          <w:rFonts w:hint="eastAsia"/>
          <w:szCs w:val="21"/>
        </w:rPr>
        <w:t xml:space="preserve"> </w:t>
      </w:r>
      <w:r>
        <w:rPr>
          <w:szCs w:val="21"/>
        </w:rPr>
        <w:t xml:space="preserve">7025.1-2023《电梯主参数及轿厢、井道、机房的型式与尺寸 第1部分:Ⅰ、Ⅱ、Ⅲ、Ⅵ类电梯》 </w:t>
      </w:r>
      <w:r/>
    </w:p>
    <w:p>
      <w:pPr>
        <w:ind w:firstLine="420"/>
        <w:jc w:val="left"/>
        <w:spacing w:line="360" w:lineRule="auto"/>
        <w:widowControl/>
        <w:rPr>
          <w:szCs w:val="21"/>
        </w:rPr>
      </w:pPr>
      <w:r>
        <w:rPr>
          <w:szCs w:val="21"/>
        </w:rPr>
        <w:t xml:space="preserve">GB 50310-2002《电梯工程施工质量验收规范》 </w:t>
      </w:r>
      <w:r/>
    </w:p>
    <w:p>
      <w:pPr>
        <w:ind w:firstLine="420"/>
        <w:jc w:val="left"/>
        <w:spacing w:line="360" w:lineRule="auto"/>
        <w:widowControl/>
        <w:rPr>
          <w:szCs w:val="21"/>
        </w:rPr>
      </w:pPr>
      <w:r>
        <w:rPr>
          <w:szCs w:val="21"/>
        </w:rPr>
        <w:t xml:space="preserve">GB 8903-2024《电梯用钢丝绳》 </w:t>
      </w:r>
      <w:r/>
    </w:p>
    <w:p>
      <w:pPr>
        <w:ind w:firstLine="420"/>
        <w:jc w:val="left"/>
        <w:spacing w:line="360" w:lineRule="auto"/>
        <w:widowControl/>
        <w:rPr>
          <w:szCs w:val="21"/>
        </w:rPr>
      </w:pPr>
      <w:r>
        <w:rPr>
          <w:szCs w:val="21"/>
        </w:rPr>
        <w:t xml:space="preserve">GB/T</w:t>
      </w:r>
      <w:r>
        <w:rPr>
          <w:rFonts w:hint="eastAsia"/>
          <w:szCs w:val="21"/>
        </w:rPr>
        <w:t xml:space="preserve"> </w:t>
      </w:r>
      <w:r>
        <w:rPr>
          <w:szCs w:val="21"/>
        </w:rPr>
        <w:t xml:space="preserve">24478-2023《电梯曳引机》 </w:t>
      </w:r>
      <w:r/>
    </w:p>
    <w:p>
      <w:pPr>
        <w:ind w:firstLine="420"/>
        <w:jc w:val="left"/>
        <w:spacing w:line="360" w:lineRule="auto"/>
        <w:widowControl/>
        <w:rPr>
          <w:szCs w:val="21"/>
        </w:rPr>
      </w:pPr>
      <w:r>
        <w:rPr>
          <w:szCs w:val="21"/>
        </w:rPr>
        <w:t xml:space="preserve">GB/T 12974.2-2023《交流电梯电动机通用技术条件 第2部分：永磁同步电动机》 </w:t>
      </w:r>
      <w:r/>
    </w:p>
    <w:p>
      <w:pPr>
        <w:ind w:firstLine="420"/>
        <w:jc w:val="left"/>
        <w:spacing w:line="360" w:lineRule="auto"/>
        <w:widowControl/>
        <w:rPr>
          <w:szCs w:val="21"/>
        </w:rPr>
      </w:pPr>
      <w:r>
        <w:rPr>
          <w:szCs w:val="21"/>
        </w:rPr>
        <w:t xml:space="preserve">GB/T 30560-2014《电梯操作装置、信号及附件》</w:t>
      </w:r>
      <w:r/>
    </w:p>
    <w:p>
      <w:pPr>
        <w:ind w:firstLine="420"/>
        <w:jc w:val="left"/>
        <w:spacing w:line="360" w:lineRule="auto"/>
        <w:widowControl/>
        <w:rPr>
          <w:szCs w:val="21"/>
        </w:rPr>
      </w:pPr>
      <w:r>
        <w:rPr>
          <w:szCs w:val="21"/>
        </w:rPr>
        <w:t xml:space="preserve">TSGT</w:t>
      </w:r>
      <w:r>
        <w:rPr>
          <w:rFonts w:hint="eastAsia"/>
          <w:szCs w:val="21"/>
        </w:rPr>
        <w:t xml:space="preserve"> </w:t>
      </w:r>
      <w:r>
        <w:rPr>
          <w:szCs w:val="21"/>
        </w:rPr>
        <w:t xml:space="preserve">5002-2017《电梯维护保养规则》</w:t>
      </w:r>
      <w:r/>
    </w:p>
    <w:p>
      <w:pPr>
        <w:ind w:firstLine="420"/>
        <w:spacing w:line="360" w:lineRule="auto"/>
        <w:tabs>
          <w:tab w:val="left" w:pos="0" w:leader="none"/>
        </w:tabs>
      </w:pPr>
      <w:r>
        <w:t xml:space="preserve">GB/T</w:t>
      </w:r>
      <w:r>
        <w:rPr>
          <w:rFonts w:hint="eastAsia"/>
        </w:rPr>
        <w:t xml:space="preserve"> </w:t>
      </w:r>
      <w:r>
        <w:t xml:space="preserve">18775-2009《电梯维修规范》</w:t>
      </w:r>
      <w:r/>
    </w:p>
    <w:p>
      <w:pPr>
        <w:ind w:firstLine="420"/>
        <w:spacing w:line="360" w:lineRule="auto"/>
        <w:tabs>
          <w:tab w:val="left" w:pos="0" w:leader="none"/>
        </w:tabs>
      </w:pPr>
      <w:r>
        <w:t xml:space="preserve">遵照国务院373号令《特种设备安全监察条例》</w:t>
      </w:r>
      <w:r/>
    </w:p>
    <w:p>
      <w:pPr>
        <w:ind w:firstLine="422"/>
        <w:jc w:val="left"/>
        <w:spacing w:line="360" w:lineRule="auto"/>
        <w:rPr>
          <w:b/>
          <w:bCs/>
          <w:szCs w:val="21"/>
        </w:rPr>
      </w:pPr>
      <w:r>
        <w:rPr>
          <w:b/>
          <w:bCs/>
          <w:szCs w:val="21"/>
        </w:rPr>
        <w:t xml:space="preserve">注：（1）采购文件涉及标准的一律采用最新现行有效的标准；随着标准的修订，以修订后的最新标准为依据。</w:t>
      </w:r>
      <w:r/>
    </w:p>
    <w:p>
      <w:pPr>
        <w:pStyle w:val="899"/>
        <w:ind w:left="0" w:firstLine="420"/>
        <w:jc w:val="left"/>
        <w:spacing w:after="0" w:line="360" w:lineRule="auto"/>
        <w:rPr>
          <w:rFonts w:hint="eastAsia"/>
        </w:rPr>
      </w:pPr>
      <w:r>
        <w:rPr>
          <w:rFonts w:hint="eastAsia"/>
        </w:rPr>
        <w:t xml:space="preserve">（2）上述标准并未穷尽列举本项目执行的标准、规范，国家、地方、行业等对本项目执行过程中涉及的内容有其他强制性规定的，应当执行。</w:t>
      </w:r>
      <w:r/>
    </w:p>
    <w:p>
      <w:pPr>
        <w:pStyle w:val="899"/>
        <w:ind w:left="0"/>
        <w:rPr>
          <w:b/>
          <w:bCs/>
          <w:sz w:val="24"/>
          <w:szCs w:val="28"/>
        </w:rPr>
      </w:pPr>
      <w:r>
        <w:rPr>
          <w:b/>
          <w:bCs/>
          <w:sz w:val="24"/>
          <w:szCs w:val="28"/>
        </w:rPr>
      </w:r>
      <w:r/>
    </w:p>
    <w:p>
      <w:pPr>
        <w:pStyle w:val="1069"/>
        <w:numPr>
          <w:ilvl w:val="0"/>
          <w:numId w:val="9"/>
        </w:numPr>
        <w:ind w:left="630"/>
        <w:spacing w:line="360" w:lineRule="auto"/>
        <w:rPr>
          <w:rFonts w:ascii="Times New Roman" w:hAnsi="Times New Roman"/>
          <w:b/>
          <w:color w:val="000000" w:themeColor="text1"/>
          <w14:textFill>
            <w14:solidFill>
              <w14:schemeClr w14:val="tx1"/>
            </w14:solidFill>
          </w14:textFill>
        </w:rPr>
        <w:outlineLvl w:val="1"/>
      </w:pPr>
      <w:r>
        <w:rPr>
          <w:rFonts w:ascii="Times New Roman" w:hAnsi="Times New Roman"/>
          <w:b/>
          <w:color w:val="000000" w:themeColor="text1"/>
          <w14:textFill>
            <w14:solidFill>
              <w14:schemeClr w14:val="tx1"/>
            </w14:solidFill>
          </w14:textFill>
        </w:rPr>
        <w:t xml:space="preserve">标的物清单</w:t>
      </w:r>
      <w:r/>
    </w:p>
    <w:p>
      <w:pPr>
        <w:pStyle w:val="899"/>
        <w:rPr>
          <w:b/>
          <w:bCs/>
          <w:sz w:val="24"/>
          <w:szCs w:val="28"/>
        </w:rPr>
      </w:pPr>
      <w:r>
        <w:rPr>
          <w:b/>
          <w:bCs/>
          <w:sz w:val="24"/>
          <w:szCs w:val="28"/>
        </w:rPr>
        <w:t xml:space="preserve">1、基础参数要求</w:t>
      </w:r>
      <w:r/>
    </w:p>
    <w:tbl>
      <w:tblPr>
        <w:tblStyle w:val="888"/>
        <w:tblW w:w="10258" w:type="dxa"/>
        <w:tblInd w:w="-92" w:type="dxa"/>
        <w:tblLayout w:type="fixed"/>
        <w:tblCellMar>
          <w:left w:w="108" w:type="dxa"/>
          <w:top w:w="0" w:type="dxa"/>
          <w:right w:w="108" w:type="dxa"/>
          <w:bottom w:w="0" w:type="dxa"/>
        </w:tblCellMar>
        <w:tblLook w:val="04A0" w:firstRow="1" w:lastRow="0" w:firstColumn="1" w:lastColumn="0" w:noHBand="0" w:noVBand="1"/>
      </w:tblPr>
      <w:tblGrid>
        <w:gridCol w:w="1358"/>
        <w:gridCol w:w="1133"/>
        <w:gridCol w:w="1242"/>
        <w:gridCol w:w="1017"/>
        <w:gridCol w:w="758"/>
        <w:gridCol w:w="759"/>
        <w:gridCol w:w="933"/>
        <w:gridCol w:w="1117"/>
        <w:gridCol w:w="924"/>
        <w:gridCol w:w="1017"/>
      </w:tblGrid>
      <w:tr>
        <w:trPr>
          <w:trHeight w:val="850"/>
        </w:trPr>
        <w:tc>
          <w:tcPr>
            <w:shd w:val="clear" w:color="000000" w:fill="d7d7d7" w:themeFill="background1" w:themeFillShade="D8"/>
            <w:tcBorders>
              <w:top w:val="single" w:color="auto" w:sz="8" w:space="0"/>
              <w:left w:val="single" w:color="auto" w:sz="8" w:space="0"/>
              <w:bottom w:val="single" w:color="auto" w:sz="4" w:space="0"/>
              <w:right w:val="single" w:color="auto" w:sz="4" w:space="0"/>
            </w:tcBorders>
            <w:tcW w:w="1358" w:type="dxa"/>
            <w:vAlign w:val="center"/>
            <w:textDirection w:val="lrTb"/>
            <w:noWrap w:val="false"/>
          </w:tcPr>
          <w:p>
            <w:pPr>
              <w:jc w:val="center"/>
              <w:widowControl/>
              <w:rPr>
                <w:color w:val="000000"/>
                <w:sz w:val="22"/>
              </w:rPr>
            </w:pPr>
            <w:r>
              <w:rPr>
                <w:color w:val="000000"/>
                <w:sz w:val="22"/>
              </w:rPr>
              <w:t xml:space="preserve">项目名称</w:t>
            </w:r>
            <w:r/>
          </w:p>
        </w:tc>
        <w:tc>
          <w:tcPr>
            <w:shd w:val="clear" w:color="000000" w:fill="d7d7d7" w:themeFill="background1" w:themeFillShade="D8"/>
            <w:tcBorders>
              <w:top w:val="single" w:color="auto" w:sz="8" w:space="0"/>
              <w:left w:val="none" w:color="000000" w:sz="4" w:space="0"/>
              <w:bottom w:val="single" w:color="auto" w:sz="4" w:space="0"/>
              <w:right w:val="single" w:color="auto" w:sz="4" w:space="0"/>
            </w:tcBorders>
            <w:tcW w:w="1133" w:type="dxa"/>
            <w:vAlign w:val="center"/>
            <w:textDirection w:val="lrTb"/>
            <w:noWrap w:val="false"/>
          </w:tcPr>
          <w:p>
            <w:pPr>
              <w:jc w:val="center"/>
              <w:widowControl/>
              <w:rPr>
                <w:color w:val="000000"/>
                <w:sz w:val="22"/>
              </w:rPr>
            </w:pPr>
            <w:r>
              <w:rPr>
                <w:color w:val="000000"/>
                <w:sz w:val="22"/>
              </w:rPr>
              <w:t xml:space="preserve">梯号</w:t>
            </w:r>
            <w:r/>
          </w:p>
        </w:tc>
        <w:tc>
          <w:tcPr>
            <w:shd w:val="clear" w:color="000000" w:fill="d7d7d7" w:themeFill="background1" w:themeFillShade="D8"/>
            <w:tcBorders>
              <w:top w:val="single" w:color="auto" w:sz="8" w:space="0"/>
              <w:left w:val="none" w:color="000000" w:sz="4" w:space="0"/>
              <w:bottom w:val="single" w:color="auto" w:sz="4" w:space="0"/>
              <w:right w:val="single" w:color="auto" w:sz="4" w:space="0"/>
            </w:tcBorders>
            <w:tcW w:w="1242" w:type="dxa"/>
            <w:vAlign w:val="center"/>
            <w:textDirection w:val="lrTb"/>
            <w:noWrap w:val="false"/>
          </w:tcPr>
          <w:p>
            <w:pPr>
              <w:jc w:val="center"/>
              <w:widowControl/>
              <w:rPr>
                <w:color w:val="000000"/>
                <w:sz w:val="22"/>
              </w:rPr>
            </w:pPr>
            <w:r>
              <w:rPr>
                <w:color w:val="000000"/>
                <w:sz w:val="22"/>
              </w:rPr>
              <w:t xml:space="preserve">电梯</w:t>
            </w:r>
            <w:r>
              <w:rPr>
                <w:color w:val="000000"/>
                <w:sz w:val="22"/>
              </w:rPr>
              <w:br/>
            </w:r>
            <w:r>
              <w:rPr>
                <w:color w:val="000000"/>
                <w:sz w:val="22"/>
              </w:rPr>
              <w:t xml:space="preserve">种类</w:t>
            </w:r>
            <w:r/>
          </w:p>
        </w:tc>
        <w:tc>
          <w:tcPr>
            <w:shd w:val="clear" w:color="000000" w:fill="d7d7d7" w:themeFill="background1" w:themeFillShade="D8"/>
            <w:tcBorders>
              <w:top w:val="single" w:color="auto" w:sz="8" w:space="0"/>
              <w:left w:val="none" w:color="000000" w:sz="4" w:space="0"/>
              <w:bottom w:val="single" w:color="auto" w:sz="4" w:space="0"/>
              <w:right w:val="single" w:color="auto" w:sz="4" w:space="0"/>
            </w:tcBorders>
            <w:tcW w:w="1017" w:type="dxa"/>
            <w:vAlign w:val="center"/>
            <w:textDirection w:val="lrTb"/>
            <w:noWrap w:val="false"/>
          </w:tcPr>
          <w:p>
            <w:pPr>
              <w:jc w:val="center"/>
              <w:widowControl/>
              <w:rPr>
                <w:color w:val="000000"/>
                <w:sz w:val="22"/>
              </w:rPr>
            </w:pPr>
            <w:r>
              <w:rPr>
                <w:color w:val="000000"/>
                <w:sz w:val="22"/>
              </w:rPr>
              <w:t xml:space="preserve">台量</w:t>
            </w:r>
            <w:r/>
          </w:p>
        </w:tc>
        <w:tc>
          <w:tcPr>
            <w:shd w:val="clear" w:color="000000" w:fill="d7d7d7" w:themeFill="background1" w:themeFillShade="D8"/>
            <w:tcBorders>
              <w:top w:val="single" w:color="auto" w:sz="8" w:space="0"/>
              <w:left w:val="none" w:color="000000" w:sz="4" w:space="0"/>
              <w:bottom w:val="single" w:color="auto" w:sz="4" w:space="0"/>
              <w:right w:val="single" w:color="auto" w:sz="4" w:space="0"/>
            </w:tcBorders>
            <w:tcW w:w="758" w:type="dxa"/>
            <w:vAlign w:val="center"/>
            <w:textDirection w:val="lrTb"/>
            <w:noWrap w:val="false"/>
          </w:tcPr>
          <w:p>
            <w:pPr>
              <w:jc w:val="center"/>
              <w:widowControl/>
              <w:rPr>
                <w:color w:val="000000"/>
                <w:sz w:val="22"/>
              </w:rPr>
            </w:pPr>
            <w:r>
              <w:rPr>
                <w:color w:val="000000"/>
                <w:sz w:val="22"/>
              </w:rPr>
              <w:t xml:space="preserve">速度</w:t>
            </w:r>
            <w:r>
              <w:rPr>
                <w:color w:val="000000"/>
                <w:sz w:val="22"/>
              </w:rPr>
              <w:br/>
            </w:r>
            <w:r>
              <w:rPr>
                <w:color w:val="000000"/>
                <w:sz w:val="22"/>
              </w:rPr>
              <w:t xml:space="preserve">m/s</w:t>
            </w:r>
            <w:r/>
          </w:p>
        </w:tc>
        <w:tc>
          <w:tcPr>
            <w:shd w:val="clear" w:color="000000" w:fill="d7d7d7" w:themeFill="background1" w:themeFillShade="D8"/>
            <w:tcBorders>
              <w:top w:val="single" w:color="auto" w:sz="8" w:space="0"/>
              <w:left w:val="none" w:color="000000" w:sz="4" w:space="0"/>
              <w:bottom w:val="single" w:color="auto" w:sz="4" w:space="0"/>
              <w:right w:val="single" w:color="auto" w:sz="4" w:space="0"/>
            </w:tcBorders>
            <w:tcW w:w="759" w:type="dxa"/>
            <w:vAlign w:val="center"/>
            <w:textDirection w:val="lrTb"/>
            <w:noWrap w:val="false"/>
          </w:tcPr>
          <w:p>
            <w:pPr>
              <w:jc w:val="center"/>
              <w:widowControl/>
              <w:rPr>
                <w:color w:val="000000"/>
                <w:sz w:val="22"/>
              </w:rPr>
            </w:pPr>
            <w:r>
              <w:rPr>
                <w:color w:val="000000"/>
                <w:sz w:val="22"/>
              </w:rPr>
              <w:t xml:space="preserve">载重</w:t>
            </w:r>
            <w:r>
              <w:rPr>
                <w:color w:val="000000"/>
                <w:sz w:val="22"/>
              </w:rPr>
              <w:br/>
            </w:r>
            <w:r>
              <w:rPr>
                <w:color w:val="000000"/>
                <w:sz w:val="22"/>
              </w:rPr>
              <w:t xml:space="preserve">kg</w:t>
            </w:r>
            <w:r/>
          </w:p>
        </w:tc>
        <w:tc>
          <w:tcPr>
            <w:shd w:val="clear" w:color="000000" w:fill="d7d7d7" w:themeFill="background1" w:themeFillShade="D8"/>
            <w:tcBorders>
              <w:top w:val="single" w:color="auto" w:sz="8" w:space="0"/>
              <w:left w:val="none" w:color="000000" w:sz="4" w:space="0"/>
              <w:bottom w:val="single" w:color="auto" w:sz="4" w:space="0"/>
              <w:right w:val="single" w:color="auto" w:sz="4" w:space="0"/>
            </w:tcBorders>
            <w:tcW w:w="933" w:type="dxa"/>
            <w:vAlign w:val="center"/>
            <w:textDirection w:val="lrTb"/>
            <w:noWrap w:val="false"/>
          </w:tcPr>
          <w:p>
            <w:pPr>
              <w:jc w:val="center"/>
              <w:widowControl/>
              <w:rPr>
                <w:color w:val="000000"/>
                <w:sz w:val="22"/>
              </w:rPr>
            </w:pPr>
            <w:r>
              <w:rPr>
                <w:color w:val="000000"/>
                <w:sz w:val="22"/>
              </w:rPr>
              <w:t xml:space="preserve">停站楼层数</w:t>
            </w:r>
            <w:r/>
          </w:p>
        </w:tc>
        <w:tc>
          <w:tcPr>
            <w:shd w:val="clear" w:color="000000" w:fill="d7d7d7" w:themeFill="background1" w:themeFillShade="D8"/>
            <w:tcBorders>
              <w:top w:val="single" w:color="auto" w:sz="8" w:space="0"/>
              <w:left w:val="none" w:color="000000" w:sz="4" w:space="0"/>
              <w:bottom w:val="single" w:color="auto" w:sz="4" w:space="0"/>
              <w:right w:val="single" w:color="auto" w:sz="4" w:space="0"/>
            </w:tcBorders>
            <w:tcW w:w="1117" w:type="dxa"/>
            <w:vAlign w:val="center"/>
            <w:textDirection w:val="lrTb"/>
            <w:noWrap w:val="false"/>
          </w:tcPr>
          <w:p>
            <w:pPr>
              <w:jc w:val="center"/>
              <w:widowControl/>
              <w:rPr>
                <w:color w:val="000000"/>
                <w:sz w:val="22"/>
              </w:rPr>
            </w:pPr>
            <w:r>
              <w:rPr>
                <w:color w:val="000000"/>
                <w:sz w:val="22"/>
              </w:rPr>
              <w:t xml:space="preserve">到达楼层</w:t>
            </w:r>
            <w:r/>
          </w:p>
        </w:tc>
        <w:tc>
          <w:tcPr>
            <w:shd w:val="clear" w:color="000000" w:fill="d7d7d7" w:themeFill="background1" w:themeFillShade="D8"/>
            <w:tcBorders>
              <w:top w:val="single" w:color="auto" w:sz="8" w:space="0"/>
              <w:left w:val="none" w:color="000000" w:sz="4" w:space="0"/>
              <w:bottom w:val="single" w:color="auto" w:sz="4" w:space="0"/>
              <w:right w:val="single" w:color="auto" w:sz="4" w:space="0"/>
            </w:tcBorders>
            <w:tcW w:w="924" w:type="dxa"/>
            <w:vAlign w:val="center"/>
            <w:textDirection w:val="lrTb"/>
            <w:noWrap w:val="false"/>
          </w:tcPr>
          <w:p>
            <w:pPr>
              <w:jc w:val="center"/>
              <w:widowControl/>
              <w:rPr>
                <w:color w:val="000000"/>
                <w:sz w:val="22"/>
              </w:rPr>
            </w:pPr>
            <w:r>
              <w:rPr>
                <w:color w:val="000000"/>
                <w:sz w:val="22"/>
              </w:rPr>
              <w:t xml:space="preserve">基坑</w:t>
            </w:r>
            <w:r>
              <w:rPr>
                <w:color w:val="000000"/>
                <w:sz w:val="22"/>
              </w:rPr>
              <w:br/>
            </w:r>
            <w:r>
              <w:rPr>
                <w:color w:val="000000"/>
                <w:sz w:val="22"/>
              </w:rPr>
              <w:t xml:space="preserve">深度mm</w:t>
            </w:r>
            <w:r/>
          </w:p>
        </w:tc>
        <w:tc>
          <w:tcPr>
            <w:shd w:val="clear" w:color="000000" w:fill="d7d7d7" w:themeFill="background1" w:themeFillShade="D8"/>
            <w:tcBorders>
              <w:top w:val="single" w:color="auto" w:sz="8" w:space="0"/>
              <w:left w:val="none" w:color="000000" w:sz="4" w:space="0"/>
              <w:bottom w:val="single" w:color="auto" w:sz="4" w:space="0"/>
              <w:right w:val="single" w:color="auto" w:sz="4" w:space="0"/>
            </w:tcBorders>
            <w:tcW w:w="1017" w:type="dxa"/>
            <w:vAlign w:val="center"/>
            <w:textDirection w:val="lrTb"/>
            <w:noWrap w:val="false"/>
          </w:tcPr>
          <w:p>
            <w:pPr>
              <w:jc w:val="center"/>
              <w:widowControl/>
              <w:rPr>
                <w:color w:val="000000"/>
                <w:sz w:val="22"/>
              </w:rPr>
            </w:pPr>
            <w:r>
              <w:rPr>
                <w:color w:val="000000"/>
                <w:sz w:val="22"/>
              </w:rPr>
              <w:t xml:space="preserve">顶层</w:t>
            </w:r>
            <w:r>
              <w:rPr>
                <w:color w:val="000000"/>
                <w:sz w:val="22"/>
              </w:rPr>
              <w:br/>
            </w:r>
            <w:r>
              <w:rPr>
                <w:color w:val="000000"/>
                <w:sz w:val="22"/>
              </w:rPr>
              <w:t xml:space="preserve">高度mm</w:t>
            </w:r>
            <w:r/>
          </w:p>
        </w:tc>
      </w:tr>
      <w:tr>
        <w:trPr>
          <w:trHeight w:val="780"/>
        </w:trPr>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widowControl/>
              <w:rPr>
                <w:color w:val="000000"/>
                <w:sz w:val="20"/>
                <w:szCs w:val="20"/>
              </w:rPr>
            </w:pPr>
            <w:r>
              <w:rPr>
                <w:rFonts w:hint="eastAsia"/>
                <w:color w:val="000000"/>
                <w:sz w:val="20"/>
                <w:szCs w:val="20"/>
              </w:rPr>
              <w:t xml:space="preserve">苏州工业园区青少年活动中心电梯</w:t>
            </w:r>
            <w:r/>
          </w:p>
        </w:tc>
        <w:tc>
          <w:tcPr>
            <w:tcBorders>
              <w:top w:val="single" w:color="auto" w:sz="4" w:space="0"/>
              <w:left w:val="none" w:color="000000" w:sz="4" w:space="0"/>
              <w:bottom w:val="single" w:color="auto" w:sz="4" w:space="0"/>
              <w:right w:val="single" w:color="auto" w:sz="4" w:space="0"/>
            </w:tcBorders>
            <w:tcW w:w="1133" w:type="dxa"/>
            <w:vAlign w:val="center"/>
            <w:textDirection w:val="lrTb"/>
            <w:noWrap w:val="false"/>
          </w:tcPr>
          <w:p>
            <w:pPr>
              <w:jc w:val="center"/>
              <w:widowControl/>
              <w:rPr>
                <w:color w:val="000000"/>
                <w:sz w:val="20"/>
                <w:szCs w:val="20"/>
              </w:rPr>
            </w:pPr>
            <w:r>
              <w:rPr>
                <w:rFonts w:hint="eastAsia"/>
                <w:color w:val="000000"/>
                <w:sz w:val="20"/>
                <w:szCs w:val="20"/>
              </w:rPr>
              <w:t xml:space="preserve">4号</w:t>
            </w:r>
            <w:r/>
          </w:p>
        </w:tc>
        <w:tc>
          <w:tcPr>
            <w:tcBorders>
              <w:top w:val="single" w:color="auto" w:sz="4" w:space="0"/>
              <w:left w:val="none" w:color="000000" w:sz="4" w:space="0"/>
              <w:bottom w:val="single" w:color="auto" w:sz="4" w:space="0"/>
              <w:right w:val="single" w:color="auto" w:sz="4" w:space="0"/>
            </w:tcBorders>
            <w:tcW w:w="1242" w:type="dxa"/>
            <w:vAlign w:val="center"/>
            <w:textDirection w:val="lrTb"/>
            <w:noWrap w:val="false"/>
          </w:tcPr>
          <w:p>
            <w:pPr>
              <w:jc w:val="center"/>
              <w:widowControl/>
              <w:rPr>
                <w:color w:val="000000"/>
                <w:sz w:val="20"/>
                <w:szCs w:val="20"/>
              </w:rPr>
            </w:pPr>
            <w:r>
              <w:rPr>
                <w:color w:val="000000"/>
                <w:sz w:val="20"/>
                <w:szCs w:val="20"/>
              </w:rPr>
              <w:t xml:space="preserve">无机房</w:t>
            </w:r>
            <w:r>
              <w:rPr>
                <w:color w:val="000000"/>
                <w:sz w:val="20"/>
                <w:szCs w:val="20"/>
              </w:rPr>
              <w:br/>
            </w:r>
            <w:r>
              <w:rPr>
                <w:color w:val="000000"/>
                <w:sz w:val="20"/>
                <w:szCs w:val="20"/>
              </w:rPr>
              <w:t xml:space="preserve">无障碍客梯</w:t>
            </w:r>
            <w:r/>
          </w:p>
        </w:tc>
        <w:tc>
          <w:tcPr>
            <w:tcBorders>
              <w:top w:val="single" w:color="auto" w:sz="4" w:space="0"/>
              <w:left w:val="none" w:color="000000" w:sz="4" w:space="0"/>
              <w:bottom w:val="single" w:color="auto" w:sz="4" w:space="0"/>
              <w:right w:val="single" w:color="auto" w:sz="4" w:space="0"/>
            </w:tcBorders>
            <w:tcW w:w="1017" w:type="dxa"/>
            <w:vAlign w:val="center"/>
            <w:textDirection w:val="lrTb"/>
            <w:noWrap w:val="false"/>
          </w:tcPr>
          <w:p>
            <w:pPr>
              <w:jc w:val="center"/>
              <w:widowControl/>
              <w:rPr>
                <w:color w:val="000000"/>
                <w:sz w:val="20"/>
                <w:szCs w:val="20"/>
              </w:rPr>
            </w:pPr>
            <w:r>
              <w:rPr>
                <w:color w:val="000000"/>
                <w:sz w:val="20"/>
                <w:szCs w:val="20"/>
              </w:rPr>
              <w:t xml:space="preserve">1</w:t>
            </w:r>
            <w:r/>
          </w:p>
        </w:tc>
        <w:tc>
          <w:tcPr>
            <w:tcBorders>
              <w:top w:val="single" w:color="auto" w:sz="4" w:space="0"/>
              <w:left w:val="none" w:color="000000" w:sz="4" w:space="0"/>
              <w:bottom w:val="single" w:color="auto" w:sz="4" w:space="0"/>
              <w:right w:val="single" w:color="auto" w:sz="4" w:space="0"/>
            </w:tcBorders>
            <w:tcW w:w="758" w:type="dxa"/>
            <w:vAlign w:val="center"/>
            <w:textDirection w:val="lrTb"/>
            <w:noWrap w:val="false"/>
          </w:tcPr>
          <w:p>
            <w:pPr>
              <w:jc w:val="center"/>
              <w:widowControl/>
              <w:rPr>
                <w:color w:val="000000"/>
                <w:sz w:val="20"/>
                <w:szCs w:val="20"/>
              </w:rPr>
            </w:pPr>
            <w:r>
              <w:rPr>
                <w:color w:val="000000"/>
                <w:sz w:val="20"/>
                <w:szCs w:val="20"/>
              </w:rPr>
              <w:t xml:space="preserve">1.0</w:t>
            </w:r>
            <w:r/>
          </w:p>
        </w:tc>
        <w:tc>
          <w:tcPr>
            <w:tcBorders>
              <w:top w:val="single" w:color="auto" w:sz="4" w:space="0"/>
              <w:left w:val="none" w:color="000000" w:sz="4" w:space="0"/>
              <w:bottom w:val="single" w:color="auto" w:sz="4" w:space="0"/>
              <w:right w:val="single" w:color="auto" w:sz="4" w:space="0"/>
            </w:tcBorders>
            <w:tcW w:w="759" w:type="dxa"/>
            <w:vAlign w:val="center"/>
            <w:textDirection w:val="lrTb"/>
            <w:noWrap w:val="false"/>
          </w:tcPr>
          <w:p>
            <w:pPr>
              <w:jc w:val="center"/>
              <w:widowControl/>
              <w:rPr>
                <w:color w:val="000000"/>
                <w:sz w:val="20"/>
                <w:szCs w:val="20"/>
              </w:rPr>
            </w:pPr>
            <w:r>
              <w:rPr>
                <w:color w:val="000000"/>
                <w:sz w:val="20"/>
                <w:szCs w:val="20"/>
              </w:rPr>
            </w:r>
            <w:r>
              <w:t xml:space="preserve">≥</w:t>
            </w:r>
            <w:r>
              <w:rPr>
                <w:color w:val="000000"/>
                <w:sz w:val="20"/>
                <w:szCs w:val="20"/>
              </w:rPr>
              <w:t xml:space="preserve">1600</w:t>
            </w:r>
            <w:r/>
          </w:p>
        </w:tc>
        <w:tc>
          <w:tcPr>
            <w:tcBorders>
              <w:top w:val="single" w:color="auto" w:sz="4" w:space="0"/>
              <w:left w:val="none" w:color="000000" w:sz="4" w:space="0"/>
              <w:bottom w:val="single" w:color="auto" w:sz="4" w:space="0"/>
              <w:right w:val="single" w:color="auto" w:sz="4" w:space="0"/>
            </w:tcBorders>
            <w:tcW w:w="933" w:type="dxa"/>
            <w:vAlign w:val="center"/>
            <w:textDirection w:val="lrTb"/>
            <w:noWrap w:val="false"/>
          </w:tcPr>
          <w:p>
            <w:pPr>
              <w:jc w:val="center"/>
              <w:widowControl/>
              <w:rPr>
                <w:color w:val="000000"/>
                <w:sz w:val="20"/>
                <w:szCs w:val="20"/>
              </w:rPr>
            </w:pPr>
            <w:r>
              <w:rPr>
                <w:color w:val="000000"/>
                <w:sz w:val="20"/>
                <w:szCs w:val="20"/>
              </w:rPr>
              <w:t xml:space="preserve">5</w:t>
            </w:r>
            <w:r/>
          </w:p>
        </w:tc>
        <w:tc>
          <w:tcPr>
            <w:tcBorders>
              <w:top w:val="single" w:color="auto" w:sz="4" w:space="0"/>
              <w:left w:val="none" w:color="000000" w:sz="4" w:space="0"/>
              <w:bottom w:val="single" w:color="auto" w:sz="4" w:space="0"/>
              <w:right w:val="single" w:color="auto" w:sz="4" w:space="0"/>
            </w:tcBorders>
            <w:tcW w:w="1117" w:type="dxa"/>
            <w:vAlign w:val="center"/>
            <w:textDirection w:val="lrTb"/>
            <w:noWrap w:val="false"/>
          </w:tcPr>
          <w:p>
            <w:pPr>
              <w:jc w:val="center"/>
              <w:widowControl/>
              <w:rPr>
                <w:color w:val="000000"/>
                <w:sz w:val="20"/>
                <w:szCs w:val="20"/>
              </w:rPr>
            </w:pPr>
            <w:r>
              <w:rPr>
                <w:color w:val="000000"/>
                <w:sz w:val="20"/>
                <w:szCs w:val="20"/>
              </w:rPr>
              <w:t xml:space="preserve">【-1F~4F】</w:t>
            </w:r>
            <w:r/>
          </w:p>
        </w:tc>
        <w:tc>
          <w:tcPr>
            <w:tcBorders>
              <w:top w:val="single" w:color="auto" w:sz="4" w:space="0"/>
              <w:left w:val="none" w:color="000000" w:sz="4" w:space="0"/>
              <w:bottom w:val="single" w:color="auto" w:sz="4" w:space="0"/>
              <w:right w:val="single" w:color="auto" w:sz="4" w:space="0"/>
            </w:tcBorders>
            <w:tcW w:w="924" w:type="dxa"/>
            <w:vAlign w:val="center"/>
            <w:textDirection w:val="lrTb"/>
            <w:noWrap w:val="false"/>
          </w:tcPr>
          <w:p>
            <w:pPr>
              <w:jc w:val="center"/>
              <w:widowControl/>
              <w:rPr>
                <w:color w:val="000000"/>
                <w:sz w:val="20"/>
                <w:szCs w:val="20"/>
              </w:rPr>
            </w:pPr>
            <w:r>
              <w:rPr>
                <w:color w:val="000000"/>
                <w:sz w:val="20"/>
                <w:szCs w:val="20"/>
              </w:rPr>
              <w:t xml:space="preserve">1650</w:t>
            </w:r>
            <w:r/>
          </w:p>
        </w:tc>
        <w:tc>
          <w:tcPr>
            <w:tcBorders>
              <w:top w:val="single" w:color="auto" w:sz="4" w:space="0"/>
              <w:left w:val="none" w:color="000000" w:sz="4" w:space="0"/>
              <w:bottom w:val="single" w:color="auto" w:sz="4" w:space="0"/>
              <w:right w:val="single" w:color="auto" w:sz="4" w:space="0"/>
            </w:tcBorders>
            <w:tcW w:w="1017" w:type="dxa"/>
            <w:vAlign w:val="center"/>
            <w:textDirection w:val="lrTb"/>
            <w:noWrap w:val="false"/>
          </w:tcPr>
          <w:p>
            <w:pPr>
              <w:jc w:val="center"/>
              <w:widowControl/>
              <w:rPr>
                <w:color w:val="000000"/>
                <w:sz w:val="20"/>
                <w:szCs w:val="20"/>
              </w:rPr>
            </w:pPr>
            <w:r>
              <w:rPr>
                <w:color w:val="000000"/>
                <w:sz w:val="20"/>
                <w:szCs w:val="20"/>
              </w:rPr>
              <w:t xml:space="preserve">4280</w:t>
            </w:r>
            <w:r/>
          </w:p>
        </w:tc>
      </w:tr>
      <w:tr>
        <w:trPr>
          <w:trHeight w:val="780"/>
        </w:trPr>
        <w:tc>
          <w:tcPr>
            <w:shd w:val="clear" w:color="auto" w:fill="d7d7d7" w:themeFill="background1" w:themeFillShade="D8"/>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widowControl/>
              <w:rPr>
                <w:color w:val="000000"/>
                <w:sz w:val="22"/>
              </w:rPr>
            </w:pPr>
            <w:r>
              <w:rPr>
                <w:color w:val="000000"/>
                <w:sz w:val="22"/>
              </w:rPr>
              <w:t xml:space="preserve">层高mm</w:t>
            </w:r>
            <w:r/>
          </w:p>
        </w:tc>
        <w:tc>
          <w:tcPr>
            <w:shd w:val="clear" w:color="auto" w:fill="d7d7d7" w:themeFill="background1" w:themeFillShade="D8"/>
            <w:tcBorders>
              <w:top w:val="single" w:color="auto" w:sz="4" w:space="0"/>
              <w:left w:val="none" w:color="000000" w:sz="4" w:space="0"/>
              <w:bottom w:val="single" w:color="auto" w:sz="4" w:space="0"/>
              <w:right w:val="single" w:color="auto" w:sz="4" w:space="0"/>
            </w:tcBorders>
            <w:tcW w:w="1133" w:type="dxa"/>
            <w:vAlign w:val="center"/>
            <w:textDirection w:val="lrTb"/>
            <w:noWrap w:val="false"/>
          </w:tcPr>
          <w:p>
            <w:pPr>
              <w:jc w:val="center"/>
              <w:widowControl/>
              <w:rPr>
                <w:color w:val="000000"/>
                <w:sz w:val="22"/>
              </w:rPr>
            </w:pPr>
            <w:r>
              <w:rPr>
                <w:color w:val="000000"/>
                <w:sz w:val="22"/>
              </w:rPr>
              <w:t xml:space="preserve">井道宽*深</w:t>
            </w:r>
            <w:r>
              <w:rPr>
                <w:color w:val="000000"/>
                <w:sz w:val="22"/>
              </w:rPr>
              <w:br/>
            </w:r>
            <w:r>
              <w:rPr>
                <w:color w:val="000000"/>
                <w:sz w:val="22"/>
              </w:rPr>
              <w:t xml:space="preserve">mm</w:t>
            </w:r>
            <w:r/>
          </w:p>
        </w:tc>
        <w:tc>
          <w:tcPr>
            <w:shd w:val="clear" w:color="auto" w:fill="d7d7d7" w:themeFill="background1" w:themeFillShade="D8"/>
            <w:tcBorders>
              <w:top w:val="single" w:color="auto" w:sz="4" w:space="0"/>
              <w:left w:val="none" w:color="000000" w:sz="4" w:space="0"/>
              <w:bottom w:val="single" w:color="auto" w:sz="4" w:space="0"/>
              <w:right w:val="single" w:color="auto" w:sz="4" w:space="0"/>
            </w:tcBorders>
            <w:tcW w:w="1242" w:type="dxa"/>
            <w:vAlign w:val="center"/>
            <w:textDirection w:val="lrTb"/>
            <w:noWrap w:val="false"/>
          </w:tcPr>
          <w:p>
            <w:pPr>
              <w:jc w:val="center"/>
              <w:widowControl/>
              <w:rPr>
                <w:color w:val="000000"/>
                <w:sz w:val="22"/>
              </w:rPr>
            </w:pPr>
            <w:r>
              <w:rPr>
                <w:color w:val="000000"/>
                <w:sz w:val="22"/>
              </w:rPr>
              <w:t xml:space="preserve">轿厢宽*深</w:t>
            </w:r>
            <w:r>
              <w:rPr>
                <w:color w:val="000000"/>
                <w:sz w:val="22"/>
              </w:rPr>
              <w:br/>
            </w:r>
            <w:r>
              <w:rPr>
                <w:color w:val="000000"/>
                <w:sz w:val="22"/>
              </w:rPr>
              <w:t xml:space="preserve">*高mm</w:t>
            </w:r>
            <w:r/>
          </w:p>
        </w:tc>
        <w:tc>
          <w:tcPr>
            <w:shd w:val="clear" w:color="auto" w:fill="d7d7d7" w:themeFill="background1" w:themeFillShade="D8"/>
            <w:tcBorders>
              <w:top w:val="single" w:color="auto" w:sz="4" w:space="0"/>
              <w:left w:val="none" w:color="000000" w:sz="4" w:space="0"/>
              <w:bottom w:val="single" w:color="auto" w:sz="4" w:space="0"/>
              <w:right w:val="single" w:color="auto" w:sz="4" w:space="0"/>
            </w:tcBorders>
            <w:tcW w:w="1017" w:type="dxa"/>
            <w:vAlign w:val="center"/>
            <w:textDirection w:val="lrTb"/>
            <w:noWrap w:val="false"/>
          </w:tcPr>
          <w:p>
            <w:pPr>
              <w:jc w:val="center"/>
              <w:widowControl/>
              <w:rPr>
                <w:color w:val="000000"/>
                <w:sz w:val="22"/>
              </w:rPr>
            </w:pPr>
            <w:r>
              <w:rPr>
                <w:color w:val="000000"/>
                <w:sz w:val="22"/>
              </w:rPr>
              <w:t xml:space="preserve">开门宽*高</w:t>
            </w:r>
            <w:r>
              <w:rPr>
                <w:color w:val="000000"/>
                <w:sz w:val="22"/>
              </w:rPr>
              <w:br/>
            </w:r>
            <w:r>
              <w:rPr>
                <w:color w:val="000000"/>
                <w:sz w:val="22"/>
              </w:rPr>
              <w:t xml:space="preserve">mm</w:t>
            </w:r>
            <w:r/>
          </w:p>
        </w:tc>
        <w:tc>
          <w:tcPr>
            <w:shd w:val="clear" w:color="auto" w:fill="d7d7d7" w:themeFill="background1" w:themeFillShade="D8"/>
            <w:tcBorders>
              <w:top w:val="single" w:color="auto" w:sz="4" w:space="0"/>
              <w:left w:val="none" w:color="000000" w:sz="4" w:space="0"/>
              <w:bottom w:val="single" w:color="auto" w:sz="4" w:space="0"/>
              <w:right w:val="single" w:color="auto" w:sz="4" w:space="0"/>
            </w:tcBorders>
            <w:tcW w:w="758" w:type="dxa"/>
            <w:vAlign w:val="center"/>
            <w:textDirection w:val="lrTb"/>
            <w:noWrap w:val="false"/>
          </w:tcPr>
          <w:p>
            <w:pPr>
              <w:jc w:val="center"/>
              <w:widowControl/>
              <w:rPr>
                <w:color w:val="000000"/>
                <w:sz w:val="22"/>
              </w:rPr>
            </w:pPr>
            <w:r>
              <w:rPr>
                <w:color w:val="000000"/>
                <w:sz w:val="22"/>
              </w:rPr>
            </w:r>
            <w:r/>
          </w:p>
        </w:tc>
        <w:tc>
          <w:tcPr>
            <w:shd w:val="clear" w:color="auto" w:fill="d7d7d7" w:themeFill="background1" w:themeFillShade="D8"/>
            <w:tcBorders>
              <w:top w:val="single" w:color="auto" w:sz="4" w:space="0"/>
              <w:left w:val="none" w:color="000000" w:sz="4" w:space="0"/>
              <w:bottom w:val="single" w:color="auto" w:sz="4" w:space="0"/>
              <w:right w:val="single" w:color="auto" w:sz="4" w:space="0"/>
            </w:tcBorders>
            <w:tcW w:w="759" w:type="dxa"/>
            <w:vAlign w:val="center"/>
            <w:textDirection w:val="lrTb"/>
            <w:noWrap w:val="false"/>
          </w:tcPr>
          <w:p>
            <w:pPr>
              <w:jc w:val="center"/>
              <w:widowControl/>
              <w:rPr>
                <w:color w:val="000000"/>
                <w:sz w:val="22"/>
              </w:rPr>
            </w:pPr>
            <w:r>
              <w:rPr>
                <w:color w:val="000000"/>
                <w:sz w:val="22"/>
              </w:rPr>
            </w:r>
            <w:r/>
          </w:p>
        </w:tc>
        <w:tc>
          <w:tcPr>
            <w:shd w:val="clear" w:color="auto" w:fill="d7d7d7" w:themeFill="background1" w:themeFillShade="D8"/>
            <w:tcBorders>
              <w:top w:val="single" w:color="auto" w:sz="4" w:space="0"/>
              <w:left w:val="none" w:color="000000" w:sz="4" w:space="0"/>
              <w:bottom w:val="single" w:color="auto" w:sz="4" w:space="0"/>
              <w:right w:val="single" w:color="auto" w:sz="4" w:space="0"/>
            </w:tcBorders>
            <w:tcW w:w="933" w:type="dxa"/>
            <w:vAlign w:val="center"/>
            <w:textDirection w:val="lrTb"/>
            <w:noWrap w:val="false"/>
          </w:tcPr>
          <w:p>
            <w:pPr>
              <w:jc w:val="center"/>
              <w:widowControl/>
              <w:rPr>
                <w:color w:val="000000"/>
                <w:sz w:val="22"/>
              </w:rPr>
            </w:pPr>
            <w:r>
              <w:rPr>
                <w:color w:val="000000"/>
                <w:sz w:val="22"/>
              </w:rPr>
            </w:r>
            <w:r/>
          </w:p>
        </w:tc>
        <w:tc>
          <w:tcPr>
            <w:shd w:val="clear" w:color="auto" w:fill="d7d7d7" w:themeFill="background1" w:themeFillShade="D8"/>
            <w:tcBorders>
              <w:top w:val="single" w:color="auto" w:sz="4" w:space="0"/>
              <w:left w:val="none" w:color="000000" w:sz="4" w:space="0"/>
              <w:bottom w:val="single" w:color="auto" w:sz="4" w:space="0"/>
              <w:right w:val="single" w:color="auto" w:sz="4" w:space="0"/>
            </w:tcBorders>
            <w:tcW w:w="1117" w:type="dxa"/>
            <w:vAlign w:val="center"/>
            <w:textDirection w:val="lrTb"/>
            <w:noWrap w:val="false"/>
          </w:tcPr>
          <w:p>
            <w:pPr>
              <w:jc w:val="center"/>
              <w:widowControl/>
              <w:rPr>
                <w:color w:val="000000"/>
                <w:sz w:val="22"/>
              </w:rPr>
            </w:pPr>
            <w:r>
              <w:rPr>
                <w:color w:val="000000"/>
                <w:sz w:val="22"/>
              </w:rPr>
            </w:r>
            <w:r/>
          </w:p>
        </w:tc>
        <w:tc>
          <w:tcPr>
            <w:shd w:val="clear" w:color="auto" w:fill="d7d7d7" w:themeFill="background1" w:themeFillShade="D8"/>
            <w:tcBorders>
              <w:top w:val="single" w:color="auto" w:sz="4" w:space="0"/>
              <w:left w:val="none" w:color="000000" w:sz="4" w:space="0"/>
              <w:bottom w:val="single" w:color="auto" w:sz="4" w:space="0"/>
              <w:right w:val="single" w:color="auto" w:sz="4" w:space="0"/>
            </w:tcBorders>
            <w:tcW w:w="924" w:type="dxa"/>
            <w:vAlign w:val="center"/>
            <w:textDirection w:val="lrTb"/>
            <w:noWrap w:val="false"/>
          </w:tcPr>
          <w:p>
            <w:pPr>
              <w:jc w:val="center"/>
              <w:widowControl/>
              <w:rPr>
                <w:color w:val="000000"/>
                <w:sz w:val="22"/>
              </w:rPr>
            </w:pPr>
            <w:r>
              <w:rPr>
                <w:color w:val="000000"/>
                <w:sz w:val="22"/>
              </w:rPr>
            </w:r>
            <w:r/>
          </w:p>
        </w:tc>
        <w:tc>
          <w:tcPr>
            <w:shd w:val="clear" w:color="auto" w:fill="d7d7d7" w:themeFill="background1" w:themeFillShade="D8"/>
            <w:tcBorders>
              <w:top w:val="single" w:color="auto" w:sz="4" w:space="0"/>
              <w:left w:val="none" w:color="000000" w:sz="4" w:space="0"/>
              <w:bottom w:val="single" w:color="auto" w:sz="4" w:space="0"/>
              <w:right w:val="single" w:color="auto" w:sz="4" w:space="0"/>
            </w:tcBorders>
            <w:tcW w:w="1017" w:type="dxa"/>
            <w:vAlign w:val="center"/>
            <w:textDirection w:val="lrTb"/>
            <w:noWrap w:val="false"/>
          </w:tcPr>
          <w:p>
            <w:pPr>
              <w:jc w:val="center"/>
              <w:widowControl/>
              <w:rPr>
                <w:color w:val="000000"/>
                <w:sz w:val="22"/>
              </w:rPr>
            </w:pPr>
            <w:r>
              <w:rPr>
                <w:color w:val="000000"/>
                <w:sz w:val="22"/>
              </w:rPr>
            </w:r>
            <w:r/>
          </w:p>
        </w:tc>
      </w:tr>
      <w:tr>
        <w:trPr>
          <w:trHeight w:val="780"/>
        </w:trPr>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widowControl/>
              <w:rPr>
                <w:color w:val="000000"/>
                <w:sz w:val="20"/>
                <w:szCs w:val="20"/>
              </w:rPr>
            </w:pPr>
            <w:r>
              <w:rPr>
                <w:color w:val="000000"/>
                <w:sz w:val="20"/>
                <w:szCs w:val="20"/>
              </w:rPr>
              <w:t xml:space="preserve">.-1F：3600；1F~3F：4200</w:t>
            </w:r>
            <w:r/>
          </w:p>
        </w:tc>
        <w:tc>
          <w:tcPr>
            <w:tcBorders>
              <w:top w:val="single" w:color="auto" w:sz="4" w:space="0"/>
              <w:left w:val="none" w:color="000000" w:sz="4" w:space="0"/>
              <w:bottom w:val="single" w:color="auto" w:sz="4" w:space="0"/>
              <w:right w:val="single" w:color="auto" w:sz="4" w:space="0"/>
            </w:tcBorders>
            <w:tcW w:w="1133" w:type="dxa"/>
            <w:vAlign w:val="center"/>
            <w:textDirection w:val="lrTb"/>
            <w:noWrap w:val="false"/>
          </w:tcPr>
          <w:p>
            <w:pPr>
              <w:jc w:val="center"/>
              <w:widowControl/>
              <w:rPr>
                <w:color w:val="000000"/>
                <w:sz w:val="20"/>
                <w:szCs w:val="20"/>
              </w:rPr>
            </w:pPr>
            <w:r>
              <w:rPr>
                <w:color w:val="000000"/>
                <w:sz w:val="20"/>
                <w:szCs w:val="20"/>
              </w:rPr>
              <w:t xml:space="preserve">3220*2400</w:t>
            </w:r>
            <w:r/>
          </w:p>
        </w:tc>
        <w:tc>
          <w:tcPr>
            <w:tcBorders>
              <w:top w:val="single" w:color="auto" w:sz="4" w:space="0"/>
              <w:left w:val="none" w:color="000000" w:sz="4" w:space="0"/>
              <w:bottom w:val="single" w:color="auto" w:sz="4" w:space="0"/>
              <w:right w:val="single" w:color="auto" w:sz="4" w:space="0"/>
            </w:tcBorders>
            <w:tcW w:w="1242" w:type="dxa"/>
            <w:vAlign w:val="center"/>
            <w:textDirection w:val="lrTb"/>
            <w:noWrap w:val="false"/>
          </w:tcPr>
          <w:p>
            <w:pPr>
              <w:jc w:val="center"/>
              <w:widowControl/>
              <w:rPr>
                <w:color w:val="000000"/>
                <w:sz w:val="20"/>
                <w:szCs w:val="20"/>
              </w:rPr>
            </w:pPr>
            <w:r>
              <w:rPr>
                <w:rFonts w:hint="eastAsia"/>
                <w:sz w:val="20"/>
                <w:szCs w:val="20"/>
              </w:rPr>
              <w:t xml:space="preserve">2000*1750</w:t>
            </w:r>
            <w:r>
              <w:rPr>
                <w:rFonts w:hint="eastAsia"/>
              </w:rPr>
              <w:t xml:space="preserve">*2412</w:t>
            </w:r>
            <w:r/>
          </w:p>
        </w:tc>
        <w:tc>
          <w:tcPr>
            <w:tcBorders>
              <w:top w:val="single" w:color="auto" w:sz="4" w:space="0"/>
              <w:left w:val="none" w:color="000000" w:sz="4" w:space="0"/>
              <w:bottom w:val="single" w:color="auto" w:sz="4" w:space="0"/>
              <w:right w:val="single" w:color="auto" w:sz="4" w:space="0"/>
            </w:tcBorders>
            <w:tcW w:w="1017" w:type="dxa"/>
            <w:vAlign w:val="center"/>
            <w:textDirection w:val="lrTb"/>
            <w:noWrap w:val="false"/>
          </w:tcPr>
          <w:p>
            <w:pPr>
              <w:jc w:val="center"/>
              <w:widowControl/>
              <w:rPr>
                <w:color w:val="000000"/>
                <w:sz w:val="20"/>
                <w:szCs w:val="20"/>
              </w:rPr>
            </w:pPr>
            <w:r>
              <w:rPr>
                <w:color w:val="000000"/>
                <w:sz w:val="20"/>
                <w:szCs w:val="20"/>
              </w:rPr>
              <w:t xml:space="preserve">1100*2100</w:t>
            </w:r>
            <w:r/>
          </w:p>
        </w:tc>
        <w:tc>
          <w:tcPr>
            <w:tcBorders>
              <w:top w:val="single" w:color="auto" w:sz="4" w:space="0"/>
              <w:left w:val="none" w:color="000000" w:sz="4" w:space="0"/>
              <w:bottom w:val="single" w:color="auto" w:sz="4" w:space="0"/>
              <w:right w:val="single" w:color="auto" w:sz="4" w:space="0"/>
            </w:tcBorders>
            <w:tcW w:w="758" w:type="dxa"/>
            <w:vAlign w:val="center"/>
            <w:textDirection w:val="lrTb"/>
            <w:noWrap w:val="false"/>
          </w:tcPr>
          <w:p>
            <w:pPr>
              <w:jc w:val="center"/>
              <w:widowControl/>
              <w:rPr>
                <w:strike/>
                <w:color w:val="000000"/>
                <w:sz w:val="20"/>
                <w:szCs w:val="20"/>
              </w:rPr>
            </w:pPr>
            <w:r>
              <w:rPr>
                <w:strike/>
                <w:color w:val="000000"/>
                <w:sz w:val="20"/>
                <w:szCs w:val="20"/>
              </w:rPr>
            </w:r>
            <w:r/>
          </w:p>
        </w:tc>
        <w:tc>
          <w:tcPr>
            <w:tcBorders>
              <w:top w:val="single" w:color="auto" w:sz="4" w:space="0"/>
              <w:left w:val="none" w:color="000000" w:sz="4" w:space="0"/>
              <w:bottom w:val="single" w:color="auto" w:sz="4" w:space="0"/>
              <w:right w:val="single" w:color="auto" w:sz="4" w:space="0"/>
            </w:tcBorders>
            <w:tcW w:w="759" w:type="dxa"/>
            <w:vAlign w:val="center"/>
            <w:textDirection w:val="lrTb"/>
            <w:noWrap w:val="false"/>
          </w:tcPr>
          <w:p>
            <w:pPr>
              <w:jc w:val="center"/>
              <w:widowControl/>
              <w:rPr>
                <w:color w:val="000000"/>
                <w:sz w:val="20"/>
                <w:szCs w:val="20"/>
              </w:rPr>
            </w:pPr>
            <w:r>
              <w:rPr>
                <w:color w:val="000000"/>
                <w:sz w:val="20"/>
                <w:szCs w:val="20"/>
              </w:rPr>
            </w:r>
            <w:r/>
          </w:p>
        </w:tc>
        <w:tc>
          <w:tcPr>
            <w:tcBorders>
              <w:top w:val="single" w:color="auto" w:sz="4" w:space="0"/>
              <w:left w:val="none" w:color="000000" w:sz="4" w:space="0"/>
              <w:bottom w:val="single" w:color="auto" w:sz="4" w:space="0"/>
              <w:right w:val="single" w:color="auto" w:sz="4" w:space="0"/>
            </w:tcBorders>
            <w:tcW w:w="933" w:type="dxa"/>
            <w:vAlign w:val="center"/>
            <w:textDirection w:val="lrTb"/>
            <w:noWrap w:val="false"/>
          </w:tcPr>
          <w:p>
            <w:pPr>
              <w:jc w:val="center"/>
              <w:widowControl/>
              <w:rPr>
                <w:color w:val="000000"/>
                <w:sz w:val="20"/>
                <w:szCs w:val="20"/>
              </w:rPr>
            </w:pPr>
            <w:r>
              <w:rPr>
                <w:color w:val="000000"/>
                <w:sz w:val="20"/>
                <w:szCs w:val="20"/>
              </w:rPr>
            </w:r>
            <w:r/>
          </w:p>
        </w:tc>
        <w:tc>
          <w:tcPr>
            <w:tcBorders>
              <w:top w:val="single" w:color="auto" w:sz="4" w:space="0"/>
              <w:left w:val="none" w:color="000000" w:sz="4" w:space="0"/>
              <w:bottom w:val="single" w:color="auto" w:sz="4" w:space="0"/>
              <w:right w:val="single" w:color="auto" w:sz="4" w:space="0"/>
            </w:tcBorders>
            <w:tcW w:w="1117" w:type="dxa"/>
            <w:vAlign w:val="center"/>
            <w:textDirection w:val="lrTb"/>
            <w:noWrap w:val="false"/>
          </w:tcPr>
          <w:p>
            <w:pPr>
              <w:jc w:val="center"/>
              <w:widowControl/>
              <w:rPr>
                <w:color w:val="000000"/>
                <w:sz w:val="20"/>
                <w:szCs w:val="20"/>
              </w:rPr>
            </w:pPr>
            <w:r>
              <w:rPr>
                <w:color w:val="000000"/>
                <w:sz w:val="20"/>
                <w:szCs w:val="20"/>
              </w:rPr>
            </w:r>
            <w:r/>
          </w:p>
        </w:tc>
        <w:tc>
          <w:tcPr>
            <w:tcBorders>
              <w:top w:val="single" w:color="auto" w:sz="4" w:space="0"/>
              <w:left w:val="none" w:color="000000" w:sz="4" w:space="0"/>
              <w:bottom w:val="single" w:color="auto" w:sz="4" w:space="0"/>
              <w:right w:val="single" w:color="auto" w:sz="4" w:space="0"/>
            </w:tcBorders>
            <w:tcW w:w="924" w:type="dxa"/>
            <w:vAlign w:val="center"/>
            <w:textDirection w:val="lrTb"/>
            <w:noWrap w:val="false"/>
          </w:tcPr>
          <w:p>
            <w:pPr>
              <w:jc w:val="center"/>
              <w:widowControl/>
              <w:rPr>
                <w:color w:val="000000"/>
                <w:sz w:val="20"/>
                <w:szCs w:val="20"/>
              </w:rPr>
            </w:pPr>
            <w:r>
              <w:rPr>
                <w:color w:val="000000"/>
                <w:sz w:val="20"/>
                <w:szCs w:val="20"/>
              </w:rPr>
            </w:r>
            <w:r/>
          </w:p>
        </w:tc>
        <w:tc>
          <w:tcPr>
            <w:tcBorders>
              <w:top w:val="single" w:color="auto" w:sz="4" w:space="0"/>
              <w:left w:val="none" w:color="000000" w:sz="4" w:space="0"/>
              <w:bottom w:val="single" w:color="auto" w:sz="4" w:space="0"/>
              <w:right w:val="single" w:color="auto" w:sz="4" w:space="0"/>
            </w:tcBorders>
            <w:tcW w:w="1017" w:type="dxa"/>
            <w:vAlign w:val="center"/>
            <w:textDirection w:val="lrTb"/>
            <w:noWrap w:val="false"/>
          </w:tcPr>
          <w:p>
            <w:pPr>
              <w:jc w:val="center"/>
              <w:widowControl/>
              <w:rPr>
                <w:color w:val="000000"/>
                <w:sz w:val="20"/>
                <w:szCs w:val="20"/>
              </w:rPr>
            </w:pPr>
            <w:r>
              <w:rPr>
                <w:color w:val="000000"/>
                <w:sz w:val="20"/>
                <w:szCs w:val="20"/>
              </w:rPr>
            </w:r>
            <w:r/>
          </w:p>
        </w:tc>
      </w:tr>
    </w:tbl>
    <w:p>
      <w:pPr>
        <w:ind w:firstLine="420"/>
        <w:spacing w:line="360" w:lineRule="auto"/>
        <w:tabs>
          <w:tab w:val="left" w:pos="0" w:leader="none"/>
        </w:tabs>
        <w:rPr>
          <w:b/>
          <w:bCs/>
        </w:rPr>
      </w:pPr>
      <w:r>
        <w:rPr>
          <w:b/>
          <w:bCs/>
        </w:rPr>
        <w:t xml:space="preserve">注：以上</w:t>
      </w:r>
      <w:r>
        <w:rPr>
          <w:rFonts w:hint="eastAsia"/>
          <w:b/>
          <w:bCs/>
        </w:rPr>
        <w:t xml:space="preserve">基坑深度、顶层高度、层高、井道宽*深、轿厢宽*深*高、开门宽*高，</w:t>
      </w:r>
      <w:r>
        <w:rPr>
          <w:b/>
          <w:bCs/>
        </w:rPr>
        <w:t xml:space="preserve">仅供参考，</w:t>
      </w:r>
      <w:r>
        <w:rPr>
          <w:rFonts w:hint="eastAsia"/>
          <w:b/>
          <w:bCs/>
          <w:lang w:eastAsia="zh-CN"/>
        </w:rPr>
        <w:t xml:space="preserve">本项目组织</w:t>
      </w:r>
      <w:r>
        <w:rPr>
          <w:rFonts w:eastAsiaTheme="minorEastAsia"/>
          <w:b/>
          <w:bCs/>
          <w:color w:val="000000" w:themeColor="text1"/>
          <w:szCs w:val="21"/>
          <w14:textFill>
            <w14:solidFill>
              <w14:schemeClr w14:val="tx1"/>
            </w14:solidFill>
          </w14:textFill>
        </w:rPr>
        <w:t xml:space="preserve">集中现场考察</w:t>
      </w:r>
      <w:r>
        <w:rPr>
          <w:rFonts w:hint="eastAsia" w:eastAsiaTheme="minorEastAsia"/>
          <w:b/>
          <w:bCs/>
          <w:color w:val="000000" w:themeColor="text1"/>
          <w:szCs w:val="21"/>
          <w:lang w:eastAsia="zh-CN"/>
          <w14:textFill>
            <w14:solidFill>
              <w14:schemeClr w14:val="tx1"/>
            </w14:solidFill>
          </w14:textFill>
        </w:rPr>
        <w:t xml:space="preserve">，</w:t>
      </w:r>
      <w:r>
        <w:rPr>
          <w:rFonts w:hint="eastAsia"/>
          <w:b/>
          <w:bCs/>
          <w:lang w:eastAsia="zh-CN"/>
        </w:rPr>
        <w:t xml:space="preserve">参数</w:t>
      </w:r>
      <w:r>
        <w:rPr>
          <w:b/>
          <w:bCs/>
        </w:rPr>
        <w:t xml:space="preserve">以现场</w:t>
      </w:r>
      <w:r>
        <w:rPr>
          <w:rFonts w:hint="eastAsia"/>
          <w:b/>
          <w:bCs/>
          <w:szCs w:val="21"/>
          <w:lang w:eastAsia="zh-CN"/>
        </w:rPr>
        <w:t xml:space="preserve">测量</w:t>
      </w:r>
      <w:r>
        <w:rPr>
          <w:rFonts w:hint="eastAsia"/>
          <w:b/>
          <w:bCs/>
          <w:szCs w:val="21"/>
        </w:rPr>
        <w:t xml:space="preserve">为准</w:t>
      </w:r>
      <w:r>
        <w:rPr>
          <w:b/>
          <w:bCs/>
        </w:rPr>
        <w:t xml:space="preserve">。</w:t>
      </w:r>
      <w:r/>
    </w:p>
    <w:p>
      <w:pPr>
        <w:pStyle w:val="1069"/>
        <w:ind w:left="631" w:firstLine="0"/>
        <w:spacing w:line="360" w:lineRule="auto"/>
        <w:rPr>
          <w:rFonts w:hint="eastAsia" w:ascii="Times New Roman" w:hAnsi="Times New Roman"/>
          <w:b/>
          <w:color w:val="000000" w:themeColor="text1"/>
          <w14:textFill>
            <w14:solidFill>
              <w14:schemeClr w14:val="tx1"/>
            </w14:solidFill>
          </w14:textFill>
        </w:rPr>
      </w:pPr>
      <w:r>
        <w:rPr>
          <w:rFonts w:hint="eastAsia" w:ascii="Times New Roman" w:hAnsi="Times New Roman"/>
          <w:b/>
          <w:color w:val="000000" w:themeColor="text1"/>
          <w14:textFill>
            <w14:solidFill>
              <w14:schemeClr w14:val="tx1"/>
            </w14:solidFill>
          </w14:textFill>
        </w:rPr>
      </w:r>
      <w:r/>
    </w:p>
    <w:p>
      <w:pPr>
        <w:pStyle w:val="1069"/>
        <w:ind w:left="631" w:firstLine="0"/>
        <w:spacing w:line="360" w:lineRule="auto"/>
        <w:rPr>
          <w:rFonts w:hint="eastAsia"/>
          <w:b/>
        </w:rPr>
      </w:pPr>
      <w:r>
        <w:rPr>
          <w:rFonts w:hint="eastAsia" w:ascii="Times New Roman" w:hAnsi="Times New Roman"/>
          <w:b/>
          <w:color w:val="000000" w:themeColor="text1"/>
          <w14:textFill>
            <w14:solidFill>
              <w14:schemeClr w14:val="tx1"/>
            </w14:solidFill>
          </w14:textFill>
        </w:rPr>
        <w:t xml:space="preserve">2</w:t>
      </w:r>
      <w:r>
        <w:rPr>
          <w:rFonts w:ascii="Times New Roman" w:hAnsi="Times New Roman"/>
          <w:b/>
          <w:color w:val="000000" w:themeColor="text1"/>
          <w14:textFill>
            <w14:solidFill>
              <w14:schemeClr w14:val="tx1"/>
            </w14:solidFill>
          </w14:textFill>
        </w:rPr>
        <w:t xml:space="preserve">、</w:t>
      </w:r>
      <w:r>
        <w:rPr>
          <w:rFonts w:ascii="Times New Roman" w:hAnsi="Times New Roman"/>
          <w:b/>
          <w:bCs/>
        </w:rPr>
        <w:t xml:space="preserve">技术参数要求</w:t>
      </w:r>
      <w:r/>
    </w:p>
    <w:tbl>
      <w:tblPr>
        <w:tblStyle w:val="888"/>
        <w:tblW w:w="102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48"/>
        <w:gridCol w:w="2638"/>
        <w:gridCol w:w="6319"/>
      </w:tblGrid>
      <w:tr>
        <w:trPr>
          <w:jc w:val="center"/>
          <w:trHeight w:val="113"/>
        </w:trPr>
        <w:tc>
          <w:tcPr>
            <w:tcW w:w="1248" w:type="dxa"/>
            <w:vAlign w:val="center"/>
            <w:vMerge w:val="restart"/>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b/>
                <w:bCs/>
                <w:sz w:val="24"/>
              </w:rPr>
              <w:t xml:space="preserve">客梯</w:t>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产品型号</w:t>
            </w:r>
            <w:r/>
          </w:p>
        </w:tc>
        <w:tc>
          <w:tcPr>
            <w:tcW w:w="6319" w:type="dxa"/>
            <w:vAlign w:val="center"/>
            <w:textDirection w:val="lrTb"/>
            <w:noWrap w:val="false"/>
          </w:tcPr>
          <w:p>
            <w:pPr>
              <w:pStyle w:val="1240"/>
              <w:ind w:left="4"/>
              <w:jc w:val="both"/>
              <w:spacing w:before="46"/>
              <w:rPr>
                <w:rFonts w:ascii="Times New Roman" w:hAnsi="Times New Roman" w:cs="Times New Roman"/>
                <w:sz w:val="24"/>
              </w:rPr>
            </w:pPr>
            <w:r>
              <w:rPr>
                <w:rFonts w:ascii="Times New Roman" w:hAnsi="Times New Roman" w:cs="Times New Roman"/>
                <w:sz w:val="24"/>
              </w:rPr>
              <w:t xml:space="preserve">无机房无障碍客梯</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驱动方式</w:t>
            </w:r>
            <w:r/>
          </w:p>
        </w:tc>
        <w:tc>
          <w:tcPr>
            <w:tcW w:w="6319" w:type="dxa"/>
            <w:vAlign w:val="center"/>
            <w:textDirection w:val="lrTb"/>
            <w:noWrap w:val="false"/>
          </w:tcPr>
          <w:p>
            <w:pPr>
              <w:pStyle w:val="1240"/>
              <w:ind w:left="4"/>
              <w:jc w:val="both"/>
              <w:spacing w:before="45"/>
              <w:rPr>
                <w:rFonts w:ascii="Times New Roman" w:hAnsi="Times New Roman" w:cs="Times New Roman"/>
                <w:sz w:val="24"/>
              </w:rPr>
            </w:pPr>
            <w:r>
              <w:rPr>
                <w:rFonts w:ascii="Times New Roman" w:hAnsi="Times New Roman" w:cs="Times New Roman"/>
                <w:sz w:val="24"/>
              </w:rPr>
              <w:t xml:space="preserve">永磁同步无齿轮</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控制系统</w:t>
            </w:r>
            <w:r/>
          </w:p>
        </w:tc>
        <w:tc>
          <w:tcPr>
            <w:tcW w:w="6319" w:type="dxa"/>
            <w:vAlign w:val="center"/>
            <w:textDirection w:val="lrTb"/>
            <w:noWrap w:val="false"/>
          </w:tcPr>
          <w:p>
            <w:pPr>
              <w:pStyle w:val="1240"/>
              <w:ind w:left="4"/>
              <w:jc w:val="both"/>
              <w:spacing w:before="47"/>
              <w:rPr>
                <w:rFonts w:ascii="Times New Roman" w:hAnsi="Times New Roman" w:cs="Times New Roman"/>
                <w:sz w:val="24"/>
              </w:rPr>
            </w:pPr>
            <w:r>
              <w:rPr>
                <w:rFonts w:ascii="Times New Roman" w:hAnsi="Times New Roman" w:cs="Times New Roman"/>
                <w:sz w:val="24"/>
              </w:rPr>
              <w:t xml:space="preserve">32 位微机模块化控制系统；</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额定载重量</w:t>
            </w:r>
            <w:r/>
          </w:p>
        </w:tc>
        <w:tc>
          <w:tcPr>
            <w:tcW w:w="6319" w:type="dxa"/>
            <w:vAlign w:val="center"/>
            <w:textDirection w:val="lrTb"/>
            <w:noWrap w:val="false"/>
          </w:tcPr>
          <w:p>
            <w:pPr>
              <w:pStyle w:val="1240"/>
              <w:ind w:left="4"/>
              <w:jc w:val="both"/>
              <w:spacing w:before="46"/>
              <w:rPr>
                <w:rFonts w:ascii="Times New Roman" w:hAnsi="Times New Roman" w:cs="Times New Roman"/>
                <w:sz w:val="24"/>
              </w:rPr>
            </w:pPr>
            <w:r>
              <w:rPr>
                <w:rFonts w:ascii="Times New Roman" w:hAnsi="Times New Roman" w:cs="Times New Roman"/>
                <w:sz w:val="24"/>
              </w:rPr>
            </w:r>
            <w:r>
              <w:t xml:space="preserve">≥</w:t>
            </w:r>
            <w:r>
              <w:rPr>
                <w:rFonts w:ascii="Times New Roman" w:hAnsi="Times New Roman" w:cs="Times New Roman"/>
                <w:sz w:val="24"/>
              </w:rPr>
              <w:t xml:space="preserve">1600kg</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额定速度</w:t>
            </w:r>
            <w:r/>
          </w:p>
        </w:tc>
        <w:tc>
          <w:tcPr>
            <w:tcW w:w="6319" w:type="dxa"/>
            <w:vAlign w:val="center"/>
            <w:textDirection w:val="lrTb"/>
            <w:noWrap w:val="false"/>
          </w:tcPr>
          <w:p>
            <w:pPr>
              <w:pStyle w:val="1240"/>
              <w:ind w:left="4"/>
              <w:jc w:val="both"/>
              <w:spacing w:before="46"/>
              <w:rPr>
                <w:rFonts w:ascii="Times New Roman" w:hAnsi="Times New Roman" w:cs="Times New Roman"/>
                <w:sz w:val="24"/>
              </w:rPr>
            </w:pPr>
            <w:r>
              <w:rPr>
                <w:rFonts w:ascii="Times New Roman" w:hAnsi="Times New Roman" w:cs="Times New Roman"/>
                <w:sz w:val="24"/>
              </w:rPr>
              <w:t xml:space="preserve">1.0m/s</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层/站/门</w:t>
            </w:r>
            <w:r/>
          </w:p>
        </w:tc>
        <w:tc>
          <w:tcPr>
            <w:tcW w:w="6319" w:type="dxa"/>
            <w:vAlign w:val="center"/>
            <w:textDirection w:val="lrTb"/>
            <w:noWrap w:val="false"/>
          </w:tcPr>
          <w:p>
            <w:pPr>
              <w:pStyle w:val="1240"/>
              <w:ind w:left="4"/>
              <w:jc w:val="both"/>
              <w:spacing w:before="45"/>
              <w:rPr>
                <w:rFonts w:ascii="Times New Roman" w:hAnsi="Times New Roman" w:cs="Times New Roman"/>
                <w:sz w:val="24"/>
              </w:rPr>
            </w:pPr>
            <w:r>
              <w:rPr>
                <w:rFonts w:ascii="Times New Roman" w:hAnsi="Times New Roman" w:cs="Times New Roman"/>
                <w:sz w:val="24"/>
              </w:rPr>
              <w:t xml:space="preserve">5层5站5门</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开门方式</w:t>
            </w:r>
            <w:r/>
          </w:p>
        </w:tc>
        <w:tc>
          <w:tcPr>
            <w:tcW w:w="6319" w:type="dxa"/>
            <w:vAlign w:val="center"/>
            <w:textDirection w:val="lrTb"/>
            <w:noWrap w:val="false"/>
          </w:tcPr>
          <w:p>
            <w:pPr>
              <w:pStyle w:val="1240"/>
              <w:ind w:left="4"/>
              <w:jc w:val="both"/>
              <w:spacing w:before="47"/>
              <w:rPr>
                <w:rFonts w:ascii="Times New Roman" w:hAnsi="Times New Roman" w:cs="Times New Roman"/>
                <w:sz w:val="24"/>
              </w:rPr>
            </w:pPr>
            <w:r>
              <w:rPr>
                <w:rFonts w:ascii="Times New Roman" w:hAnsi="Times New Roman" w:cs="Times New Roman"/>
                <w:sz w:val="24"/>
              </w:rPr>
              <w:t xml:space="preserve">中分双扇</w:t>
            </w:r>
            <w:r/>
          </w:p>
        </w:tc>
      </w:tr>
      <w:tr>
        <w:trPr>
          <w:jc w:val="center"/>
          <w:trHeight w:val="97"/>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开门尺寸</w:t>
            </w:r>
            <w:r/>
          </w:p>
        </w:tc>
        <w:tc>
          <w:tcPr>
            <w:tcW w:w="6319" w:type="dxa"/>
            <w:vAlign w:val="center"/>
            <w:textDirection w:val="lrTb"/>
            <w:noWrap w:val="false"/>
          </w:tcPr>
          <w:p>
            <w:pPr>
              <w:pStyle w:val="1240"/>
              <w:ind w:left="4"/>
              <w:jc w:val="both"/>
              <w:spacing w:before="46"/>
              <w:rPr>
                <w:rFonts w:ascii="Times New Roman" w:hAnsi="Times New Roman" w:cs="Times New Roman"/>
                <w:sz w:val="24"/>
                <w:lang w:val="en-US"/>
              </w:rPr>
            </w:pPr>
            <w:r>
              <w:rPr>
                <w:rFonts w:ascii="Times New Roman" w:hAnsi="Times New Roman" w:cs="Times New Roman"/>
                <w:sz w:val="24"/>
              </w:rPr>
              <w:t xml:space="preserve">详见基础参数要求</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轿厢尺寸（宽×深×高）</w:t>
            </w:r>
            <w:r/>
          </w:p>
        </w:tc>
        <w:tc>
          <w:tcPr>
            <w:tcW w:w="6319" w:type="dxa"/>
            <w:vAlign w:val="center"/>
            <w:textDirection w:val="lrTb"/>
            <w:noWrap w:val="false"/>
          </w:tcPr>
          <w:p>
            <w:pPr>
              <w:pStyle w:val="1240"/>
              <w:ind w:left="4"/>
              <w:jc w:val="both"/>
              <w:spacing w:before="46"/>
              <w:rPr>
                <w:rFonts w:ascii="Times New Roman" w:hAnsi="Times New Roman" w:cs="Times New Roman"/>
                <w:sz w:val="24"/>
              </w:rPr>
            </w:pPr>
            <w:r>
              <w:rPr>
                <w:rFonts w:ascii="Times New Roman" w:hAnsi="Times New Roman" w:cs="Times New Roman"/>
                <w:sz w:val="24"/>
              </w:rPr>
              <w:t xml:space="preserve">详见基础参数要求</w:t>
            </w:r>
            <w:r/>
          </w:p>
        </w:tc>
      </w:tr>
      <w:tr>
        <w:trPr>
          <w:jc w:val="center"/>
          <w:trHeight w:val="147"/>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井道内净尺寸</w:t>
            </w:r>
            <w:r/>
          </w:p>
        </w:tc>
        <w:tc>
          <w:tcPr>
            <w:tcW w:w="6319" w:type="dxa"/>
            <w:vAlign w:val="center"/>
            <w:textDirection w:val="lrTb"/>
            <w:noWrap w:val="false"/>
          </w:tcPr>
          <w:p>
            <w:pPr>
              <w:pStyle w:val="1240"/>
              <w:ind w:left="4"/>
              <w:jc w:val="both"/>
              <w:spacing w:before="45"/>
              <w:rPr>
                <w:rFonts w:ascii="Times New Roman" w:hAnsi="Times New Roman" w:cs="Times New Roman"/>
                <w:sz w:val="24"/>
                <w:lang w:val="en-US"/>
              </w:rPr>
            </w:pPr>
            <w:r>
              <w:rPr>
                <w:rFonts w:ascii="Times New Roman" w:hAnsi="Times New Roman" w:cs="Times New Roman"/>
                <w:sz w:val="24"/>
              </w:rPr>
              <w:t xml:space="preserve">详见基础参数要求</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顶层高度</w:t>
            </w:r>
            <w:r/>
          </w:p>
        </w:tc>
        <w:tc>
          <w:tcPr>
            <w:tcW w:w="6319" w:type="dxa"/>
            <w:vAlign w:val="center"/>
            <w:textDirection w:val="lrTb"/>
            <w:noWrap w:val="false"/>
          </w:tcPr>
          <w:p>
            <w:pPr>
              <w:pStyle w:val="1240"/>
              <w:ind w:left="4"/>
              <w:jc w:val="both"/>
              <w:spacing w:before="47"/>
              <w:rPr>
                <w:rFonts w:ascii="Times New Roman" w:hAnsi="Times New Roman" w:cs="Times New Roman"/>
                <w:sz w:val="24"/>
                <w:lang w:val="en-US"/>
              </w:rPr>
            </w:pPr>
            <w:r>
              <w:rPr>
                <w:rFonts w:ascii="Times New Roman" w:hAnsi="Times New Roman" w:cs="Times New Roman"/>
                <w:sz w:val="24"/>
                <w:lang w:val="en-US"/>
              </w:rPr>
              <w:t xml:space="preserve">详见基础参数要求</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hint="eastAsia" w:ascii="Times New Roman" w:hAnsi="Times New Roman" w:cs="Times New Roman"/>
                <w:sz w:val="24"/>
              </w:rPr>
              <w:t xml:space="preserve">基</w:t>
            </w:r>
            <w:r>
              <w:rPr>
                <w:rFonts w:ascii="Times New Roman" w:hAnsi="Times New Roman" w:cs="Times New Roman"/>
                <w:sz w:val="24"/>
              </w:rPr>
              <w:t xml:space="preserve">坑深度</w:t>
            </w:r>
            <w:r/>
          </w:p>
        </w:tc>
        <w:tc>
          <w:tcPr>
            <w:tcW w:w="6319" w:type="dxa"/>
            <w:vAlign w:val="center"/>
            <w:textDirection w:val="lrTb"/>
            <w:noWrap w:val="false"/>
          </w:tcPr>
          <w:p>
            <w:pPr>
              <w:pStyle w:val="1240"/>
              <w:ind w:left="4"/>
              <w:jc w:val="both"/>
              <w:spacing w:before="46"/>
              <w:rPr>
                <w:rFonts w:ascii="Times New Roman" w:hAnsi="Times New Roman" w:cs="Times New Roman"/>
                <w:sz w:val="24"/>
              </w:rPr>
            </w:pPr>
            <w:r>
              <w:rPr>
                <w:rFonts w:ascii="Times New Roman" w:hAnsi="Times New Roman" w:cs="Times New Roman"/>
                <w:sz w:val="24"/>
              </w:rPr>
              <w:t xml:space="preserve">详见基础参数要求</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动力电源</w:t>
            </w:r>
            <w:r/>
          </w:p>
        </w:tc>
        <w:tc>
          <w:tcPr>
            <w:tcW w:w="6319" w:type="dxa"/>
            <w:vAlign w:val="center"/>
            <w:textDirection w:val="lrTb"/>
            <w:noWrap w:val="false"/>
          </w:tcPr>
          <w:p>
            <w:pPr>
              <w:pStyle w:val="1240"/>
              <w:ind w:left="4"/>
              <w:jc w:val="both"/>
              <w:spacing w:before="46"/>
              <w:rPr>
                <w:rFonts w:ascii="Times New Roman" w:hAnsi="Times New Roman" w:cs="Times New Roman"/>
                <w:sz w:val="24"/>
              </w:rPr>
            </w:pPr>
            <w:r>
              <w:rPr>
                <w:rFonts w:ascii="Times New Roman" w:hAnsi="Times New Roman" w:cs="Times New Roman"/>
                <w:sz w:val="24"/>
              </w:rPr>
              <w:t xml:space="preserve">三相 380V，50HZ</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照明电源</w:t>
            </w:r>
            <w:r/>
          </w:p>
        </w:tc>
        <w:tc>
          <w:tcPr>
            <w:tcW w:w="6319" w:type="dxa"/>
            <w:vAlign w:val="center"/>
            <w:textDirection w:val="lrTb"/>
            <w:noWrap w:val="false"/>
          </w:tcPr>
          <w:p>
            <w:pPr>
              <w:pStyle w:val="1240"/>
              <w:ind w:left="4"/>
              <w:jc w:val="both"/>
              <w:spacing w:before="47"/>
              <w:rPr>
                <w:rFonts w:ascii="Times New Roman" w:hAnsi="Times New Roman" w:cs="Times New Roman"/>
                <w:sz w:val="24"/>
              </w:rPr>
            </w:pPr>
            <w:r>
              <w:rPr>
                <w:rFonts w:ascii="Times New Roman" w:hAnsi="Times New Roman" w:cs="Times New Roman"/>
                <w:sz w:val="24"/>
              </w:rPr>
              <w:t xml:space="preserve">单相 220V，50HZ</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平层精度</w:t>
            </w:r>
            <w:r/>
          </w:p>
        </w:tc>
        <w:tc>
          <w:tcPr>
            <w:tcW w:w="6319" w:type="dxa"/>
            <w:vAlign w:val="center"/>
            <w:textDirection w:val="lrTb"/>
            <w:noWrap w:val="false"/>
          </w:tcPr>
          <w:p>
            <w:pPr>
              <w:jc w:val="left"/>
              <w:widowControl/>
              <w:rPr>
                <w:sz w:val="24"/>
                <w:highlight w:val="none"/>
              </w:rPr>
            </w:pPr>
            <w:r>
              <w:rPr>
                <w:rFonts w:hint="eastAsia"/>
                <w:sz w:val="24"/>
                <w:highlight w:val="none"/>
              </w:rPr>
              <w:t xml:space="preserve">符合</w:t>
            </w:r>
            <w:r>
              <w:rPr>
                <w:sz w:val="24"/>
                <w:highlight w:val="none"/>
              </w:rPr>
              <w:t xml:space="preserve">GB/T 10058-2023</w:t>
            </w:r>
            <w:r>
              <w:rPr>
                <w:rFonts w:hint="eastAsia"/>
                <w:sz w:val="24"/>
                <w:highlight w:val="none"/>
                <w:lang w:eastAsia="zh-CN"/>
              </w:rPr>
              <w:t xml:space="preserve">《电梯技术条件》第</w:t>
            </w:r>
            <w:r>
              <w:rPr>
                <w:rFonts w:hint="eastAsia"/>
                <w:sz w:val="24"/>
                <w:highlight w:val="none"/>
                <w:lang w:val="en-US" w:eastAsia="zh-CN"/>
              </w:rPr>
              <w:t xml:space="preserve">4.3.7条要求</w:t>
            </w:r>
            <w:r/>
          </w:p>
        </w:tc>
      </w:tr>
      <w:tr>
        <w:trPr>
          <w:jc w:val="center"/>
          <w:trHeight w:val="36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hint="eastAsia" w:ascii="Times New Roman" w:hAnsi="Times New Roman" w:eastAsia="宋体" w:cs="Times New Roman"/>
                <w:sz w:val="24"/>
                <w:szCs w:val="22"/>
                <w:highlight w:val="none"/>
                <w:lang w:val="en-US" w:eastAsia="zh-CN" w:bidi="ar-SA"/>
              </w:rPr>
            </w:pPr>
            <w:r>
              <w:rPr>
                <w:rFonts w:hint="eastAsia" w:ascii="Times New Roman" w:hAnsi="Times New Roman" w:eastAsia="宋体" w:cs="Times New Roman"/>
                <w:sz w:val="24"/>
                <w:szCs w:val="22"/>
                <w:highlight w:val="none"/>
                <w:lang w:val="en-US" w:eastAsia="zh-CN" w:bidi="ar-SA"/>
              </w:rPr>
              <w:t xml:space="preserve">运行</w:t>
            </w:r>
            <w:r>
              <w:rPr>
                <w:rFonts w:hint="eastAsia" w:ascii="Times New Roman" w:hAnsi="Times New Roman" w:cs="Times New Roman"/>
                <w:sz w:val="24"/>
                <w:szCs w:val="22"/>
                <w:highlight w:val="none"/>
                <w:lang w:val="en-US" w:eastAsia="zh-CN" w:bidi="ar-SA"/>
              </w:rPr>
              <w:t xml:space="preserve">振</w:t>
            </w:r>
            <w:r>
              <w:rPr>
                <w:rFonts w:hint="eastAsia" w:ascii="Times New Roman" w:hAnsi="Times New Roman" w:eastAsia="宋体" w:cs="Times New Roman"/>
                <w:sz w:val="24"/>
                <w:szCs w:val="22"/>
                <w:highlight w:val="none"/>
                <w:lang w:val="en-US" w:eastAsia="zh-CN" w:bidi="ar-SA"/>
              </w:rPr>
              <w:t xml:space="preserve">动</w:t>
            </w:r>
            <w:r/>
          </w:p>
        </w:tc>
        <w:tc>
          <w:tcPr>
            <w:tcW w:w="6319" w:type="dxa"/>
            <w:vAlign w:val="center"/>
            <w:textDirection w:val="lrTb"/>
            <w:noWrap w:val="false"/>
          </w:tcPr>
          <w:p>
            <w:pPr>
              <w:jc w:val="left"/>
              <w:widowControl/>
              <w:rPr>
                <w:rFonts w:hint="default" w:ascii="Times New Roman" w:hAnsi="Times New Roman" w:eastAsia="宋体" w:cs="Times New Roman"/>
                <w:sz w:val="24"/>
                <w:szCs w:val="22"/>
                <w:highlight w:val="none"/>
                <w:lang w:val="en-US" w:eastAsia="zh-CN" w:bidi="ar-SA"/>
              </w:rPr>
            </w:pPr>
            <w:r>
              <w:rPr>
                <w:rFonts w:hint="eastAsia" w:ascii="Times New Roman" w:hAnsi="Times New Roman" w:eastAsia="宋体" w:cs="Times New Roman"/>
                <w:sz w:val="24"/>
                <w:szCs w:val="22"/>
                <w:highlight w:val="none"/>
                <w:lang w:val="en-US" w:eastAsia="zh-CN" w:bidi="ar-SA"/>
              </w:rPr>
              <w:t xml:space="preserve">符合GB/T 10058-2023</w:t>
            </w:r>
            <w:r>
              <w:rPr>
                <w:rFonts w:hint="eastAsia"/>
                <w:sz w:val="24"/>
                <w:highlight w:val="none"/>
                <w:lang w:eastAsia="zh-CN"/>
              </w:rPr>
              <w:t xml:space="preserve">《电梯技术条件》</w:t>
            </w:r>
            <w:r>
              <w:rPr>
                <w:rFonts w:hint="eastAsia" w:cs="Times New Roman"/>
                <w:sz w:val="24"/>
                <w:szCs w:val="22"/>
                <w:highlight w:val="none"/>
                <w:lang w:val="en-US" w:eastAsia="zh-CN" w:bidi="ar-SA"/>
              </w:rPr>
              <w:t xml:space="preserve">第4.3.5条要求</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通信系统</w:t>
            </w:r>
            <w:r/>
          </w:p>
        </w:tc>
        <w:tc>
          <w:tcPr>
            <w:tcW w:w="6319" w:type="dxa"/>
            <w:vAlign w:val="center"/>
            <w:textDirection w:val="lrTb"/>
            <w:noWrap w:val="false"/>
          </w:tcPr>
          <w:p>
            <w:pPr>
              <w:jc w:val="left"/>
              <w:widowControl/>
              <w:rPr>
                <w:sz w:val="24"/>
              </w:rPr>
            </w:pPr>
            <w:r>
              <w:rPr>
                <w:sz w:val="24"/>
              </w:rPr>
              <w:t xml:space="preserve">按</w:t>
            </w:r>
            <w:r>
              <w:rPr>
                <w:sz w:val="24"/>
                <w:highlight w:val="none"/>
              </w:rPr>
              <w:t xml:space="preserve">国家规范要求</w:t>
            </w:r>
            <w:r>
              <w:rPr>
                <w:sz w:val="24"/>
              </w:rPr>
              <w:t xml:space="preserve">配置无线对讲；</w:t>
            </w:r>
            <w:r>
              <w:rPr>
                <w:rFonts w:hint="eastAsia" w:ascii="宋体" w:hAnsi="宋体" w:cs="宋体"/>
                <w:b w:val="0"/>
                <w:bCs w:val="0"/>
                <w:color w:val="0f1115"/>
                <w:sz w:val="24"/>
                <w:szCs w:val="24"/>
                <w:shd w:val="clear" w:color="auto" w:fill="ffffff"/>
                <w:lang w:bidi="ar"/>
              </w:rPr>
              <w:t xml:space="preserve">以五方对讲系统为核心，补充无障碍语音播报</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噪音</w:t>
            </w:r>
            <w:r/>
          </w:p>
        </w:tc>
        <w:tc>
          <w:tcPr>
            <w:tcW w:w="6319" w:type="dxa"/>
            <w:vAlign w:val="center"/>
            <w:textDirection w:val="lrTb"/>
            <w:noWrap w:val="false"/>
          </w:tcPr>
          <w:p>
            <w:pPr>
              <w:jc w:val="left"/>
              <w:widowControl/>
              <w:rPr>
                <w:sz w:val="24"/>
              </w:rPr>
            </w:pPr>
            <w:r>
              <w:rPr>
                <w:rFonts w:hint="eastAsia" w:cs="Times New Roman"/>
                <w:sz w:val="24"/>
                <w:szCs w:val="22"/>
                <w:lang w:val="en-US" w:eastAsia="zh-CN" w:bidi="ar-SA"/>
              </w:rPr>
              <w:t xml:space="preserve">符合</w:t>
            </w:r>
            <w:r>
              <w:rPr>
                <w:rFonts w:hint="eastAsia" w:ascii="Times New Roman" w:hAnsi="Times New Roman" w:eastAsia="宋体" w:cs="Times New Roman"/>
                <w:sz w:val="24"/>
                <w:szCs w:val="22"/>
                <w:highlight w:val="none"/>
                <w:lang w:val="en-US" w:eastAsia="zh-CN" w:bidi="ar-SA"/>
              </w:rPr>
              <w:t xml:space="preserve">GB/T 10058-2023</w:t>
            </w:r>
            <w:r>
              <w:rPr>
                <w:rFonts w:hint="eastAsia"/>
                <w:sz w:val="24"/>
                <w:highlight w:val="none"/>
                <w:lang w:eastAsia="zh-CN"/>
              </w:rPr>
              <w:t xml:space="preserve">《电梯技术条件》第</w:t>
            </w:r>
            <w:r>
              <w:rPr>
                <w:rFonts w:hint="eastAsia"/>
                <w:sz w:val="24"/>
                <w:highlight w:val="none"/>
                <w:lang w:val="en-US" w:eastAsia="zh-CN"/>
              </w:rPr>
              <w:t xml:space="preserve">4.3.6条要求</w:t>
            </w:r>
            <w:r/>
          </w:p>
        </w:tc>
      </w:tr>
      <w:tr>
        <w:trPr>
          <w:jc w:val="center"/>
          <w:trHeight w:val="531"/>
        </w:trPr>
        <w:tc>
          <w:tcPr>
            <w:tcW w:w="1248" w:type="dxa"/>
            <w:vAlign w:val="center"/>
            <w:vMerge w:val="restart"/>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b/>
                <w:sz w:val="24"/>
              </w:rPr>
              <w:t xml:space="preserve">客梯轿厢</w:t>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轿顶</w:t>
            </w:r>
            <w:r/>
          </w:p>
        </w:tc>
        <w:tc>
          <w:tcPr>
            <w:tcW w:w="6319" w:type="dxa"/>
            <w:vAlign w:val="center"/>
            <w:textDirection w:val="lrTb"/>
            <w:noWrap w:val="false"/>
          </w:tcPr>
          <w:p>
            <w:pPr>
              <w:pStyle w:val="1240"/>
              <w:numPr>
                <w:ilvl w:val="0"/>
                <w:numId w:val="11"/>
              </w:numPr>
              <w:jc w:val="both"/>
              <w:spacing w:before="45"/>
              <w:rPr>
                <w:rFonts w:ascii="Times New Roman" w:hAnsi="Times New Roman" w:cs="Times New Roman"/>
                <w:sz w:val="24"/>
                <w:highlight w:val="none"/>
              </w:rPr>
            </w:pPr>
            <w:r>
              <w:rPr>
                <w:rFonts w:hint="eastAsia" w:ascii="Times New Roman" w:hAnsi="Times New Roman" w:cs="Times New Roman"/>
                <w:sz w:val="24"/>
                <w:highlight w:val="none"/>
              </w:rPr>
              <w:t xml:space="preserve">304不锈钢材质</w:t>
            </w:r>
            <w:r>
              <w:rPr>
                <w:rFonts w:ascii="Times New Roman" w:hAnsi="Times New Roman" w:cs="Times New Roman"/>
                <w:sz w:val="24"/>
                <w:highlight w:val="none"/>
              </w:rPr>
              <w:t xml:space="preserve">；</w:t>
            </w:r>
            <w:r/>
          </w:p>
          <w:p>
            <w:pPr>
              <w:pStyle w:val="1240"/>
              <w:numPr>
                <w:ilvl w:val="0"/>
                <w:numId w:val="11"/>
              </w:numPr>
              <w:jc w:val="both"/>
              <w:spacing w:before="45"/>
              <w:rPr>
                <w:rFonts w:ascii="Times New Roman" w:hAnsi="Times New Roman" w:cs="Times New Roman"/>
                <w:sz w:val="24"/>
              </w:rPr>
            </w:pPr>
            <w:r>
              <w:rPr>
                <w:rFonts w:ascii="Times New Roman" w:hAnsi="Times New Roman" w:cs="Times New Roman"/>
                <w:sz w:val="24"/>
              </w:rPr>
              <w:t xml:space="preserve">照明装置要求安全、高效、无辐射、易维护；</w:t>
            </w:r>
            <w:r/>
          </w:p>
          <w:p>
            <w:pPr>
              <w:pStyle w:val="1240"/>
              <w:numPr>
                <w:ilvl w:val="0"/>
                <w:numId w:val="11"/>
              </w:numPr>
              <w:jc w:val="both"/>
              <w:spacing w:before="45"/>
              <w:rPr>
                <w:rFonts w:ascii="Times New Roman" w:hAnsi="Times New Roman" w:cs="Times New Roman"/>
                <w:sz w:val="24"/>
              </w:rPr>
            </w:pPr>
            <w:r>
              <w:rPr>
                <w:rFonts w:ascii="Times New Roman" w:hAnsi="Times New Roman" w:cs="Times New Roman"/>
                <w:sz w:val="24"/>
              </w:rPr>
              <w:t xml:space="preserve">照明光源必须采用 LED。</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轿门</w:t>
            </w:r>
            <w:r/>
          </w:p>
        </w:tc>
        <w:tc>
          <w:tcPr>
            <w:tcW w:w="6319" w:type="dxa"/>
            <w:vAlign w:val="center"/>
            <w:textDirection w:val="lrTb"/>
            <w:noWrap w:val="false"/>
          </w:tcPr>
          <w:p>
            <w:pPr>
              <w:pStyle w:val="1240"/>
              <w:ind w:left="4"/>
              <w:jc w:val="both"/>
              <w:spacing w:before="46"/>
              <w:rPr>
                <w:rFonts w:ascii="Times New Roman" w:hAnsi="Times New Roman" w:cs="Times New Roman"/>
                <w:sz w:val="24"/>
              </w:rPr>
            </w:pPr>
            <w:r>
              <w:rPr>
                <w:rFonts w:ascii="Times New Roman" w:hAnsi="Times New Roman" w:cs="Times New Roman"/>
                <w:sz w:val="24"/>
              </w:rPr>
              <w:t xml:space="preserve">（1）304 发纹不锈钢</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highlight w:val="none"/>
              </w:rPr>
            </w:pPr>
            <w:r>
              <w:rPr>
                <w:rFonts w:ascii="Times New Roman" w:hAnsi="Times New Roman" w:cs="Times New Roman"/>
                <w:sz w:val="24"/>
                <w:highlight w:val="none"/>
              </w:rPr>
              <w:t xml:space="preserve">轿壁</w:t>
            </w:r>
            <w:r/>
          </w:p>
        </w:tc>
        <w:tc>
          <w:tcPr>
            <w:tcW w:w="6319" w:type="dxa"/>
            <w:vAlign w:val="center"/>
            <w:textDirection w:val="lrTb"/>
            <w:noWrap w:val="false"/>
          </w:tcPr>
          <w:p>
            <w:pPr>
              <w:pStyle w:val="1240"/>
              <w:numPr>
                <w:ilvl w:val="0"/>
                <w:numId w:val="12"/>
              </w:numPr>
              <w:jc w:val="both"/>
              <w:spacing w:before="45"/>
              <w:rPr>
                <w:rFonts w:ascii="Times New Roman" w:hAnsi="Times New Roman" w:cs="Times New Roman"/>
                <w:sz w:val="24"/>
                <w:highlight w:val="none"/>
              </w:rPr>
            </w:pPr>
            <w:r>
              <w:rPr>
                <w:rFonts w:ascii="Times New Roman" w:hAnsi="Times New Roman" w:cs="Times New Roman"/>
                <w:sz w:val="24"/>
                <w:highlight w:val="none"/>
              </w:rPr>
              <w:t xml:space="preserve">轿壁两侧</w:t>
            </w:r>
            <w:r>
              <w:rPr>
                <w:rFonts w:hint="eastAsia" w:ascii="Times New Roman" w:hAnsi="Times New Roman" w:cs="Times New Roman"/>
                <w:sz w:val="24"/>
                <w:highlight w:val="none"/>
              </w:rPr>
              <w:t xml:space="preserve">壁：</w:t>
            </w:r>
            <w:r>
              <w:rPr>
                <w:rFonts w:ascii="Times New Roman" w:hAnsi="Times New Roman" w:cs="Times New Roman"/>
                <w:sz w:val="24"/>
                <w:highlight w:val="none"/>
              </w:rPr>
              <w:t xml:space="preserve">304 发纹不锈钢</w:t>
            </w:r>
            <w:r/>
          </w:p>
          <w:p>
            <w:pPr>
              <w:pStyle w:val="1240"/>
              <w:numPr>
                <w:ilvl w:val="0"/>
                <w:numId w:val="12"/>
              </w:numPr>
              <w:jc w:val="both"/>
              <w:spacing w:before="45"/>
              <w:rPr>
                <w:rFonts w:ascii="Times New Roman" w:hAnsi="Times New Roman" w:cs="Times New Roman"/>
                <w:sz w:val="24"/>
                <w:highlight w:val="none"/>
              </w:rPr>
            </w:pPr>
            <w:r>
              <w:rPr>
                <w:rFonts w:ascii="Times New Roman" w:hAnsi="Times New Roman" w:cs="Times New Roman"/>
                <w:sz w:val="24"/>
                <w:highlight w:val="none"/>
              </w:rPr>
              <w:t xml:space="preserve">轿壁后壁</w:t>
            </w:r>
            <w:r>
              <w:rPr>
                <w:rFonts w:hint="eastAsia" w:ascii="Times New Roman" w:hAnsi="Times New Roman" w:cs="Times New Roman"/>
                <w:sz w:val="24"/>
                <w:highlight w:val="none"/>
              </w:rPr>
              <w:t xml:space="preserve">：两侧 304 发纹不锈钢，中间</w:t>
            </w:r>
            <w:r>
              <w:rPr>
                <w:rFonts w:ascii="Times New Roman" w:hAnsi="Times New Roman" w:cs="Times New Roman"/>
                <w:sz w:val="24"/>
                <w:highlight w:val="none"/>
              </w:rPr>
              <w:t xml:space="preserve">304镜面不锈钢</w:t>
            </w:r>
            <w:r/>
          </w:p>
        </w:tc>
      </w:tr>
      <w:tr>
        <w:trPr>
          <w:jc w:val="center"/>
          <w:trHeight w:val="237"/>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highlight w:val="none"/>
              </w:rPr>
            </w:pPr>
            <w:r>
              <w:rPr>
                <w:rFonts w:hint="eastAsia" w:ascii="Times New Roman" w:hAnsi="Times New Roman" w:cs="Times New Roman"/>
                <w:sz w:val="24"/>
                <w:highlight w:val="none"/>
              </w:rPr>
              <w:t xml:space="preserve">扶手</w:t>
            </w:r>
            <w:r/>
          </w:p>
        </w:tc>
        <w:tc>
          <w:tcPr>
            <w:tcW w:w="6319" w:type="dxa"/>
            <w:vAlign w:val="center"/>
            <w:textDirection w:val="lrTb"/>
            <w:noWrap w:val="false"/>
          </w:tcPr>
          <w:p>
            <w:pPr>
              <w:pStyle w:val="1240"/>
              <w:ind w:left="4"/>
              <w:jc w:val="both"/>
              <w:spacing w:before="45"/>
              <w:rPr>
                <w:rFonts w:ascii="Times New Roman" w:hAnsi="Times New Roman" w:cs="Times New Roman"/>
                <w:sz w:val="24"/>
                <w:highlight w:val="none"/>
              </w:rPr>
            </w:pPr>
            <w:r>
              <w:rPr>
                <w:rFonts w:hint="eastAsia" w:ascii="Times New Roman" w:hAnsi="Times New Roman" w:cs="Times New Roman"/>
                <w:sz w:val="24"/>
                <w:highlight w:val="none"/>
              </w:rPr>
              <w:t xml:space="preserve">（1）不锈钢扶手*1（后壁）</w:t>
            </w:r>
            <w:r/>
          </w:p>
        </w:tc>
      </w:tr>
      <w:tr>
        <w:trPr>
          <w:jc w:val="center"/>
          <w:trHeight w:val="237"/>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highlight w:val="none"/>
              </w:rPr>
            </w:pPr>
            <w:r>
              <w:rPr>
                <w:rFonts w:ascii="Times New Roman" w:hAnsi="Times New Roman" w:cs="Times New Roman"/>
                <w:sz w:val="24"/>
                <w:highlight w:val="none"/>
              </w:rPr>
              <w:t xml:space="preserve">地板</w:t>
            </w:r>
            <w:r/>
          </w:p>
        </w:tc>
        <w:tc>
          <w:tcPr>
            <w:tcW w:w="6319" w:type="dxa"/>
            <w:vAlign w:val="center"/>
            <w:textDirection w:val="lrTb"/>
            <w:noWrap w:val="false"/>
          </w:tcPr>
          <w:p>
            <w:pPr>
              <w:pStyle w:val="1240"/>
              <w:ind w:left="4"/>
              <w:jc w:val="both"/>
              <w:spacing w:before="45"/>
              <w:rPr>
                <w:rFonts w:ascii="Times New Roman" w:hAnsi="Times New Roman" w:cs="Times New Roman"/>
                <w:sz w:val="24"/>
                <w:highlight w:val="none"/>
              </w:rPr>
            </w:pPr>
            <w:r>
              <w:rPr>
                <w:rFonts w:ascii="Times New Roman" w:hAnsi="Times New Roman" w:cs="Times New Roman"/>
                <w:sz w:val="24"/>
                <w:highlight w:val="none"/>
              </w:rPr>
              <w:t xml:space="preserve">（1）</w:t>
            </w:r>
            <w:r>
              <w:rPr>
                <w:rFonts w:hint="eastAsia" w:ascii="Times New Roman" w:hAnsi="Times New Roman" w:cs="Times New Roman"/>
                <w:sz w:val="24"/>
                <w:highlight w:val="none"/>
              </w:rPr>
              <w:t xml:space="preserve">耐磨PVC地板，厚度≥2mm，防火等级≥B1级，颜色由采购人选定。</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通风</w:t>
            </w:r>
            <w:r/>
          </w:p>
        </w:tc>
        <w:tc>
          <w:tcPr>
            <w:tcW w:w="6319" w:type="dxa"/>
            <w:vAlign w:val="center"/>
            <w:textDirection w:val="lrTb"/>
            <w:noWrap w:val="false"/>
          </w:tcPr>
          <w:p>
            <w:pPr>
              <w:pStyle w:val="1240"/>
              <w:numPr>
                <w:ilvl w:val="0"/>
                <w:numId w:val="0"/>
              </w:numPr>
              <w:ind w:left="0" w:firstLine="0"/>
              <w:jc w:val="both"/>
              <w:spacing w:before="46"/>
              <w:rPr>
                <w:highlight w:val="none"/>
              </w:rPr>
            </w:pPr>
            <w:r>
              <w:rPr>
                <w:rFonts w:hint="eastAsia" w:ascii="Times New Roman" w:hAnsi="Times New Roman" w:cs="Times New Roman"/>
                <w:sz w:val="24"/>
                <w:highlight w:val="none"/>
                <w:lang w:eastAsia="zh-CN"/>
              </w:rPr>
              <w:t xml:space="preserve">（</w:t>
            </w:r>
            <w:r>
              <w:rPr>
                <w:rFonts w:hint="eastAsia" w:ascii="Times New Roman" w:hAnsi="Times New Roman" w:cs="Times New Roman"/>
                <w:sz w:val="24"/>
                <w:highlight w:val="none"/>
                <w:lang w:val="en-US" w:eastAsia="zh-CN"/>
              </w:rPr>
              <w:t xml:space="preserve">1</w:t>
            </w:r>
            <w:r>
              <w:rPr>
                <w:rFonts w:hint="eastAsia" w:ascii="Times New Roman" w:hAnsi="Times New Roman" w:cs="Times New Roman"/>
                <w:sz w:val="24"/>
                <w:highlight w:val="none"/>
                <w:lang w:eastAsia="zh-CN"/>
              </w:rPr>
              <w:t xml:space="preserve">）</w:t>
            </w:r>
            <w:r>
              <w:rPr>
                <w:rFonts w:ascii="Times New Roman" w:hAnsi="Times New Roman" w:cs="Times New Roman"/>
                <w:sz w:val="24"/>
                <w:highlight w:val="none"/>
              </w:rPr>
              <w:t xml:space="preserve">从轿顶部送风（附风扇）</w:t>
            </w:r>
            <w:r/>
          </w:p>
          <w:p>
            <w:pPr>
              <w:pStyle w:val="1240"/>
              <w:numPr>
                <w:ilvl w:val="0"/>
                <w:numId w:val="0"/>
              </w:numPr>
              <w:ind w:left="0" w:firstLine="0"/>
              <w:jc w:val="both"/>
              <w:spacing w:before="46"/>
              <w:rPr>
                <w:rFonts w:ascii="Times New Roman" w:hAnsi="Times New Roman" w:cs="Times New Roman"/>
                <w:sz w:val="24"/>
              </w:rPr>
            </w:pP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lang w:eastAsia="zh-CN"/>
              </w:rPr>
              <w:t xml:space="preserve">）可</w:t>
            </w:r>
            <w:r>
              <w:rPr>
                <w:rFonts w:hint="eastAsia"/>
                <w:highlight w:val="none"/>
                <w:lang w:eastAsia="zh-CN"/>
              </w:rPr>
              <w:t xml:space="preserve">使用遥控器开关</w:t>
            </w:r>
            <w:r/>
          </w:p>
        </w:tc>
      </w:tr>
      <w:tr>
        <w:trPr>
          <w:jc w:val="center"/>
          <w:trHeight w:val="531"/>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操纵箱与楼层显示器</w:t>
            </w:r>
            <w:r/>
          </w:p>
        </w:tc>
        <w:tc>
          <w:tcPr>
            <w:tcW w:w="6319" w:type="dxa"/>
            <w:vAlign w:val="center"/>
            <w:textDirection w:val="lrTb"/>
            <w:noWrap w:val="false"/>
          </w:tcPr>
          <w:p>
            <w:pPr>
              <w:pStyle w:val="1240"/>
              <w:numPr>
                <w:ilvl w:val="0"/>
                <w:numId w:val="13"/>
              </w:numPr>
              <w:jc w:val="both"/>
              <w:spacing w:before="45"/>
              <w:rPr>
                <w:rFonts w:ascii="Times New Roman" w:hAnsi="Times New Roman" w:cs="Times New Roman"/>
                <w:sz w:val="24"/>
                <w:highlight w:val="none"/>
              </w:rPr>
            </w:pPr>
            <w:r>
              <w:rPr>
                <w:rFonts w:ascii="Times New Roman" w:hAnsi="Times New Roman" w:cs="Times New Roman"/>
                <w:sz w:val="24"/>
                <w:highlight w:val="none"/>
              </w:rPr>
              <w:t xml:space="preserve">轿厢内操纵箱：面板304发纹不锈钢，不锈钢按钮</w:t>
            </w:r>
            <w:r>
              <w:rPr>
                <w:rFonts w:hint="eastAsia" w:ascii="Times New Roman" w:hAnsi="Times New Roman" w:cs="Times New Roman"/>
                <w:sz w:val="24"/>
                <w:highlight w:val="none"/>
              </w:rPr>
              <w:t xml:space="preserve">（带盲文）</w:t>
            </w:r>
            <w:r>
              <w:rPr>
                <w:rFonts w:ascii="Times New Roman" w:hAnsi="Times New Roman" w:cs="Times New Roman"/>
                <w:sz w:val="24"/>
                <w:highlight w:val="none"/>
              </w:rPr>
              <w:t xml:space="preserve">；</w:t>
            </w:r>
            <w:r/>
          </w:p>
          <w:p>
            <w:pPr>
              <w:pStyle w:val="1240"/>
              <w:numPr>
                <w:ilvl w:val="0"/>
                <w:numId w:val="13"/>
              </w:numPr>
              <w:jc w:val="both"/>
              <w:spacing w:before="45"/>
              <w:rPr>
                <w:rFonts w:ascii="Times New Roman" w:hAnsi="Times New Roman" w:cs="Times New Roman"/>
                <w:sz w:val="24"/>
                <w:highlight w:val="none"/>
              </w:rPr>
            </w:pPr>
            <w:r>
              <w:rPr>
                <w:rFonts w:ascii="Times New Roman" w:hAnsi="Times New Roman" w:cs="Times New Roman"/>
                <w:sz w:val="24"/>
                <w:highlight w:val="none"/>
              </w:rPr>
              <w:t xml:space="preserve">楼层显示器：黑底白字</w:t>
            </w:r>
            <w:r>
              <w:rPr>
                <w:rFonts w:hint="eastAsia" w:ascii="Times New Roman" w:hAnsi="Times New Roman" w:cs="Times New Roman"/>
                <w:sz w:val="24"/>
                <w:highlight w:val="none"/>
              </w:rPr>
              <w:t xml:space="preserve">，液晶段码或点阵显示；</w:t>
            </w:r>
            <w:r/>
          </w:p>
          <w:p>
            <w:pPr>
              <w:pStyle w:val="1240"/>
              <w:numPr>
                <w:ilvl w:val="0"/>
                <w:numId w:val="13"/>
              </w:numPr>
              <w:jc w:val="both"/>
              <w:spacing w:before="45"/>
              <w:rPr>
                <w:rFonts w:ascii="Times New Roman" w:hAnsi="Times New Roman" w:cs="Times New Roman"/>
                <w:sz w:val="24"/>
                <w:highlight w:val="none"/>
              </w:rPr>
            </w:pPr>
            <w:r>
              <w:rPr>
                <w:rFonts w:ascii="Times New Roman" w:hAnsi="Times New Roman" w:cs="Times New Roman"/>
                <w:sz w:val="24"/>
                <w:highlight w:val="none"/>
              </w:rPr>
              <w:t xml:space="preserve">操纵箱：一体化操纵箱</w:t>
            </w:r>
            <w:r>
              <w:rPr>
                <w:rFonts w:hint="eastAsia" w:ascii="Times New Roman" w:hAnsi="Times New Roman" w:cs="Times New Roman"/>
                <w:sz w:val="24"/>
                <w:highlight w:val="none"/>
              </w:rPr>
              <w:t xml:space="preserve">，侧壁还需配置无障碍操纵箱</w:t>
            </w:r>
            <w:r/>
          </w:p>
        </w:tc>
      </w:tr>
      <w:tr>
        <w:trPr>
          <w:jc w:val="center"/>
          <w:trHeight w:val="90"/>
        </w:trPr>
        <w:tc>
          <w:tcPr>
            <w:tcW w:w="1248" w:type="dxa"/>
            <w:vAlign w:val="center"/>
            <w:vMerge w:val="restart"/>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b/>
                <w:sz w:val="24"/>
              </w:rPr>
              <w:t xml:space="preserve">梯厅入口</w:t>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层门</w:t>
            </w:r>
            <w:r/>
          </w:p>
        </w:tc>
        <w:tc>
          <w:tcPr>
            <w:tcW w:w="6319" w:type="dxa"/>
            <w:vAlign w:val="center"/>
            <w:textDirection w:val="lrTb"/>
            <w:noWrap w:val="false"/>
          </w:tcPr>
          <w:p>
            <w:pPr>
              <w:pStyle w:val="1240"/>
              <w:ind w:left="3"/>
              <w:spacing w:before="48"/>
              <w:rPr>
                <w:rFonts w:ascii="Times New Roman" w:hAnsi="Times New Roman" w:cs="Times New Roman"/>
                <w:sz w:val="24"/>
              </w:rPr>
            </w:pPr>
            <w:r>
              <w:rPr>
                <w:rFonts w:ascii="Times New Roman" w:hAnsi="Times New Roman" w:cs="Times New Roman"/>
                <w:sz w:val="24"/>
              </w:rPr>
              <w:t xml:space="preserve">（1）层层304发纹不锈钢</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门套</w:t>
            </w:r>
            <w:r/>
          </w:p>
        </w:tc>
        <w:tc>
          <w:tcPr>
            <w:tcW w:w="6319" w:type="dxa"/>
            <w:vAlign w:val="center"/>
            <w:textDirection w:val="lrTb"/>
            <w:noWrap w:val="false"/>
          </w:tcPr>
          <w:p>
            <w:pPr>
              <w:pStyle w:val="1240"/>
              <w:ind w:left="3"/>
              <w:spacing w:before="47"/>
              <w:rPr>
                <w:rFonts w:ascii="Times New Roman" w:hAnsi="Times New Roman" w:cs="Times New Roman"/>
                <w:sz w:val="24"/>
              </w:rPr>
            </w:pPr>
            <w:r>
              <w:rPr>
                <w:rFonts w:ascii="Times New Roman" w:hAnsi="Times New Roman" w:cs="Times New Roman"/>
                <w:sz w:val="24"/>
              </w:rPr>
              <w:t xml:space="preserve">（1）层层304发纹不锈钢</w:t>
            </w:r>
            <w:r/>
          </w:p>
        </w:tc>
      </w:tr>
      <w:tr>
        <w:trPr>
          <w:jc w:val="center"/>
          <w:trHeight w:val="531"/>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召唤显示器</w:t>
            </w:r>
            <w:r/>
          </w:p>
        </w:tc>
        <w:tc>
          <w:tcPr>
            <w:tcW w:w="6319" w:type="dxa"/>
            <w:vAlign w:val="center"/>
            <w:textDirection w:val="lrTb"/>
            <w:noWrap w:val="false"/>
          </w:tcPr>
          <w:p>
            <w:pPr>
              <w:pStyle w:val="1240"/>
              <w:numPr>
                <w:ilvl w:val="0"/>
                <w:numId w:val="14"/>
              </w:numPr>
              <w:jc w:val="both"/>
              <w:spacing w:before="45"/>
              <w:rPr>
                <w:rFonts w:ascii="Times New Roman" w:hAnsi="Times New Roman" w:cs="Times New Roman"/>
                <w:sz w:val="24"/>
              </w:rPr>
            </w:pPr>
            <w:r>
              <w:rPr>
                <w:rFonts w:ascii="Times New Roman" w:hAnsi="Times New Roman" w:cs="Times New Roman"/>
                <w:sz w:val="24"/>
              </w:rPr>
              <w:t xml:space="preserve">面板：发纹不锈钢</w:t>
            </w:r>
            <w:r/>
          </w:p>
          <w:p>
            <w:pPr>
              <w:pStyle w:val="1240"/>
              <w:numPr>
                <w:ilvl w:val="0"/>
                <w:numId w:val="14"/>
              </w:numPr>
              <w:jc w:val="both"/>
              <w:spacing w:before="45"/>
              <w:rPr>
                <w:rFonts w:ascii="Times New Roman" w:hAnsi="Times New Roman" w:cs="Times New Roman"/>
                <w:sz w:val="24"/>
              </w:rPr>
            </w:pPr>
            <w:r>
              <w:rPr>
                <w:rFonts w:ascii="Times New Roman" w:hAnsi="Times New Roman" w:cs="Times New Roman"/>
                <w:sz w:val="24"/>
              </w:rPr>
              <w:t xml:space="preserve">楼层显示器</w:t>
            </w:r>
            <w:r>
              <w:rPr>
                <w:rFonts w:ascii="Times New Roman" w:hAnsi="Times New Roman" w:cs="Times New Roman"/>
                <w:sz w:val="24"/>
                <w:highlight w:val="none"/>
              </w:rPr>
              <w:t xml:space="preserve">：黑底白字</w:t>
            </w:r>
            <w:r>
              <w:rPr>
                <w:rFonts w:hint="eastAsia" w:ascii="Times New Roman" w:hAnsi="Times New Roman" w:cs="Times New Roman"/>
                <w:sz w:val="24"/>
                <w:highlight w:val="none"/>
              </w:rPr>
              <w:t xml:space="preserve">，液晶段码或点阵</w:t>
            </w:r>
            <w:r>
              <w:rPr>
                <w:rFonts w:ascii="Times New Roman" w:hAnsi="Times New Roman" w:cs="Times New Roman"/>
                <w:sz w:val="24"/>
                <w:highlight w:val="none"/>
              </w:rPr>
              <w:t xml:space="preserve">显示</w:t>
            </w:r>
            <w:r>
              <w:rPr>
                <w:rFonts w:ascii="Times New Roman" w:hAnsi="Times New Roman" w:cs="Times New Roman"/>
                <w:sz w:val="24"/>
              </w:rPr>
              <w:t xml:space="preserve">；</w:t>
            </w:r>
            <w:r/>
          </w:p>
          <w:p>
            <w:pPr>
              <w:pStyle w:val="1240"/>
              <w:numPr>
                <w:ilvl w:val="0"/>
                <w:numId w:val="14"/>
              </w:numPr>
              <w:jc w:val="both"/>
              <w:spacing w:before="45"/>
              <w:rPr>
                <w:rFonts w:ascii="Times New Roman" w:hAnsi="Times New Roman" w:cs="Times New Roman"/>
                <w:sz w:val="24"/>
              </w:rPr>
            </w:pPr>
            <w:r>
              <w:rPr>
                <w:rFonts w:ascii="Times New Roman" w:hAnsi="Times New Roman" w:cs="Times New Roman"/>
                <w:sz w:val="24"/>
              </w:rPr>
              <w:t xml:space="preserve">配置无底盒外召唤系统，设计要求结构紧凑、拆卸方便</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地坎</w:t>
            </w:r>
            <w:r/>
          </w:p>
        </w:tc>
        <w:tc>
          <w:tcPr>
            <w:tcW w:w="6319" w:type="dxa"/>
            <w:vAlign w:val="center"/>
            <w:textDirection w:val="lrTb"/>
            <w:noWrap w:val="false"/>
          </w:tcPr>
          <w:p>
            <w:pPr>
              <w:pStyle w:val="1240"/>
              <w:ind w:left="3"/>
              <w:spacing w:before="1"/>
              <w:rPr>
                <w:rFonts w:ascii="Times New Roman" w:hAnsi="Times New Roman" w:cs="Times New Roman"/>
                <w:sz w:val="24"/>
              </w:rPr>
            </w:pPr>
            <w:r>
              <w:rPr>
                <w:rFonts w:ascii="Times New Roman" w:hAnsi="Times New Roman" w:cs="Times New Roman"/>
                <w:sz w:val="24"/>
              </w:rPr>
              <w:t xml:space="preserve">（1）铝合金地坎</w:t>
            </w:r>
            <w:r/>
          </w:p>
        </w:tc>
      </w:tr>
    </w:tbl>
    <w:p>
      <w:pPr>
        <w:jc w:val="left"/>
        <w:widowControl/>
        <w:rPr>
          <w:b/>
          <w:sz w:val="24"/>
        </w:rPr>
      </w:pPr>
      <w:r>
        <w:rPr>
          <w:b/>
          <w:sz w:val="24"/>
        </w:rPr>
      </w:r>
      <w:r/>
    </w:p>
    <w:p>
      <w:pPr>
        <w:pStyle w:val="898"/>
        <w:spacing w:before="8" w:after="1"/>
        <w:rPr>
          <w:b/>
        </w:rPr>
      </w:pPr>
      <w:r>
        <w:rPr>
          <w:b/>
        </w:rPr>
      </w:r>
      <w:r/>
    </w:p>
    <w:p>
      <w:pPr>
        <w:pStyle w:val="1069"/>
        <w:ind w:left="631" w:firstLine="0"/>
        <w:spacing w:line="360" w:lineRule="auto"/>
        <w:rPr>
          <w:rFonts w:ascii="Times New Roman" w:hAnsi="Times New Roman"/>
          <w:b/>
          <w:color w:val="000000" w:themeColor="text1"/>
          <w14:textFill>
            <w14:solidFill>
              <w14:schemeClr w14:val="tx1"/>
            </w14:solidFill>
          </w14:textFill>
        </w:rPr>
      </w:pPr>
      <w:r>
        <w:rPr>
          <w:rFonts w:ascii="Times New Roman" w:hAnsi="Times New Roman"/>
          <w:b/>
          <w:color w:val="000000" w:themeColor="text1"/>
          <w14:textFill>
            <w14:solidFill>
              <w14:schemeClr w14:val="tx1"/>
            </w14:solidFill>
          </w14:textFill>
        </w:rPr>
        <w:t xml:space="preserve">3、客梯功能要求</w:t>
      </w:r>
      <w:r/>
    </w:p>
    <w:tbl>
      <w:tblPr>
        <w:tblStyle w:val="888"/>
        <w:tblW w:w="9550" w:type="dxa"/>
        <w:tblInd w:w="3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0"/>
        <w:gridCol w:w="3667"/>
        <w:gridCol w:w="833"/>
        <w:gridCol w:w="4150"/>
      </w:tblGrid>
      <w:tr>
        <w:trPr>
          <w:trHeight w:val="94"/>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1</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轿内误指令取消功能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2</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警铃报警功能</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3</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电动机空转保护功能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4</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电动机过载保护功能</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5</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电梯服务支援系统</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6</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同步电机磁极码测试功能</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7</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门过载保护功能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8</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开关门时间超常保护功能</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9</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集选控制：全集选控制运行功能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10</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故障自动存储功能</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11</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门停止运行功能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12</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起动补偿功能</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13</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满载直驶运行功能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14</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无效内指令自动消除功能</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15</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抗电磁干扰功能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16</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轿内到站钟</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17</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运行次数显示功能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18</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超载保护功能</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19</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消防迫降功能：1 层</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20</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轿内通风自动控制功能</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21</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位置异常自动校正功能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22</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无呼自返基站功能：1 层</w:t>
            </w:r>
            <w:r/>
          </w:p>
        </w:tc>
      </w:tr>
      <w:tr>
        <w:trPr>
          <w:trHeight w:val="147"/>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23</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开门异常自动选层功能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24</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停电应急照明功能</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25</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抱闸动作双安全检测功能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26</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故障低速自救运行功能</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27</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故障自动检测功能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28</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泊梯功能：1 层</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29</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超速机械保护功能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30</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反向内指令自动消除功能</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31</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开门时间自动控制功能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32</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待机定期自检功能</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33</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轿顶检修操作功能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3</w:t>
            </w:r>
            <w:r>
              <w:rPr>
                <w:rFonts w:ascii="Times New Roman" w:hAnsi="Times New Roman" w:cs="Times New Roman"/>
                <w:sz w:val="24"/>
                <w:lang w:val="en-US"/>
              </w:rPr>
              <w:t xml:space="preserve">4</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无线对讲</w:t>
            </w:r>
            <w:r/>
          </w:p>
        </w:tc>
      </w:tr>
      <w:tr>
        <w:trPr>
          <w:trHeight w:val="246"/>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35</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目的层按钮闪亮功能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36</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轿内慢速运行功能</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37</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超速电气保护功能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38</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轿内照明自动控制功能</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39</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停车在非门区报警功能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40</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层高自测定功能</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41</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数字接口(预留视频电缆) </w:t>
            </w:r>
            <w:r/>
          </w:p>
        </w:tc>
        <w:tc>
          <w:tcPr>
            <w:tcW w:w="833" w:type="dxa"/>
            <w:vAlign w:val="center"/>
            <w:textDirection w:val="lrTb"/>
            <w:noWrap w:val="false"/>
          </w:tcPr>
          <w:p>
            <w:pPr>
              <w:pStyle w:val="1240"/>
              <w:ind w:left="108"/>
              <w:jc w:val="center"/>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42</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无障碍电梯配置：轿内语音播报功能，无障碍操纵箱</w:t>
            </w:r>
            <w:r>
              <w:rPr>
                <w:rFonts w:hint="eastAsia" w:ascii="Times New Roman" w:hAnsi="Times New Roman" w:cs="Times New Roman"/>
                <w:sz w:val="24"/>
                <w:highlight w:val="none"/>
                <w:lang w:eastAsia="zh-CN"/>
              </w:rPr>
              <w:t xml:space="preserve">，</w:t>
            </w:r>
            <w:r>
              <w:rPr>
                <w:rFonts w:ascii="Times New Roman" w:hAnsi="Times New Roman" w:cs="Times New Roman"/>
                <w:sz w:val="24"/>
                <w:highlight w:val="none"/>
              </w:rPr>
              <w:t xml:space="preserve">盲文按钮</w:t>
            </w:r>
            <w:r/>
          </w:p>
        </w:tc>
      </w:tr>
      <w:tr>
        <w:trPr>
          <w:trHeight w:val="113"/>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4</w:t>
            </w:r>
            <w:r>
              <w:rPr>
                <w:rFonts w:ascii="Times New Roman" w:hAnsi="Times New Roman" w:cs="Times New Roman"/>
                <w:sz w:val="24"/>
                <w:lang w:val="en-US"/>
              </w:rPr>
              <w:t xml:space="preserve">3</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光幕保护功能</w:t>
            </w:r>
            <w:r/>
          </w:p>
        </w:tc>
        <w:tc>
          <w:tcPr>
            <w:tcW w:w="833" w:type="dxa"/>
            <w:vAlign w:val="center"/>
            <w:textDirection w:val="lrTb"/>
            <w:noWrap w:val="false"/>
          </w:tcPr>
          <w:p>
            <w:pPr>
              <w:pStyle w:val="1240"/>
              <w:ind w:left="108"/>
              <w:jc w:val="center"/>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44</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hint="eastAsia" w:ascii="Times New Roman" w:hAnsi="Times New Roman" w:cs="Times New Roman"/>
                <w:sz w:val="24"/>
                <w:highlight w:val="none"/>
              </w:rPr>
              <w:t xml:space="preserve">消防员开关</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45</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轿厢内无水滴空调</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r>
            <w:r/>
          </w:p>
        </w:tc>
      </w:tr>
    </w:tbl>
    <w:p>
      <w:r/>
      <w:r/>
    </w:p>
    <w:p>
      <w:pP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注：1、本次不采购进口产品。</w:t>
      </w:r>
      <w:r/>
    </w:p>
    <w:p>
      <w:pPr>
        <w:ind w:firstLine="422"/>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2、供应商在“谈判响应报价表”中必须列明</w:t>
      </w:r>
      <w:r>
        <w:rPr>
          <w:rFonts w:hint="eastAsia"/>
          <w:b/>
          <w:color w:val="000000" w:themeColor="text1"/>
          <w:szCs w:val="21"/>
          <w:lang w:val="en-US" w:eastAsia="zh-CN"/>
          <w14:textFill>
            <w14:solidFill>
              <w14:schemeClr w14:val="tx1"/>
            </w14:solidFill>
          </w14:textFill>
        </w:rPr>
        <w:t xml:space="preserve">响应</w:t>
      </w:r>
      <w:r>
        <w:rPr>
          <w:b/>
          <w:color w:val="000000" w:themeColor="text1"/>
          <w:szCs w:val="21"/>
          <w14:textFill>
            <w14:solidFill>
              <w14:schemeClr w14:val="tx1"/>
            </w14:solidFill>
          </w14:textFill>
        </w:rPr>
        <w:t xml:space="preserve">产品的规格/型号、品牌、制造商和数量，且数量需满足采购需求，否则</w:t>
      </w:r>
      <w:r>
        <w:rPr>
          <w:rFonts w:hint="eastAsia"/>
          <w:b/>
          <w:color w:val="000000" w:themeColor="text1"/>
          <w:szCs w:val="21"/>
          <w:lang w:val="en-US" w:eastAsia="zh-CN"/>
          <w14:textFill>
            <w14:solidFill>
              <w14:schemeClr w14:val="tx1"/>
            </w14:solidFill>
          </w14:textFill>
        </w:rPr>
        <w:t xml:space="preserve">响应</w:t>
      </w:r>
      <w:r>
        <w:rPr>
          <w:b/>
          <w:color w:val="000000" w:themeColor="text1"/>
          <w:szCs w:val="21"/>
          <w14:textFill>
            <w14:solidFill>
              <w14:schemeClr w14:val="tx1"/>
            </w14:solidFill>
          </w14:textFill>
        </w:rPr>
        <w:t xml:space="preserve">无效。</w:t>
      </w:r>
      <w:r/>
    </w:p>
    <w:p>
      <w:pPr>
        <w:ind w:firstLine="422"/>
        <w:spacing w:line="360" w:lineRule="auto"/>
        <w:rPr>
          <w:rFonts w:hint="eastAsia" w:eastAsia="宋体"/>
          <w:b w:val="0"/>
          <w:bCs/>
          <w:color w:val="000000" w:themeColor="text1"/>
          <w:szCs w:val="21"/>
          <w:lang w:eastAsia="zh-CN"/>
          <w14:textFill>
            <w14:solidFill>
              <w14:schemeClr w14:val="tx1"/>
            </w14:solidFill>
          </w14:textFill>
        </w:rPr>
      </w:pPr>
      <w:r>
        <w:rPr>
          <w:b/>
          <w:color w:val="000000" w:themeColor="text1"/>
          <w:szCs w:val="21"/>
          <w14:textFill>
            <w14:solidFill>
              <w14:schemeClr w14:val="tx1"/>
            </w14:solidFill>
          </w14:textFill>
        </w:rPr>
        <w:t xml:space="preserve">3、供应商应在第六章“采购需求偏离表”中填写产品响应情况：产品符合上表中</w:t>
      </w:r>
      <w:r>
        <w:rPr>
          <w:b/>
          <w:bCs/>
        </w:rPr>
        <w:t xml:space="preserve">基础参数要求</w:t>
      </w:r>
      <w:r>
        <w:rPr>
          <w:b/>
          <w:color w:val="000000" w:themeColor="text1"/>
          <w:szCs w:val="21"/>
          <w14:textFill>
            <w14:solidFill>
              <w14:schemeClr w14:val="tx1"/>
            </w14:solidFill>
          </w14:textFill>
        </w:rPr>
        <w:t xml:space="preserve">、</w:t>
      </w:r>
      <w:r>
        <w:rPr>
          <w:b/>
          <w:bCs/>
        </w:rPr>
        <w:t xml:space="preserve">技术参数要求、</w:t>
      </w:r>
      <w:r>
        <w:rPr>
          <w:b/>
          <w:color w:val="000000" w:themeColor="text1"/>
          <w14:textFill>
            <w14:solidFill>
              <w14:schemeClr w14:val="tx1"/>
            </w14:solidFill>
          </w14:textFill>
        </w:rPr>
        <w:t xml:space="preserve">客梯功能要求</w:t>
      </w:r>
      <w:r>
        <w:rPr>
          <w:b/>
          <w:color w:val="000000" w:themeColor="text1"/>
          <w:szCs w:val="21"/>
          <w14:textFill>
            <w14:solidFill>
              <w14:schemeClr w14:val="tx1"/>
            </w14:solidFill>
          </w14:textFill>
        </w:rPr>
        <w:t xml:space="preserve">的为无偏离（即响应），不符合的为有偏离（即不响应）。</w:t>
      </w:r>
      <w:r>
        <w:rPr>
          <w:rFonts w:hint="eastAsia"/>
          <w:b/>
          <w:color w:val="auto"/>
          <w:szCs w:val="21"/>
        </w:rPr>
        <w:t xml:space="preserve">内容无偏离的可以不填写，</w:t>
      </w:r>
      <w:r>
        <w:rPr>
          <w:rFonts w:hint="eastAsia"/>
          <w:b/>
          <w:color w:val="auto"/>
          <w:szCs w:val="21"/>
          <w:lang w:eastAsia="zh-CN"/>
        </w:rPr>
        <w:t xml:space="preserve">有偏离</w:t>
      </w:r>
      <w:r>
        <w:rPr>
          <w:rFonts w:hint="eastAsia"/>
          <w:b/>
          <w:color w:val="auto"/>
          <w:szCs w:val="21"/>
        </w:rPr>
        <w:t xml:space="preserve">的需在表中列出</w:t>
      </w:r>
      <w:r>
        <w:rPr>
          <w:rFonts w:hint="eastAsia"/>
          <w:b/>
          <w:color w:val="auto"/>
          <w:szCs w:val="21"/>
          <w:lang w:eastAsia="zh-CN"/>
        </w:rPr>
        <w:t xml:space="preserve">。</w:t>
      </w:r>
      <w:r/>
    </w:p>
    <w:p>
      <w:pPr>
        <w:ind w:firstLine="420"/>
        <w:spacing w:line="360" w:lineRule="auto"/>
        <w:rPr>
          <w:color w:val="000000"/>
          <w:szCs w:val="21"/>
        </w:rPr>
      </w:pPr>
      <w:r>
        <w:rPr>
          <w:b w:val="0"/>
          <w:bCs/>
        </w:rPr>
        <w:t xml:space="preserve">4、</w:t>
      </w:r>
      <w:r>
        <w:rPr>
          <w:b w:val="0"/>
          <w:bCs/>
          <w:color w:val="000000"/>
          <w:szCs w:val="21"/>
        </w:rPr>
        <w:t xml:space="preserve">本</w:t>
      </w:r>
      <w:r>
        <w:rPr>
          <w:color w:val="000000"/>
          <w:szCs w:val="21"/>
        </w:rPr>
        <w:t xml:space="preserve">项目电梯包含</w:t>
      </w:r>
      <w:r>
        <w:rPr>
          <w:rFonts w:eastAsiaTheme="minorEastAsia"/>
          <w:szCs w:val="21"/>
        </w:rPr>
        <w:t xml:space="preserve">所需新电梯及其运输、卸货、安装（包括安装、调试、装修所需辅材、工具、人工）、旧电梯拆除清运、旧电梯井道、厅门等多处修复等有关服务、</w:t>
      </w:r>
      <w:r>
        <w:rPr>
          <w:color w:val="000000"/>
        </w:rPr>
        <w:t xml:space="preserve">质保、维护技术支持与培训、售后服务与维保</w:t>
      </w:r>
      <w:r>
        <w:rPr>
          <w:rFonts w:eastAsiaTheme="minorEastAsia"/>
          <w:szCs w:val="21"/>
        </w:rPr>
        <w:t xml:space="preserve">等</w:t>
      </w:r>
      <w:r>
        <w:rPr>
          <w:color w:val="000000"/>
          <w:szCs w:val="21"/>
        </w:rPr>
        <w:t xml:space="preserve">服务内容。</w:t>
      </w:r>
      <w:r/>
    </w:p>
    <w:p>
      <w:pPr>
        <w:ind w:firstLine="420"/>
        <w:spacing w:line="360" w:lineRule="auto"/>
        <w:rPr>
          <w:color w:val="000000"/>
          <w:szCs w:val="21"/>
        </w:rPr>
      </w:pPr>
      <w:r>
        <w:rPr>
          <w:color w:val="000000"/>
          <w:szCs w:val="21"/>
        </w:rPr>
      </w:r>
      <w:r/>
    </w:p>
    <w:p>
      <w:pPr>
        <w:pStyle w:val="1069"/>
        <w:numPr>
          <w:ilvl w:val="0"/>
          <w:numId w:val="9"/>
        </w:numPr>
        <w:ind w:left="630"/>
        <w:spacing w:line="360" w:lineRule="auto"/>
        <w:rPr>
          <w:rFonts w:ascii="Times New Roman" w:hAnsi="Times New Roman"/>
          <w:b/>
          <w:color w:val="000000" w:themeColor="text1"/>
          <w14:textFill>
            <w14:solidFill>
              <w14:schemeClr w14:val="tx1"/>
            </w14:solidFill>
          </w14:textFill>
        </w:rPr>
        <w:outlineLvl w:val="1"/>
      </w:pPr>
      <w:r>
        <w:rPr>
          <w:rFonts w:hint="eastAsia" w:ascii="Times New Roman" w:hAnsi="Times New Roman"/>
          <w:b/>
          <w:color w:val="000000" w:themeColor="text1"/>
          <w:lang w:eastAsia="zh-CN"/>
          <w14:textFill>
            <w14:solidFill>
              <w14:schemeClr w14:val="tx1"/>
            </w14:solidFill>
          </w14:textFill>
        </w:rPr>
        <w:t xml:space="preserve">其他</w:t>
      </w:r>
      <w:r>
        <w:rPr>
          <w:rFonts w:ascii="Times New Roman" w:hAnsi="Times New Roman"/>
          <w:b/>
          <w:color w:val="000000" w:themeColor="text1"/>
          <w14:textFill>
            <w14:solidFill>
              <w14:schemeClr w14:val="tx1"/>
            </w14:solidFill>
          </w14:textFill>
        </w:rPr>
        <w:t xml:space="preserve">要求</w:t>
      </w:r>
      <w:r/>
    </w:p>
    <w:p>
      <w:pPr>
        <w:pStyle w:val="1069"/>
        <w:numPr>
          <w:ilvl w:val="0"/>
          <w:numId w:val="15"/>
        </w:numPr>
        <w:ind w:left="210" w:firstLine="482"/>
        <w:spacing w:line="360" w:lineRule="auto"/>
        <w:rPr>
          <w:rFonts w:hint="eastAsia" w:ascii="Times New Roman" w:hAnsi="Times New Roman"/>
          <w:b/>
          <w:color w:val="000000" w:themeColor="text1"/>
          <w:highlight w:val="none"/>
          <w14:textFill>
            <w14:solidFill>
              <w14:schemeClr w14:val="tx1"/>
            </w14:solidFill>
          </w14:textFill>
        </w:rPr>
        <w:outlineLvl w:val="1"/>
      </w:pPr>
      <w:r>
        <w:rPr>
          <w:rFonts w:hint="eastAsia" w:ascii="Times New Roman" w:hAnsi="Times New Roman"/>
          <w:b/>
          <w:color w:val="000000" w:themeColor="text1"/>
          <w:highlight w:val="none"/>
          <w14:textFill>
            <w14:solidFill>
              <w14:schemeClr w14:val="tx1"/>
            </w14:solidFill>
          </w14:textFill>
        </w:rPr>
        <w:t xml:space="preserve">旧电梯</w:t>
      </w:r>
      <w:r>
        <w:rPr>
          <w:rFonts w:ascii="Times New Roman" w:hAnsi="Times New Roman"/>
          <w:b/>
          <w:color w:val="000000" w:themeColor="text1"/>
          <w:highlight w:val="none"/>
          <w14:textFill>
            <w14:solidFill>
              <w14:schemeClr w14:val="tx1"/>
            </w14:solidFill>
          </w14:textFill>
        </w:rPr>
        <w:t xml:space="preserve">拆除要求</w:t>
      </w:r>
      <w:r/>
    </w:p>
    <w:p>
      <w:pPr>
        <w:pStyle w:val="927"/>
        <w:ind w:left="0" w:firstLine="420"/>
        <w:spacing w:before="0" w:after="0" w:line="360" w:lineRule="auto"/>
        <w:shd w:val="clear" w:color="auto" w:fill="ffffff"/>
        <w:widowControl/>
        <w:tabs>
          <w:tab w:val="left" w:pos="720" w:leader="none"/>
        </w:tabs>
        <w:rPr>
          <w:rFonts w:hint="eastAsia" w:asciiTheme="minorEastAsia" w:hAnsiTheme="minorEastAsia" w:eastAsiaTheme="minorEastAsia"/>
          <w:sz w:val="21"/>
          <w:szCs w:val="21"/>
          <w:highlight w:val="none"/>
        </w:rPr>
      </w:pPr>
      <w:r>
        <w:rPr>
          <w:rFonts w:hint="eastAsia" w:cs="Ubuntu" w:asciiTheme="minorEastAsia" w:hAnsiTheme="minorEastAsia" w:eastAsiaTheme="minorEastAsia"/>
          <w:color w:val="0f1115"/>
          <w:sz w:val="21"/>
          <w:szCs w:val="21"/>
          <w:highlight w:val="none"/>
          <w:shd w:val="clear" w:color="auto" w:fill="ffffff"/>
        </w:rPr>
        <w:t xml:space="preserve">（1）</w:t>
      </w:r>
      <w:r>
        <w:rPr>
          <w:rFonts w:cs="Ubuntu" w:asciiTheme="minorEastAsia" w:hAnsiTheme="minorEastAsia" w:eastAsiaTheme="minorEastAsia"/>
          <w:b/>
          <w:bCs/>
          <w:color w:val="0f1115"/>
          <w:sz w:val="21"/>
          <w:szCs w:val="21"/>
          <w:highlight w:val="none"/>
          <w:shd w:val="clear" w:color="auto" w:fill="ffffff"/>
        </w:rPr>
        <w:t xml:space="preserve">拆除前提与资质要求</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供应商应具备与电梯拆除作业相应的安全生产条件，制定专项拆除施工方案，经采购人书面确认后方可实施。</w:t>
      </w:r>
      <w:r>
        <w:rPr>
          <w:rFonts w:hint="eastAsia" w:cs="Ubuntu" w:asciiTheme="minorEastAsia" w:hAnsiTheme="minorEastAsia" w:eastAsiaTheme="minorEastAsia"/>
          <w:color w:val="0f1115"/>
          <w:sz w:val="21"/>
          <w:szCs w:val="21"/>
          <w:highlight w:val="none"/>
          <w:shd w:val="clear" w:color="auto" w:fill="ffffff"/>
        </w:rPr>
        <w:t xml:space="preserve">（如需动火或切割请提</w:t>
      </w:r>
      <w:r>
        <w:rPr>
          <w:rFonts w:hint="eastAsia" w:cs="Ubuntu" w:asciiTheme="minorEastAsia" w:hAnsiTheme="minorEastAsia" w:eastAsiaTheme="minorEastAsia"/>
          <w:color w:val="0f1115"/>
          <w:sz w:val="21"/>
          <w:szCs w:val="21"/>
          <w:highlight w:val="none"/>
          <w:shd w:val="clear" w:color="auto" w:fill="ffffff"/>
          <w:lang w:eastAsia="zh-CN"/>
        </w:rPr>
        <w:t xml:space="preserve">前</w:t>
      </w:r>
      <w:r>
        <w:rPr>
          <w:rFonts w:hint="eastAsia" w:cs="Ubuntu" w:asciiTheme="minorEastAsia" w:hAnsiTheme="minorEastAsia" w:eastAsiaTheme="minorEastAsia"/>
          <w:color w:val="0f1115"/>
          <w:sz w:val="21"/>
          <w:szCs w:val="21"/>
          <w:highlight w:val="none"/>
          <w:shd w:val="clear" w:color="auto" w:fill="ffffff"/>
        </w:rPr>
        <w:t xml:space="preserve">书面告知采购人）</w:t>
      </w:r>
      <w:r>
        <w:rPr>
          <w:rFonts w:cs="Ubuntu" w:asciiTheme="minorEastAsia" w:hAnsiTheme="minorEastAsia" w:eastAsiaTheme="minorEastAsia"/>
          <w:color w:val="0f1115"/>
          <w:sz w:val="21"/>
          <w:szCs w:val="21"/>
          <w:highlight w:val="none"/>
          <w:shd w:val="clear" w:color="auto" w:fill="ffffff"/>
        </w:rPr>
        <w:t xml:space="preserve">供应商应配合采购人完成旧电梯报废注销手续，取得注销证明后方可开始拆除。</w:t>
      </w:r>
      <w:r/>
    </w:p>
    <w:p>
      <w:pPr>
        <w:pStyle w:val="927"/>
        <w:ind w:left="0" w:firstLine="420"/>
        <w:spacing w:before="0" w:after="0" w:line="360" w:lineRule="auto"/>
        <w:shd w:val="clear" w:color="auto" w:fill="ffffff"/>
        <w:widowControl/>
        <w:tabs>
          <w:tab w:val="left" w:pos="720" w:leader="none"/>
        </w:tabs>
        <w:rPr>
          <w:rFonts w:hint="eastAsia" w:asciiTheme="minorEastAsia" w:hAnsiTheme="minorEastAsia" w:eastAsiaTheme="minorEastAsia"/>
          <w:sz w:val="21"/>
          <w:szCs w:val="21"/>
          <w:highlight w:val="none"/>
        </w:rPr>
      </w:pPr>
      <w:r>
        <w:rPr>
          <w:rFonts w:hint="eastAsia" w:cs="Ubuntu" w:asciiTheme="minorEastAsia" w:hAnsiTheme="minorEastAsia" w:eastAsiaTheme="minorEastAsia"/>
          <w:color w:val="0f1115"/>
          <w:sz w:val="21"/>
          <w:szCs w:val="21"/>
          <w:highlight w:val="none"/>
          <w:shd w:val="clear" w:color="auto" w:fill="ffffff"/>
        </w:rPr>
        <w:t xml:space="preserve">（2）</w:t>
      </w:r>
      <w:r>
        <w:rPr>
          <w:rFonts w:cs="Ubuntu" w:asciiTheme="minorEastAsia" w:hAnsiTheme="minorEastAsia" w:eastAsiaTheme="minorEastAsia"/>
          <w:b/>
          <w:bCs/>
          <w:color w:val="0f1115"/>
          <w:sz w:val="21"/>
          <w:szCs w:val="21"/>
          <w:highlight w:val="none"/>
          <w:shd w:val="clear" w:color="auto" w:fill="ffffff"/>
        </w:rPr>
        <w:t xml:space="preserve">拆除过程管理</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设置安全警示标志和隔离围挡，逐层分步拆除，严禁野蛮拆除。保护井道结构、厅门口及建筑主体，如有损坏由供应商负责修复并承担全部费用。含有危险废物的部件应交由具备相应资质的单位处置；其他废料及时清运出场</w:t>
      </w:r>
      <w:r>
        <w:rPr>
          <w:rFonts w:hint="eastAsia" w:cs="Ubuntu" w:asciiTheme="minorEastAsia" w:hAnsiTheme="minorEastAsia" w:eastAsiaTheme="minorEastAsia"/>
          <w:color w:val="0f1115"/>
          <w:sz w:val="21"/>
          <w:szCs w:val="21"/>
          <w:highlight w:val="none"/>
          <w:shd w:val="clear" w:color="auto" w:fill="ffffff"/>
        </w:rPr>
        <w:t xml:space="preserve">。</w:t>
      </w:r>
      <w:r>
        <w:rPr>
          <w:rFonts w:cs="Ubuntu" w:asciiTheme="minorEastAsia" w:hAnsiTheme="minorEastAsia" w:eastAsiaTheme="minorEastAsia"/>
          <w:color w:val="0f1115"/>
          <w:sz w:val="21"/>
          <w:szCs w:val="21"/>
          <w:highlight w:val="none"/>
          <w:shd w:val="clear" w:color="auto" w:fill="ffffff"/>
        </w:rPr>
        <w:t xml:space="preserve">做好拆除施工记录，完工后提交采购人备案。</w:t>
      </w:r>
      <w:r/>
    </w:p>
    <w:p>
      <w:pPr>
        <w:pStyle w:val="927"/>
        <w:ind w:left="0" w:firstLine="420"/>
        <w:spacing w:before="0" w:after="0" w:line="360" w:lineRule="auto"/>
        <w:shd w:val="clear" w:color="auto" w:fill="ffffff"/>
        <w:widowControl/>
        <w:tabs>
          <w:tab w:val="left" w:pos="720" w:leader="none"/>
        </w:tabs>
        <w:rPr>
          <w:rFonts w:hint="eastAsia" w:asciiTheme="minorEastAsia" w:hAnsiTheme="minorEastAsia" w:eastAsiaTheme="minorEastAsia"/>
          <w:sz w:val="21"/>
          <w:szCs w:val="21"/>
          <w:highlight w:val="none"/>
        </w:rPr>
      </w:pPr>
      <w:r>
        <w:rPr>
          <w:rFonts w:hint="eastAsia" w:cs="Ubuntu" w:asciiTheme="minorEastAsia" w:hAnsiTheme="minorEastAsia" w:eastAsiaTheme="minorEastAsia"/>
          <w:color w:val="0f1115"/>
          <w:sz w:val="21"/>
          <w:szCs w:val="21"/>
          <w:highlight w:val="none"/>
          <w:shd w:val="clear" w:color="auto" w:fill="ffffff"/>
        </w:rPr>
        <w:t xml:space="preserve">（3）</w:t>
      </w:r>
      <w:r>
        <w:rPr>
          <w:rFonts w:cs="Ubuntu" w:asciiTheme="minorEastAsia" w:hAnsiTheme="minorEastAsia" w:eastAsiaTheme="minorEastAsia"/>
          <w:b/>
          <w:bCs/>
          <w:color w:val="0f1115"/>
          <w:sz w:val="21"/>
          <w:szCs w:val="21"/>
          <w:highlight w:val="none"/>
          <w:shd w:val="clear" w:color="auto" w:fill="ffffff"/>
        </w:rPr>
        <w:t xml:space="preserve">拆除后现场清理</w:t>
      </w:r>
      <w:r/>
    </w:p>
    <w:p>
      <w:pPr>
        <w:pStyle w:val="927"/>
        <w:ind w:left="0" w:right="0" w:firstLine="420"/>
        <w:spacing w:before="0" w:after="0" w:line="360" w:lineRule="auto"/>
        <w:widowControl/>
        <w:tabs>
          <w:tab w:val="left" w:pos="720" w:leader="none"/>
        </w:tabs>
        <w:rPr>
          <w:rFonts w:hint="eastAsia" w:cs="Ubuntu" w:asciiTheme="minorEastAsia" w:hAnsiTheme="minorEastAsia" w:eastAsiaTheme="minorEastAsia"/>
          <w:color w:val="0f1115"/>
          <w:sz w:val="21"/>
          <w:szCs w:val="21"/>
          <w:highlight w:val="none"/>
          <w:shd w:val="clear" w:color="auto" w:fill="ffffff"/>
        </w:rPr>
      </w:pPr>
      <w:r>
        <w:rPr>
          <w:rFonts w:cs="Ubuntu" w:asciiTheme="minorEastAsia" w:hAnsiTheme="minorEastAsia" w:eastAsiaTheme="minorEastAsia"/>
          <w:color w:val="0f1115"/>
          <w:sz w:val="21"/>
          <w:szCs w:val="21"/>
          <w:highlight w:val="none"/>
          <w:shd w:val="clear" w:color="auto" w:fill="ffffff"/>
        </w:rPr>
        <w:t xml:space="preserve">全面清理井道内残留物，保证干净整洁。检查修复井道壁、厅门口、底坑破损，确保满足新电梯安装条件。清运完成后通知采购人验收，确认现场条件合格后方可进入安装阶段。</w:t>
      </w:r>
      <w:r/>
    </w:p>
    <w:p>
      <w:pPr>
        <w:pStyle w:val="1069"/>
        <w:numPr>
          <w:ilvl w:val="0"/>
          <w:numId w:val="15"/>
        </w:numPr>
        <w:ind w:left="210" w:firstLine="482"/>
        <w:spacing w:line="360" w:lineRule="auto"/>
        <w:rPr>
          <w:rFonts w:hint="eastAsia" w:ascii="Times New Roman" w:hAnsi="Times New Roman"/>
          <w:b/>
          <w:color w:val="000000" w:themeColor="text1"/>
          <w:highlight w:val="none"/>
          <w14:textFill>
            <w14:solidFill>
              <w14:schemeClr w14:val="tx1"/>
            </w14:solidFill>
          </w14:textFill>
        </w:rPr>
        <w:outlineLvl w:val="1"/>
      </w:pPr>
      <w:r>
        <w:rPr>
          <w:rFonts w:hint="eastAsia" w:ascii="Times New Roman" w:hAnsi="Times New Roman"/>
          <w:b/>
          <w:color w:val="000000" w:themeColor="text1"/>
          <w:highlight w:val="none"/>
          <w14:textFill>
            <w14:solidFill>
              <w14:schemeClr w14:val="tx1"/>
            </w14:solidFill>
          </w14:textFill>
        </w:rPr>
        <w:t xml:space="preserve">包装和运输要求</w:t>
      </w:r>
      <w:r/>
    </w:p>
    <w:p>
      <w:pPr>
        <w:pStyle w:val="927"/>
        <w:ind w:firstLine="420"/>
        <w:spacing w:line="360" w:lineRule="auto"/>
        <w:widowControl/>
        <w:tabs>
          <w:tab w:val="left" w:pos="72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（1）合同标的均是生产商出厂的原包装，且采用符合国家标准、行业标准、地方标准和规范的包装及保护措施，以适应于相应的运输方式，保证合同标的安全送达采购人指定地点。</w:t>
      </w:r>
      <w:r/>
    </w:p>
    <w:p>
      <w:pPr>
        <w:pStyle w:val="927"/>
        <w:ind w:firstLine="420"/>
        <w:spacing w:line="360" w:lineRule="auto"/>
        <w:widowControl/>
        <w:tabs>
          <w:tab w:val="left" w:pos="72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（2）合同标的的包装符合《商品包装政府采购需求标准（试行）》、《快递包装政府采购需求标准（试行）》（财办库〔2020〕123 号文）要求。</w:t>
      </w:r>
      <w:r/>
    </w:p>
    <w:p>
      <w:pPr>
        <w:pStyle w:val="927"/>
        <w:ind w:left="0" w:righ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（3）合同标的在运输环节发生锈蚀、损坏和丢失等情况，由供应商承担责任和费用。</w:t>
      </w:r>
      <w:r/>
    </w:p>
    <w:p>
      <w:pPr>
        <w:pStyle w:val="1069"/>
        <w:numPr>
          <w:ilvl w:val="0"/>
          <w:numId w:val="15"/>
        </w:numPr>
        <w:ind w:left="210" w:firstLine="482"/>
        <w:spacing w:line="360" w:lineRule="auto"/>
        <w:rPr>
          <w:rFonts w:hint="eastAsia" w:ascii="Times New Roman" w:hAnsi="Times New Roman"/>
          <w:b/>
          <w:color w:val="000000" w:themeColor="text1"/>
          <w:highlight w:val="none"/>
          <w14:textFill>
            <w14:solidFill>
              <w14:schemeClr w14:val="tx1"/>
            </w14:solidFill>
          </w14:textFill>
        </w:rPr>
        <w:outlineLvl w:val="1"/>
      </w:pPr>
      <w:r>
        <w:rPr>
          <w:rFonts w:hint="eastAsia" w:ascii="Times New Roman" w:hAnsi="Times New Roman"/>
          <w:b/>
          <w:color w:val="000000" w:themeColor="text1"/>
          <w:highlight w:val="none"/>
          <w14:textFill>
            <w14:solidFill>
              <w14:schemeClr w14:val="tx1"/>
            </w14:solidFill>
          </w14:textFill>
        </w:rPr>
        <w:t xml:space="preserve">安装要求</w:t>
      </w:r>
      <w:r/>
    </w:p>
    <w:p>
      <w:pPr>
        <w:pStyle w:val="927"/>
        <w:ind w:left="0" w:firstLine="420"/>
        <w:spacing w:before="0" w:after="0" w:line="360" w:lineRule="auto"/>
        <w:shd w:val="clear" w:color="auto" w:fill="ffffff"/>
        <w:widowControl/>
        <w:tabs>
          <w:tab w:val="left" w:pos="720" w:leader="none"/>
        </w:tabs>
        <w:rPr>
          <w:rFonts w:hint="eastAsia" w:asciiTheme="minorEastAsia" w:hAnsiTheme="minorEastAsia" w:eastAsiaTheme="minorEastAsia"/>
          <w:sz w:val="21"/>
          <w:szCs w:val="21"/>
          <w:highlight w:val="none"/>
        </w:rPr>
      </w:pPr>
      <w:r>
        <w:rPr>
          <w:rFonts w:hint="eastAsia" w:cs="Ubuntu" w:asciiTheme="minorEastAsia" w:hAnsiTheme="minorEastAsia" w:eastAsiaTheme="minorEastAsia"/>
          <w:color w:val="0f1115"/>
          <w:sz w:val="21"/>
          <w:szCs w:val="21"/>
          <w:highlight w:val="none"/>
          <w:shd w:val="clear" w:color="auto" w:fill="ffffff"/>
        </w:rPr>
        <w:t xml:space="preserve">（1）</w:t>
      </w:r>
      <w:r>
        <w:rPr>
          <w:rFonts w:cs="Ubuntu" w:asciiTheme="minorEastAsia" w:hAnsiTheme="minorEastAsia" w:eastAsiaTheme="minorEastAsia"/>
          <w:b/>
          <w:bCs/>
          <w:color w:val="0f1115"/>
          <w:sz w:val="21"/>
          <w:szCs w:val="21"/>
          <w:highlight w:val="none"/>
          <w:shd w:val="clear" w:color="auto" w:fill="ffffff"/>
        </w:rPr>
        <w:t xml:space="preserve">安装前提与资质要求</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供应商应具备相应特种设备生产许可证，并向苏州工业园区市场监督管理局办理施工告知手续。</w:t>
      </w:r>
      <w:r/>
    </w:p>
    <w:p>
      <w:pPr>
        <w:pStyle w:val="927"/>
        <w:ind w:left="0" w:right="0" w:firstLine="420"/>
        <w:spacing w:before="0" w:after="0" w:line="360" w:lineRule="auto"/>
        <w:widowControl/>
        <w:rPr>
          <w:rFonts w:hint="eastAsia" w:cs="Ubuntu" w:asciiTheme="minorEastAsia" w:hAnsiTheme="minorEastAsia" w:eastAsiaTheme="minorEastAsia"/>
          <w:color w:val="0f1115"/>
          <w:sz w:val="21"/>
          <w:szCs w:val="21"/>
          <w:highlight w:val="none"/>
          <w:shd w:val="clear" w:color="auto" w:fill="ffffff"/>
        </w:rPr>
      </w:pPr>
      <w:r>
        <w:rPr>
          <w:rFonts w:cs="Ubuntu" w:asciiTheme="minorEastAsia" w:hAnsiTheme="minorEastAsia" w:eastAsiaTheme="minorEastAsia"/>
          <w:color w:val="0f1115"/>
          <w:sz w:val="21"/>
          <w:szCs w:val="21"/>
          <w:highlight w:val="none"/>
          <w:shd w:val="clear" w:color="auto" w:fill="ffffff"/>
        </w:rPr>
        <w:t xml:space="preserve">提交《新电梯安装施工方案》经采购人书面确认后实施。</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hint="eastAsia" w:cs="Ubuntu" w:asciiTheme="minorEastAsia" w:hAnsiTheme="minorEastAsia" w:eastAsiaTheme="minorEastAsia"/>
          <w:color w:val="0f1115"/>
          <w:sz w:val="21"/>
          <w:szCs w:val="21"/>
          <w:highlight w:val="none"/>
          <w:shd w:val="clear" w:color="auto" w:fill="ffffff"/>
        </w:rPr>
        <w:t xml:space="preserve">（2）</w:t>
      </w:r>
      <w:r>
        <w:rPr>
          <w:rFonts w:cs="Ubuntu" w:asciiTheme="minorEastAsia" w:hAnsiTheme="minorEastAsia" w:eastAsiaTheme="minorEastAsia"/>
          <w:b/>
          <w:bCs/>
          <w:color w:val="0f1115"/>
          <w:sz w:val="21"/>
          <w:szCs w:val="21"/>
          <w:highlight w:val="none"/>
          <w:shd w:val="clear" w:color="auto" w:fill="ffffff"/>
        </w:rPr>
        <w:t xml:space="preserve">安装过程要求</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严格按国家现行标准及制造厂家安装说明书施工。主要安装精度：曳引机水平度≤0.2mm/m，中心偏差≤2mm；导轨垂直度每5m≤0.5mm，导轨接头台阶≤0.05mm；层门地坎水平度≤1/1000。</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做好施工过程记录和自检。</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采取安全防护措施（厅门口防护栏、安全网、施工用电符合规范、配备消防器材）做好成品保护，防止划伤、磕碰。</w:t>
      </w:r>
      <w:r/>
    </w:p>
    <w:p>
      <w:pPr>
        <w:pStyle w:val="927"/>
        <w:ind w:left="0" w:right="0" w:firstLine="420"/>
        <w:spacing w:before="0" w:after="0" w:line="360" w:lineRule="auto"/>
        <w:widowControl/>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发现土建偏差或安全隐患，立即暂停施工并书面通知采购人协商解决。保持施工现场整洁，每日清理。</w:t>
      </w:r>
      <w:r/>
    </w:p>
    <w:p>
      <w:pPr>
        <w:pStyle w:val="927"/>
        <w:ind w:left="0" w:firstLine="420"/>
        <w:spacing w:before="0" w:after="0" w:line="360" w:lineRule="auto"/>
        <w:shd w:val="clear" w:color="auto" w:fill="ffffff"/>
        <w:widowControl/>
        <w:tabs>
          <w:tab w:val="left" w:pos="720" w:leader="none"/>
        </w:tabs>
        <w:rPr>
          <w:rFonts w:hint="eastAsia" w:asciiTheme="minorEastAsia" w:hAnsiTheme="minorEastAsia" w:eastAsiaTheme="minorEastAsia"/>
          <w:sz w:val="21"/>
          <w:szCs w:val="21"/>
          <w:highlight w:val="none"/>
        </w:rPr>
      </w:pPr>
      <w:r>
        <w:rPr>
          <w:rFonts w:hint="eastAsia" w:cs="Ubuntu" w:asciiTheme="minorEastAsia" w:hAnsiTheme="minorEastAsia" w:eastAsiaTheme="minorEastAsia"/>
          <w:color w:val="0f1115"/>
          <w:sz w:val="21"/>
          <w:szCs w:val="21"/>
          <w:highlight w:val="none"/>
          <w:shd w:val="clear" w:color="auto" w:fill="ffffff"/>
        </w:rPr>
        <w:t xml:space="preserve">（3）</w:t>
      </w:r>
      <w:r>
        <w:rPr>
          <w:rFonts w:cs="Ubuntu" w:asciiTheme="minorEastAsia" w:hAnsiTheme="minorEastAsia" w:eastAsiaTheme="minorEastAsia"/>
          <w:b/>
          <w:bCs/>
          <w:color w:val="0f1115"/>
          <w:sz w:val="21"/>
          <w:szCs w:val="21"/>
          <w:highlight w:val="none"/>
          <w:shd w:val="clear" w:color="auto" w:fill="ffffff"/>
        </w:rPr>
        <w:t xml:space="preserve">与采购人的协调配合</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指定现场负责人，施工前24小时通知采购人，经同意后方可进场。避开采购人正常运营时段。</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施工人员遵守采购人管理规定。</w:t>
      </w:r>
      <w:r/>
    </w:p>
    <w:p>
      <w:pPr>
        <w:pStyle w:val="1069"/>
        <w:numPr>
          <w:ilvl w:val="0"/>
          <w:numId w:val="15"/>
        </w:numPr>
        <w:ind w:left="210" w:firstLine="482"/>
        <w:spacing w:line="360" w:lineRule="auto"/>
        <w:rPr>
          <w:rFonts w:hint="eastAsia" w:ascii="Times New Roman" w:hAnsi="Times New Roman"/>
          <w:b/>
          <w:color w:val="000000" w:themeColor="text1"/>
          <w:highlight w:val="none"/>
          <w14:textFill>
            <w14:solidFill>
              <w14:schemeClr w14:val="tx1"/>
            </w14:solidFill>
          </w14:textFill>
        </w:rPr>
        <w:outlineLvl w:val="1"/>
      </w:pPr>
      <w:r>
        <w:rPr>
          <w:rFonts w:hint="eastAsia" w:ascii="Times New Roman" w:hAnsi="Times New Roman"/>
          <w:b/>
          <w:color w:val="000000" w:themeColor="text1"/>
          <w:highlight w:val="none"/>
          <w14:textFill>
            <w14:solidFill>
              <w14:schemeClr w14:val="tx1"/>
            </w14:solidFill>
          </w14:textFill>
        </w:rPr>
        <w:t xml:space="preserve">调试、验收要求</w:t>
      </w:r>
      <w:r/>
    </w:p>
    <w:p>
      <w:pPr>
        <w:pStyle w:val="927"/>
        <w:ind w:left="0" w:right="0" w:firstLine="420"/>
        <w:spacing w:before="0" w:after="0" w:line="360" w:lineRule="auto"/>
        <w:shd w:val="clear" w:color="auto" w:fill="ffffff"/>
        <w:widowControl/>
        <w:rPr>
          <w:rFonts w:hint="eastAsia" w:asciiTheme="minorEastAsia" w:hAnsiTheme="minorEastAsia" w:eastAsiaTheme="minorEastAsia"/>
          <w:sz w:val="21"/>
          <w:szCs w:val="21"/>
          <w:highlight w:val="none"/>
        </w:rPr>
      </w:pPr>
      <w:r>
        <w:rPr>
          <w:rFonts w:hint="eastAsia" w:cs="Ubuntu" w:asciiTheme="minorEastAsia" w:hAnsiTheme="minorEastAsia" w:eastAsiaTheme="minorEastAsia"/>
          <w:color w:val="0f1115"/>
          <w:sz w:val="21"/>
          <w:szCs w:val="21"/>
          <w:highlight w:val="none"/>
          <w:shd w:val="clear" w:color="auto" w:fill="ffffff"/>
        </w:rPr>
        <w:t xml:space="preserve">（1）</w:t>
      </w:r>
      <w:r>
        <w:rPr>
          <w:rFonts w:cs="Ubuntu" w:asciiTheme="minorEastAsia" w:hAnsiTheme="minorEastAsia" w:eastAsiaTheme="minorEastAsia"/>
          <w:b/>
          <w:bCs/>
          <w:color w:val="0f1115"/>
          <w:sz w:val="21"/>
          <w:szCs w:val="21"/>
          <w:highlight w:val="none"/>
          <w:shd w:val="clear" w:color="auto" w:fill="ffffff"/>
        </w:rPr>
        <w:t xml:space="preserve">调试要求</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按GB/T 10059-2023</w:t>
      </w:r>
      <w:r>
        <w:rPr>
          <w:rFonts w:hint="eastAsia" w:cs="Ubuntu" w:asciiTheme="minorEastAsia" w:hAnsiTheme="minorEastAsia" w:eastAsiaTheme="minorEastAsia"/>
          <w:color w:val="0f1115"/>
          <w:sz w:val="21"/>
          <w:szCs w:val="21"/>
          <w:highlight w:val="none"/>
          <w:shd w:val="clear" w:color="auto" w:fill="ffffff"/>
          <w:lang w:eastAsia="zh-CN"/>
        </w:rPr>
        <w:t xml:space="preserve">《电梯试验方法》</w:t>
      </w:r>
      <w:r>
        <w:rPr>
          <w:rFonts w:cs="Ubuntu" w:asciiTheme="minorEastAsia" w:hAnsiTheme="minorEastAsia" w:eastAsiaTheme="minorEastAsia"/>
          <w:color w:val="0f1115"/>
          <w:sz w:val="21"/>
          <w:szCs w:val="21"/>
          <w:highlight w:val="none"/>
          <w:shd w:val="clear" w:color="auto" w:fill="ffffff"/>
        </w:rPr>
        <w:t xml:space="preserve">进行全面调试</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进行不少于72小时的连续试运行，记录运行次数、故障、平层精度、振动、噪声等数据。</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试运行异常需整改并重新试运行。自检合格后准备监督检验资料。</w:t>
      </w:r>
      <w:r/>
    </w:p>
    <w:p>
      <w:pPr>
        <w:pStyle w:val="927"/>
        <w:ind w:left="0" w:firstLine="420"/>
        <w:spacing w:before="0" w:after="0" w:line="360" w:lineRule="auto"/>
        <w:shd w:val="clear" w:color="auto" w:fill="ffffff"/>
        <w:widowControl/>
        <w:tabs>
          <w:tab w:val="left" w:pos="720" w:leader="none"/>
        </w:tabs>
        <w:rPr>
          <w:rFonts w:hint="eastAsia" w:cs="Ubuntu" w:asciiTheme="minorEastAsia" w:hAnsiTheme="minorEastAsia" w:eastAsiaTheme="minorEastAsia"/>
          <w:b/>
          <w:bCs/>
          <w:color w:val="0f1115"/>
          <w:sz w:val="21"/>
          <w:szCs w:val="21"/>
          <w:highlight w:val="none"/>
          <w:shd w:val="clear" w:color="auto" w:fill="ffffff"/>
        </w:rPr>
      </w:pPr>
      <w:r>
        <w:rPr>
          <w:rFonts w:hint="eastAsia" w:cs="Ubuntu" w:asciiTheme="minorEastAsia" w:hAnsiTheme="minorEastAsia" w:eastAsiaTheme="minorEastAsia"/>
          <w:color w:val="0f1115"/>
          <w:sz w:val="21"/>
          <w:szCs w:val="21"/>
          <w:highlight w:val="none"/>
          <w:shd w:val="clear" w:color="auto" w:fill="ffffff"/>
        </w:rPr>
        <w:t xml:space="preserve">（2）</w:t>
      </w:r>
      <w:r>
        <w:rPr>
          <w:rFonts w:cs="Ubuntu" w:asciiTheme="minorEastAsia" w:hAnsiTheme="minorEastAsia" w:eastAsiaTheme="minorEastAsia"/>
          <w:b/>
          <w:bCs/>
          <w:color w:val="0f1115"/>
          <w:sz w:val="21"/>
          <w:szCs w:val="21"/>
          <w:highlight w:val="none"/>
          <w:shd w:val="clear" w:color="auto" w:fill="ffffff"/>
        </w:rPr>
        <w:t xml:space="preserve">监督检验</w:t>
      </w:r>
      <w:r/>
    </w:p>
    <w:p>
      <w:pPr>
        <w:pStyle w:val="927"/>
        <w:ind w:left="0" w:firstLine="420"/>
        <w:spacing w:before="0" w:after="0" w:line="360" w:lineRule="auto"/>
        <w:shd w:val="clear" w:color="auto" w:fill="ffffff"/>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委托经采购人认可的特种设备监督检验机构进行安装监督检验，</w:t>
      </w:r>
      <w:r>
        <w:rPr>
          <w:rFonts w:hint="eastAsia" w:cs="Ubuntu" w:asciiTheme="minorEastAsia" w:hAnsiTheme="minorEastAsia" w:eastAsiaTheme="minorEastAsia"/>
          <w:color w:val="0f1115"/>
          <w:sz w:val="21"/>
          <w:szCs w:val="21"/>
          <w:highlight w:val="none"/>
          <w:shd w:val="clear" w:color="auto" w:fill="ffffff"/>
        </w:rPr>
        <w:t xml:space="preserve">检验费用</w:t>
      </w:r>
      <w:r>
        <w:rPr>
          <w:rFonts w:hint="eastAsia" w:cs="Ubuntu" w:asciiTheme="minorEastAsia" w:hAnsiTheme="minorEastAsia" w:eastAsiaTheme="minorEastAsia"/>
          <w:color w:val="0f1115"/>
          <w:sz w:val="21"/>
          <w:szCs w:val="21"/>
          <w:highlight w:val="none"/>
          <w:shd w:val="clear" w:color="auto" w:fill="ffffff"/>
          <w:lang w:eastAsia="zh-CN"/>
        </w:rPr>
        <w:t xml:space="preserve">由供应商承担，</w:t>
      </w:r>
      <w:r>
        <w:rPr>
          <w:rFonts w:cs="Ubuntu" w:asciiTheme="minorEastAsia" w:hAnsiTheme="minorEastAsia" w:eastAsiaTheme="minorEastAsia"/>
          <w:color w:val="0f1115"/>
          <w:sz w:val="21"/>
          <w:szCs w:val="21"/>
          <w:highlight w:val="none"/>
          <w:shd w:val="clear" w:color="auto" w:fill="ffffff"/>
        </w:rPr>
        <w:t xml:space="preserve">取得《电梯监督检验报告》</w:t>
      </w:r>
      <w:r>
        <w:rPr>
          <w:rFonts w:hint="eastAsia" w:cs="Ubuntu" w:asciiTheme="minorEastAsia" w:hAnsiTheme="minorEastAsia" w:eastAsiaTheme="minorEastAsia"/>
          <w:color w:val="0f1115"/>
          <w:sz w:val="21"/>
          <w:szCs w:val="21"/>
          <w:highlight w:val="none"/>
          <w:shd w:val="clear" w:color="auto" w:fill="ffffff"/>
        </w:rPr>
        <w:t xml:space="preserve">和</w:t>
      </w:r>
      <w:r>
        <w:rPr>
          <w:rFonts w:cs="Ubuntu" w:asciiTheme="minorEastAsia" w:hAnsiTheme="minorEastAsia" w:eastAsiaTheme="minorEastAsia"/>
          <w:color w:val="0f1115"/>
          <w:sz w:val="21"/>
          <w:szCs w:val="21"/>
          <w:highlight w:val="none"/>
          <w:shd w:val="clear" w:color="auto" w:fill="ffffff"/>
        </w:rPr>
        <w:t xml:space="preserve">《特种设备使用标志》。检验不合格项由供应商在规定期限内整改并承担复检费用。</w:t>
      </w:r>
      <w:r/>
    </w:p>
    <w:p>
      <w:pPr>
        <w:pStyle w:val="927"/>
        <w:ind w:left="0" w:firstLine="420"/>
        <w:spacing w:before="0" w:after="0" w:line="360" w:lineRule="auto"/>
        <w:shd w:val="clear" w:color="auto" w:fill="ffffff"/>
        <w:widowControl/>
        <w:tabs>
          <w:tab w:val="left" w:pos="720" w:leader="none"/>
        </w:tabs>
        <w:rPr>
          <w:rFonts w:hint="eastAsia" w:asciiTheme="minorEastAsia" w:hAnsiTheme="minorEastAsia" w:eastAsiaTheme="minorEastAsia"/>
          <w:sz w:val="21"/>
          <w:szCs w:val="21"/>
          <w:highlight w:val="none"/>
        </w:rPr>
      </w:pPr>
      <w:r>
        <w:rPr>
          <w:rFonts w:hint="eastAsia" w:cs="Ubuntu" w:asciiTheme="minorEastAsia" w:hAnsiTheme="minorEastAsia" w:eastAsiaTheme="minorEastAsia"/>
          <w:color w:val="0f1115"/>
          <w:sz w:val="21"/>
          <w:szCs w:val="21"/>
          <w:highlight w:val="none"/>
          <w:shd w:val="clear" w:color="auto" w:fill="ffffff"/>
        </w:rPr>
        <w:t xml:space="preserve">（3）</w:t>
      </w:r>
      <w:r>
        <w:rPr>
          <w:rFonts w:cs="Ubuntu" w:asciiTheme="minorEastAsia" w:hAnsiTheme="minorEastAsia" w:eastAsiaTheme="minorEastAsia"/>
          <w:b/>
          <w:bCs/>
          <w:color w:val="0f1115"/>
          <w:sz w:val="21"/>
          <w:szCs w:val="21"/>
          <w:highlight w:val="none"/>
          <w:shd w:val="clear" w:color="auto" w:fill="ffffff"/>
        </w:rPr>
        <w:t xml:space="preserve">最终验收</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由采购人组成验收小组，依据GB 50310</w:t>
      </w:r>
      <w:r>
        <w:rPr>
          <w:rFonts w:hint="eastAsia" w:cs="Ubuntu" w:asciiTheme="minorEastAsia" w:hAnsiTheme="minorEastAsia" w:eastAsiaTheme="minorEastAsia"/>
          <w:color w:val="0f1115"/>
          <w:sz w:val="21"/>
          <w:szCs w:val="21"/>
          <w:highlight w:val="none"/>
          <w:shd w:val="clear" w:color="auto" w:fill="ffffff"/>
        </w:rPr>
        <w:t xml:space="preserve">-2002</w:t>
      </w:r>
      <w:r>
        <w:rPr>
          <w:rFonts w:hint="eastAsia" w:cs="Ubuntu" w:asciiTheme="minorEastAsia" w:hAnsiTheme="minorEastAsia" w:eastAsiaTheme="minorEastAsia"/>
          <w:color w:val="0f1115"/>
          <w:sz w:val="21"/>
          <w:szCs w:val="21"/>
          <w:highlight w:val="none"/>
          <w:shd w:val="clear" w:color="auto" w:fill="ffffff"/>
          <w:lang w:eastAsia="zh-CN"/>
        </w:rPr>
        <w:t xml:space="preserve">《电梯工程施工质量验收规范》</w:t>
      </w:r>
      <w:r>
        <w:rPr>
          <w:rFonts w:cs="Ubuntu" w:asciiTheme="minorEastAsia" w:hAnsiTheme="minorEastAsia" w:eastAsiaTheme="minorEastAsia"/>
          <w:color w:val="0f1115"/>
          <w:sz w:val="21"/>
          <w:szCs w:val="21"/>
          <w:highlight w:val="none"/>
          <w:shd w:val="clear" w:color="auto" w:fill="ffffff"/>
        </w:rPr>
        <w:t xml:space="preserve">、GB/T 10058</w:t>
      </w:r>
      <w:r>
        <w:rPr>
          <w:rFonts w:hint="eastAsia" w:cs="Ubuntu" w:asciiTheme="minorEastAsia" w:hAnsiTheme="minorEastAsia" w:eastAsiaTheme="minorEastAsia"/>
          <w:color w:val="0f1115"/>
          <w:sz w:val="21"/>
          <w:szCs w:val="21"/>
          <w:highlight w:val="none"/>
          <w:shd w:val="clear" w:color="auto" w:fill="ffffff"/>
        </w:rPr>
        <w:t xml:space="preserve">-2023</w:t>
      </w:r>
      <w:r>
        <w:rPr>
          <w:rFonts w:hint="eastAsia" w:cs="Ubuntu" w:asciiTheme="minorEastAsia" w:hAnsiTheme="minorEastAsia" w:eastAsiaTheme="minorEastAsia"/>
          <w:color w:val="0f1115"/>
          <w:sz w:val="21"/>
          <w:szCs w:val="21"/>
          <w:highlight w:val="none"/>
          <w:shd w:val="clear" w:color="auto" w:fill="ffffff"/>
          <w:lang w:eastAsia="zh-CN"/>
        </w:rPr>
        <w:t xml:space="preserve">《电梯技术条件》</w:t>
      </w:r>
      <w:r>
        <w:rPr>
          <w:rFonts w:cs="Ubuntu" w:asciiTheme="minorEastAsia" w:hAnsiTheme="minorEastAsia" w:eastAsiaTheme="minorEastAsia"/>
          <w:color w:val="0f1115"/>
          <w:sz w:val="21"/>
          <w:szCs w:val="21"/>
          <w:highlight w:val="none"/>
          <w:shd w:val="clear" w:color="auto" w:fill="ffffff"/>
        </w:rPr>
        <w:t xml:space="preserve">、采购文件、响应文件及合同等进行验收。</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lang w:eastAsia="zh-CN"/>
        </w:rPr>
      </w:pPr>
      <w:r>
        <w:rPr>
          <w:rFonts w:cs="Ubuntu" w:asciiTheme="minorEastAsia" w:hAnsiTheme="minorEastAsia" w:eastAsiaTheme="minorEastAsia"/>
          <w:color w:val="0f1115"/>
          <w:sz w:val="21"/>
          <w:szCs w:val="21"/>
          <w:highlight w:val="none"/>
          <w:shd w:val="clear" w:color="auto" w:fill="ffffff"/>
        </w:rPr>
        <w:t xml:space="preserve">供应商须移交全部技术资料（型式试验证书、出厂合格证、监督检验报告、电气原理图、维护手册、备品备件清单等）</w:t>
      </w:r>
      <w:r>
        <w:rPr>
          <w:rFonts w:hint="eastAsia" w:cs="Ubuntu" w:asciiTheme="minorEastAsia" w:hAnsiTheme="minorEastAsia" w:eastAsiaTheme="minorEastAsia"/>
          <w:color w:val="0f1115"/>
          <w:sz w:val="21"/>
          <w:szCs w:val="21"/>
          <w:highlight w:val="none"/>
          <w:shd w:val="clear" w:color="auto" w:fill="ffffff"/>
          <w:lang w:eastAsia="zh-CN"/>
        </w:rPr>
        <w:t xml:space="preserve">。</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lang w:eastAsia="zh-CN"/>
        </w:rPr>
      </w:pPr>
      <w:r>
        <w:rPr>
          <w:rFonts w:cs="Ubuntu" w:asciiTheme="minorEastAsia" w:hAnsiTheme="minorEastAsia" w:eastAsiaTheme="minorEastAsia"/>
          <w:color w:val="0f1115"/>
          <w:sz w:val="21"/>
          <w:szCs w:val="21"/>
          <w:highlight w:val="none"/>
          <w:shd w:val="clear" w:color="auto" w:fill="ffffff"/>
        </w:rPr>
        <w:t xml:space="preserve">现场测试平层精度、开关门功能、安全装置、五方对讲、语音报站等</w:t>
      </w:r>
      <w:r>
        <w:rPr>
          <w:rFonts w:hint="eastAsia" w:cs="Ubuntu" w:asciiTheme="minorEastAsia" w:hAnsiTheme="minorEastAsia" w:eastAsiaTheme="minorEastAsia"/>
          <w:color w:val="0f1115"/>
          <w:sz w:val="21"/>
          <w:szCs w:val="21"/>
          <w:highlight w:val="none"/>
          <w:shd w:val="clear" w:color="auto" w:fill="ffffff"/>
          <w:lang w:eastAsia="zh-CN"/>
        </w:rPr>
        <w:t xml:space="preserve">。</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验收合格签署《政府采购履约验收书》；不合格的限期整改，费用由供应商承担。</w:t>
      </w:r>
      <w:r/>
    </w:p>
    <w:p>
      <w:pPr>
        <w:pStyle w:val="1069"/>
        <w:numPr>
          <w:ilvl w:val="0"/>
          <w:numId w:val="15"/>
        </w:numPr>
        <w:ind w:left="210" w:firstLine="482"/>
        <w:spacing w:line="360" w:lineRule="auto"/>
        <w:rPr>
          <w:rFonts w:hint="eastAsia" w:ascii="Times New Roman" w:hAnsi="Times New Roman"/>
          <w:b/>
          <w:color w:val="000000" w:themeColor="text1"/>
          <w:highlight w:val="none"/>
          <w14:textFill>
            <w14:solidFill>
              <w14:schemeClr w14:val="tx1"/>
            </w14:solidFill>
          </w14:textFill>
        </w:rPr>
        <w:outlineLvl w:val="1"/>
      </w:pPr>
      <w:r>
        <w:rPr>
          <w:rFonts w:hint="eastAsia" w:ascii="Times New Roman" w:hAnsi="Times New Roman"/>
          <w:b/>
          <w:color w:val="000000" w:themeColor="text1"/>
          <w:highlight w:val="none"/>
          <w14:textFill>
            <w14:solidFill>
              <w14:schemeClr w14:val="tx1"/>
            </w14:solidFill>
          </w14:textFill>
        </w:rPr>
        <w:t xml:space="preserve">现场培训要求</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免费为采购人操作及管理人员提供不少于4学时的现场培训。</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培训内容：电梯基本结构、操作方法、紧急情况处理（困人救援、消防迫降操作）、日常检查、维护保养基础、安全注意事项、五方对讲使用等。提供培训教材（纸质或电子）。</w:t>
      </w:r>
      <w:r/>
    </w:p>
    <w:p>
      <w:pPr>
        <w:pStyle w:val="1069"/>
        <w:numPr>
          <w:ilvl w:val="0"/>
          <w:numId w:val="15"/>
        </w:numPr>
        <w:ind w:left="210" w:firstLine="482"/>
        <w:spacing w:line="360" w:lineRule="auto"/>
        <w:rPr>
          <w:rFonts w:hint="eastAsia" w:ascii="Times New Roman" w:hAnsi="Times New Roman"/>
          <w:b/>
          <w:color w:val="000000" w:themeColor="text1"/>
          <w:highlight w:val="none"/>
          <w14:textFill>
            <w14:solidFill>
              <w14:schemeClr w14:val="tx1"/>
            </w14:solidFill>
          </w14:textFill>
        </w:rPr>
        <w:outlineLvl w:val="1"/>
      </w:pPr>
      <w:r>
        <w:rPr>
          <w:rFonts w:ascii="Times New Roman" w:hAnsi="Times New Roman"/>
          <w:b/>
          <w:color w:val="000000" w:themeColor="text1"/>
          <w:highlight w:val="none"/>
          <w14:textFill>
            <w14:solidFill>
              <w14:schemeClr w14:val="tx1"/>
            </w14:solidFill>
          </w14:textFill>
        </w:rPr>
        <w:t xml:space="preserve">质保及维保服务要求</w:t>
      </w:r>
      <w:r/>
    </w:p>
    <w:p>
      <w:pPr>
        <w:pStyle w:val="927"/>
        <w:ind w:left="0" w:firstLine="420"/>
        <w:spacing w:before="0" w:after="0" w:line="360" w:lineRule="auto"/>
        <w:shd w:val="clear" w:color="auto" w:fill="ffffff"/>
        <w:widowControl/>
        <w:tabs>
          <w:tab w:val="left" w:pos="720" w:leader="none"/>
        </w:tabs>
        <w:rPr>
          <w:rFonts w:hint="eastAsia" w:asciiTheme="minorEastAsia" w:hAnsiTheme="minorEastAsia" w:eastAsiaTheme="minorEastAsia"/>
          <w:sz w:val="21"/>
          <w:szCs w:val="21"/>
          <w:highlight w:val="none"/>
        </w:rPr>
      </w:pPr>
      <w:r>
        <w:rPr>
          <w:rFonts w:hint="eastAsia" w:cs="Ubuntu" w:asciiTheme="minorEastAsia" w:hAnsiTheme="minorEastAsia" w:eastAsiaTheme="minorEastAsia"/>
          <w:color w:val="0f1115"/>
          <w:sz w:val="21"/>
          <w:szCs w:val="21"/>
          <w:highlight w:val="none"/>
          <w:shd w:val="clear" w:color="auto" w:fill="ffffff"/>
        </w:rPr>
        <w:t xml:space="preserve">（1）</w:t>
      </w:r>
      <w:r>
        <w:rPr>
          <w:rFonts w:cs="Ubuntu" w:asciiTheme="minorEastAsia" w:hAnsiTheme="minorEastAsia" w:eastAsiaTheme="minorEastAsia"/>
          <w:b/>
          <w:bCs/>
          <w:color w:val="0f1115"/>
          <w:sz w:val="21"/>
          <w:szCs w:val="21"/>
          <w:highlight w:val="none"/>
          <w:shd w:val="clear" w:color="auto" w:fill="ffffff"/>
        </w:rPr>
        <w:t xml:space="preserve">质保期</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自最终验收合格</w:t>
      </w:r>
      <w:r>
        <w:rPr>
          <w:rFonts w:hint="eastAsia" w:cs="Ubuntu" w:asciiTheme="minorEastAsia" w:hAnsiTheme="minorEastAsia" w:eastAsiaTheme="minorEastAsia"/>
          <w:color w:val="0f1115"/>
          <w:sz w:val="21"/>
          <w:szCs w:val="21"/>
          <w:highlight w:val="none"/>
          <w:shd w:val="clear" w:color="auto" w:fill="ffffff"/>
          <w:lang w:eastAsia="zh-CN"/>
        </w:rPr>
        <w:t xml:space="preserve">并发放《特种设备使用标志》之日</w:t>
      </w:r>
      <w:r>
        <w:rPr>
          <w:rFonts w:cs="Ubuntu" w:asciiTheme="minorEastAsia" w:hAnsiTheme="minorEastAsia" w:eastAsiaTheme="minorEastAsia"/>
          <w:color w:val="0f1115"/>
          <w:sz w:val="21"/>
          <w:szCs w:val="21"/>
          <w:highlight w:val="none"/>
          <w:shd w:val="clear" w:color="auto" w:fill="ffffff"/>
        </w:rPr>
        <w:t xml:space="preserve">起</w:t>
      </w:r>
      <w:r>
        <w:rPr>
          <w:rFonts w:hint="eastAsia" w:cs="Ubuntu" w:asciiTheme="minorEastAsia" w:hAnsiTheme="minorEastAsia" w:eastAsiaTheme="minorEastAsia"/>
          <w:b/>
          <w:bCs/>
          <w:color w:val="0f1115"/>
          <w:sz w:val="21"/>
          <w:szCs w:val="21"/>
          <w:highlight w:val="none"/>
          <w:shd w:val="clear" w:color="auto" w:fill="ffffff"/>
        </w:rPr>
        <w:t xml:space="preserve">60</w:t>
      </w:r>
      <w:r>
        <w:rPr>
          <w:rFonts w:cs="Ubuntu" w:asciiTheme="minorEastAsia" w:hAnsiTheme="minorEastAsia" w:eastAsiaTheme="minorEastAsia"/>
          <w:b/>
          <w:bCs/>
          <w:color w:val="0f1115"/>
          <w:sz w:val="21"/>
          <w:szCs w:val="21"/>
          <w:highlight w:val="none"/>
          <w:shd w:val="clear" w:color="auto" w:fill="ffffff"/>
        </w:rPr>
        <w:t xml:space="preserve">个月</w:t>
      </w:r>
      <w:r>
        <w:rPr>
          <w:rFonts w:cs="Ubuntu" w:asciiTheme="minorEastAsia" w:hAnsiTheme="minorEastAsia" w:eastAsiaTheme="minorEastAsia"/>
          <w:color w:val="0f1115"/>
          <w:sz w:val="21"/>
          <w:szCs w:val="21"/>
          <w:highlight w:val="none"/>
          <w:shd w:val="clear" w:color="auto" w:fill="ffffff"/>
        </w:rPr>
        <w:t xml:space="preserve">（如供应商承诺更长期限，以承诺为准）。</w:t>
      </w:r>
      <w:r/>
    </w:p>
    <w:p>
      <w:pPr>
        <w:pStyle w:val="927"/>
        <w:ind w:left="0" w:firstLine="420"/>
        <w:spacing w:before="0" w:after="0" w:line="360" w:lineRule="auto"/>
        <w:widowControl/>
        <w:tabs>
          <w:tab w:val="left" w:pos="720" w:leader="none"/>
        </w:tabs>
        <w:rPr>
          <w:rFonts w:hint="eastAsia" w:cs="Ubuntu" w:asciiTheme="minorEastAsia" w:hAnsiTheme="minorEastAsia" w:eastAsiaTheme="minorEastAsia"/>
          <w:color w:val="0f1115"/>
          <w:sz w:val="21"/>
          <w:szCs w:val="21"/>
          <w:highlight w:val="none"/>
          <w:shd w:val="clear" w:color="auto" w:fill="ffffff"/>
        </w:rPr>
      </w:pPr>
      <w:r>
        <w:rPr>
          <w:rFonts w:cs="Ubuntu" w:asciiTheme="minorEastAsia" w:hAnsiTheme="minorEastAsia" w:eastAsiaTheme="minorEastAsia"/>
          <w:color w:val="0f1115"/>
          <w:sz w:val="21"/>
          <w:szCs w:val="21"/>
          <w:highlight w:val="none"/>
          <w:shd w:val="clear" w:color="auto" w:fill="ffffff"/>
        </w:rPr>
        <w:t xml:space="preserve">质保期内因产品质量或安装问题导致的故障，供应商免费维修或更换零部件，更换后的零部件质保期自更换完成之日起重新计算。</w:t>
      </w:r>
      <w:r/>
    </w:p>
    <w:p>
      <w:pPr>
        <w:pStyle w:val="927"/>
        <w:ind w:left="0" w:firstLine="420"/>
        <w:spacing w:before="0" w:after="0" w:line="360" w:lineRule="auto"/>
        <w:widowControl/>
        <w:tabs>
          <w:tab w:val="left" w:pos="720" w:leader="none"/>
        </w:tabs>
        <w:rPr>
          <w:rFonts w:hint="eastAsia" w:cs="Ubuntu" w:asciiTheme="minorEastAsia" w:hAnsiTheme="minorEastAsia" w:eastAsiaTheme="minorEastAsia"/>
          <w:color w:val="0f1115"/>
          <w:sz w:val="21"/>
          <w:szCs w:val="21"/>
          <w:highlight w:val="none"/>
          <w:shd w:val="clear" w:color="auto" w:fill="ffffff"/>
        </w:rPr>
      </w:pPr>
      <w:r>
        <w:rPr>
          <w:rFonts w:hint="eastAsia" w:cs="宋体" w:asciiTheme="minorEastAsia" w:hAnsiTheme="minorEastAsia" w:eastAsiaTheme="minorEastAsia"/>
          <w:color w:val="0f1115"/>
          <w:sz w:val="21"/>
          <w:szCs w:val="21"/>
          <w:highlight w:val="none"/>
          <w:shd w:val="clear" w:color="auto" w:fill="ffffff"/>
          <w:lang w:eastAsia="zh-CN"/>
        </w:rPr>
        <w:t xml:space="preserve">成交供应商</w:t>
      </w:r>
      <w:r>
        <w:rPr>
          <w:rFonts w:hint="eastAsia" w:cs="宋体" w:asciiTheme="minorEastAsia" w:hAnsiTheme="minorEastAsia" w:eastAsiaTheme="minorEastAsia"/>
          <w:color w:val="0f1115"/>
          <w:sz w:val="21"/>
          <w:szCs w:val="21"/>
          <w:highlight w:val="none"/>
          <w:shd w:val="clear" w:color="auto" w:fill="ffffff"/>
        </w:rPr>
        <w:t xml:space="preserve">在合同签订之日起</w:t>
      </w:r>
      <w:r>
        <w:rPr>
          <w:rFonts w:hint="eastAsia" w:cs="Ubuntu" w:asciiTheme="minorEastAsia" w:hAnsiTheme="minorEastAsia" w:eastAsiaTheme="minorEastAsia"/>
          <w:color w:val="0f1115"/>
          <w:sz w:val="21"/>
          <w:szCs w:val="21"/>
          <w:highlight w:val="none"/>
          <w:shd w:val="clear" w:color="auto" w:fill="ffffff"/>
        </w:rPr>
        <w:t xml:space="preserve">10</w:t>
      </w:r>
      <w:r>
        <w:rPr>
          <w:rFonts w:hint="eastAsia" w:cs="宋体" w:asciiTheme="minorEastAsia" w:hAnsiTheme="minorEastAsia" w:eastAsiaTheme="minorEastAsia"/>
          <w:color w:val="0f1115"/>
          <w:sz w:val="21"/>
          <w:szCs w:val="21"/>
          <w:highlight w:val="none"/>
          <w:shd w:val="clear" w:color="auto" w:fill="ffffff"/>
        </w:rPr>
        <w:t xml:space="preserve">日内提供整梯厂家出具的质保函原件，逾期未提供的，采购人有权解除合同，追究违约责任。</w:t>
      </w:r>
      <w:r/>
    </w:p>
    <w:p>
      <w:pPr>
        <w:pStyle w:val="927"/>
        <w:ind w:left="0" w:firstLine="420"/>
        <w:spacing w:before="0" w:after="0" w:line="360" w:lineRule="auto"/>
        <w:shd w:val="clear" w:color="auto" w:fill="ffffff"/>
        <w:widowControl/>
        <w:tabs>
          <w:tab w:val="left" w:pos="720" w:leader="none"/>
        </w:tabs>
        <w:rPr>
          <w:rFonts w:hint="eastAsia" w:asciiTheme="minorEastAsia" w:hAnsiTheme="minorEastAsia" w:eastAsiaTheme="minorEastAsia"/>
          <w:sz w:val="21"/>
          <w:szCs w:val="21"/>
          <w:highlight w:val="none"/>
        </w:rPr>
      </w:pPr>
      <w:r>
        <w:rPr>
          <w:rFonts w:hint="eastAsia" w:cs="Ubuntu" w:asciiTheme="minorEastAsia" w:hAnsiTheme="minorEastAsia" w:eastAsiaTheme="minorEastAsia"/>
          <w:color w:val="0f1115"/>
          <w:sz w:val="21"/>
          <w:szCs w:val="21"/>
          <w:highlight w:val="none"/>
          <w:shd w:val="clear" w:color="auto" w:fill="ffffff"/>
        </w:rPr>
        <w:t xml:space="preserve">（2）</w:t>
      </w:r>
      <w:r>
        <w:rPr>
          <w:rFonts w:cs="Ubuntu" w:asciiTheme="minorEastAsia" w:hAnsiTheme="minorEastAsia" w:eastAsiaTheme="minorEastAsia"/>
          <w:b/>
          <w:bCs/>
          <w:color w:val="0f1115"/>
          <w:sz w:val="21"/>
          <w:szCs w:val="21"/>
          <w:highlight w:val="none"/>
          <w:shd w:val="clear" w:color="auto" w:fill="ffffff"/>
        </w:rPr>
        <w:t xml:space="preserve">维保服务</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cstheme="minorEastAsia"/>
          <w:sz w:val="21"/>
          <w:szCs w:val="21"/>
          <w:highlight w:val="none"/>
        </w:rPr>
        <w:t xml:space="preserve">供应商应免费提供至少5年的日常维护保养，并定期</w:t>
      </w:r>
      <w:r>
        <w:rPr>
          <w:rFonts w:hint="eastAsia" w:asciiTheme="minorEastAsia" w:hAnsiTheme="minorEastAsia" w:eastAsiaTheme="minorEastAsia" w:cstheme="minorEastAsia"/>
          <w:sz w:val="21"/>
          <w:szCs w:val="21"/>
          <w:highlight w:val="none"/>
        </w:rPr>
        <w:t xml:space="preserve">检查。提供的电梯维保服务，保养项目应覆盖《电梯维护保养规则》（TSG T5002-2017）规定的半月、季度、半年、年度保养项目和电梯制造单位安装使用维护说明书要求所要求的特殊保养项目以及与电梯安全运行相关的其它项目。（如服务期内有最新规定的，应按新规执行）。对在用特种设备进行检查和日常维护保养时发现异常情况的，应当及时汇报采购人。在维护保养中应严格执行国家安全技术规范的要求，保证电梯的安全技术性能，并负责落实现场安全防护措施，保证安全。免费维护保养服务期自项目验收合格并发放《特种设备使用标志》之日起计算。</w:t>
      </w:r>
      <w:r/>
    </w:p>
    <w:p>
      <w:pPr>
        <w:pStyle w:val="927"/>
        <w:ind w:left="0" w:firstLine="420"/>
        <w:spacing w:before="0" w:after="0" w:line="360" w:lineRule="auto"/>
        <w:shd w:val="clear" w:color="auto" w:fill="ffffff"/>
        <w:widowControl/>
        <w:tabs>
          <w:tab w:val="left" w:pos="720" w:leader="none"/>
        </w:tabs>
        <w:rPr>
          <w:rFonts w:hint="eastAsia" w:asciiTheme="minorEastAsia" w:hAnsiTheme="minorEastAsia" w:eastAsiaTheme="minorEastAsia"/>
          <w:sz w:val="21"/>
          <w:szCs w:val="21"/>
          <w:highlight w:val="none"/>
        </w:rPr>
      </w:pPr>
      <w:r>
        <w:rPr>
          <w:rFonts w:hint="eastAsia" w:cs="Ubuntu" w:asciiTheme="minorEastAsia" w:hAnsiTheme="minorEastAsia" w:eastAsiaTheme="minorEastAsia"/>
          <w:color w:val="0f1115"/>
          <w:sz w:val="21"/>
          <w:szCs w:val="21"/>
          <w:highlight w:val="none"/>
          <w:shd w:val="clear" w:color="auto" w:fill="ffffff"/>
        </w:rPr>
        <w:t xml:space="preserve">（3）</w:t>
      </w:r>
      <w:r>
        <w:rPr>
          <w:rFonts w:cs="Ubuntu" w:asciiTheme="minorEastAsia" w:hAnsiTheme="minorEastAsia" w:eastAsiaTheme="minorEastAsia"/>
          <w:b/>
          <w:bCs/>
          <w:color w:val="0f1115"/>
          <w:sz w:val="21"/>
          <w:szCs w:val="21"/>
          <w:highlight w:val="none"/>
          <w:shd w:val="clear" w:color="auto" w:fill="ffffff"/>
        </w:rPr>
        <w:t xml:space="preserve">应急响应</w:t>
      </w:r>
      <w:r/>
    </w:p>
    <w:p>
      <w:pPr>
        <w:ind w:firstLine="420"/>
        <w:keepLines w:val="0"/>
        <w:keepNext w:val="0"/>
        <w:pageBreakBefore w:val="0"/>
        <w:spacing w:line="360" w:lineRule="auto"/>
        <w:widowControl w:val="off"/>
        <w:rPr>
          <w:rFonts w:hint="eastAsia" w:cs="Ubuntu" w:asciiTheme="minorEastAsia" w:hAnsiTheme="minorEastAsia" w:eastAsiaTheme="minorEastAsia"/>
          <w:color w:val="0f1115"/>
          <w:sz w:val="21"/>
          <w:szCs w:val="21"/>
          <w:highlight w:val="none"/>
          <w:shd w:val="clear" w:color="auto" w:fill="ffffff"/>
          <w:lang w:val="en-US" w:eastAsia="zh-CN" w:bidi="ar-SA"/>
        </w:rPr>
      </w:pPr>
      <w:r>
        <w:rPr>
          <w:rFonts w:hint="eastAsia"/>
          <w:color w:val="000000" w:themeColor="text1"/>
          <w:szCs w:val="21"/>
          <w:highlight w:val="none"/>
          <w14:textFill>
            <w14:solidFill>
              <w14:schemeClr w14:val="tx1"/>
            </w14:solidFill>
          </w14:textFill>
        </w:rPr>
        <w:t xml:space="preserve">在</w:t>
      </w:r>
      <w:r>
        <w:rPr>
          <w:rFonts w:hint="eastAsia" w:cs="Ubuntu" w:asciiTheme="minorEastAsia" w:hAnsiTheme="minorEastAsia" w:eastAsiaTheme="minorEastAsia"/>
          <w:color w:val="0f1115"/>
          <w:sz w:val="21"/>
          <w:szCs w:val="21"/>
          <w:highlight w:val="none"/>
          <w:shd w:val="clear" w:color="auto" w:fill="ffffff"/>
          <w:lang w:val="en-US" w:eastAsia="zh-CN" w:bidi="ar-SA"/>
        </w:rPr>
        <w:t xml:space="preserve">免费质保期内，供应商应</w:t>
      </w:r>
      <w:r>
        <w:rPr>
          <w:rFonts w:cs="Ubuntu" w:asciiTheme="minorEastAsia" w:hAnsiTheme="minorEastAsia" w:eastAsiaTheme="minorEastAsia"/>
          <w:color w:val="0f1115"/>
          <w:sz w:val="21"/>
          <w:szCs w:val="21"/>
          <w:highlight w:val="none"/>
          <w:shd w:val="clear" w:color="auto" w:fill="ffffff"/>
          <w:lang w:val="en-US" w:eastAsia="zh-CN" w:bidi="ar-SA"/>
        </w:rPr>
        <w:t xml:space="preserve">提供24小时应急服务电话</w:t>
      </w:r>
      <w:r>
        <w:rPr>
          <w:rFonts w:hint="eastAsia" w:cs="Ubuntu" w:asciiTheme="minorEastAsia" w:hAnsiTheme="minorEastAsia" w:eastAsiaTheme="minorEastAsia"/>
          <w:color w:val="0f1115"/>
          <w:sz w:val="21"/>
          <w:szCs w:val="21"/>
          <w:highlight w:val="none"/>
          <w:shd w:val="clear" w:color="auto" w:fill="ffffff"/>
          <w:lang w:val="en-US" w:eastAsia="zh-CN" w:bidi="ar-SA"/>
        </w:rPr>
        <w:t xml:space="preserve">，响应时间在15分钟内</w:t>
      </w:r>
      <w:r>
        <w:rPr>
          <w:rFonts w:cs="Ubuntu" w:asciiTheme="minorEastAsia" w:hAnsiTheme="minorEastAsia" w:eastAsiaTheme="minorEastAsia"/>
          <w:color w:val="0f1115"/>
          <w:sz w:val="21"/>
          <w:szCs w:val="21"/>
          <w:highlight w:val="none"/>
          <w:shd w:val="clear" w:color="auto" w:fill="ffffff"/>
          <w:lang w:val="en-US" w:eastAsia="zh-CN" w:bidi="ar-SA"/>
        </w:rPr>
        <w:t xml:space="preserve">。</w:t>
      </w:r>
      <w:r>
        <w:rPr>
          <w:rFonts w:hint="eastAsia" w:cs="Ubuntu" w:asciiTheme="minorEastAsia" w:hAnsiTheme="minorEastAsia" w:eastAsiaTheme="minorEastAsia"/>
          <w:color w:val="0f1115"/>
          <w:sz w:val="21"/>
          <w:szCs w:val="21"/>
          <w:highlight w:val="none"/>
          <w:shd w:val="clear" w:color="auto" w:fill="ffffff"/>
          <w:lang w:val="en-US" w:eastAsia="zh-CN" w:bidi="ar-SA"/>
        </w:rPr>
        <w:t xml:space="preserve">一旦货物发生质量问题，应在2小时以内响应，4小时内赶到现场，8小时内解决问题。如在8小时内不能解决问题，应免费用同样品牌、规格的产品更换到位。如供应商在接到通知后24小时内没有答复或处理问题，采购人有权直接聘请第三方提供，因此而造成的费用、损失风险由供应商承担，采购人可在合同金额中直接予以扣除。若出现电梯困人等紧急情况，维修人员应在30分钟内到达现场进行救援。</w:t>
      </w:r>
      <w:r/>
    </w:p>
    <w:p>
      <w:pPr>
        <w:pStyle w:val="1069"/>
        <w:numPr>
          <w:ilvl w:val="0"/>
          <w:numId w:val="15"/>
        </w:numPr>
        <w:ind w:left="210" w:firstLine="482"/>
        <w:spacing w:line="360" w:lineRule="auto"/>
        <w:rPr>
          <w:rFonts w:hint="eastAsia" w:ascii="Times New Roman" w:hAnsi="Times New Roman"/>
          <w:b/>
          <w:color w:val="000000" w:themeColor="text1"/>
          <w:highlight w:val="none"/>
          <w14:textFill>
            <w14:solidFill>
              <w14:schemeClr w14:val="tx1"/>
            </w14:solidFill>
          </w14:textFill>
        </w:rPr>
        <w:outlineLvl w:val="1"/>
      </w:pPr>
      <w:r>
        <w:rPr>
          <w:rFonts w:hint="eastAsia" w:ascii="Times New Roman" w:hAnsi="Times New Roman"/>
          <w:b/>
          <w:color w:val="000000" w:themeColor="text1"/>
          <w:highlight w:val="none"/>
          <w14:textFill>
            <w14:solidFill>
              <w14:schemeClr w14:val="tx1"/>
            </w14:solidFill>
          </w14:textFill>
        </w:rPr>
        <w:t xml:space="preserve">特种设备登记处理要求</w:t>
      </w:r>
      <w:r/>
    </w:p>
    <w:p>
      <w:pPr>
        <w:pStyle w:val="927"/>
        <w:ind w:left="0" w:firstLine="420"/>
        <w:spacing w:before="0" w:after="0" w:line="360" w:lineRule="auto"/>
        <w:shd w:val="clear" w:color="auto" w:fill="ffffff"/>
        <w:widowControl/>
        <w:tabs>
          <w:tab w:val="left" w:pos="720" w:leader="none"/>
        </w:tabs>
        <w:rPr>
          <w:rFonts w:hint="eastAsia" w:asciiTheme="minorEastAsia" w:hAnsiTheme="minorEastAsia" w:eastAsiaTheme="minorEastAsia"/>
          <w:sz w:val="21"/>
          <w:szCs w:val="21"/>
          <w:highlight w:val="none"/>
        </w:rPr>
      </w:pPr>
      <w:r>
        <w:rPr>
          <w:rFonts w:hint="eastAsia" w:cs="Ubuntu" w:asciiTheme="minorEastAsia" w:hAnsiTheme="minorEastAsia" w:eastAsiaTheme="minorEastAsia"/>
          <w:color w:val="0f1115"/>
          <w:sz w:val="21"/>
          <w:szCs w:val="21"/>
          <w:highlight w:val="none"/>
          <w:shd w:val="clear" w:color="auto" w:fill="ffffff"/>
        </w:rPr>
        <w:t xml:space="preserve">（1）</w:t>
      </w:r>
      <w:r>
        <w:rPr>
          <w:rFonts w:cs="Ubuntu" w:asciiTheme="minorEastAsia" w:hAnsiTheme="minorEastAsia" w:eastAsiaTheme="minorEastAsia"/>
          <w:b/>
          <w:bCs/>
          <w:color w:val="0f1115"/>
          <w:sz w:val="21"/>
          <w:szCs w:val="21"/>
          <w:highlight w:val="none"/>
          <w:shd w:val="clear" w:color="auto" w:fill="ffffff"/>
        </w:rPr>
        <w:t xml:space="preserve">旧电梯报废注销</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供应商配合采购人填写《特种设备停用报废注销登记表》，采购人交回《特种设备使用登记证》原件，办理注销登记。注销手续应在拆除作业前完成，或最迟于拆除完成后7个工作日内完成。</w:t>
      </w:r>
      <w:r/>
    </w:p>
    <w:p>
      <w:pPr>
        <w:pStyle w:val="927"/>
        <w:ind w:left="0" w:firstLine="420"/>
        <w:spacing w:before="0" w:after="0" w:line="360" w:lineRule="auto"/>
        <w:shd w:val="clear" w:color="auto" w:fill="ffffff"/>
        <w:widowControl/>
        <w:tabs>
          <w:tab w:val="left" w:pos="720" w:leader="none"/>
        </w:tabs>
        <w:rPr>
          <w:rFonts w:hint="eastAsia" w:asciiTheme="minorEastAsia" w:hAnsiTheme="minorEastAsia" w:eastAsiaTheme="minorEastAsia"/>
          <w:sz w:val="21"/>
          <w:szCs w:val="21"/>
          <w:highlight w:val="none"/>
        </w:rPr>
      </w:pPr>
      <w:r>
        <w:rPr>
          <w:rFonts w:hint="eastAsia" w:cs="Ubuntu" w:asciiTheme="minorEastAsia" w:hAnsiTheme="minorEastAsia" w:eastAsiaTheme="minorEastAsia"/>
          <w:color w:val="0f1115"/>
          <w:sz w:val="21"/>
          <w:szCs w:val="21"/>
          <w:highlight w:val="none"/>
          <w:shd w:val="clear" w:color="auto" w:fill="ffffff"/>
        </w:rPr>
        <w:t xml:space="preserve">（2）</w:t>
      </w:r>
      <w:r>
        <w:rPr>
          <w:rFonts w:cs="Ubuntu" w:asciiTheme="minorEastAsia" w:hAnsiTheme="minorEastAsia" w:eastAsiaTheme="minorEastAsia"/>
          <w:b/>
          <w:bCs/>
          <w:color w:val="0f1115"/>
          <w:sz w:val="21"/>
          <w:szCs w:val="21"/>
          <w:highlight w:val="none"/>
          <w:shd w:val="clear" w:color="auto" w:fill="ffffff"/>
        </w:rPr>
        <w:t xml:space="preserve">新电梯使用登记</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新电梯投入使用前或投入使用后30日内，由采购人向市场监督管理局申请办理使用登记，取得《特种设备使用登记证》。供应商负责提供办理使用登记所需的全部技术资料（使用登记表、产品合格证、监督检验报告、统一社会信用代码证明等），并协助采购人完成申报。</w:t>
      </w:r>
      <w:r/>
    </w:p>
    <w:p>
      <w:pPr>
        <w:pStyle w:val="927"/>
        <w:ind w:left="0" w:firstLine="420"/>
        <w:spacing w:before="0" w:after="0" w:line="360" w:lineRule="auto"/>
        <w:shd w:val="clear" w:color="auto" w:fill="ffffff"/>
        <w:widowControl/>
        <w:tabs>
          <w:tab w:val="left" w:pos="720" w:leader="none"/>
        </w:tabs>
        <w:rPr>
          <w:rFonts w:hint="eastAsia" w:asciiTheme="minorEastAsia" w:hAnsiTheme="minorEastAsia" w:eastAsiaTheme="minorEastAsia"/>
          <w:sz w:val="21"/>
          <w:szCs w:val="21"/>
          <w:highlight w:val="none"/>
        </w:rPr>
      </w:pPr>
      <w:r>
        <w:rPr>
          <w:rFonts w:hint="eastAsia" w:cs="Ubuntu" w:asciiTheme="minorEastAsia" w:hAnsiTheme="minorEastAsia" w:eastAsiaTheme="minorEastAsia"/>
          <w:color w:val="0f1115"/>
          <w:sz w:val="21"/>
          <w:szCs w:val="21"/>
          <w:highlight w:val="none"/>
          <w:shd w:val="clear" w:color="auto" w:fill="ffffff"/>
        </w:rPr>
        <w:t xml:space="preserve">（3）</w:t>
      </w:r>
      <w:r>
        <w:rPr>
          <w:rFonts w:cs="Ubuntu" w:asciiTheme="minorEastAsia" w:hAnsiTheme="minorEastAsia" w:eastAsiaTheme="minorEastAsia"/>
          <w:b/>
          <w:bCs/>
          <w:color w:val="0f1115"/>
          <w:sz w:val="21"/>
          <w:szCs w:val="21"/>
          <w:highlight w:val="none"/>
          <w:shd w:val="clear" w:color="auto" w:fill="ffffff"/>
        </w:rPr>
        <w:t xml:space="preserve">资料归档</w:t>
      </w:r>
      <w:r/>
    </w:p>
    <w:p>
      <w:pPr>
        <w:pStyle w:val="927"/>
        <w:ind w:left="0" w:firstLine="420"/>
        <w:spacing w:before="0" w:after="0" w:line="360" w:lineRule="auto"/>
        <w:rPr>
          <w:rFonts w:cs="Ubuntu" w:asciiTheme="minorEastAsia" w:hAnsiTheme="minorEastAsia" w:eastAsiaTheme="minorEastAsia"/>
          <w:color w:val="0f1115"/>
          <w:sz w:val="21"/>
          <w:szCs w:val="21"/>
          <w:highlight w:val="none"/>
          <w:shd w:val="clear" w:color="auto" w:fill="ffffff"/>
        </w:rPr>
        <w:outlineLvl w:val="1"/>
      </w:pPr>
      <w:r>
        <w:rPr>
          <w:rFonts w:cs="Ubuntu" w:asciiTheme="minorEastAsia" w:hAnsiTheme="minorEastAsia" w:eastAsiaTheme="minorEastAsia"/>
          <w:color w:val="0f1115"/>
          <w:sz w:val="21"/>
          <w:szCs w:val="21"/>
          <w:highlight w:val="none"/>
          <w:shd w:val="clear" w:color="auto" w:fill="ffffff"/>
        </w:rPr>
        <w:t xml:space="preserve">供应商协助采购人建立电梯安全技术档案（出厂合格证、型式试验证书、告知书、自检报告、监督检验报告、使用登记证、维保记录等），保存期限不少于电梯使用年限。</w:t>
      </w:r>
      <w:r/>
    </w:p>
    <w:p>
      <w:pPr>
        <w:pStyle w:val="1069"/>
        <w:numPr>
          <w:ilvl w:val="0"/>
          <w:numId w:val="15"/>
        </w:numPr>
        <w:ind w:left="210" w:firstLine="482"/>
        <w:spacing w:line="360" w:lineRule="auto"/>
        <w:rPr>
          <w:rFonts w:hint="eastAsia" w:ascii="Times New Roman" w:hAnsi="Times New Roman" w:eastAsia="宋体" w:cs="Times New Roman"/>
          <w:b/>
          <w:color w:val="000000" w:themeColor="text1"/>
          <w:highlight w:val="none"/>
          <w14:textFill>
            <w14:solidFill>
              <w14:schemeClr w14:val="tx1"/>
            </w14:solidFill>
          </w14:textFill>
        </w:rPr>
        <w:outlineLvl w:val="1"/>
      </w:pPr>
      <w:r>
        <w:rPr>
          <w:rFonts w:hint="eastAsia" w:ascii="Times New Roman" w:hAnsi="Times New Roman" w:eastAsia="宋体" w:cs="Times New Roman"/>
          <w:b/>
          <w:color w:val="000000" w:themeColor="text1"/>
          <w:highlight w:val="none"/>
          <w14:textFill>
            <w14:solidFill>
              <w14:schemeClr w14:val="tx1"/>
            </w14:solidFill>
          </w14:textFill>
        </w:rPr>
        <w:t xml:space="preserve">综合</w:t>
      </w:r>
      <w:r>
        <w:rPr>
          <w:rFonts w:hint="eastAsia" w:ascii="Times New Roman" w:hAnsi="Times New Roman" w:eastAsia="宋体" w:cs="Times New Roman"/>
          <w:b/>
          <w:color w:val="000000" w:themeColor="text1"/>
          <w:highlight w:val="none"/>
          <w:lang w:eastAsia="zh-CN"/>
          <w14:textFill>
            <w14:solidFill>
              <w14:schemeClr w14:val="tx1"/>
            </w14:solidFill>
          </w14:textFill>
        </w:rPr>
        <w:t xml:space="preserve">要求</w:t>
      </w:r>
      <w:r/>
    </w:p>
    <w:p>
      <w:pPr>
        <w:ind w:firstLine="420"/>
        <w:spacing w:line="360" w:lineRule="auto"/>
        <w:rPr>
          <w:bCs/>
          <w:color w:val="000000" w:themeColor="text1"/>
          <w:szCs w:val="21"/>
          <w14:textFill>
            <w14:solidFill>
              <w14:schemeClr w14:val="tx1"/>
            </w14:solidFill>
          </w14:textFill>
        </w:rPr>
      </w:pPr>
      <w:r>
        <w:rPr>
          <w:rFonts w:hint="eastAsia"/>
          <w:bCs/>
          <w:color w:val="000000" w:themeColor="text1"/>
          <w:szCs w:val="21"/>
          <w:lang w:eastAsia="zh-CN"/>
          <w14:textFill>
            <w14:solidFill>
              <w14:schemeClr w14:val="tx1"/>
            </w14:solidFill>
          </w14:textFill>
        </w:rPr>
        <w:t xml:space="preserve">（</w:t>
      </w:r>
      <w:r>
        <w:rPr>
          <w:rFonts w:hint="eastAsia"/>
          <w:bCs/>
          <w:color w:val="000000" w:themeColor="text1"/>
          <w:szCs w:val="21"/>
          <w:lang w:val="en-US" w:eastAsia="zh-CN"/>
          <w14:textFill>
            <w14:solidFill>
              <w14:schemeClr w14:val="tx1"/>
            </w14:solidFill>
          </w14:textFill>
        </w:rPr>
        <w:t xml:space="preserve">1</w:t>
      </w:r>
      <w:r>
        <w:rPr>
          <w:rFonts w:hint="eastAsia"/>
          <w:bCs/>
          <w:color w:val="000000" w:themeColor="text1"/>
          <w:szCs w:val="21"/>
          <w:lang w:eastAsia="zh-CN"/>
          <w14:textFill>
            <w14:solidFill>
              <w14:schemeClr w14:val="tx1"/>
            </w14:solidFill>
          </w14:textFill>
        </w:rPr>
        <w:t xml:space="preserve">）</w:t>
      </w:r>
      <w:r>
        <w:rPr>
          <w:bCs/>
          <w:color w:val="000000" w:themeColor="text1"/>
          <w:szCs w:val="21"/>
          <w14:textFill>
            <w14:solidFill>
              <w14:schemeClr w14:val="tx1"/>
            </w14:solidFill>
          </w14:textFill>
        </w:rPr>
        <w:t xml:space="preserve">响应总报价一次报定，包括所投新电梯及其备品、备件和专用工具费用、布线、开挖填补费、税费（如包括关税、进口货物及其所用原材料、零部件的各种国内、外税费）及包装、运输、卸货、安装（包括安装、调试、装修所需辅材、工具、人工）、保管、旧电梯拆除清运、旧电梯井道、厅门等多处修复等有关技术服务、检测验收、技术支持与培训、技术资料费、质保期内的维护保养、质保期内电梯监督检验费用、保险、售后服务及相关劳务支出等工作所发生的全部费用以及供应商企业利润、税金和政策性文件规定及合同包含的所有风险、责任等各项应有费用。</w:t>
      </w:r>
      <w:r/>
    </w:p>
    <w:p>
      <w:pPr>
        <w:ind w:firstLine="420"/>
        <w:spacing w:line="360" w:lineRule="auto"/>
        <w:rPr>
          <w:bCs/>
          <w:color w:val="000000" w:themeColor="text1"/>
          <w:szCs w:val="21"/>
          <w14:textFill>
            <w14:solidFill>
              <w14:schemeClr w14:val="tx1"/>
            </w14:solidFill>
          </w14:textFill>
        </w:rPr>
      </w:pPr>
      <w:r>
        <w:rPr>
          <w:rFonts w:hint="eastAsia"/>
          <w:bCs/>
          <w:color w:val="000000" w:themeColor="text1"/>
          <w:szCs w:val="21"/>
          <w:lang w:eastAsia="zh-CN"/>
          <w14:textFill>
            <w14:solidFill>
              <w14:schemeClr w14:val="tx1"/>
            </w14:solidFill>
          </w14:textFill>
        </w:rPr>
        <w:t xml:space="preserve">（</w:t>
      </w:r>
      <w:r>
        <w:rPr>
          <w:rFonts w:hint="eastAsia"/>
          <w:bCs/>
          <w:color w:val="000000" w:themeColor="text1"/>
          <w:szCs w:val="21"/>
          <w:lang w:val="en-US" w:eastAsia="zh-CN"/>
          <w14:textFill>
            <w14:solidFill>
              <w14:schemeClr w14:val="tx1"/>
            </w14:solidFill>
          </w14:textFill>
        </w:rPr>
        <w:t xml:space="preserve">2</w:t>
      </w:r>
      <w:r>
        <w:rPr>
          <w:rFonts w:hint="eastAsia"/>
          <w:bCs/>
          <w:color w:val="000000" w:themeColor="text1"/>
          <w:szCs w:val="21"/>
          <w:lang w:eastAsia="zh-CN"/>
          <w14:textFill>
            <w14:solidFill>
              <w14:schemeClr w14:val="tx1"/>
            </w14:solidFill>
          </w14:textFill>
        </w:rPr>
        <w:t xml:space="preserve">）</w:t>
      </w:r>
      <w:r>
        <w:rPr>
          <w:bCs/>
          <w:color w:val="000000" w:themeColor="text1"/>
          <w:szCs w:val="21"/>
          <w14:textFill>
            <w14:solidFill>
              <w14:schemeClr w14:val="tx1"/>
            </w14:solidFill>
          </w14:textFill>
        </w:rPr>
        <w:t xml:space="preserve">本项目从实施开始至验收、售后服务、质保期结束等环节过程中涉及的所有费用均应列入响应总报价，采购人不再支付其他任何费用。供应商应充分考虑本项目合同实施期间可能发生的一切费用，并承担由此带来的风险。凡供应商在报价中未列明但又为货物所必备的项目或遗漏项目，采购人将一律视为已包括在其报价中，在合同执行中将不予考虑。</w:t>
      </w:r>
      <w:r/>
    </w:p>
    <w:p>
      <w:pPr>
        <w:ind w:firstLine="420"/>
        <w:spacing w:line="360" w:lineRule="auto"/>
        <w:rPr>
          <w:bCs/>
          <w:color w:val="000000" w:themeColor="text1"/>
          <w:szCs w:val="21"/>
          <w14:textFill>
            <w14:solidFill>
              <w14:schemeClr w14:val="tx1"/>
            </w14:solidFill>
          </w14:textFill>
        </w:rPr>
      </w:pPr>
      <w:r>
        <w:rPr>
          <w:rFonts w:hint="eastAsia"/>
          <w:bCs/>
          <w:color w:val="000000" w:themeColor="text1"/>
          <w:szCs w:val="21"/>
          <w:lang w:eastAsia="zh-CN"/>
          <w14:textFill>
            <w14:solidFill>
              <w14:schemeClr w14:val="tx1"/>
            </w14:solidFill>
          </w14:textFill>
        </w:rPr>
        <w:t xml:space="preserve">（</w:t>
      </w:r>
      <w:r>
        <w:rPr>
          <w:rFonts w:hint="eastAsia"/>
          <w:bCs/>
          <w:color w:val="000000" w:themeColor="text1"/>
          <w:szCs w:val="21"/>
          <w:lang w:val="en-US" w:eastAsia="zh-CN"/>
          <w14:textFill>
            <w14:solidFill>
              <w14:schemeClr w14:val="tx1"/>
            </w14:solidFill>
          </w14:textFill>
        </w:rPr>
        <w:t xml:space="preserve">3</w:t>
      </w:r>
      <w:r>
        <w:rPr>
          <w:rFonts w:hint="eastAsia"/>
          <w:bCs/>
          <w:color w:val="000000" w:themeColor="text1"/>
          <w:szCs w:val="21"/>
          <w:lang w:eastAsia="zh-CN"/>
          <w14:textFill>
            <w14:solidFill>
              <w14:schemeClr w14:val="tx1"/>
            </w14:solidFill>
          </w14:textFill>
        </w:rPr>
        <w:t xml:space="preserve">）</w:t>
      </w:r>
      <w:r>
        <w:rPr>
          <w:bCs/>
          <w:color w:val="000000" w:themeColor="text1"/>
          <w:szCs w:val="21"/>
          <w14:textFill>
            <w14:solidFill>
              <w14:schemeClr w14:val="tx1"/>
            </w14:solidFill>
          </w14:textFill>
        </w:rPr>
        <w:t xml:space="preserve">供应商应充分考虑影响本次报价的因素、预计实施过程中各种不利因素，由此可能发生的费用均由投标人考虑并包含在投标总报价中，如考虑不足，由此引起的额外费用由供应商自行承担。</w:t>
      </w:r>
      <w:r/>
    </w:p>
    <w:p>
      <w:pPr>
        <w:ind w:firstLine="420"/>
        <w:spacing w:line="360" w:lineRule="auto"/>
        <w:rPr>
          <w:bCs/>
          <w:color w:val="000000" w:themeColor="text1"/>
          <w:szCs w:val="21"/>
          <w14:textFill>
            <w14:solidFill>
              <w14:schemeClr w14:val="tx1"/>
            </w14:solidFill>
          </w14:textFill>
        </w:rPr>
      </w:pPr>
      <w:r>
        <w:rPr>
          <w:rFonts w:hint="eastAsia"/>
          <w:bCs/>
          <w:color w:val="000000" w:themeColor="text1"/>
          <w:szCs w:val="21"/>
          <w:lang w:eastAsia="zh-CN"/>
          <w14:textFill>
            <w14:solidFill>
              <w14:schemeClr w14:val="tx1"/>
            </w14:solidFill>
          </w14:textFill>
        </w:rPr>
        <w:t xml:space="preserve">（</w:t>
      </w:r>
      <w:r>
        <w:rPr>
          <w:rFonts w:hint="eastAsia"/>
          <w:bCs/>
          <w:color w:val="000000" w:themeColor="text1"/>
          <w:szCs w:val="21"/>
          <w:lang w:val="en-US" w:eastAsia="zh-CN"/>
          <w14:textFill>
            <w14:solidFill>
              <w14:schemeClr w14:val="tx1"/>
            </w14:solidFill>
          </w14:textFill>
        </w:rPr>
        <w:t xml:space="preserve">4</w:t>
      </w:r>
      <w:r>
        <w:rPr>
          <w:rFonts w:hint="eastAsia"/>
          <w:bCs/>
          <w:color w:val="000000" w:themeColor="text1"/>
          <w:szCs w:val="21"/>
          <w:lang w:eastAsia="zh-CN"/>
          <w14:textFill>
            <w14:solidFill>
              <w14:schemeClr w14:val="tx1"/>
            </w14:solidFill>
          </w14:textFill>
        </w:rPr>
        <w:t xml:space="preserve">）</w:t>
      </w:r>
      <w:r>
        <w:rPr>
          <w:bCs/>
          <w:color w:val="000000" w:themeColor="text1"/>
          <w:szCs w:val="21"/>
          <w14:textFill>
            <w14:solidFill>
              <w14:schemeClr w14:val="tx1"/>
            </w14:solidFill>
          </w14:textFill>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bCs/>
          <w:color w:val="000000" w:themeColor="text1"/>
          <w:szCs w:val="21"/>
          <w:highlight w:val="none"/>
          <w14:textFill>
            <w14:solidFill>
              <w14:schemeClr w14:val="tx1"/>
            </w14:solidFill>
          </w14:textFill>
        </w:rPr>
      </w:pPr>
      <w:r>
        <w:rPr>
          <w:rFonts w:hint="eastAsia"/>
          <w:bCs/>
          <w:color w:val="000000" w:themeColor="text1"/>
          <w:szCs w:val="21"/>
          <w:lang w:eastAsia="zh-CN"/>
          <w14:textFill>
            <w14:solidFill>
              <w14:schemeClr w14:val="tx1"/>
            </w14:solidFill>
          </w14:textFill>
        </w:rPr>
        <w:t xml:space="preserve">（</w:t>
      </w:r>
      <w:r>
        <w:rPr>
          <w:rFonts w:hint="eastAsia"/>
          <w:bCs/>
          <w:color w:val="000000" w:themeColor="text1"/>
          <w:szCs w:val="21"/>
          <w:lang w:val="en-US" w:eastAsia="zh-CN"/>
          <w14:textFill>
            <w14:solidFill>
              <w14:schemeClr w14:val="tx1"/>
            </w14:solidFill>
          </w14:textFill>
        </w:rPr>
        <w:t xml:space="preserve">5</w:t>
      </w:r>
      <w:r>
        <w:rPr>
          <w:rFonts w:hint="eastAsia"/>
          <w:bCs/>
          <w:color w:val="000000" w:themeColor="text1"/>
          <w:szCs w:val="21"/>
          <w:lang w:eastAsia="zh-CN"/>
          <w14:textFill>
            <w14:solidFill>
              <w14:schemeClr w14:val="tx1"/>
            </w14:solidFill>
          </w14:textFill>
        </w:rPr>
        <w:t xml:space="preserve">）</w:t>
      </w:r>
      <w:r>
        <w:rPr>
          <w:bCs/>
          <w:color w:val="000000" w:themeColor="text1"/>
          <w:szCs w:val="21"/>
          <w14:textFill>
            <w14:solidFill>
              <w14:schemeClr w14:val="tx1"/>
            </w14:solidFill>
          </w14:textFill>
        </w:rPr>
        <w:t xml:space="preserve">供应商中标后提供并安装的货物及配件均为全新的、未使用过的、按国家标准生产的合格正规产品，符合设计规范要求。所有响应产品的生产、制造、安装等各项技术标准应当符合国家（强制性）标准、各项规范要求；国家没有相应标准、规范的，可使用行业标准、规定</w:t>
      </w:r>
      <w:r>
        <w:rPr>
          <w:bCs/>
          <w:color w:val="000000" w:themeColor="text1"/>
          <w:szCs w:val="21"/>
          <w:highlight w:val="none"/>
          <w14:textFill>
            <w14:solidFill>
              <w14:schemeClr w14:val="tx1"/>
            </w14:solidFill>
          </w14:textFill>
        </w:rPr>
        <w:t xml:space="preserve">。</w:t>
      </w:r>
      <w:r/>
    </w:p>
    <w:p>
      <w:pPr>
        <w:ind w:firstLine="420"/>
        <w:spacing w:line="360" w:lineRule="auto"/>
        <w:rPr>
          <w:bCs/>
          <w:color w:val="000000" w:themeColor="text1"/>
          <w:szCs w:val="21"/>
          <w14:textFill>
            <w14:solidFill>
              <w14:schemeClr w14:val="tx1"/>
            </w14:solidFill>
          </w14:textFill>
        </w:rPr>
      </w:pPr>
      <w:r>
        <w:rPr>
          <w:rFonts w:hint="eastAsia"/>
          <w:bCs/>
          <w:color w:val="000000" w:themeColor="text1"/>
          <w:szCs w:val="21"/>
          <w:lang w:eastAsia="zh-CN"/>
          <w14:textFill>
            <w14:solidFill>
              <w14:schemeClr w14:val="tx1"/>
            </w14:solidFill>
          </w14:textFill>
        </w:rPr>
        <w:t xml:space="preserve">（</w:t>
      </w:r>
      <w:r>
        <w:rPr>
          <w:bCs/>
          <w:color w:val="000000" w:themeColor="text1"/>
          <w:szCs w:val="21"/>
          <w14:textFill>
            <w14:solidFill>
              <w14:schemeClr w14:val="tx1"/>
            </w14:solidFill>
          </w14:textFill>
        </w:rPr>
        <w:t xml:space="preserve">6</w:t>
      </w:r>
      <w:r>
        <w:rPr>
          <w:rFonts w:hint="eastAsia"/>
          <w:bCs/>
          <w:color w:val="000000" w:themeColor="text1"/>
          <w:szCs w:val="21"/>
          <w:lang w:eastAsia="zh-CN"/>
          <w14:textFill>
            <w14:solidFill>
              <w14:schemeClr w14:val="tx1"/>
            </w14:solidFill>
          </w14:textFill>
        </w:rPr>
        <w:t xml:space="preserve">）</w:t>
      </w:r>
      <w:r>
        <w:rPr>
          <w:bCs/>
          <w:color w:val="000000" w:themeColor="text1"/>
          <w:szCs w:val="21"/>
          <w14:textFill>
            <w14:solidFill>
              <w14:schemeClr w14:val="tx1"/>
            </w14:solidFill>
          </w14:textFill>
        </w:rPr>
        <w:t xml:space="preserve">成交供应商提供的产品若存在质量问题，导致在安装及今后使用过程中造成供需双方、使用人或第三方人身伤亡或财产损失的，成交供应商承担由此产生的全部责任。</w:t>
      </w:r>
      <w:r/>
    </w:p>
    <w:p>
      <w:pPr>
        <w:ind w:firstLine="422"/>
        <w:spacing w:line="360" w:lineRule="auto"/>
        <w:rPr>
          <w:b/>
          <w:bCs w:val="0"/>
          <w:color w:val="000000" w:themeColor="text1"/>
          <w:szCs w:val="21"/>
          <w14:textFill>
            <w14:solidFill>
              <w14:schemeClr w14:val="tx1"/>
            </w14:solidFill>
          </w14:textFill>
        </w:rPr>
      </w:pPr>
      <w:r>
        <w:rPr>
          <w:rFonts w:hint="eastAsia"/>
          <w:b/>
          <w:bCs w:val="0"/>
          <w:color w:val="000000" w:themeColor="text1"/>
          <w:szCs w:val="21"/>
          <w:lang w:eastAsia="zh-CN"/>
          <w14:textFill>
            <w14:solidFill>
              <w14:schemeClr w14:val="tx1"/>
            </w14:solidFill>
          </w14:textFill>
        </w:rPr>
        <w:t xml:space="preserve">（</w:t>
      </w:r>
      <w:r>
        <w:rPr>
          <w:b/>
          <w:bCs w:val="0"/>
          <w:color w:val="000000" w:themeColor="text1"/>
          <w:szCs w:val="21"/>
          <w14:textFill>
            <w14:solidFill>
              <w14:schemeClr w14:val="tx1"/>
            </w14:solidFill>
          </w14:textFill>
        </w:rPr>
        <w:t xml:space="preserve">7</w:t>
      </w:r>
      <w:r>
        <w:rPr>
          <w:rFonts w:hint="eastAsia"/>
          <w:b/>
          <w:bCs w:val="0"/>
          <w:color w:val="000000" w:themeColor="text1"/>
          <w:szCs w:val="21"/>
          <w:lang w:eastAsia="zh-CN"/>
          <w14:textFill>
            <w14:solidFill>
              <w14:schemeClr w14:val="tx1"/>
            </w14:solidFill>
          </w14:textFill>
        </w:rPr>
        <w:t xml:space="preserve">）</w:t>
      </w:r>
      <w:r>
        <w:rPr>
          <w:b/>
          <w:bCs w:val="0"/>
          <w:color w:val="000000" w:themeColor="text1"/>
          <w:szCs w:val="21"/>
          <w14:textFill>
            <w14:solidFill>
              <w14:schemeClr w14:val="tx1"/>
            </w14:solidFill>
          </w14:textFill>
        </w:rPr>
        <w:t xml:space="preserve">供应商应满足采购需求中的全部要求，供应商不同意某项条款（即负偏离）的属于不响应，按响应无效处理。供应商应将采购需求中不同意的条款和更有利的条款在第六章响应文件格式中的“采购需求偏离表”中列出，供应商完全同意的条款不需要列出。</w:t>
      </w:r>
      <w:r/>
    </w:p>
    <w:p>
      <w:pPr>
        <w:pStyle w:val="1069"/>
        <w:numPr>
          <w:ilvl w:val="0"/>
          <w:numId w:val="15"/>
        </w:numPr>
        <w:ind w:left="210" w:firstLine="482"/>
        <w:spacing w:line="360" w:lineRule="auto"/>
        <w:rPr>
          <w:rFonts w:hint="eastAsia" w:ascii="Times New Roman" w:hAnsi="Times New Roman" w:eastAsia="宋体" w:cs="Times New Roman"/>
          <w:b/>
          <w:color w:val="000000" w:themeColor="text1"/>
          <w:highlight w:val="none"/>
          <w14:textFill>
            <w14:solidFill>
              <w14:schemeClr w14:val="tx1"/>
            </w14:solidFill>
          </w14:textFill>
        </w:rPr>
        <w:outlineLvl w:val="1"/>
      </w:pPr>
      <w:r>
        <w:rPr>
          <w:rFonts w:hint="eastAsia" w:ascii="Times New Roman" w:hAnsi="Times New Roman" w:eastAsia="宋体" w:cs="Times New Roman"/>
          <w:b/>
          <w:color w:val="000000" w:themeColor="text1"/>
          <w:highlight w:val="none"/>
          <w:lang w:eastAsia="zh-CN"/>
          <w14:textFill>
            <w14:solidFill>
              <w14:schemeClr w14:val="tx1"/>
            </w14:solidFill>
          </w14:textFill>
        </w:rPr>
        <w:t xml:space="preserve">合同要求</w:t>
      </w:r>
      <w:r/>
    </w:p>
    <w:p>
      <w:pPr>
        <w:ind w:left="210" w:firstLine="497"/>
        <w:spacing w:line="400" w:lineRule="exact"/>
        <w:rPr>
          <w:b/>
          <w:szCs w:val="21"/>
        </w:rPr>
      </w:pPr>
      <w:r>
        <w:rPr>
          <w:rFonts w:hint="eastAsia"/>
          <w:szCs w:val="21"/>
          <w:lang w:eastAsia="zh-CN"/>
        </w:rPr>
        <w:t xml:space="preserve">合同</w:t>
      </w:r>
      <w:r>
        <w:rPr>
          <w:szCs w:val="21"/>
        </w:rPr>
        <w:t xml:space="preserve">要求包括第五章合同文本中约定的所有条款，供应商完全同意条款</w:t>
      </w:r>
      <w:r>
        <w:rPr>
          <w:b/>
          <w:szCs w:val="21"/>
        </w:rPr>
        <w:t xml:space="preserve">（即无偏离）</w:t>
      </w:r>
      <w:r>
        <w:rPr>
          <w:szCs w:val="21"/>
        </w:rPr>
        <w:t xml:space="preserve">或提出对采购人更有利的条款</w:t>
      </w:r>
      <w:r>
        <w:rPr>
          <w:b/>
          <w:szCs w:val="21"/>
        </w:rPr>
        <w:t xml:space="preserve">（即正偏离）</w:t>
      </w:r>
      <w:r>
        <w:rPr>
          <w:szCs w:val="21"/>
        </w:rPr>
        <w:t xml:space="preserve">都属于响应，供应商不同意某项条款</w:t>
      </w:r>
      <w:r>
        <w:rPr>
          <w:b/>
          <w:szCs w:val="21"/>
        </w:rPr>
        <w:t xml:space="preserve">（即负偏离）</w:t>
      </w:r>
      <w:r>
        <w:rPr>
          <w:szCs w:val="21"/>
        </w:rPr>
        <w:t xml:space="preserve">的属于不响应</w:t>
      </w:r>
      <w:r>
        <w:rPr>
          <w:b/>
          <w:szCs w:val="21"/>
        </w:rPr>
        <w:t xml:space="preserve">，按响应无效处理。</w:t>
      </w:r>
      <w:r/>
    </w:p>
    <w:p>
      <w:pPr>
        <w:ind w:left="210" w:firstLine="500"/>
        <w:spacing w:line="400" w:lineRule="exact"/>
        <w:rPr>
          <w:szCs w:val="21"/>
        </w:rPr>
      </w:pPr>
      <w:r>
        <w:rPr>
          <w:b/>
          <w:szCs w:val="21"/>
        </w:rPr>
        <w:t xml:space="preserve">供应商应将不同意的条款和更有利的条款在第六章响应文件格式中的“采购需求偏离表”中列出，供应商完全同意的条款不需要列出。</w:t>
      </w:r>
      <w:r/>
    </w:p>
    <w:p>
      <w:pPr>
        <w:pStyle w:val="898"/>
        <w:numPr>
          <w:ilvl w:val="0"/>
          <w:numId w:val="5"/>
        </w:numPr>
        <w:ind w:hanging="1276"/>
        <w:jc w:val="center"/>
        <w:spacing w:line="480" w:lineRule="auto"/>
        <w:rPr>
          <w:b/>
          <w:bCs/>
          <w:color w:val="000000" w:themeColor="text1"/>
          <w:sz w:val="44"/>
          <w:szCs w:val="44"/>
          <w14:textFill>
            <w14:solidFill>
              <w14:schemeClr w14:val="tx1"/>
            </w14:solidFill>
          </w14:textFill>
        </w:rPr>
        <w:outlineLvl w:val="0"/>
      </w:pPr>
      <w:r>
        <w:rPr>
          <w:b/>
          <w:bCs/>
          <w:color w:val="000000" w:themeColor="text1"/>
          <w:sz w:val="44"/>
          <w:szCs w:val="44"/>
          <w14:textFill>
            <w14:solidFill>
              <w14:schemeClr w14:val="tx1"/>
            </w14:solidFill>
          </w14:textFill>
        </w:rPr>
        <w:br w:type="page" w:clear="all"/>
      </w:r>
      <w:r>
        <w:rPr>
          <w:b/>
          <w:bCs/>
          <w:color w:val="000000" w:themeColor="text1"/>
          <w:sz w:val="44"/>
          <w:szCs w:val="44"/>
          <w14:textFill>
            <w14:solidFill>
              <w14:schemeClr w14:val="tx1"/>
            </w14:solidFill>
          </w14:textFill>
        </w:rPr>
        <w:t xml:space="preserve">评定成交标准</w:t>
      </w:r>
      <w:r/>
    </w:p>
    <w:p>
      <w:pPr>
        <w:spacing w:line="360" w:lineRule="auto"/>
        <w:rPr>
          <w:b/>
          <w:color w:val="000000" w:themeColor="text1"/>
          <w:sz w:val="24"/>
          <w:szCs w:val="24"/>
          <w14:textFill>
            <w14:solidFill>
              <w14:schemeClr w14:val="tx1"/>
            </w14:solidFill>
          </w14:textFill>
        </w:rPr>
        <w:outlineLvl w:val="1"/>
      </w:pPr>
      <w:r>
        <w:rPr>
          <w:b/>
          <w:color w:val="000000" w:themeColor="text1"/>
          <w:sz w:val="24"/>
          <w:szCs w:val="24"/>
          <w14:textFill>
            <w14:solidFill>
              <w14:schemeClr w14:val="tx1"/>
            </w14:solidFill>
          </w14:textFill>
        </w:rPr>
        <w:t xml:space="preserve">一、评定成交标准</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1、提供相同品牌产品的不同供应商参加同一合同项下谈判的，按一家供应商计算，</w:t>
      </w:r>
      <w:bookmarkStart w:id="68" w:name="_Hlk104384177"/>
      <w:r>
        <w:rPr>
          <w:color w:val="000000" w:themeColor="text1"/>
          <w:szCs w:val="24"/>
          <w14:textFill>
            <w14:solidFill>
              <w14:schemeClr w14:val="tx1"/>
            </w14:solidFill>
          </w14:textFill>
        </w:rPr>
        <w:t xml:space="preserve">以其中满足谈判文件实质性响应要求且最后报价最低的供应商获得成交候选资格，如最后报价也相同，提供优先采购产品证书更多的供应商优先获得成交候选资格（如属优先采购产品），否则由采购人以抽签方式确定</w:t>
      </w:r>
      <w:bookmarkEnd w:id="68"/>
      <w:r>
        <w:rPr>
          <w:color w:val="000000" w:themeColor="text1"/>
          <w:szCs w:val="24"/>
          <w14:textFill>
            <w14:solidFill>
              <w14:schemeClr w14:val="tx1"/>
            </w14:solidFill>
          </w14:textFill>
        </w:rPr>
        <w:t xml:space="preserve">。非单一产品采购项目，多家供应商提供的核心产品品牌相同的，按上述规定处理。</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2、谈判小组应当从质量和服务均能满足谈判文件实质性响应要求的供应商中，按照最后报价（即二次报价）由 低到高的顺序提出3名成交候选人，并推荐确定最后报价最低的供应商为排名第一的成交候选供应商，如出现两个或两个以上最后报价相同的谈判供应商，提供优先采购产品证书更多的供应商优先成交（如属优先采购产品），否则由采购人以抽签方式确定成交候选供应商排序。满足谈判文件实质性响应要求是指未被认定为响应无效的情况，响应文件被认定无效的，谈判小组应写明无效原因并告知有关供应商。</w:t>
      </w:r>
      <w:r/>
    </w:p>
    <w:p>
      <w:r/>
      <w:r/>
    </w:p>
    <w:p>
      <w:pPr>
        <w:spacing w:line="360" w:lineRule="auto"/>
        <w:rPr>
          <w:b/>
          <w:color w:val="000000" w:themeColor="text1"/>
          <w:sz w:val="24"/>
          <w:szCs w:val="24"/>
          <w14:textFill>
            <w14:solidFill>
              <w14:schemeClr w14:val="tx1"/>
            </w14:solidFill>
          </w14:textFill>
        </w:rPr>
        <w:outlineLvl w:val="1"/>
      </w:pPr>
      <w:r>
        <w:rPr>
          <w:b/>
          <w:color w:val="000000" w:themeColor="text1"/>
          <w:sz w:val="24"/>
          <w:szCs w:val="24"/>
          <w14:textFill>
            <w14:solidFill>
              <w14:schemeClr w14:val="tx1"/>
            </w14:solidFill>
          </w14:textFill>
        </w:rPr>
        <w:t xml:space="preserve">二、评审内容</w:t>
      </w:r>
      <w:r/>
    </w:p>
    <w:tbl>
      <w:tblPr>
        <w:tblStyle w:val="888"/>
        <w:tblW w:w="10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5245"/>
        <w:gridCol w:w="1134"/>
        <w:gridCol w:w="3203"/>
      </w:tblGrid>
      <w:tr>
        <w:trPr>
          <w:jc w:val="center"/>
        </w:trPr>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jc w:val="center"/>
              <w:rPr>
                <w:color w:val="000000" w:themeColor="text1"/>
                <w:szCs w:val="21"/>
                <w14:textFill>
                  <w14:solidFill>
                    <w14:schemeClr w14:val="tx1"/>
                  </w14:solidFill>
                </w14:textFill>
              </w:rPr>
            </w:pPr>
            <w:r/>
            <w:bookmarkStart w:id="69" w:name="gpc_accord_horizontal_1"/>
            <w:r>
              <w:rPr>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5245"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评审内容</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是否合格</w:t>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不合格原因</w:t>
            </w:r>
            <w:r/>
          </w:p>
        </w:tc>
      </w:tr>
      <w:tr>
        <w:trPr>
          <w:jc w:val="center"/>
          <w:trHeight w:val="660"/>
        </w:trPr>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5245"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是否符合谈判文件规定的资格要求，符合为合格，不符合为不合格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753"/>
        </w:trPr>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jc w:val="center"/>
              <w:tabs>
                <w:tab w:val="left" w:pos="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5245" w:type="dxa"/>
            <w:vAlign w:val="center"/>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是否响应谈判文件第三章第</w:t>
            </w:r>
            <w:r>
              <w:rPr>
                <w:rFonts w:hint="eastAsia"/>
                <w:color w:val="000000" w:themeColor="text1"/>
                <w:szCs w:val="21"/>
                <w:highlight w:val="none"/>
                <w:lang w:eastAsia="zh-CN"/>
                <w14:textFill>
                  <w14:solidFill>
                    <w14:schemeClr w14:val="tx1"/>
                  </w14:solidFill>
                </w14:textFill>
              </w:rPr>
              <w:t xml:space="preserve">二</w:t>
            </w:r>
            <w:r>
              <w:rPr>
                <w:color w:val="000000" w:themeColor="text1"/>
                <w:szCs w:val="21"/>
                <w:highlight w:val="none"/>
                <w14:textFill>
                  <w14:solidFill>
                    <w14:schemeClr w14:val="tx1"/>
                  </w14:solidFill>
                </w14:textFill>
              </w:rPr>
              <w:t xml:space="preserve">条标的物清单中的</w:t>
            </w:r>
            <w:r>
              <w:rPr>
                <w:rFonts w:hint="eastAsia"/>
                <w:color w:val="000000" w:themeColor="text1"/>
                <w:szCs w:val="21"/>
                <w:highlight w:val="none"/>
                <w14:textFill>
                  <w14:solidFill>
                    <w14:schemeClr w14:val="tx1"/>
                  </w14:solidFill>
                </w14:textFill>
              </w:rPr>
              <w:t xml:space="preserve">基础参数要求、技术参数要求、客梯功能要求</w:t>
            </w:r>
            <w:r>
              <w:rPr>
                <w:color w:val="000000" w:themeColor="text1"/>
                <w:szCs w:val="21"/>
                <w:highlight w:val="none"/>
                <w14:textFill>
                  <w14:solidFill>
                    <w14:schemeClr w14:val="tx1"/>
                  </w14:solidFill>
                </w14:textFill>
              </w:rPr>
              <w:t xml:space="preserve">、规格及数量要求，响应为合格，不响应为不合格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660"/>
        </w:trPr>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jc w:val="center"/>
              <w:tabs>
                <w:tab w:val="left" w:pos="0" w:leader="none"/>
              </w:tabs>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5245" w:type="dxa"/>
            <w:vAlign w:val="center"/>
            <w:textDirection w:val="lrTb"/>
            <w:noWrap w:val="false"/>
          </w:tcPr>
          <w:p>
            <w:pPr>
              <w:rPr>
                <w:color w:val="000000" w:themeColor="text1"/>
                <w:szCs w:val="21"/>
                <w14:textFill>
                  <w14:solidFill>
                    <w14:schemeClr w14:val="tx1"/>
                  </w14:solidFill>
                </w14:textFill>
              </w:rPr>
            </w:pPr>
            <w:r>
              <w:rPr>
                <w:color w:val="000000" w:themeColor="text1"/>
                <w:szCs w:val="21"/>
                <w:highlight w:val="none"/>
                <w14:textFill>
                  <w14:solidFill>
                    <w14:schemeClr w14:val="tx1"/>
                  </w14:solidFill>
                </w14:textFill>
              </w:rPr>
              <w:t xml:space="preserve">是否响应谈判文件第三章第三条的其他要求，响应为合格，不响应为不合格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660"/>
        </w:trPr>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jc w:val="center"/>
              <w:tabs>
                <w:tab w:val="left" w:pos="0" w:leader="none"/>
              </w:tabs>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5245"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是否存在谈判文件规定的其它响应无效的情况，不存在为合格，存在为不合格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bookmarkEnd w:id="69"/>
            <w:r/>
            <w:r/>
          </w:p>
        </w:tc>
      </w:tr>
    </w:tbl>
    <w:p>
      <w:pPr>
        <w:spacing w:line="360" w:lineRule="auto"/>
        <w:rPr>
          <w:b/>
          <w:color w:val="000000" w:themeColor="text1"/>
          <w:sz w:val="24"/>
          <w:szCs w:val="24"/>
          <w14:textFill>
            <w14:solidFill>
              <w14:schemeClr w14:val="tx1"/>
            </w14:solidFill>
          </w14:textFill>
        </w:rPr>
      </w:pPr>
      <w:r>
        <w:rPr>
          <w:b/>
          <w:color w:val="000000" w:themeColor="text1"/>
          <w:szCs w:val="24"/>
          <w14:textFill>
            <w14:solidFill>
              <w14:schemeClr w14:val="tx1"/>
            </w14:solidFill>
          </w14:textFill>
        </w:rPr>
        <w:t xml:space="preserve">说明：上述某一项内容评审不合格，评审专家须注明评审不合格原因（至少包括不合格的具体事项、判定不合格依据的具体条款等）。任一项不合格其响应文件按无效处理。</w:t>
      </w:r>
      <w:r/>
    </w:p>
    <w:p>
      <w:pPr>
        <w:spacing w:line="360" w:lineRule="auto"/>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r>
      <w:r/>
    </w:p>
    <w:p>
      <w:pPr>
        <w:spacing w:line="360" w:lineRule="auto"/>
        <w:rPr>
          <w:b/>
          <w:color w:val="000000" w:themeColor="text1"/>
          <w:sz w:val="24"/>
          <w:szCs w:val="24"/>
          <w14:textFill>
            <w14:solidFill>
              <w14:schemeClr w14:val="tx1"/>
            </w14:solidFill>
          </w14:textFill>
        </w:rPr>
        <w:outlineLvl w:val="1"/>
      </w:pPr>
      <w:r>
        <w:rPr>
          <w:b/>
          <w:color w:val="000000" w:themeColor="text1"/>
          <w:sz w:val="24"/>
          <w:szCs w:val="24"/>
          <w14:textFill>
            <w14:solidFill>
              <w14:schemeClr w14:val="tx1"/>
            </w14:solidFill>
          </w14:textFill>
        </w:rPr>
        <w:t xml:space="preserve">三、政府采购政策：</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1、中、小企业</w:t>
      </w:r>
      <w:r/>
    </w:p>
    <w:p>
      <w:pPr>
        <w:spacing w:line="360" w:lineRule="auto"/>
        <w:rPr>
          <w:color w:val="000000" w:themeColor="text1"/>
          <w:szCs w:val="24"/>
          <w14:textFill>
            <w14:solidFill>
              <w14:schemeClr w14:val="tx1"/>
            </w14:solidFill>
          </w14:textFill>
        </w:rPr>
      </w:pPr>
      <w: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eastAsiaTheme="minorEastAsia"/>
          <w:color w:val="000000" w:themeColor="text1"/>
          <w:szCs w:val="21"/>
          <w14:textFill>
            <w14:solidFill>
              <w14:schemeClr w14:val="tx1"/>
            </w14:solidFill>
          </w14:textFill>
        </w:rPr>
        <w:t xml:space="preserve">：</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w:t>
      </w:r>
      <w:r>
        <w:rPr>
          <w:rFonts w:hint="default" w:ascii="Times New Roman" w:hAnsi="Times New Roman" w:cs="Times New Roman"/>
          <w:b/>
          <w:color w:val="000000"/>
          <w:szCs w:val="24"/>
        </w:rPr>
        <w:t xml:space="preserve">本项目属于非预留份额专门面向中小企业采购。如供应商所提供的全部货物的制造商属于小微企业，对其报价给予</w:t>
      </w:r>
      <w:r>
        <w:rPr>
          <w:rFonts w:hint="eastAsia" w:cs="Times New Roman"/>
          <w:b/>
          <w:color w:val="000000"/>
          <w:szCs w:val="24"/>
          <w:u w:val="single"/>
          <w:lang w:val="en-US" w:eastAsia="zh-CN"/>
        </w:rPr>
        <w:t xml:space="preserve">10</w:t>
      </w:r>
      <w:r>
        <w:rPr>
          <w:rFonts w:hint="default" w:ascii="Times New Roman" w:hAnsi="Times New Roman" w:cs="Times New Roman"/>
          <w:b/>
          <w:color w:val="000000"/>
          <w:szCs w:val="24"/>
          <w:u w:val="single"/>
        </w:rPr>
        <w:t xml:space="preserve">%</w:t>
      </w:r>
      <w:r>
        <w:rPr>
          <w:rFonts w:hint="default" w:ascii="Times New Roman" w:hAnsi="Times New Roman" w:cs="Times New Roman"/>
          <w:b/>
          <w:color w:val="000000"/>
          <w:szCs w:val="24"/>
        </w:rPr>
        <w:t xml:space="preserve">的扣除，用扣除后的价格参与评审。如扣除后的价格为最低价的，则作为评标基准价，中标金额则以实际投标报价为准。</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（2）依据《政府采购促进中小企业发展管理办法》规定享受扶持政策获得政府采购合同的，小微企业不得将合同分包给大中型企业，中型企业不得将合同分包给大型企业。</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（3）本项目采购标的对应的中小企业划分标准所属行业为</w:t>
      </w:r>
      <w:r>
        <w:rPr>
          <w:b/>
          <w:bCs/>
          <w:color w:val="000000" w:themeColor="text1"/>
          <w:szCs w:val="24"/>
          <w:u w:val="single"/>
          <w14:textFill>
            <w14:solidFill>
              <w14:schemeClr w14:val="tx1"/>
            </w14:solidFill>
          </w14:textFill>
        </w:rPr>
        <w:t xml:space="preserve">工业</w:t>
      </w:r>
      <w:r>
        <w:rPr>
          <w:color w:val="000000" w:themeColor="text1"/>
          <w:szCs w:val="24"/>
          <w14:textFill>
            <w14:solidFill>
              <w14:schemeClr w14:val="tx1"/>
            </w14:solidFill>
          </w14:textFill>
        </w:rPr>
        <w:t xml:space="preserve">。</w:t>
      </w:r>
      <w:r>
        <w:rPr>
          <w:szCs w:val="21"/>
          <w:lang w:val="zh-CN"/>
        </w:rPr>
        <w:t xml:space="preserve">中小微企业划型标准根据《中小企业划型标准规定》（</w:t>
      </w:r>
      <w:r>
        <w:rPr>
          <w:rFonts w:hint="eastAsia"/>
          <w:szCs w:val="21"/>
          <w:lang w:val="zh-CN"/>
        </w:rPr>
        <w:t xml:space="preserve">工信部联企业〔2011〕300号</w:t>
      </w:r>
      <w:r>
        <w:rPr>
          <w:szCs w:val="21"/>
          <w:lang w:val="zh-CN"/>
        </w:rPr>
        <w:t xml:space="preserve">）</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（4）中小企业参加政府采购活动，应当出具《政府采购促进中小企业发展管理办法》附件规定《中小企业声明函》，否则不得享受相关中小企业扶持政策。</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（5）本项目中，供应商提供的货物由中小企业制造，即货物由中小企业生产且使用该中小企业商号或者注册商标，才可享受规定的中小企业扶持政策。</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（6）若供应商提供的《中小企业声明函》为虚假声明则视同提供虚假材料，按政府采购相关规定处理并报请政府监管部门给予行政处罚。</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2、残疾人福利性单位</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w:t>
      </w:r>
      <w:r>
        <w:rPr>
          <w:rFonts w:eastAsiaTheme="minorEastAsia"/>
          <w:b/>
          <w:color w:val="000000" w:themeColor="text1"/>
          <w:szCs w:val="21"/>
          <w14:textFill>
            <w14:solidFill>
              <w14:schemeClr w14:val="tx1"/>
            </w14:solidFill>
          </w14:textFill>
        </w:rPr>
        <w:t xml:space="preserve">未提供视为非残疾人福利性单位，不视同小微企业，不享受残疾人福利性单位政策</w:t>
      </w:r>
      <w:r>
        <w:rPr>
          <w:color w:val="000000" w:themeColor="text1"/>
          <w:szCs w:val="24"/>
          <w14:textFill>
            <w14:solidFill>
              <w14:schemeClr w14:val="tx1"/>
            </w14:solidFill>
          </w14:textFill>
        </w:rPr>
        <w:t xml:space="preserve">。</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3、监狱企业</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根据</w:t>
      </w:r>
      <w:r>
        <w:rPr>
          <w:rFonts w:hint="eastAsia"/>
          <w:color w:val="000000" w:themeColor="text1"/>
          <w:szCs w:val="24"/>
          <w14:textFill>
            <w14:solidFill>
              <w14:schemeClr w14:val="tx1"/>
            </w14:solidFill>
          </w14:textFill>
        </w:rPr>
        <w:t xml:space="preserve">苏财购〔2019〕10号</w:t>
      </w:r>
      <w:r>
        <w:rPr>
          <w:color w:val="000000" w:themeColor="text1"/>
          <w:szCs w:val="24"/>
          <w14:textFill>
            <w14:solidFill>
              <w14:schemeClr w14:val="tx1"/>
            </w14:solidFill>
          </w14:textFill>
        </w:rPr>
        <w:t xml:space="preserve">文，监狱企业视同小型、微型企业，享受评审中价格扣除等促进中小企业发展的政府采购政策。如供应商为监狱企业，应当提供由省级以上监狱管理局、戒毒管理局（含新疆生产建设兵团）出具的属于监狱企业的证明文件，</w:t>
      </w:r>
      <w:r>
        <w:rPr>
          <w:rFonts w:eastAsiaTheme="minorEastAsia"/>
          <w:b/>
          <w:color w:val="000000" w:themeColor="text1"/>
          <w:szCs w:val="21"/>
          <w14:textFill>
            <w14:solidFill>
              <w14:schemeClr w14:val="tx1"/>
            </w14:solidFill>
          </w14:textFill>
        </w:rPr>
        <w:t xml:space="preserve">未提供视为非监狱企业，不视同小微企业，</w:t>
      </w:r>
      <w:r>
        <w:rPr>
          <w:b/>
          <w:bCs/>
          <w:color w:val="000000" w:themeColor="text1"/>
          <w:szCs w:val="21"/>
          <w14:textFill>
            <w14:solidFill>
              <w14:schemeClr w14:val="tx1"/>
            </w14:solidFill>
          </w14:textFill>
        </w:rPr>
        <w:t xml:space="preserve">不享受监狱企业政策</w:t>
      </w:r>
      <w:r>
        <w:rPr>
          <w:color w:val="000000" w:themeColor="text1"/>
          <w:szCs w:val="24"/>
          <w14:textFill>
            <w14:solidFill>
              <w14:schemeClr w14:val="tx1"/>
            </w14:solidFill>
          </w14:textFill>
        </w:rPr>
        <w:t xml:space="preserve">。</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4、根据</w:t>
      </w:r>
      <w:r>
        <w:rPr>
          <w:rFonts w:hint="eastAsia"/>
          <w:color w:val="000000" w:themeColor="text1"/>
          <w:szCs w:val="24"/>
          <w14:textFill>
            <w14:solidFill>
              <w14:schemeClr w14:val="tx1"/>
            </w14:solidFill>
          </w14:textFill>
        </w:rPr>
        <w:t xml:space="preserve">苏财购〔2019〕10号</w:t>
      </w:r>
      <w:r>
        <w:rPr>
          <w:color w:val="000000" w:themeColor="text1"/>
          <w:szCs w:val="24"/>
          <w14:textFill>
            <w14:solidFill>
              <w14:schemeClr w14:val="tx1"/>
            </w14:solidFill>
          </w14:textFill>
        </w:rPr>
        <w:t xml:space="preserve">文：（货物）</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（1）本次拟采购的产品</w:t>
      </w:r>
      <w:r>
        <w:rPr>
          <w:color w:val="000000" w:themeColor="text1"/>
          <w:szCs w:val="24"/>
          <w:u w:val="single"/>
          <w14:textFill>
            <w14:solidFill>
              <w14:schemeClr w14:val="tx1"/>
            </w14:solidFill>
          </w14:textFill>
        </w:rPr>
        <w:t xml:space="preserve">不属于</w:t>
      </w:r>
      <w:r>
        <w:rPr>
          <w:color w:val="000000" w:themeColor="text1"/>
          <w:szCs w:val="24"/>
          <w14:textFill>
            <w14:solidFill>
              <w14:schemeClr w14:val="tx1"/>
            </w14:solidFill>
          </w14:textFill>
        </w:rPr>
        <w:t xml:space="preserve">《节能产品政府采购品目清单》范围内的产品。</w:t>
      </w:r>
      <w:r>
        <w:rPr>
          <w:szCs w:val="21"/>
        </w:rPr>
        <w:t xml:space="preserve">本次采购对上述产品实施优先采购，各</w:t>
      </w:r>
      <w:r>
        <w:rPr>
          <w:rFonts w:hint="eastAsia"/>
          <w:szCs w:val="21"/>
          <w:lang w:eastAsia="zh-CN"/>
        </w:rPr>
        <w:t xml:space="preserve">响应单位</w:t>
      </w:r>
      <w:r>
        <w:rPr>
          <w:szCs w:val="21"/>
        </w:rPr>
        <w:t xml:space="preserve">可提供由国家确定的认证机构出具的、处于有效期之内的节能（节水）产品认证证书。在得分相同且价格相同情况下，提供优先采购产品证书更多的投标人优先成交。</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（2）本次拟采购产品</w:t>
      </w:r>
      <w:r>
        <w:rPr>
          <w:color w:val="000000" w:themeColor="text1"/>
          <w:szCs w:val="24"/>
          <w:u w:val="single"/>
          <w14:textFill>
            <w14:solidFill>
              <w14:schemeClr w14:val="tx1"/>
            </w14:solidFill>
          </w14:textFill>
        </w:rPr>
        <w:t xml:space="preserve">不属于</w:t>
      </w:r>
      <w:r>
        <w:rPr>
          <w:color w:val="000000" w:themeColor="text1"/>
          <w:szCs w:val="24"/>
          <w14:textFill>
            <w14:solidFill>
              <w14:schemeClr w14:val="tx1"/>
            </w14:solidFill>
          </w14:textFill>
        </w:rPr>
        <w:t xml:space="preserve">《环境标志产品政府采购品目清单》</w:t>
      </w:r>
      <w:r>
        <w:rPr>
          <w:color w:val="000000" w:themeColor="text1"/>
          <w14:textFill>
            <w14:solidFill>
              <w14:schemeClr w14:val="tx1"/>
            </w14:solidFill>
          </w14:textFill>
        </w:rPr>
        <w:t xml:space="preserve">范围内的产品</w:t>
      </w:r>
      <w:r>
        <w:rPr>
          <w:rFonts w:hint="eastAsia"/>
          <w:color w:val="000000" w:themeColor="text1"/>
          <w:lang w:eastAsia="zh-CN"/>
          <w14:textFill>
            <w14:solidFill>
              <w14:schemeClr w14:val="tx1"/>
            </w14:solidFill>
          </w14:textFill>
        </w:rPr>
        <w:t xml:space="preserve">。</w:t>
      </w:r>
      <w:r>
        <w:rPr>
          <w:color w:val="000000" w:themeColor="text1"/>
          <w14:textFill>
            <w14:solidFill>
              <w14:schemeClr w14:val="tx1"/>
            </w14:solidFill>
          </w14:textFill>
        </w:rPr>
        <w:t xml:space="preserve">本次采购对范围内的产品实施优先采购</w:t>
      </w:r>
      <w:r>
        <w:rPr>
          <w:color w:val="000000" w:themeColor="text1"/>
          <w:szCs w:val="24"/>
          <w14:textFill>
            <w14:solidFill>
              <w14:schemeClr w14:val="tx1"/>
            </w14:solidFill>
          </w14:textFill>
        </w:rPr>
        <w:t xml:space="preserve">，各响应单位可提供由国家确定的认证机构出具的、处于有效期之内的环境标志产品认证证书。在评审价格相同情况下，提供优先采购产品证书更多的响应单位优先成交。</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5、绿色采购</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6、</w:t>
      </w:r>
      <w:bookmarkStart w:id="70" w:name="_Hlk195711144"/>
      <w:r/>
      <w:bookmarkStart w:id="71" w:name="OLE_LINK9"/>
      <w:r>
        <w:rPr>
          <w:color w:val="000000" w:themeColor="text1"/>
          <w:szCs w:val="24"/>
          <w14:textFill>
            <w14:solidFill>
              <w14:schemeClr w14:val="tx1"/>
            </w14:solidFill>
          </w14:textFill>
        </w:rPr>
        <w:t xml:space="preserve">实施本国产品标准及相关政策</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（1）根据《国务院办公厅关于在政府采购中实施本国产品标准及相关政策的通知》（</w:t>
      </w:r>
      <w:r>
        <w:rPr>
          <w:rFonts w:hint="eastAsia"/>
          <w:color w:val="000000" w:themeColor="text1"/>
          <w:szCs w:val="24"/>
          <w14:textFill>
            <w14:solidFill>
              <w14:schemeClr w14:val="tx1"/>
            </w14:solidFill>
          </w14:textFill>
        </w:rPr>
        <w:t xml:space="preserve">国办发〔2025〕34号</w:t>
      </w:r>
      <w:r>
        <w:rPr>
          <w:color w:val="000000" w:themeColor="text1"/>
          <w:szCs w:val="24"/>
          <w14:textFill>
            <w14:solidFill>
              <w14:schemeClr w14:val="tx1"/>
            </w14:solidFill>
          </w14:textFill>
        </w:rPr>
        <w:t xml:space="preserve">）的规定，本项目对采购本国产品给予政策支持。</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（4）本项目政府采购活动中既有本国产品又有非本国产品参与竞争的，依法对本国产品给予价格评审优惠，对本国产品的报价给予</w:t>
      </w:r>
      <w:r>
        <w:rPr>
          <w:color w:val="000000" w:themeColor="text1"/>
          <w:szCs w:val="24"/>
          <w:u w:val="single"/>
          <w14:textFill>
            <w14:solidFill>
              <w14:schemeClr w14:val="tx1"/>
            </w14:solidFill>
          </w14:textFill>
        </w:rPr>
        <w:t xml:space="preserve">20%</w:t>
      </w:r>
      <w:r>
        <w:rPr>
          <w:color w:val="000000" w:themeColor="text1"/>
          <w:szCs w:val="24"/>
          <w14:textFill>
            <w14:solidFill>
              <w14:schemeClr w14:val="tx1"/>
            </w14:solidFill>
          </w14:textFill>
        </w:rPr>
        <w:t xml:space="preserve">的价格扣除，用扣除后的价格参与评审。</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w:t>
      </w:r>
      <w:r>
        <w:rPr>
          <w:color w:val="000000" w:themeColor="text1"/>
          <w:szCs w:val="24"/>
          <w:u w:val="single"/>
          <w14:textFill>
            <w14:solidFill>
              <w14:schemeClr w14:val="tx1"/>
            </w14:solidFill>
          </w14:textFill>
        </w:rPr>
        <w:t xml:space="preserve">80%</w:t>
      </w:r>
      <w:r>
        <w:rPr>
          <w:color w:val="000000" w:themeColor="text1"/>
          <w:szCs w:val="24"/>
          <w14:textFill>
            <w14:solidFill>
              <w14:schemeClr w14:val="tx1"/>
            </w14:solidFill>
          </w14:textFill>
        </w:rPr>
        <w:t xml:space="preserve">以上时（供应商需在“第六章 响应文件格式”的“谈判响应报价表”中填写比例数值），依法对该供应商提供的全部产品给予价格评审优惠，即对该供应商提供的全部产品的总报价给予20%的价格扣除，用扣除后的价格参与评审。</w:t>
      </w:r>
      <w:r>
        <w:rPr>
          <w:b/>
          <w:color w:val="000000" w:themeColor="text1"/>
          <w:szCs w:val="24"/>
          <w14:textFill>
            <w14:solidFill>
              <w14:schemeClr w14:val="tx1"/>
            </w14:solidFill>
          </w14:textFill>
        </w:rPr>
        <w:t xml:space="preserve">供应商未填写比例数值，或比例数值未达到</w:t>
      </w:r>
      <w:r>
        <w:rPr>
          <w:b/>
          <w:color w:val="000000" w:themeColor="text1"/>
          <w:szCs w:val="24"/>
          <w:u w:val="single"/>
          <w14:textFill>
            <w14:solidFill>
              <w14:schemeClr w14:val="tx1"/>
            </w14:solidFill>
          </w14:textFill>
        </w:rPr>
        <w:t xml:space="preserve">80%</w:t>
      </w:r>
      <w:r>
        <w:rPr>
          <w:b/>
          <w:color w:val="000000" w:themeColor="text1"/>
          <w:szCs w:val="24"/>
          <w14:textFill>
            <w14:solidFill>
              <w14:schemeClr w14:val="tx1"/>
            </w14:solidFill>
          </w14:textFill>
        </w:rPr>
        <w:t xml:space="preserve">的，将不享受本国产品价格评审优惠。</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（5）供应商需按照招标文件的要求提供《关于符合本国产品标准的声明函》（以下简称《声明函》）或财政部会同有关部门规定的有关证明文件的，</w:t>
      </w:r>
      <w:r>
        <w:rPr>
          <w:b/>
          <w:color w:val="000000" w:themeColor="text1"/>
          <w:szCs w:val="24"/>
          <w14:textFill>
            <w14:solidFill>
              <w14:schemeClr w14:val="tx1"/>
            </w14:solidFill>
          </w14:textFill>
        </w:rPr>
        <w:t xml:space="preserve">如不提供或提供不符要求的将不享受本国产品价格评审优惠。</w:t>
      </w:r>
      <w:r/>
    </w:p>
    <w:p>
      <w:pPr>
        <w:ind w:firstLine="420"/>
        <w:spacing w:line="440" w:lineRule="exact"/>
        <w:rPr>
          <w:b/>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（6）供应商需在《声明函》中逐一、准确填写产品名称、厂名、生产厂址三项信息</w:t>
      </w:r>
      <w:r>
        <w:rPr>
          <w:rFonts w:eastAsiaTheme="minorEastAsia"/>
          <w:color w:val="000000" w:themeColor="text1"/>
          <w:szCs w:val="21"/>
          <w14:textFill>
            <w14:solidFill>
              <w14:schemeClr w14:val="tx1"/>
            </w14:solidFill>
          </w14:textFill>
        </w:rPr>
        <w:t xml:space="preserve">（《声明函》中标注</w:t>
      </w:r>
      <w:r>
        <w:rPr>
          <w:rFonts w:eastAsiaTheme="minorEastAsia"/>
          <w:color w:val="000000" w:themeColor="text1"/>
          <w:szCs w:val="21"/>
          <w:u w:val="single"/>
          <w14:textFill>
            <w14:solidFill>
              <w14:schemeClr w14:val="tx1"/>
            </w14:solidFill>
          </w14:textFill>
        </w:rPr>
        <w:t xml:space="preserve">“  /  ”</w:t>
      </w:r>
      <w:r>
        <w:rPr>
          <w:rFonts w:eastAsiaTheme="minorEastAsia"/>
          <w:color w:val="000000" w:themeColor="text1"/>
          <w:szCs w:val="21"/>
          <w14:textFill>
            <w14:solidFill>
              <w14:schemeClr w14:val="tx1"/>
            </w14:solidFill>
          </w14:textFill>
        </w:rPr>
        <w:t xml:space="preserve">的地方无需填写）</w:t>
      </w:r>
      <w:r>
        <w:rPr>
          <w:color w:val="000000" w:themeColor="text1"/>
          <w:szCs w:val="24"/>
          <w14:textFill>
            <w14:solidFill>
              <w14:schemeClr w14:val="tx1"/>
            </w14:solidFill>
          </w14:textFill>
        </w:rPr>
        <w:t xml:space="preserve">，</w:t>
      </w:r>
      <w:r>
        <w:rPr>
          <w:b/>
          <w:color w:val="000000" w:themeColor="text1"/>
          <w:szCs w:val="24"/>
          <w14:textFill>
            <w14:solidFill>
              <w14:schemeClr w14:val="tx1"/>
            </w14:solidFill>
          </w14:textFill>
        </w:rPr>
        <w:t xml:space="preserve">三项信息中任意一项未填写的视为该项产品不符合本国产品标准，不享受本国产品价格评审优惠。</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b/>
          <w:color w:val="000000" w:themeColor="text1"/>
          <w:szCs w:val="24"/>
          <w14:textFill>
            <w14:solidFill>
              <w14:schemeClr w14:val="tx1"/>
            </w14:solidFill>
          </w14:textFill>
        </w:rPr>
        <w:t xml:space="preserve">供应商提供的相关产品视为不符合本国产品标准。</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bookmarkEnd w:id="70"/>
      <w:r/>
      <w:bookmarkEnd w:id="71"/>
      <w:r/>
      <w:r/>
    </w:p>
    <w:p>
      <w:pPr>
        <w:jc w:val="left"/>
        <w:widowControl/>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br w:type="page" w:clear="all"/>
      </w:r>
      <w:r/>
    </w:p>
    <w:p>
      <w:pPr>
        <w:pStyle w:val="898"/>
        <w:numPr>
          <w:ilvl w:val="0"/>
          <w:numId w:val="5"/>
        </w:numPr>
        <w:ind w:hanging="1276"/>
        <w:jc w:val="center"/>
        <w:spacing w:line="480" w:lineRule="auto"/>
        <w:rPr>
          <w:b/>
          <w:bCs/>
          <w:color w:val="000000" w:themeColor="text1"/>
          <w:sz w:val="44"/>
          <w:szCs w:val="44"/>
          <w14:textFill>
            <w14:solidFill>
              <w14:schemeClr w14:val="tx1"/>
            </w14:solidFill>
          </w14:textFill>
        </w:rPr>
        <w:outlineLvl w:val="0"/>
      </w:pPr>
      <w:r>
        <w:rPr>
          <w:b/>
          <w:bCs/>
          <w:color w:val="000000" w:themeColor="text1"/>
          <w:sz w:val="44"/>
          <w:szCs w:val="44"/>
          <w14:textFill>
            <w14:solidFill>
              <w14:schemeClr w14:val="tx1"/>
            </w14:solidFill>
          </w14:textFill>
        </w:rPr>
        <w:t xml:space="preserve">合同文本</w:t>
      </w:r>
      <w:r/>
    </w:p>
    <w:p>
      <w:pPr>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pStyle w:val="898"/>
        <w:jc w:val="center"/>
        <w:rPr>
          <w:b/>
          <w:bCs/>
          <w:spacing w:val="-20"/>
          <w:sz w:val="48"/>
          <w:szCs w:val="48"/>
        </w:rPr>
      </w:pPr>
      <w:r/>
      <w:bookmarkStart w:id="72" w:name="_Hlk172562756"/>
      <w:r/>
      <w:r/>
    </w:p>
    <w:p>
      <w:pPr>
        <w:pStyle w:val="898"/>
        <w:jc w:val="center"/>
        <w:rPr>
          <w:b/>
          <w:bCs/>
          <w:spacing w:val="-20"/>
          <w:sz w:val="48"/>
          <w:szCs w:val="48"/>
        </w:rPr>
      </w:pPr>
      <w:r>
        <w:rPr>
          <w:b/>
          <w:bCs/>
          <w:spacing w:val="-20"/>
          <w:sz w:val="48"/>
          <w:szCs w:val="48"/>
        </w:rPr>
      </w:r>
      <w:r/>
    </w:p>
    <w:p>
      <w:pPr>
        <w:pStyle w:val="898"/>
        <w:jc w:val="center"/>
        <w:rPr>
          <w:b/>
          <w:bCs/>
          <w:spacing w:val="-20"/>
          <w:sz w:val="48"/>
          <w:szCs w:val="48"/>
        </w:rPr>
      </w:pPr>
      <w:r>
        <w:rPr>
          <w:b/>
          <w:bCs/>
          <w:spacing w:val="-20"/>
          <w:sz w:val="48"/>
          <w:szCs w:val="48"/>
        </w:rPr>
        <w:t xml:space="preserve">政府采购货物买卖合同</w:t>
      </w:r>
      <w:r/>
    </w:p>
    <w:p>
      <w:pPr>
        <w:pStyle w:val="898"/>
        <w:jc w:val="center"/>
        <w:rPr>
          <w:b/>
          <w:bCs/>
          <w:spacing w:val="-20"/>
          <w:sz w:val="48"/>
          <w:szCs w:val="48"/>
        </w:rPr>
      </w:pPr>
      <w:r>
        <w:rPr>
          <w:b/>
          <w:bCs/>
          <w:spacing w:val="-20"/>
          <w:sz w:val="48"/>
          <w:szCs w:val="48"/>
        </w:rPr>
        <w:t xml:space="preserve">（试行）</w:t>
      </w:r>
      <w:r/>
    </w:p>
    <w:p>
      <w:pPr>
        <w:rPr>
          <w:b/>
          <w:bCs/>
          <w:spacing w:val="-20"/>
          <w:sz w:val="40"/>
          <w:szCs w:val="40"/>
        </w:rPr>
      </w:pPr>
      <w:r>
        <w:rPr>
          <w:b/>
          <w:bCs/>
          <w:spacing w:val="-20"/>
          <w:sz w:val="40"/>
          <w:szCs w:val="40"/>
        </w:rPr>
      </w:r>
      <w:r/>
    </w:p>
    <w:p>
      <w:pPr>
        <w:rPr>
          <w:b/>
          <w:bCs/>
          <w:spacing w:val="-20"/>
          <w:sz w:val="40"/>
          <w:szCs w:val="40"/>
        </w:rPr>
      </w:pPr>
      <w:r>
        <w:rPr>
          <w:b/>
          <w:bCs/>
          <w:spacing w:val="-20"/>
          <w:sz w:val="40"/>
          <w:szCs w:val="40"/>
        </w:rPr>
      </w:r>
      <w:r/>
    </w:p>
    <w:p>
      <w:pPr>
        <w:rPr>
          <w:b/>
          <w:bCs/>
          <w:spacing w:val="-20"/>
          <w:sz w:val="40"/>
          <w:szCs w:val="40"/>
        </w:rPr>
      </w:pPr>
      <w:r>
        <w:rPr>
          <w:b/>
          <w:bCs/>
          <w:spacing w:val="-20"/>
          <w:sz w:val="40"/>
          <w:szCs w:val="40"/>
        </w:rPr>
      </w:r>
      <w:r/>
    </w:p>
    <w:p>
      <w:pPr>
        <w:ind w:left="1701"/>
        <w:spacing w:line="360" w:lineRule="auto"/>
        <w:rPr>
          <w:sz w:val="32"/>
          <w:szCs w:val="32"/>
        </w:rPr>
      </w:pPr>
      <w:r>
        <w:rPr>
          <w:sz w:val="32"/>
          <w:szCs w:val="32"/>
        </w:rPr>
        <w:t xml:space="preserve">项目名称：</w:t>
      </w:r>
      <w:r>
        <w:rPr>
          <w:sz w:val="32"/>
          <w:szCs w:val="32"/>
          <w:u w:val="single"/>
        </w:rPr>
        <w:t xml:space="preserve">                             </w:t>
      </w:r>
      <w:r/>
    </w:p>
    <w:p>
      <w:pPr>
        <w:ind w:left="1701"/>
        <w:spacing w:line="360" w:lineRule="auto"/>
        <w:rPr>
          <w:sz w:val="32"/>
          <w:szCs w:val="32"/>
          <w:u w:val="single"/>
        </w:rPr>
      </w:pPr>
      <w:r>
        <w:rPr>
          <w:sz w:val="32"/>
          <w:szCs w:val="32"/>
        </w:rPr>
        <w:t xml:space="preserve">合同编号：</w:t>
      </w:r>
      <w:r>
        <w:rPr>
          <w:sz w:val="32"/>
          <w:szCs w:val="32"/>
          <w:u w:val="single"/>
        </w:rPr>
        <w:t xml:space="preserve">                             </w:t>
      </w:r>
      <w:r/>
    </w:p>
    <w:p>
      <w:pPr>
        <w:ind w:left="1701"/>
        <w:spacing w:line="360" w:lineRule="auto"/>
        <w:rPr>
          <w:sz w:val="32"/>
          <w:szCs w:val="32"/>
        </w:rPr>
      </w:pPr>
      <w:r>
        <w:rPr>
          <w:sz w:val="32"/>
          <w:szCs w:val="32"/>
        </w:rPr>
        <w:t xml:space="preserve">甲    方：</w:t>
      </w:r>
      <w:r>
        <w:rPr>
          <w:sz w:val="32"/>
          <w:szCs w:val="32"/>
          <w:u w:val="single"/>
        </w:rPr>
        <w:t xml:space="preserve">                             </w:t>
      </w:r>
      <w:r/>
    </w:p>
    <w:p>
      <w:pPr>
        <w:ind w:left="1701"/>
        <w:spacing w:line="360" w:lineRule="auto"/>
        <w:rPr>
          <w:sz w:val="32"/>
          <w:szCs w:val="32"/>
          <w:u w:val="single"/>
        </w:rPr>
      </w:pPr>
      <w:r>
        <w:rPr>
          <w:sz w:val="32"/>
          <w:szCs w:val="32"/>
        </w:rPr>
        <w:t xml:space="preserve">乙    方：</w:t>
      </w:r>
      <w:r>
        <w:rPr>
          <w:sz w:val="32"/>
          <w:szCs w:val="32"/>
          <w:u w:val="single"/>
        </w:rPr>
        <w:t xml:space="preserve">                             </w:t>
      </w:r>
      <w:r/>
    </w:p>
    <w:p>
      <w:pPr>
        <w:ind w:left="1701"/>
        <w:spacing w:line="360" w:lineRule="auto"/>
        <w:rPr>
          <w:sz w:val="32"/>
          <w:szCs w:val="32"/>
        </w:rPr>
      </w:pPr>
      <w:r>
        <w:rPr>
          <w:sz w:val="32"/>
          <w:szCs w:val="32"/>
        </w:rPr>
        <w:t xml:space="preserve">签订时间：</w:t>
      </w:r>
      <w:r>
        <w:rPr>
          <w:sz w:val="32"/>
          <w:szCs w:val="32"/>
          <w:u w:val="single"/>
        </w:rPr>
        <w:t xml:space="preserve">                             </w:t>
      </w:r>
      <w:r/>
    </w:p>
    <w:p>
      <w:pPr>
        <w:jc w:val="left"/>
        <w:widowControl/>
      </w:pPr>
      <w:r>
        <w:br w:type="page" w:clear="all"/>
      </w:r>
      <w:r/>
    </w:p>
    <w:p>
      <w:pPr>
        <w:jc w:val="center"/>
        <w:rPr>
          <w:rFonts w:eastAsia="黑体"/>
          <w:sz w:val="44"/>
          <w:szCs w:val="44"/>
        </w:rPr>
      </w:pPr>
      <w:r>
        <w:rPr>
          <w:rFonts w:eastAsia="黑体"/>
          <w:sz w:val="44"/>
          <w:szCs w:val="44"/>
        </w:rPr>
      </w:r>
      <w:r/>
    </w:p>
    <w:p>
      <w:pPr>
        <w:jc w:val="center"/>
        <w:rPr>
          <w:rFonts w:eastAsia="黑体"/>
          <w:sz w:val="44"/>
          <w:szCs w:val="44"/>
        </w:rPr>
      </w:pPr>
      <w:r>
        <w:rPr>
          <w:rFonts w:eastAsia="黑体"/>
          <w:sz w:val="44"/>
          <w:szCs w:val="44"/>
        </w:rPr>
      </w:r>
      <w:r/>
    </w:p>
    <w:p>
      <w:pPr>
        <w:jc w:val="center"/>
        <w:rPr>
          <w:rFonts w:eastAsia="黑体"/>
          <w:sz w:val="44"/>
          <w:szCs w:val="44"/>
        </w:rPr>
      </w:pPr>
      <w:r>
        <w:rPr>
          <w:rFonts w:eastAsia="黑体"/>
          <w:sz w:val="44"/>
          <w:szCs w:val="44"/>
        </w:rPr>
        <w:t xml:space="preserve">使 用 说 明</w:t>
      </w:r>
      <w:r/>
    </w:p>
    <w:p>
      <w:pPr>
        <w:ind w:firstLine="640"/>
        <w:rPr>
          <w:rFonts w:eastAsia="仿宋_GB2312"/>
          <w:sz w:val="32"/>
          <w:szCs w:val="32"/>
        </w:rPr>
      </w:pPr>
      <w:r>
        <w:rPr>
          <w:rFonts w:eastAsia="仿宋_GB2312"/>
          <w:sz w:val="32"/>
          <w:szCs w:val="32"/>
        </w:rPr>
      </w:r>
      <w:r/>
    </w:p>
    <w:p>
      <w:pPr>
        <w:ind w:firstLine="640"/>
        <w:rPr>
          <w:rFonts w:eastAsia="仿宋_GB2312"/>
          <w:sz w:val="32"/>
          <w:szCs w:val="32"/>
        </w:rPr>
      </w:pPr>
      <w:r>
        <w:rPr>
          <w:rFonts w:eastAsia="仿宋_GB2312"/>
          <w:sz w:val="32"/>
          <w:szCs w:val="32"/>
        </w:rPr>
        <w:t xml:space="preserve">1.本合同标准文本适用于</w:t>
      </w:r>
      <w:r>
        <w:rPr>
          <w:rFonts w:eastAsia="仿宋_GB2312"/>
          <w:b/>
          <w:color w:val="ff0000"/>
          <w:sz w:val="32"/>
          <w:szCs w:val="32"/>
          <w:u w:val="single"/>
        </w:rPr>
        <w:t xml:space="preserve">购买现成货物的采购项目，不包括需要供应商定制开发、创新研发的</w:t>
      </w:r>
      <w:r>
        <w:rPr>
          <w:rFonts w:eastAsia="仿宋_GB2312"/>
          <w:sz w:val="32"/>
          <w:szCs w:val="32"/>
        </w:rPr>
        <w:t xml:space="preserve">货物采购项目。</w:t>
      </w:r>
      <w:r/>
    </w:p>
    <w:p>
      <w:pPr>
        <w:rPr>
          <w:rFonts w:eastAsia="仿宋_GB2312"/>
          <w:sz w:val="32"/>
          <w:szCs w:val="32"/>
        </w:rPr>
      </w:pPr>
      <w:r>
        <w:rPr>
          <w:rFonts w:eastAsia="黑体"/>
          <w:sz w:val="44"/>
          <w:szCs w:val="44"/>
        </w:rPr>
        <w:t xml:space="preserve">   </w:t>
      </w:r>
      <w:r>
        <w:rPr>
          <w:rFonts w:eastAsia="仿宋_GB2312"/>
          <w:sz w:val="32"/>
          <w:szCs w:val="32"/>
        </w:rPr>
        <w:t xml:space="preserve">2. 本合同标准文本根据《关于印发&lt;政府采购货物买卖合同（试行）&gt;》的通知》的要求，结合园区工作实际制定，供采购人参考使用。</w:t>
      </w:r>
      <w:r/>
    </w:p>
    <w:p>
      <w:pPr>
        <w:ind w:firstLine="640"/>
        <w:rPr>
          <w:rFonts w:eastAsia="仿宋_GB2312"/>
          <w:sz w:val="32"/>
          <w:szCs w:val="32"/>
        </w:rPr>
      </w:pPr>
      <w:r>
        <w:rPr>
          <w:rFonts w:eastAsia="仿宋_GB2312"/>
          <w:sz w:val="32"/>
          <w:szCs w:val="32"/>
        </w:rPr>
        <w:t xml:space="preserve">3.</w:t>
      </w:r>
      <w:r>
        <w:t xml:space="preserve"> </w:t>
      </w:r>
      <w:r>
        <w:rPr>
          <w:rFonts w:eastAsia="仿宋_GB2312"/>
          <w:sz w:val="32"/>
          <w:szCs w:val="32"/>
        </w:rPr>
        <w:t xml:space="preserve">本合同标准文本为政府采购货物买卖合同编制提供参考，可以结合采购项目具体情况，对文本作必要的调整修订后使用。 </w:t>
      </w:r>
      <w:r/>
    </w:p>
    <w:p>
      <w:pPr>
        <w:ind w:firstLine="640"/>
        <w:rPr>
          <w:rFonts w:eastAsia="仿宋_GB2312"/>
          <w:sz w:val="32"/>
          <w:szCs w:val="32"/>
        </w:rPr>
      </w:pPr>
      <w:r>
        <w:rPr>
          <w:rFonts w:eastAsia="仿宋_GB2312"/>
          <w:sz w:val="32"/>
          <w:szCs w:val="32"/>
        </w:rPr>
        <w:t xml:space="preserve">3.本合同标准文本各条款中，如涉及填写多家供应商、制造商，多种采购标的、分包主要内容等信息的，可根据采购项目具体情况添加信息项。</w:t>
      </w:r>
      <w:r/>
    </w:p>
    <w:p>
      <w:pPr>
        <w:pStyle w:val="899"/>
      </w:pPr>
      <w:r/>
      <w:r/>
    </w:p>
    <w:p>
      <w:pPr>
        <w:jc w:val="left"/>
        <w:widowControl/>
      </w:pPr>
      <w:r>
        <w:br w:type="page" w:clear="all"/>
      </w:r>
      <w:r/>
    </w:p>
    <w:p>
      <w:pPr>
        <w:pStyle w:val="899"/>
        <w:ind w:right="40"/>
      </w:pPr>
      <w:r/>
      <w:r/>
    </w:p>
    <w:p>
      <w:pPr>
        <w:pStyle w:val="1136"/>
        <w:rPr>
          <w:rFonts w:ascii="Times New Roman" w:hAnsi="Times New Roman"/>
        </w:rPr>
      </w:pPr>
      <w:r/>
      <w:bookmarkStart w:id="73" w:name="_Toc22209"/>
      <w:r/>
      <w:r/>
    </w:p>
    <w:p>
      <w:pPr>
        <w:pStyle w:val="879"/>
        <w:jc w:val="center"/>
        <w:spacing w:line="400" w:lineRule="exact"/>
        <w:rPr>
          <w:rFonts w:ascii="Times New Roman" w:hAnsi="Times New Roman" w:eastAsia="黑体"/>
          <w:b w:val="0"/>
          <w:bCs w:val="0"/>
          <w:sz w:val="28"/>
          <w:szCs w:val="28"/>
        </w:rPr>
      </w:pPr>
      <w:r>
        <w:rPr>
          <w:rFonts w:ascii="Times New Roman" w:hAnsi="Times New Roman" w:eastAsia="黑体"/>
          <w:b w:val="0"/>
          <w:bCs w:val="0"/>
          <w:sz w:val="28"/>
          <w:szCs w:val="28"/>
        </w:rPr>
        <w:t xml:space="preserve">第一节 政府采购合同协议书</w:t>
      </w:r>
      <w:bookmarkEnd w:id="73"/>
      <w:r/>
      <w:r/>
    </w:p>
    <w:p>
      <w:pPr>
        <w:pStyle w:val="1136"/>
        <w:rPr>
          <w:rFonts w:ascii="Times New Roman" w:hAnsi="Times New Roman"/>
        </w:rPr>
      </w:pPr>
      <w:r>
        <w:rPr>
          <w:rFonts w:ascii="Times New Roman" w:hAnsi="Times New Roman"/>
        </w:rPr>
      </w:r>
      <w:r/>
    </w:p>
    <w:p>
      <w:pPr>
        <w:spacing w:line="400" w:lineRule="exact"/>
        <w:rPr>
          <w:szCs w:val="21"/>
        </w:rPr>
      </w:pPr>
      <w:r>
        <w:rPr>
          <w:szCs w:val="21"/>
        </w:rPr>
        <w:t xml:space="preserve">甲方（全称）：</w:t>
      </w:r>
      <w:r>
        <w:rPr>
          <w:szCs w:val="21"/>
          <w:u w:val="single"/>
        </w:rPr>
        <w:t xml:space="preserve">                        </w:t>
      </w:r>
      <w:r>
        <w:rPr>
          <w:szCs w:val="21"/>
        </w:rPr>
        <w:t xml:space="preserve">（采购人、受采购人委托签订合同的单位或采购文件约定的合同甲方）</w:t>
      </w:r>
      <w:r/>
    </w:p>
    <w:p>
      <w:pPr>
        <w:spacing w:line="400" w:lineRule="exact"/>
        <w:rPr>
          <w:szCs w:val="21"/>
        </w:rPr>
      </w:pPr>
      <w:r>
        <w:rPr>
          <w:szCs w:val="21"/>
        </w:rPr>
        <w:t xml:space="preserve">乙方（全称）：</w:t>
      </w:r>
      <w:r>
        <w:rPr>
          <w:szCs w:val="21"/>
          <w:u w:val="single"/>
        </w:rPr>
        <w:t xml:space="preserve">                       </w:t>
      </w:r>
      <w:r>
        <w:rPr>
          <w:szCs w:val="21"/>
        </w:rPr>
        <w:t xml:space="preserve">（供应商）</w:t>
      </w:r>
      <w:r/>
    </w:p>
    <w:p>
      <w:pPr>
        <w:spacing w:line="400" w:lineRule="exact"/>
      </w:pPr>
      <w:r/>
      <w:r/>
    </w:p>
    <w:p>
      <w:pPr>
        <w:pStyle w:val="899"/>
        <w:ind w:left="0" w:right="40" w:firstLine="420"/>
        <w:spacing w:after="0" w:line="400" w:lineRule="exact"/>
        <w:rPr>
          <w:szCs w:val="21"/>
        </w:rPr>
      </w:pPr>
      <w:r>
        <w:rPr>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6"/>
        </w:numPr>
        <w:ind w:firstLine="422"/>
        <w:spacing w:line="400" w:lineRule="exact"/>
        <w:rPr>
          <w:b/>
          <w:szCs w:val="21"/>
        </w:rPr>
      </w:pPr>
      <w:r>
        <w:rPr>
          <w:b/>
          <w:szCs w:val="21"/>
        </w:rPr>
        <w:t xml:space="preserve">项目信息</w:t>
      </w:r>
      <w:r/>
    </w:p>
    <w:p>
      <w:pPr>
        <w:pStyle w:val="899"/>
        <w:numPr>
          <w:ilvl w:val="0"/>
          <w:numId w:val="17"/>
        </w:numPr>
        <w:ind w:right="40" w:firstLine="420"/>
        <w:spacing w:after="0" w:line="400" w:lineRule="exact"/>
        <w:rPr>
          <w:szCs w:val="21"/>
          <w:u w:val="single"/>
        </w:rPr>
      </w:pPr>
      <w:r>
        <w:rPr>
          <w:szCs w:val="21"/>
        </w:rPr>
        <w:t xml:space="preserve">采购项目名称：</w:t>
      </w:r>
      <w:r>
        <w:rPr>
          <w:szCs w:val="21"/>
          <w:u w:val="single"/>
        </w:rPr>
        <w:t xml:space="preserve">                                          </w:t>
      </w:r>
      <w:r/>
    </w:p>
    <w:p>
      <w:pPr>
        <w:pStyle w:val="899"/>
        <w:ind w:left="0" w:right="40"/>
        <w:spacing w:after="0" w:line="400" w:lineRule="exact"/>
        <w:tabs>
          <w:tab w:val="left" w:pos="999" w:leader="none"/>
        </w:tabs>
        <w:rPr>
          <w:szCs w:val="21"/>
        </w:rPr>
      </w:pPr>
      <w:r>
        <w:rPr>
          <w:szCs w:val="21"/>
        </w:rPr>
        <w:t xml:space="preserve">         采购项目编号：</w:t>
      </w:r>
      <w:r>
        <w:rPr>
          <w:szCs w:val="21"/>
          <w:u w:val="single"/>
        </w:rPr>
        <w:t xml:space="preserve">                                          </w:t>
      </w:r>
      <w:r/>
    </w:p>
    <w:p>
      <w:pPr>
        <w:pStyle w:val="899"/>
        <w:ind w:left="0" w:right="40" w:firstLine="420"/>
        <w:spacing w:after="0" w:line="400" w:lineRule="exact"/>
        <w:rPr>
          <w:szCs w:val="21"/>
        </w:rPr>
      </w:pPr>
      <w:r>
        <w:rPr>
          <w:szCs w:val="21"/>
        </w:rPr>
        <w:t xml:space="preserve">（2）采购计划编号：</w:t>
      </w:r>
      <w:r>
        <w:rPr>
          <w:szCs w:val="21"/>
          <w:u w:val="single"/>
        </w:rPr>
        <w:t xml:space="preserve">                                          </w:t>
      </w:r>
      <w:r>
        <w:rPr>
          <w:szCs w:val="21"/>
        </w:rPr>
        <w:t xml:space="preserve"> </w:t>
      </w:r>
      <w:r/>
    </w:p>
    <w:p>
      <w:pPr>
        <w:ind w:firstLine="420"/>
        <w:spacing w:line="400" w:lineRule="exact"/>
        <w:rPr>
          <w:szCs w:val="21"/>
        </w:rPr>
      </w:pPr>
      <w:r>
        <w:rPr>
          <w:szCs w:val="21"/>
        </w:rPr>
        <w:t xml:space="preserve">（3）项目内容：</w:t>
      </w:r>
      <w:r/>
    </w:p>
    <w:p>
      <w:pPr>
        <w:ind w:firstLine="420"/>
        <w:spacing w:line="400" w:lineRule="exact"/>
        <w:rPr>
          <w:szCs w:val="21"/>
        </w:rPr>
      </w:pPr>
      <w:r>
        <w:rPr>
          <w:szCs w:val="21"/>
        </w:rPr>
        <w:t xml:space="preserve">     采购标的及数量（台/套</w:t>
      </w:r>
      <w:r>
        <w:rPr>
          <w:szCs w:val="21"/>
          <w:lang w:val="en"/>
        </w:rPr>
        <w:t xml:space="preserve">/个/架/组等</w:t>
      </w:r>
      <w:r>
        <w:rPr>
          <w:szCs w:val="21"/>
        </w:rPr>
        <w:t xml:space="preserve">）：</w:t>
      </w:r>
      <w:r>
        <w:rPr>
          <w:szCs w:val="21"/>
          <w:u w:val="single"/>
        </w:rPr>
        <w:t xml:space="preserve">                       </w:t>
      </w:r>
      <w:r>
        <w:rPr>
          <w:szCs w:val="21"/>
        </w:rPr>
        <w:t xml:space="preserve">            </w:t>
      </w:r>
      <w:r>
        <w:rPr>
          <w:szCs w:val="21"/>
          <w:u w:val="single"/>
        </w:rPr>
        <w:t xml:space="preserve">                  </w:t>
      </w:r>
      <w:r>
        <w:rPr>
          <w:szCs w:val="21"/>
        </w:rPr>
        <w:t xml:space="preserve"> </w:t>
      </w:r>
      <w:r/>
    </w:p>
    <w:p>
      <w:pPr>
        <w:ind w:firstLine="420"/>
        <w:spacing w:line="400" w:lineRule="exact"/>
        <w:rPr>
          <w:szCs w:val="21"/>
          <w:lang w:val="en"/>
        </w:rPr>
      </w:pPr>
      <w:r>
        <w:rPr>
          <w:szCs w:val="21"/>
        </w:rPr>
        <w:t xml:space="preserve">     品牌：</w:t>
      </w:r>
      <w:r>
        <w:rPr>
          <w:szCs w:val="21"/>
          <w:u w:val="single"/>
        </w:rPr>
        <w:t xml:space="preserve">      </w:t>
      </w:r>
      <w:r>
        <w:rPr>
          <w:szCs w:val="21"/>
          <w:u w:val="single"/>
          <w:lang w:val="en"/>
        </w:rPr>
        <w:t xml:space="preserve">   </w:t>
      </w:r>
      <w:r>
        <w:rPr>
          <w:szCs w:val="21"/>
          <w:u w:val="single"/>
        </w:rPr>
        <w:t xml:space="preserve">    </w:t>
      </w:r>
      <w:r>
        <w:rPr>
          <w:szCs w:val="21"/>
          <w:u w:val="single"/>
          <w:lang w:val="en"/>
        </w:rPr>
        <w:t xml:space="preserve"> </w:t>
      </w:r>
      <w:r>
        <w:rPr>
          <w:szCs w:val="21"/>
          <w:u w:val="single"/>
        </w:rPr>
        <w:t xml:space="preserve"> </w:t>
      </w:r>
      <w:r>
        <w:rPr>
          <w:szCs w:val="21"/>
          <w:lang w:val="en"/>
        </w:rPr>
        <w:t xml:space="preserve">     </w:t>
      </w:r>
      <w:r>
        <w:rPr>
          <w:szCs w:val="21"/>
        </w:rPr>
        <w:t xml:space="preserve">规格型号：</w:t>
      </w:r>
      <w:r>
        <w:rPr>
          <w:szCs w:val="21"/>
          <w:u w:val="single"/>
        </w:rPr>
        <w:t xml:space="preserve">   </w:t>
      </w:r>
      <w:r>
        <w:rPr>
          <w:szCs w:val="21"/>
          <w:u w:val="single"/>
          <w:lang w:val="en"/>
        </w:rPr>
        <w:t xml:space="preserve">  </w:t>
      </w:r>
      <w:r>
        <w:rPr>
          <w:szCs w:val="21"/>
          <w:u w:val="single"/>
        </w:rPr>
        <w:t xml:space="preserve">       </w:t>
      </w:r>
      <w:r>
        <w:rPr>
          <w:szCs w:val="21"/>
          <w:u w:val="single"/>
          <w:lang w:val="en"/>
        </w:rPr>
        <w:t xml:space="preserve">   </w:t>
      </w:r>
      <w:r/>
    </w:p>
    <w:p>
      <w:pPr>
        <w:ind w:firstLine="945"/>
        <w:spacing w:line="400" w:lineRule="exact"/>
        <w:rPr>
          <w:szCs w:val="21"/>
          <w:u w:val="single"/>
        </w:rPr>
      </w:pPr>
      <w:r>
        <w:rPr>
          <w:szCs w:val="21"/>
        </w:rPr>
        <w:t xml:space="preserve">采购标的的技术要求、商务要求具体见附件。</w:t>
      </w:r>
      <w:r/>
    </w:p>
    <w:p>
      <w:pPr>
        <w:ind w:firstLine="945"/>
        <w:spacing w:line="400" w:lineRule="exact"/>
        <w:rPr>
          <w:szCs w:val="21"/>
        </w:rPr>
      </w:pPr>
      <w:r>
        <w:rPr>
          <w:szCs w:val="21"/>
        </w:rPr>
        <w:t xml:space="preserve">①涉及信息类产品，请填写该产品关键部件的品牌、型号：</w:t>
      </w:r>
      <w:r/>
    </w:p>
    <w:p>
      <w:pPr>
        <w:ind w:firstLine="420"/>
        <w:spacing w:line="400" w:lineRule="exact"/>
        <w:rPr>
          <w:szCs w:val="21"/>
          <w:u w:val="single"/>
        </w:rPr>
      </w:pPr>
      <w:r>
        <w:rPr>
          <w:szCs w:val="21"/>
        </w:rPr>
        <w:t xml:space="preserve">     标的名称：</w:t>
      </w:r>
      <w:r>
        <w:rPr>
          <w:szCs w:val="21"/>
          <w:u w:val="single"/>
        </w:rPr>
        <w:t xml:space="preserve">      </w:t>
      </w:r>
      <w:r>
        <w:rPr>
          <w:szCs w:val="21"/>
          <w:u w:val="single"/>
          <w:lang w:val="en"/>
        </w:rPr>
        <w:t xml:space="preserve">               </w:t>
      </w:r>
      <w:r>
        <w:rPr>
          <w:szCs w:val="21"/>
          <w:u w:val="single"/>
        </w:rPr>
        <w:t xml:space="preserve">    </w:t>
      </w:r>
      <w:r/>
    </w:p>
    <w:p>
      <w:pPr>
        <w:ind w:firstLine="420"/>
        <w:spacing w:line="400" w:lineRule="exact"/>
        <w:rPr>
          <w:szCs w:val="21"/>
        </w:rPr>
      </w:pPr>
      <w:r>
        <w:rPr>
          <w:szCs w:val="21"/>
        </w:rPr>
        <w:t xml:space="preserve">     关键部件：</w:t>
      </w:r>
      <w:r>
        <w:rPr>
          <w:szCs w:val="21"/>
          <w:u w:val="single"/>
        </w:rPr>
        <w:t xml:space="preserve">          </w:t>
      </w:r>
      <w:r>
        <w:rPr>
          <w:szCs w:val="21"/>
        </w:rPr>
        <w:t xml:space="preserve"> </w:t>
      </w:r>
      <w:r>
        <w:rPr>
          <w:szCs w:val="21"/>
        </w:rPr>
        <w:t xml:space="preserve">品牌：</w:t>
      </w:r>
      <w:r>
        <w:rPr>
          <w:szCs w:val="21"/>
          <w:u w:val="single"/>
        </w:rPr>
        <w:t xml:space="preserve">        </w:t>
      </w:r>
      <w:r>
        <w:rPr>
          <w:szCs w:val="21"/>
        </w:rPr>
        <w:t xml:space="preserve"> 型号：</w:t>
      </w:r>
      <w:r>
        <w:rPr>
          <w:szCs w:val="21"/>
          <w:u w:val="single"/>
        </w:rPr>
        <w:t xml:space="preserve">       </w:t>
      </w:r>
      <w:r>
        <w:rPr>
          <w:szCs w:val="21"/>
        </w:rPr>
        <w:t xml:space="preserve"> </w:t>
      </w:r>
      <w:r/>
    </w:p>
    <w:p>
      <w:pPr>
        <w:pStyle w:val="1202"/>
        <w:ind w:firstLine="420"/>
        <w:rPr>
          <w:rFonts w:ascii="Times New Roman" w:hAnsi="Times New Roman" w:eastAsia="宋体" w:cs="Times New Roman"/>
          <w:sz w:val="21"/>
        </w:rPr>
      </w:pPr>
      <w:r>
        <w:rPr>
          <w:rFonts w:ascii="Times New Roman" w:hAnsi="Times New Roman" w:eastAsia="宋体" w:cs="Times New Roman"/>
          <w:sz w:val="21"/>
        </w:rPr>
        <w:t xml:space="preserve">     </w:t>
      </w:r>
      <w:r>
        <w:rPr>
          <w:rFonts w:ascii="Times New Roman" w:hAnsi="Times New Roman" w:eastAsia="宋体" w:cs="Times New Roman"/>
          <w:sz w:val="21"/>
        </w:rPr>
        <w:t xml:space="preserve">关键部件</w:t>
      </w:r>
      <w:r>
        <w:rPr>
          <w:rFonts w:ascii="Times New Roman" w:hAnsi="Times New Roman" w:eastAsia="宋体" w:cs="Times New Roman"/>
          <w:sz w:val="21"/>
        </w:rPr>
        <w:t xml:space="preserve">：</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品牌：</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型号：</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w:t>
      </w:r>
      <w:r/>
    </w:p>
    <w:p>
      <w:pPr>
        <w:pStyle w:val="1202"/>
        <w:ind w:firstLine="420"/>
        <w:rPr>
          <w:rFonts w:ascii="Times New Roman" w:hAnsi="Times New Roman" w:eastAsia="宋体" w:cs="Times New Roman"/>
          <w:sz w:val="21"/>
        </w:rPr>
      </w:pPr>
      <w:r>
        <w:rPr>
          <w:rFonts w:ascii="Times New Roman" w:hAnsi="Times New Roman" w:eastAsia="宋体" w:cs="Times New Roman"/>
          <w:sz w:val="21"/>
        </w:rPr>
        <w:t xml:space="preserve">     关键部件：</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品牌：</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型号：</w:t>
      </w:r>
      <w:r>
        <w:rPr>
          <w:rFonts w:ascii="Times New Roman" w:hAnsi="Times New Roman" w:eastAsia="宋体" w:cs="Times New Roman"/>
          <w:sz w:val="21"/>
          <w:u w:val="single"/>
        </w:rPr>
        <w:t xml:space="preserve">       </w:t>
      </w:r>
      <w:r/>
    </w:p>
    <w:p>
      <w:pPr>
        <w:pStyle w:val="1202"/>
        <w:ind w:firstLine="0"/>
        <w:rPr>
          <w:rFonts w:ascii="Times New Roman" w:hAnsi="Times New Roman" w:eastAsia="宋体" w:cs="Times New Roman"/>
          <w:sz w:val="21"/>
        </w:rPr>
      </w:pPr>
      <w:r>
        <w:rPr>
          <w:rFonts w:ascii="Times New Roman" w:hAnsi="Times New Roman" w:eastAsia="宋体" w:cs="Times New Roman"/>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202"/>
        <w:ind w:firstLine="0"/>
        <w:rPr>
          <w:rFonts w:ascii="Times New Roman" w:hAnsi="Times New Roman" w:eastAsia="宋体" w:cs="Times New Roman"/>
          <w:sz w:val="21"/>
        </w:rPr>
      </w:pPr>
      <w:r>
        <w:rPr>
          <w:rFonts w:ascii="Times New Roman" w:hAnsi="Times New Roman" w:eastAsia="宋体" w:cs="Times New Roman"/>
          <w:sz w:val="21"/>
        </w:rPr>
        <w:t xml:space="preserve">         ②涉及车辆采购，请填写是否属于新能源汽车：</w:t>
      </w:r>
      <w:r/>
    </w:p>
    <w:p>
      <w:pPr>
        <w:pStyle w:val="1202"/>
        <w:ind w:firstLine="0"/>
        <w:rPr>
          <w:rFonts w:ascii="Times New Roman" w:hAnsi="Times New Roman" w:cs="Times New Roman" w:eastAsiaTheme="minorEastAsia"/>
          <w:sz w:val="21"/>
        </w:rPr>
      </w:pPr>
      <w:r>
        <w:rPr>
          <w:rFonts w:ascii="Times New Roman" w:hAnsi="Times New Roman" w:cs="Times New Roman" w:eastAsiaTheme="minorEastAsia"/>
          <w:sz w:val="21"/>
        </w:rPr>
        <w:t xml:space="preserve">         </w:t>
      </w:r>
      <w:r>
        <w:rPr>
          <w:rFonts w:ascii="Wingdings" w:hAnsi="Wingdings" w:eastAsia="Wingdings" w:cs="Wingdings"/>
          <w:sz w:val="21"/>
        </w:rPr>
        <w:t xml:space="preserve">¨</w:t>
      </w:r>
      <w:r>
        <w:rPr>
          <w:rFonts w:ascii="Times New Roman" w:hAnsi="Times New Roman" w:cs="Times New Roman" w:eastAsiaTheme="minorEastAsia"/>
          <w:sz w:val="21"/>
        </w:rPr>
        <w:t xml:space="preserve">是，《政府采购品目分类目录》底级品目名称：</w:t>
      </w:r>
      <w:r>
        <w:rPr>
          <w:rFonts w:ascii="Times New Roman" w:hAnsi="Times New Roman" w:eastAsia="宋体" w:cs="Times New Roman"/>
          <w:sz w:val="21"/>
          <w:u w:val="single"/>
        </w:rPr>
        <w:t xml:space="preserve">     </w:t>
      </w:r>
      <w:r>
        <w:rPr>
          <w:rFonts w:ascii="Times New Roman" w:hAnsi="Times New Roman" w:cs="Times New Roman" w:eastAsiaTheme="minorEastAsia"/>
          <w:sz w:val="21"/>
        </w:rPr>
        <w:t xml:space="preserve"> 数量：</w:t>
      </w:r>
      <w:r>
        <w:rPr>
          <w:rFonts w:ascii="Times New Roman" w:hAnsi="Times New Roman" w:cs="Times New Roman" w:eastAsiaTheme="minorEastAsia"/>
          <w:sz w:val="21"/>
          <w:u w:val="single"/>
        </w:rPr>
        <w:t xml:space="preserve"> </w:t>
      </w:r>
      <w:r>
        <w:rPr>
          <w:rFonts w:ascii="Times New Roman" w:hAnsi="Times New Roman" w:eastAsia="宋体" w:cs="Times New Roman"/>
          <w:sz w:val="21"/>
          <w:u w:val="single"/>
        </w:rPr>
        <w:t xml:space="preserve">   </w:t>
      </w:r>
      <w:r>
        <w:rPr>
          <w:rFonts w:ascii="Times New Roman" w:hAnsi="Times New Roman" w:cs="Times New Roman" w:eastAsiaTheme="minorEastAsia"/>
          <w:sz w:val="21"/>
        </w:rPr>
        <w:t xml:space="preserve"> 金额：</w:t>
      </w:r>
      <w:r>
        <w:rPr>
          <w:rFonts w:ascii="Times New Roman" w:hAnsi="Times New Roman" w:eastAsia="宋体" w:cs="Times New Roman"/>
          <w:sz w:val="21"/>
          <w:u w:val="single"/>
        </w:rPr>
        <w:t xml:space="preserve">     </w:t>
      </w:r>
      <w:r>
        <w:rPr>
          <w:rFonts w:ascii="Times New Roman" w:hAnsi="Times New Roman" w:cs="Times New Roman" w:eastAsiaTheme="minorEastAsia"/>
          <w:sz w:val="21"/>
        </w:rPr>
        <w:t xml:space="preserve"> </w:t>
      </w:r>
      <w:r/>
    </w:p>
    <w:p>
      <w:pPr>
        <w:pStyle w:val="1202"/>
        <w:ind w:firstLine="0"/>
        <w:rPr>
          <w:rFonts w:ascii="Times New Roman" w:hAnsi="Times New Roman" w:cs="Times New Roman" w:eastAsiaTheme="minorEastAsia"/>
          <w:sz w:val="21"/>
        </w:rPr>
      </w:pPr>
      <w:r>
        <w:rPr>
          <w:rFonts w:ascii="Times New Roman" w:hAnsi="Times New Roman" w:cs="Times New Roman" w:eastAsiaTheme="minorEastAsia"/>
          <w:sz w:val="21"/>
        </w:rPr>
        <w:t xml:space="preserve">         </w:t>
      </w:r>
      <w:r>
        <w:rPr>
          <w:rFonts w:ascii="Wingdings" w:hAnsi="Wingdings" w:eastAsia="Wingdings" w:cs="Wingdings"/>
          <w:sz w:val="21"/>
        </w:rPr>
        <w:t xml:space="preserve">¨</w:t>
      </w:r>
      <w:r>
        <w:rPr>
          <w:rFonts w:ascii="Times New Roman" w:hAnsi="Times New Roman" w:cs="Times New Roman" w:eastAsiaTheme="minorEastAsia"/>
          <w:sz w:val="21"/>
        </w:rPr>
        <w:t xml:space="preserve">否</w:t>
      </w:r>
      <w:r/>
    </w:p>
    <w:p>
      <w:pPr>
        <w:pStyle w:val="1202"/>
        <w:ind w:firstLine="0"/>
        <w:rPr>
          <w:rFonts w:ascii="Times New Roman" w:hAnsi="Times New Roman" w:cs="Times New Roman" w:eastAsiaTheme="minorEastAsia"/>
          <w:sz w:val="21"/>
        </w:rPr>
      </w:pPr>
      <w:r>
        <w:rPr>
          <w:rFonts w:ascii="Times New Roman" w:hAnsi="Times New Roman" w:cs="Times New Roman" w:eastAsiaTheme="minorEastAsia"/>
          <w:sz w:val="21"/>
        </w:rPr>
        <w:t xml:space="preserve">    （</w:t>
      </w:r>
      <w:r>
        <w:rPr>
          <w:rFonts w:ascii="Times New Roman" w:hAnsi="Times New Roman" w:cs="Times New Roman" w:eastAsiaTheme="minorEastAsia"/>
          <w:sz w:val="21"/>
          <w:lang w:val="en"/>
        </w:rPr>
        <w:t xml:space="preserve">4</w:t>
      </w:r>
      <w:r>
        <w:rPr>
          <w:rFonts w:ascii="Times New Roman" w:hAnsi="Times New Roman" w:cs="Times New Roman" w:eastAsiaTheme="minorEastAsia"/>
          <w:sz w:val="21"/>
        </w:rPr>
        <w:t xml:space="preserve">）政府采购组织形式：</w:t>
      </w:r>
      <w:r>
        <w:rPr>
          <w:rFonts w:ascii="Times New Roman" w:hAnsi="Times New Roman" w:cs="Times New Roman" w:eastAsiaTheme="minorEastAsia"/>
          <w:color w:val="000000" w:themeColor="text1"/>
          <w14:textFill>
            <w14:solidFill>
              <w14:schemeClr w14:val="tx1"/>
            </w14:solidFill>
          </w14:textFill>
        </w:rPr>
        <w:t xml:space="preserve">☑</w:t>
      </w:r>
      <w:r>
        <w:rPr>
          <w:rFonts w:ascii="Times New Roman" w:hAnsi="Times New Roman" w:cs="Times New Roman" w:eastAsiaTheme="minorEastAsia"/>
          <w:sz w:val="21"/>
        </w:rPr>
        <w:t xml:space="preserve">政府集中采购  </w:t>
      </w:r>
      <w:r>
        <w:rPr>
          <w:rFonts w:ascii="Wingdings" w:hAnsi="Wingdings" w:eastAsia="Wingdings" w:cs="Wingdings"/>
          <w:sz w:val="21"/>
        </w:rPr>
        <w:t xml:space="preserve">¨</w:t>
      </w:r>
      <w:r>
        <w:rPr>
          <w:rFonts w:ascii="Times New Roman" w:hAnsi="Times New Roman" w:cs="Times New Roman" w:eastAsiaTheme="minorEastAsia"/>
          <w:sz w:val="21"/>
        </w:rPr>
        <w:t xml:space="preserve">部门集中采购  </w:t>
      </w:r>
      <w:r>
        <w:rPr>
          <w:rFonts w:ascii="Wingdings" w:hAnsi="Wingdings" w:eastAsia="Wingdings" w:cs="Wingdings"/>
          <w:sz w:val="21"/>
        </w:rPr>
        <w:t xml:space="preserve">¨</w:t>
      </w:r>
      <w:r>
        <w:rPr>
          <w:rFonts w:ascii="Times New Roman" w:hAnsi="Times New Roman" w:cs="Times New Roman" w:eastAsiaTheme="minorEastAsia"/>
          <w:sz w:val="21"/>
        </w:rPr>
        <w:t xml:space="preserve">分散采购</w:t>
      </w:r>
      <w:r/>
    </w:p>
    <w:p>
      <w:pPr>
        <w:pStyle w:val="1202"/>
        <w:ind w:firstLine="420"/>
        <w:rPr>
          <w:rFonts w:ascii="Times New Roman" w:hAnsi="Times New Roman" w:cs="Times New Roman" w:eastAsiaTheme="minorEastAsia"/>
          <w:sz w:val="21"/>
        </w:rPr>
      </w:pPr>
      <w:r>
        <w:rPr>
          <w:rFonts w:ascii="Times New Roman" w:hAnsi="Times New Roman" w:cs="Times New Roman" w:eastAsiaTheme="minorEastAsia"/>
          <w:sz w:val="21"/>
        </w:rPr>
        <w:t xml:space="preserve">（</w:t>
      </w:r>
      <w:r>
        <w:rPr>
          <w:rFonts w:ascii="Times New Roman" w:hAnsi="Times New Roman" w:cs="Times New Roman" w:eastAsiaTheme="minorEastAsia"/>
          <w:sz w:val="21"/>
          <w:lang w:val="en"/>
        </w:rPr>
        <w:t xml:space="preserve">5</w:t>
      </w:r>
      <w:r>
        <w:rPr>
          <w:rFonts w:ascii="Times New Roman" w:hAnsi="Times New Roman" w:cs="Times New Roman" w:eastAsiaTheme="minorEastAsia"/>
          <w:sz w:val="21"/>
        </w:rPr>
        <w:t xml:space="preserve">）政府采购方式：</w:t>
      </w:r>
      <w:r>
        <w:rPr>
          <w:rFonts w:ascii="Wingdings" w:hAnsi="Wingdings" w:eastAsia="Wingdings" w:cs="Wingdings"/>
          <w:sz w:val="21"/>
        </w:rPr>
        <w:t xml:space="preserve">¨</w:t>
      </w:r>
      <w:r>
        <w:rPr>
          <w:rFonts w:ascii="Times New Roman" w:hAnsi="Times New Roman" w:cs="Times New Roman" w:eastAsiaTheme="minorEastAsia"/>
          <w:sz w:val="21"/>
        </w:rPr>
        <w:t xml:space="preserve">公开招标 </w:t>
      </w:r>
      <w:r>
        <w:rPr>
          <w:rFonts w:ascii="Wingdings" w:hAnsi="Wingdings" w:eastAsia="Wingdings" w:cs="Wingdings"/>
          <w:sz w:val="21"/>
        </w:rPr>
        <w:t xml:space="preserve">¨</w:t>
      </w:r>
      <w:r>
        <w:rPr>
          <w:rFonts w:ascii="Times New Roman" w:hAnsi="Times New Roman" w:cs="Times New Roman" w:eastAsiaTheme="minorEastAsia"/>
          <w:sz w:val="21"/>
        </w:rPr>
        <w:t xml:space="preserve">邀请招标 </w:t>
      </w:r>
      <w:r>
        <w:rPr>
          <w:rFonts w:ascii="Times New Roman" w:hAnsi="Times New Roman" w:cs="Times New Roman" w:eastAsiaTheme="minorEastAsia"/>
          <w:color w:val="000000" w:themeColor="text1"/>
          <w14:textFill>
            <w14:solidFill>
              <w14:schemeClr w14:val="tx1"/>
            </w14:solidFill>
          </w14:textFill>
        </w:rPr>
        <w:t xml:space="preserve">☑</w:t>
      </w:r>
      <w:r>
        <w:rPr>
          <w:rFonts w:ascii="Times New Roman" w:hAnsi="Times New Roman" w:cs="Times New Roman" w:eastAsiaTheme="minorEastAsia"/>
          <w:sz w:val="21"/>
        </w:rPr>
        <w:t xml:space="preserve">竞争性谈判 </w:t>
      </w:r>
      <w:r>
        <w:rPr>
          <w:rFonts w:ascii="Wingdings" w:hAnsi="Wingdings" w:eastAsia="Wingdings" w:cs="Wingdings"/>
          <w:sz w:val="21"/>
        </w:rPr>
        <w:t xml:space="preserve">¨</w:t>
      </w:r>
      <w:r>
        <w:rPr>
          <w:rFonts w:ascii="Times New Roman" w:hAnsi="Times New Roman" w:cs="Times New Roman" w:eastAsiaTheme="minorEastAsia"/>
          <w:sz w:val="21"/>
        </w:rPr>
        <w:t xml:space="preserve">竞争性谈判</w:t>
      </w:r>
      <w:r/>
    </w:p>
    <w:p>
      <w:pPr>
        <w:pStyle w:val="1202"/>
        <w:ind w:firstLine="420"/>
        <w:rPr>
          <w:rFonts w:ascii="Times New Roman" w:hAnsi="Times New Roman" w:eastAsia="宋体" w:cs="Times New Roman"/>
          <w:sz w:val="21"/>
          <w:u w:val="single"/>
        </w:rPr>
      </w:pPr>
      <w:r>
        <w:rPr>
          <w:rFonts w:ascii="Times New Roman" w:hAnsi="Times New Roman" w:cs="Times New Roman"/>
        </w:rPr>
        <w:t xml:space="preserve">                  </w:t>
      </w:r>
      <w:r>
        <w:rPr>
          <w:rFonts w:ascii="Wingdings" w:hAnsi="Wingdings" w:eastAsia="Wingdings" w:cs="Wingdings"/>
          <w:sz w:val="21"/>
        </w:rPr>
        <w:t xml:space="preserve">¨</w:t>
      </w:r>
      <w:r>
        <w:rPr>
          <w:rFonts w:ascii="Times New Roman" w:hAnsi="Times New Roman" w:cs="Times New Roman" w:eastAsiaTheme="minorEastAsia"/>
          <w:sz w:val="21"/>
        </w:rPr>
        <w:t xml:space="preserve">询价 </w:t>
      </w:r>
      <w:r>
        <w:rPr>
          <w:rFonts w:ascii="Wingdings" w:hAnsi="Wingdings" w:eastAsia="Wingdings" w:cs="Wingdings"/>
          <w:sz w:val="21"/>
        </w:rPr>
        <w:t xml:space="preserve">¨</w:t>
      </w:r>
      <w:r>
        <w:rPr>
          <w:rFonts w:ascii="Times New Roman" w:hAnsi="Times New Roman" w:cs="Times New Roman" w:eastAsiaTheme="minorEastAsia"/>
          <w:sz w:val="21"/>
        </w:rPr>
        <w:t xml:space="preserve">单一来源 </w:t>
      </w:r>
      <w:r>
        <w:rPr>
          <w:rFonts w:ascii="Wingdings" w:hAnsi="Wingdings" w:eastAsia="Wingdings" w:cs="Wingdings"/>
          <w:sz w:val="21"/>
        </w:rPr>
        <w:t xml:space="preserve">¨</w:t>
      </w:r>
      <w:r>
        <w:rPr>
          <w:rFonts w:ascii="Times New Roman" w:hAnsi="Times New Roman" w:cs="Times New Roman" w:eastAsiaTheme="minorEastAsia"/>
          <w:sz w:val="21"/>
        </w:rPr>
        <w:t xml:space="preserve">框架协议 </w:t>
      </w:r>
      <w:r>
        <w:rPr>
          <w:rFonts w:ascii="Wingdings" w:hAnsi="Wingdings" w:eastAsia="Wingdings" w:cs="Wingdings"/>
          <w:sz w:val="21"/>
        </w:rPr>
        <w:t xml:space="preserve">¨</w:t>
      </w:r>
      <w:r>
        <w:rPr>
          <w:rFonts w:ascii="Times New Roman" w:hAnsi="Times New Roman" w:cs="Times New Roman" w:eastAsiaTheme="minorEastAsia"/>
          <w:sz w:val="21"/>
        </w:rPr>
        <w:t xml:space="preserve">其他：</w:t>
      </w:r>
      <w:r>
        <w:rPr>
          <w:rFonts w:ascii="Times New Roman" w:hAnsi="Times New Roman" w:eastAsia="宋体" w:cs="Times New Roman"/>
          <w:sz w:val="21"/>
          <w:u w:val="single"/>
        </w:rPr>
        <w:t xml:space="preserve">          </w:t>
      </w:r>
      <w:r/>
    </w:p>
    <w:p>
      <w:pPr>
        <w:pStyle w:val="1202"/>
        <w:ind w:firstLine="420"/>
        <w:rPr>
          <w:rFonts w:ascii="Times New Roman" w:hAnsi="Times New Roman" w:eastAsia="宋体" w:cs="Times New Roman"/>
          <w:sz w:val="21"/>
        </w:rPr>
      </w:pPr>
      <w:r>
        <w:rPr>
          <w:rFonts w:ascii="Times New Roman" w:hAnsi="Times New Roman" w:eastAsia="宋体" w:cs="Times New Roman"/>
          <w:sz w:val="21"/>
        </w:rPr>
        <w:t xml:space="preserve">（注：在框架协议采购的第二阶段，可选择使用该合同文本）</w:t>
      </w:r>
      <w:r/>
    </w:p>
    <w:p>
      <w:pPr>
        <w:pStyle w:val="1202"/>
        <w:ind w:firstLine="220"/>
        <w:rPr>
          <w:rFonts w:ascii="Times New Roman" w:hAnsi="Times New Roman" w:eastAsia="宋体" w:cs="Times New Roman"/>
          <w:sz w:val="21"/>
        </w:rPr>
      </w:pPr>
      <w:r>
        <w:rPr>
          <w:rFonts w:ascii="Times New Roman" w:hAnsi="Times New Roman" w:cs="Times New Roman"/>
        </w:rPr>
        <w:t xml:space="preserve"> （</w:t>
      </w:r>
      <w:r>
        <w:rPr>
          <w:rFonts w:ascii="Times New Roman" w:hAnsi="Times New Roman" w:cs="Times New Roman"/>
          <w:lang w:val="en"/>
        </w:rPr>
        <w:t xml:space="preserve">6</w:t>
      </w:r>
      <w:r>
        <w:rPr>
          <w:rFonts w:ascii="Times New Roman" w:hAnsi="Times New Roman" w:cs="Times New Roman"/>
        </w:rPr>
        <w:t xml:space="preserve">）</w:t>
      </w:r>
      <w:r>
        <w:rPr>
          <w:rFonts w:ascii="Times New Roman" w:hAnsi="Times New Roman" w:eastAsia="宋体" w:cs="Times New Roman"/>
          <w:sz w:val="21"/>
        </w:rPr>
        <w:t xml:space="preserve">中标（成交）采购标的制造商是否为中小企业：</w:t>
      </w:r>
      <w:r>
        <w:rPr>
          <w:rFonts w:ascii="Wingdings" w:hAnsi="Wingdings" w:eastAsia="Wingdings" w:cs="Wingdings"/>
          <w:sz w:val="21"/>
        </w:rPr>
        <w:t xml:space="preserve">¨</w:t>
      </w:r>
      <w:r>
        <w:rPr>
          <w:rFonts w:ascii="Times New Roman" w:hAnsi="Times New Roman" w:eastAsia="宋体" w:cs="Times New Roman"/>
          <w:sz w:val="21"/>
        </w:rPr>
        <w:t xml:space="preserve">是  </w:t>
      </w:r>
      <w:r>
        <w:rPr>
          <w:rFonts w:ascii="Wingdings" w:hAnsi="Wingdings" w:eastAsia="Wingdings" w:cs="Wingdings"/>
          <w:sz w:val="21"/>
        </w:rPr>
        <w:t xml:space="preserve">¨</w:t>
      </w:r>
      <w:r>
        <w:rPr>
          <w:rFonts w:ascii="Times New Roman" w:hAnsi="Times New Roman" w:eastAsia="宋体" w:cs="Times New Roman"/>
          <w:sz w:val="21"/>
        </w:rPr>
        <w:t xml:space="preserve">否</w:t>
      </w:r>
      <w:r/>
    </w:p>
    <w:p>
      <w:pPr>
        <w:spacing w:line="400" w:lineRule="exact"/>
        <w:rPr>
          <w:iCs/>
          <w:szCs w:val="21"/>
        </w:rPr>
      </w:pPr>
      <w:r>
        <w:rPr>
          <w:szCs w:val="21"/>
        </w:rPr>
        <w:t xml:space="preserve">         本合同是否为专门面向中小企业的采购合同（中小企业预留合同）：</w:t>
      </w:r>
      <w:r>
        <w:rPr>
          <w:rFonts w:ascii="Wingdings" w:hAnsi="Wingdings" w:eastAsia="Wingdings" w:cs="Wingdings"/>
          <w:iCs/>
          <w:szCs w:val="21"/>
        </w:rPr>
        <w:t xml:space="preserve">¨</w:t>
      </w:r>
      <w:r>
        <w:rPr>
          <w:iCs/>
          <w:szCs w:val="21"/>
        </w:rPr>
        <w:t xml:space="preserve">是  </w:t>
      </w:r>
      <w:r>
        <w:rPr>
          <w:rFonts w:eastAsiaTheme="minorEastAsia"/>
          <w:color w:val="000000" w:themeColor="text1"/>
          <w14:textFill>
            <w14:solidFill>
              <w14:schemeClr w14:val="tx1"/>
            </w14:solidFill>
          </w14:textFill>
        </w:rPr>
        <w:t xml:space="preserve">☑</w:t>
      </w:r>
      <w:r>
        <w:rPr>
          <w:iCs/>
          <w:szCs w:val="21"/>
        </w:rPr>
        <w:t xml:space="preserve">否</w:t>
      </w:r>
      <w:r/>
    </w:p>
    <w:p>
      <w:pPr>
        <w:spacing w:line="400" w:lineRule="exact"/>
        <w:rPr>
          <w:iCs/>
          <w:szCs w:val="21"/>
        </w:rPr>
      </w:pPr>
      <w:r>
        <w:t xml:space="preserve">         若本项目不专门面向中小企业采购，是否给予小微企业评审优惠：</w:t>
      </w:r>
      <w:r>
        <w:rPr>
          <w:rFonts w:ascii="Wingdings" w:hAnsi="Wingdings" w:eastAsia="Wingdings" w:cs="Wingdings"/>
          <w:iCs/>
          <w:szCs w:val="21"/>
        </w:rPr>
        <w:t xml:space="preserve">¨</w:t>
      </w:r>
      <w:r>
        <w:rPr>
          <w:iCs/>
          <w:szCs w:val="21"/>
        </w:rPr>
        <w:t xml:space="preserve">是   </w:t>
      </w:r>
      <w:r>
        <w:rPr>
          <w:rFonts w:ascii="Wingdings" w:hAnsi="Wingdings" w:eastAsia="Wingdings" w:cs="Wingdings"/>
          <w:iCs/>
          <w:szCs w:val="21"/>
        </w:rPr>
        <w:t xml:space="preserve">¨</w:t>
      </w:r>
      <w:r>
        <w:rPr>
          <w:iCs/>
          <w:szCs w:val="21"/>
        </w:rPr>
        <w:t xml:space="preserve">否</w:t>
      </w:r>
      <w:r/>
    </w:p>
    <w:p>
      <w:pPr>
        <w:spacing w:line="400" w:lineRule="exact"/>
        <w:rPr>
          <w:iCs/>
          <w:szCs w:val="21"/>
        </w:rPr>
      </w:pPr>
      <w:r>
        <w:t xml:space="preserve">         中标（成交）采购标的制造商是否为残疾人福利性单位：</w:t>
      </w:r>
      <w:r>
        <w:rPr>
          <w:rFonts w:ascii="Wingdings" w:hAnsi="Wingdings" w:eastAsia="Wingdings" w:cs="Wingdings"/>
          <w:iCs/>
          <w:szCs w:val="21"/>
        </w:rPr>
        <w:t xml:space="preserve">¨</w:t>
      </w:r>
      <w:r>
        <w:rPr>
          <w:iCs/>
          <w:szCs w:val="21"/>
        </w:rPr>
        <w:t xml:space="preserve">是   </w:t>
      </w:r>
      <w:r>
        <w:rPr>
          <w:rFonts w:ascii="Wingdings" w:hAnsi="Wingdings" w:eastAsia="Wingdings" w:cs="Wingdings"/>
          <w:iCs/>
          <w:szCs w:val="21"/>
        </w:rPr>
        <w:t xml:space="preserve">¨</w:t>
      </w:r>
      <w:r>
        <w:rPr>
          <w:iCs/>
          <w:szCs w:val="21"/>
        </w:rPr>
        <w:t xml:space="preserve">否</w:t>
      </w:r>
      <w:r/>
    </w:p>
    <w:p>
      <w:pPr>
        <w:spacing w:line="400" w:lineRule="exact"/>
      </w:pPr>
      <w:r>
        <w:t xml:space="preserve">         中标（成交）采购标的制造商是否为监狱企业：</w:t>
      </w:r>
      <w:r>
        <w:rPr>
          <w:rFonts w:ascii="Wingdings" w:hAnsi="Wingdings" w:eastAsia="Wingdings" w:cs="Wingdings"/>
          <w:iCs/>
          <w:szCs w:val="21"/>
        </w:rPr>
        <w:t xml:space="preserve">¨</w:t>
      </w:r>
      <w:r>
        <w:rPr>
          <w:iCs/>
          <w:szCs w:val="21"/>
        </w:rPr>
        <w:t xml:space="preserve">是       </w:t>
      </w:r>
      <w:r>
        <w:rPr>
          <w:rFonts w:ascii="Wingdings" w:hAnsi="Wingdings" w:eastAsia="Wingdings" w:cs="Wingdings"/>
          <w:iCs/>
          <w:szCs w:val="21"/>
        </w:rPr>
        <w:t xml:space="preserve">¨</w:t>
      </w:r>
      <w:r>
        <w:rPr>
          <w:iCs/>
          <w:szCs w:val="21"/>
        </w:rPr>
        <w:t xml:space="preserve">否</w:t>
      </w:r>
      <w:r/>
    </w:p>
    <w:p>
      <w:pPr>
        <w:ind w:firstLine="420"/>
        <w:spacing w:line="400" w:lineRule="exact"/>
        <w:rPr>
          <w:szCs w:val="21"/>
        </w:rPr>
      </w:pPr>
      <w:r>
        <w:rPr>
          <w:szCs w:val="21"/>
        </w:rPr>
        <w:t xml:space="preserve">（</w:t>
      </w:r>
      <w:r>
        <w:rPr>
          <w:szCs w:val="21"/>
          <w:lang w:val="en"/>
        </w:rPr>
        <w:t xml:space="preserve">7</w:t>
      </w:r>
      <w:r>
        <w:rPr>
          <w:szCs w:val="21"/>
        </w:rPr>
        <w:t xml:space="preserve">）合同是否分包：</w:t>
      </w:r>
      <w:r>
        <w:rPr>
          <w:rFonts w:ascii="Wingdings" w:hAnsi="Wingdings" w:eastAsia="Wingdings" w:cs="Wingdings"/>
          <w:iCs/>
          <w:szCs w:val="21"/>
        </w:rPr>
        <w:t xml:space="preserve">¨</w:t>
      </w:r>
      <w:r>
        <w:rPr>
          <w:iCs/>
          <w:szCs w:val="21"/>
        </w:rPr>
        <w:t xml:space="preserve">是       </w:t>
      </w:r>
      <w:r>
        <w:rPr>
          <w:rFonts w:eastAsiaTheme="minorEastAsia"/>
          <w:color w:val="000000" w:themeColor="text1"/>
          <w:szCs w:val="21"/>
          <w14:textFill>
            <w14:solidFill>
              <w14:schemeClr w14:val="tx1"/>
            </w14:solidFill>
          </w14:textFill>
        </w:rPr>
        <w:t xml:space="preserve">☑</w:t>
      </w:r>
      <w:r>
        <w:rPr>
          <w:iCs/>
          <w:szCs w:val="21"/>
        </w:rPr>
        <w:t xml:space="preserve">否</w:t>
      </w:r>
      <w:r/>
    </w:p>
    <w:p>
      <w:pPr>
        <w:ind w:firstLine="840"/>
        <w:spacing w:line="400" w:lineRule="exact"/>
        <w:rPr>
          <w:szCs w:val="21"/>
          <w:u w:val="single"/>
        </w:rPr>
      </w:pPr>
      <w:r>
        <w:rPr>
          <w:szCs w:val="21"/>
        </w:rPr>
        <w:t xml:space="preserve"> 分包主要内容：</w:t>
      </w:r>
      <w:r>
        <w:rPr>
          <w:szCs w:val="21"/>
          <w:u w:val="single"/>
        </w:rPr>
        <w:t xml:space="preserve">          /                                  </w:t>
      </w:r>
      <w:r/>
    </w:p>
    <w:p>
      <w:pPr>
        <w:ind w:firstLine="840"/>
        <w:spacing w:line="400" w:lineRule="exact"/>
        <w:rPr>
          <w:szCs w:val="21"/>
          <w:u w:val="single"/>
        </w:rPr>
      </w:pPr>
      <w:r>
        <w:rPr>
          <w:szCs w:val="21"/>
        </w:rPr>
        <w:t xml:space="preserve"> 分包供应商/制造商名称（如供应商和制造商不同，请分别填写）：</w:t>
      </w:r>
      <w:r>
        <w:rPr>
          <w:szCs w:val="21"/>
          <w:u w:val="single"/>
        </w:rPr>
        <w:t xml:space="preserve">    /                      </w:t>
      </w:r>
      <w:r/>
    </w:p>
    <w:p>
      <w:pPr>
        <w:ind w:firstLine="840"/>
        <w:spacing w:line="400" w:lineRule="exact"/>
        <w:rPr>
          <w:szCs w:val="21"/>
        </w:rPr>
      </w:pPr>
      <w:r>
        <w:rPr>
          <w:szCs w:val="21"/>
        </w:rPr>
        <w:t xml:space="preserve"> 分包供应商/制造商类型（如果供应商和制造商不同，只填写制造商类型）：</w:t>
      </w:r>
      <w:r/>
    </w:p>
    <w:p>
      <w:pPr>
        <w:ind w:firstLine="840"/>
        <w:spacing w:line="400" w:lineRule="exact"/>
        <w:rPr>
          <w:iCs/>
          <w:szCs w:val="21"/>
        </w:rPr>
      </w:pPr>
      <w:r>
        <w:rPr>
          <w:iCs/>
          <w:szCs w:val="21"/>
        </w:rPr>
        <w:t xml:space="preserve"> </w:t>
      </w:r>
      <w:r>
        <w:rPr>
          <w:rFonts w:ascii="Wingdings" w:hAnsi="Wingdings" w:eastAsia="Wingdings" w:cs="Wingdings"/>
          <w:iCs/>
          <w:szCs w:val="21"/>
        </w:rPr>
        <w:t xml:space="preserve">¨</w:t>
      </w:r>
      <w:r>
        <w:rPr>
          <w:iCs/>
          <w:szCs w:val="21"/>
        </w:rPr>
        <w:t xml:space="preserve">大型企业  </w:t>
      </w:r>
      <w:r>
        <w:rPr>
          <w:rFonts w:ascii="Wingdings" w:hAnsi="Wingdings" w:eastAsia="Wingdings" w:cs="Wingdings"/>
          <w:iCs/>
          <w:szCs w:val="21"/>
        </w:rPr>
        <w:t xml:space="preserve">¨</w:t>
      </w:r>
      <w:r>
        <w:rPr>
          <w:iCs/>
          <w:szCs w:val="21"/>
        </w:rPr>
        <w:t xml:space="preserve">中型企业  </w:t>
      </w:r>
      <w:r>
        <w:rPr>
          <w:rFonts w:ascii="Wingdings" w:hAnsi="Wingdings" w:eastAsia="Wingdings" w:cs="Wingdings"/>
          <w:iCs/>
          <w:szCs w:val="21"/>
        </w:rPr>
        <w:t xml:space="preserve">¨</w:t>
      </w:r>
      <w:r>
        <w:rPr>
          <w:iCs/>
          <w:szCs w:val="21"/>
        </w:rPr>
        <w:t xml:space="preserve">小微型企业  </w:t>
      </w:r>
      <w:r/>
    </w:p>
    <w:p>
      <w:pPr>
        <w:ind w:firstLine="840"/>
        <w:spacing w:line="400" w:lineRule="exact"/>
        <w:rPr>
          <w:rFonts w:eastAsia="华文楷体"/>
        </w:rPr>
      </w:pPr>
      <w:r>
        <w:rPr>
          <w:iCs/>
          <w:szCs w:val="21"/>
        </w:rPr>
        <w:t xml:space="preserve"> </w:t>
      </w:r>
      <w:r>
        <w:rPr>
          <w:rFonts w:ascii="Wingdings" w:hAnsi="Wingdings" w:eastAsia="Wingdings" w:cs="Wingdings"/>
          <w:iCs/>
          <w:szCs w:val="21"/>
        </w:rPr>
        <w:t xml:space="preserve">¨</w:t>
      </w:r>
      <w:r>
        <w:rPr>
          <w:iCs/>
          <w:szCs w:val="21"/>
        </w:rPr>
        <w:t xml:space="preserve">残疾人福利性单位 </w:t>
      </w:r>
      <w:r>
        <w:rPr>
          <w:rFonts w:ascii="Wingdings" w:hAnsi="Wingdings" w:eastAsia="Wingdings" w:cs="Wingdings"/>
          <w:iCs/>
          <w:szCs w:val="21"/>
        </w:rPr>
        <w:t xml:space="preserve">¨</w:t>
      </w:r>
      <w:r>
        <w:rPr>
          <w:iCs/>
          <w:szCs w:val="21"/>
        </w:rPr>
        <w:t xml:space="preserve">监狱企业 </w:t>
      </w:r>
      <w:r>
        <w:rPr>
          <w:rFonts w:ascii="Wingdings" w:hAnsi="Wingdings" w:eastAsia="Wingdings" w:cs="Wingdings"/>
          <w:iCs/>
          <w:szCs w:val="21"/>
        </w:rPr>
        <w:t xml:space="preserve">¨</w:t>
      </w:r>
      <w:r>
        <w:rPr>
          <w:iCs/>
          <w:szCs w:val="21"/>
        </w:rPr>
        <w:t xml:space="preserve">其他</w:t>
      </w:r>
      <w:r/>
    </w:p>
    <w:p>
      <w:pPr>
        <w:spacing w:line="400" w:lineRule="exact"/>
        <w:rPr>
          <w:iCs/>
          <w:szCs w:val="21"/>
        </w:rPr>
      </w:pPr>
      <w:r>
        <w:rPr>
          <w:szCs w:val="21"/>
        </w:rPr>
        <w:t xml:space="preserve">    （</w:t>
      </w:r>
      <w:r>
        <w:rPr>
          <w:szCs w:val="21"/>
          <w:lang w:val="en"/>
        </w:rPr>
        <w:t xml:space="preserve">8</w:t>
      </w:r>
      <w:r>
        <w:rPr>
          <w:szCs w:val="21"/>
        </w:rPr>
        <w:t xml:space="preserve">）中标（成交）供应商是否为外商投资企业：</w:t>
      </w:r>
      <w:r>
        <w:rPr>
          <w:rFonts w:ascii="Wingdings" w:hAnsi="Wingdings" w:eastAsia="Wingdings" w:cs="Wingdings"/>
          <w:iCs/>
          <w:szCs w:val="21"/>
        </w:rPr>
        <w:t xml:space="preserve">¨</w:t>
      </w:r>
      <w:r>
        <w:rPr>
          <w:iCs/>
          <w:szCs w:val="21"/>
        </w:rPr>
        <w:t xml:space="preserve">是       </w:t>
      </w:r>
      <w:r>
        <w:rPr>
          <w:rFonts w:ascii="Wingdings" w:hAnsi="Wingdings" w:eastAsia="Wingdings" w:cs="Wingdings"/>
          <w:iCs/>
          <w:szCs w:val="21"/>
        </w:rPr>
        <w:t xml:space="preserve">¨</w:t>
      </w:r>
      <w:r>
        <w:rPr>
          <w:iCs/>
          <w:szCs w:val="21"/>
        </w:rPr>
        <w:t xml:space="preserve">否</w:t>
      </w:r>
      <w:r/>
    </w:p>
    <w:p>
      <w:pPr>
        <w:pStyle w:val="1202"/>
        <w:ind w:firstLine="420"/>
        <w:tabs>
          <w:tab w:val="left" w:pos="1340" w:leader="none"/>
        </w:tabs>
        <w:rPr>
          <w:rFonts w:ascii="Times New Roman" w:hAnsi="Times New Roman" w:eastAsia="宋体" w:cs="Times New Roman"/>
          <w:sz w:val="21"/>
          <w:u w:val="single"/>
        </w:rPr>
      </w:pPr>
      <w:r>
        <w:rPr>
          <w:rFonts w:ascii="Times New Roman" w:hAnsi="Times New Roman" w:eastAsia="宋体" w:cs="Times New Roman"/>
          <w:sz w:val="21"/>
        </w:rPr>
        <w:t xml:space="preserve">     外商投资企业类型：</w:t>
      </w:r>
      <w:r>
        <w:rPr>
          <w:rFonts w:ascii="Wingdings" w:hAnsi="Wingdings" w:eastAsia="Wingdings" w:cs="Wingdings"/>
          <w:iCs/>
          <w:sz w:val="21"/>
        </w:rPr>
        <w:t xml:space="preserve">¨</w:t>
      </w:r>
      <w:r>
        <w:rPr>
          <w:rFonts w:ascii="Times New Roman" w:hAnsi="Times New Roman" w:eastAsia="宋体" w:cs="Times New Roman"/>
          <w:sz w:val="21"/>
        </w:rPr>
        <w:t xml:space="preserve">全部由外国投资者投资  </w:t>
      </w:r>
      <w:r>
        <w:rPr>
          <w:rFonts w:ascii="Wingdings" w:hAnsi="Wingdings" w:eastAsia="Wingdings" w:cs="Wingdings"/>
          <w:iCs/>
          <w:sz w:val="21"/>
        </w:rPr>
        <w:t xml:space="preserve">¨</w:t>
      </w:r>
      <w:r>
        <w:rPr>
          <w:rFonts w:ascii="Times New Roman" w:hAnsi="Times New Roman" w:eastAsia="宋体" w:cs="Times New Roman"/>
          <w:iCs/>
          <w:sz w:val="21"/>
        </w:rPr>
        <w:t xml:space="preserve">部分由外国投资者投资</w:t>
      </w:r>
      <w:r/>
    </w:p>
    <w:p>
      <w:pPr>
        <w:ind w:firstLine="420"/>
        <w:spacing w:line="400" w:lineRule="exact"/>
        <w:rPr>
          <w:szCs w:val="21"/>
        </w:rPr>
      </w:pPr>
      <w:r>
        <w:rPr>
          <w:szCs w:val="21"/>
        </w:rPr>
        <w:t xml:space="preserve">（</w:t>
      </w:r>
      <w:r>
        <w:rPr>
          <w:szCs w:val="21"/>
          <w:lang w:val="en"/>
        </w:rPr>
        <w:t xml:space="preserve">9</w:t>
      </w:r>
      <w:r>
        <w:rPr>
          <w:szCs w:val="21"/>
        </w:rPr>
        <w:t xml:space="preserve">）是否涉及进口产品：</w:t>
      </w:r>
      <w:r/>
    </w:p>
    <w:p>
      <w:pPr>
        <w:ind w:firstLine="840"/>
        <w:spacing w:line="400" w:lineRule="exact"/>
        <w:rPr>
          <w:szCs w:val="21"/>
          <w:u w:val="single"/>
        </w:rPr>
      </w:pPr>
      <w:r>
        <w:rPr>
          <w:szCs w:val="21"/>
        </w:rPr>
        <w:t xml:space="preserve"> </w:t>
      </w:r>
      <w:r>
        <w:rPr>
          <w:rFonts w:ascii="Wingdings" w:hAnsi="Wingdings" w:eastAsia="Wingdings" w:cs="Wingdings"/>
          <w:szCs w:val="21"/>
        </w:rPr>
        <w:t xml:space="preserve">¨</w:t>
      </w:r>
      <w:r>
        <w:rPr>
          <w:szCs w:val="21"/>
        </w:rPr>
        <w:t xml:space="preserve">是，《政府采购品目分类目录》底级品目名称：</w:t>
      </w:r>
      <w:r>
        <w:rPr>
          <w:szCs w:val="21"/>
          <w:u w:val="single"/>
        </w:rPr>
        <w:t xml:space="preserve">    /      </w:t>
      </w:r>
      <w:r>
        <w:rPr>
          <w:szCs w:val="21"/>
        </w:rPr>
        <w:t xml:space="preserve"> 金额：</w:t>
      </w:r>
      <w:r>
        <w:rPr>
          <w:szCs w:val="21"/>
          <w:u w:val="single"/>
        </w:rPr>
        <w:t xml:space="preserve">    /     </w:t>
      </w:r>
      <w:r/>
    </w:p>
    <w:p>
      <w:pPr>
        <w:ind w:firstLine="840"/>
        <w:spacing w:line="400" w:lineRule="exact"/>
        <w:rPr>
          <w:szCs w:val="21"/>
        </w:rPr>
      </w:pPr>
      <w:r>
        <w:rPr>
          <w:szCs w:val="21"/>
        </w:rPr>
        <w:t xml:space="preserve">        国别：</w:t>
      </w:r>
      <w:r>
        <w:rPr>
          <w:szCs w:val="21"/>
          <w:u w:val="single"/>
        </w:rPr>
        <w:t xml:space="preserve">   /      </w:t>
      </w:r>
      <w:r>
        <w:rPr>
          <w:szCs w:val="21"/>
        </w:rPr>
        <w:t xml:space="preserve"> 品牌：</w:t>
      </w:r>
      <w:r>
        <w:rPr>
          <w:szCs w:val="21"/>
          <w:u w:val="single"/>
        </w:rPr>
        <w:t xml:space="preserve">     /    </w:t>
      </w:r>
      <w:r>
        <w:rPr>
          <w:szCs w:val="21"/>
        </w:rPr>
        <w:t xml:space="preserve"> 规格型号：</w:t>
      </w:r>
      <w:r>
        <w:rPr>
          <w:szCs w:val="21"/>
          <w:u w:val="single"/>
        </w:rPr>
        <w:t xml:space="preserve">   /      </w:t>
      </w:r>
      <w:r>
        <w:rPr>
          <w:szCs w:val="21"/>
        </w:rPr>
        <w:t xml:space="preserve">      </w:t>
      </w:r>
      <w:r/>
    </w:p>
    <w:p>
      <w:pPr>
        <w:ind w:firstLine="840"/>
        <w:spacing w:line="400" w:lineRule="exact"/>
        <w:rPr>
          <w:szCs w:val="21"/>
        </w:rPr>
      </w:pPr>
      <w:r>
        <w:rPr>
          <w:rFonts w:eastAsiaTheme="minorEastAsia"/>
          <w:color w:val="000000" w:themeColor="text1"/>
          <w:szCs w:val="21"/>
          <w14:textFill>
            <w14:solidFill>
              <w14:schemeClr w14:val="tx1"/>
            </w14:solidFill>
          </w14:textFill>
        </w:rPr>
        <w:t xml:space="preserve">☑</w:t>
      </w:r>
      <w:r>
        <w:rPr>
          <w:szCs w:val="21"/>
        </w:rPr>
        <w:t xml:space="preserve">否</w:t>
      </w:r>
      <w:r/>
    </w:p>
    <w:p>
      <w:pPr>
        <w:spacing w:line="400" w:lineRule="exact"/>
        <w:tabs>
          <w:tab w:val="left" w:pos="740" w:leader="none"/>
        </w:tabs>
        <w:rPr>
          <w:szCs w:val="21"/>
        </w:rPr>
      </w:pPr>
      <w:r>
        <w:rPr>
          <w:szCs w:val="21"/>
        </w:rPr>
        <w:t xml:space="preserve">    （1</w:t>
      </w:r>
      <w:r>
        <w:rPr>
          <w:szCs w:val="21"/>
          <w:lang w:val="en"/>
        </w:rPr>
        <w:t xml:space="preserve">0</w:t>
      </w:r>
      <w:r>
        <w:rPr>
          <w:szCs w:val="21"/>
        </w:rPr>
        <w:t xml:space="preserve">）是否涉及节能产品：</w:t>
      </w:r>
      <w:r/>
    </w:p>
    <w:p>
      <w:pPr>
        <w:spacing w:line="400" w:lineRule="exact"/>
        <w:tabs>
          <w:tab w:val="left" w:pos="740" w:leader="none"/>
        </w:tabs>
        <w:rPr>
          <w:iCs/>
          <w:szCs w:val="21"/>
        </w:rPr>
      </w:pPr>
      <w:r>
        <w:rPr>
          <w:szCs w:val="21"/>
        </w:rPr>
        <w:t xml:space="preserve">         </w:t>
      </w:r>
      <w:r>
        <w:rPr>
          <w:rFonts w:ascii="Wingdings" w:hAnsi="Wingdings" w:eastAsia="Wingdings" w:cs="Wingdings"/>
          <w:szCs w:val="21"/>
        </w:rPr>
        <w:t xml:space="preserve">¨</w:t>
      </w:r>
      <w:r>
        <w:rPr>
          <w:szCs w:val="21"/>
        </w:rPr>
        <w:t xml:space="preserve">是，《节能产品政府采购品目清单》的底级品目名称：</w:t>
      </w:r>
      <w:r>
        <w:rPr>
          <w:szCs w:val="21"/>
          <w:u w:val="single"/>
        </w:rPr>
        <w:t xml:space="preserve">         </w:t>
      </w:r>
      <w:r>
        <w:rPr>
          <w:iCs/>
          <w:szCs w:val="21"/>
        </w:rPr>
        <w:t xml:space="preserve">     </w:t>
      </w:r>
      <w:r/>
    </w:p>
    <w:p>
      <w:pPr>
        <w:spacing w:line="400" w:lineRule="exact"/>
        <w:tabs>
          <w:tab w:val="left" w:pos="740" w:leader="none"/>
        </w:tabs>
        <w:rPr>
          <w:iCs/>
          <w:szCs w:val="21"/>
        </w:rPr>
      </w:pPr>
      <w:r>
        <w:rPr>
          <w:iCs/>
          <w:szCs w:val="21"/>
        </w:rPr>
        <w:t xml:space="preserve">                </w:t>
      </w:r>
      <w:r>
        <w:rPr>
          <w:rFonts w:ascii="Wingdings" w:hAnsi="Wingdings" w:eastAsia="Wingdings" w:cs="Wingdings"/>
          <w:iCs/>
          <w:szCs w:val="21"/>
        </w:rPr>
        <w:t xml:space="preserve">¨</w:t>
      </w:r>
      <w:r>
        <w:rPr>
          <w:iCs/>
          <w:szCs w:val="21"/>
        </w:rPr>
        <w:t xml:space="preserve">强制采购       </w:t>
      </w:r>
      <w:r>
        <w:rPr>
          <w:rFonts w:ascii="Wingdings" w:hAnsi="Wingdings" w:eastAsia="Wingdings" w:cs="Wingdings"/>
          <w:iCs/>
          <w:szCs w:val="21"/>
        </w:rPr>
        <w:t xml:space="preserve">¨</w:t>
      </w:r>
      <w:r>
        <w:rPr>
          <w:iCs/>
          <w:szCs w:val="21"/>
        </w:rPr>
        <w:t xml:space="preserve">优先采购    </w:t>
      </w:r>
      <w:r/>
    </w:p>
    <w:p>
      <w:pPr>
        <w:spacing w:line="400" w:lineRule="exact"/>
        <w:tabs>
          <w:tab w:val="left" w:pos="740" w:leader="none"/>
        </w:tabs>
        <w:rPr>
          <w:szCs w:val="21"/>
        </w:rPr>
      </w:pPr>
      <w:r>
        <w:rPr>
          <w:iCs/>
          <w:szCs w:val="21"/>
        </w:rPr>
        <w:t xml:space="preserve">         </w:t>
      </w:r>
      <w:r>
        <w:rPr>
          <w:rFonts w:ascii="Wingdings" w:hAnsi="Wingdings" w:eastAsia="Wingdings" w:cs="Wingdings"/>
          <w:szCs w:val="21"/>
        </w:rPr>
        <w:t xml:space="preserve">¨</w:t>
      </w:r>
      <w:r>
        <w:rPr>
          <w:szCs w:val="21"/>
        </w:rPr>
        <w:t xml:space="preserve">否</w:t>
      </w:r>
      <w:r/>
    </w:p>
    <w:p>
      <w:pPr>
        <w:spacing w:line="400" w:lineRule="exact"/>
        <w:tabs>
          <w:tab w:val="left" w:pos="740" w:leader="none"/>
        </w:tabs>
        <w:rPr>
          <w:szCs w:val="21"/>
        </w:rPr>
      </w:pPr>
      <w:r>
        <w:rPr>
          <w:szCs w:val="21"/>
        </w:rPr>
        <w:t xml:space="preserve">          是否涉及环境标志产品：</w:t>
      </w:r>
      <w:r/>
    </w:p>
    <w:p>
      <w:pPr>
        <w:spacing w:line="400" w:lineRule="exact"/>
        <w:tabs>
          <w:tab w:val="left" w:pos="740" w:leader="none"/>
        </w:tabs>
        <w:rPr>
          <w:szCs w:val="21"/>
        </w:rPr>
      </w:pPr>
      <w:r>
        <w:rPr>
          <w:szCs w:val="21"/>
        </w:rPr>
        <w:t xml:space="preserve">         </w:t>
      </w:r>
      <w:r>
        <w:rPr>
          <w:rFonts w:ascii="Wingdings" w:hAnsi="Wingdings" w:eastAsia="Wingdings" w:cs="Wingdings"/>
          <w:szCs w:val="21"/>
        </w:rPr>
        <w:t xml:space="preserve">¨</w:t>
      </w:r>
      <w:r>
        <w:rPr>
          <w:szCs w:val="21"/>
        </w:rPr>
        <w:t xml:space="preserve">是，《环境标志产品政府采购品目清单》的底级品目名称：</w:t>
      </w:r>
      <w:r>
        <w:rPr>
          <w:szCs w:val="21"/>
          <w:u w:val="single"/>
        </w:rPr>
        <w:t xml:space="preserve">         </w:t>
      </w:r>
      <w:r>
        <w:rPr>
          <w:iCs/>
          <w:szCs w:val="21"/>
        </w:rPr>
        <w:t xml:space="preserve"> </w:t>
      </w:r>
      <w:r/>
    </w:p>
    <w:p>
      <w:pPr>
        <w:spacing w:line="400" w:lineRule="exact"/>
        <w:tabs>
          <w:tab w:val="left" w:pos="740" w:leader="none"/>
        </w:tabs>
        <w:rPr>
          <w:iCs/>
          <w:szCs w:val="21"/>
        </w:rPr>
      </w:pPr>
      <w:r>
        <w:rPr>
          <w:iCs/>
          <w:szCs w:val="21"/>
        </w:rPr>
        <w:t xml:space="preserve">                </w:t>
      </w:r>
      <w:r>
        <w:rPr>
          <w:rFonts w:ascii="Wingdings" w:hAnsi="Wingdings" w:eastAsia="Wingdings" w:cs="Wingdings"/>
          <w:iCs/>
          <w:szCs w:val="21"/>
        </w:rPr>
        <w:t xml:space="preserve">¨</w:t>
      </w:r>
      <w:r>
        <w:rPr>
          <w:iCs/>
          <w:szCs w:val="21"/>
        </w:rPr>
        <w:t xml:space="preserve">强制采购       </w:t>
      </w:r>
      <w:r>
        <w:rPr>
          <w:rFonts w:ascii="Wingdings" w:hAnsi="Wingdings" w:eastAsia="Wingdings" w:cs="Wingdings"/>
          <w:iCs/>
          <w:szCs w:val="21"/>
        </w:rPr>
        <w:t xml:space="preserve">¨</w:t>
      </w:r>
      <w:r>
        <w:rPr>
          <w:iCs/>
          <w:szCs w:val="21"/>
        </w:rPr>
        <w:t xml:space="preserve">优先采购    </w:t>
      </w:r>
      <w:r/>
    </w:p>
    <w:p>
      <w:pPr>
        <w:spacing w:line="400" w:lineRule="exact"/>
        <w:tabs>
          <w:tab w:val="left" w:pos="740" w:leader="none"/>
        </w:tabs>
        <w:rPr>
          <w:szCs w:val="21"/>
        </w:rPr>
      </w:pPr>
      <w:r>
        <w:rPr>
          <w:iCs/>
          <w:szCs w:val="21"/>
        </w:rPr>
        <w:t xml:space="preserve">         </w:t>
      </w:r>
      <w:r>
        <w:rPr>
          <w:rFonts w:ascii="Wingdings" w:hAnsi="Wingdings" w:eastAsia="Wingdings" w:cs="Wingdings"/>
          <w:szCs w:val="21"/>
        </w:rPr>
        <w:t xml:space="preserve">¨</w:t>
      </w:r>
      <w:r>
        <w:rPr>
          <w:szCs w:val="21"/>
        </w:rPr>
        <w:t xml:space="preserve">否</w:t>
      </w:r>
      <w:r/>
    </w:p>
    <w:p>
      <w:pPr>
        <w:pStyle w:val="1202"/>
        <w:ind w:firstLine="0"/>
        <w:rPr>
          <w:rFonts w:ascii="Times New Roman" w:hAnsi="Times New Roman" w:eastAsia="宋体" w:cs="Times New Roman"/>
          <w:sz w:val="21"/>
        </w:rPr>
      </w:pPr>
      <w:r>
        <w:rPr>
          <w:rFonts w:ascii="Times New Roman" w:hAnsi="Times New Roman" w:cs="Times New Roman"/>
          <w:sz w:val="21"/>
        </w:rPr>
        <w:t xml:space="preserve">          </w:t>
      </w:r>
      <w:r>
        <w:rPr>
          <w:rFonts w:ascii="Times New Roman" w:hAnsi="Times New Roman" w:eastAsia="宋体" w:cs="Times New Roman"/>
          <w:sz w:val="21"/>
        </w:rPr>
        <w:t xml:space="preserve">是否涉及绿色产品： </w:t>
      </w:r>
      <w:r/>
    </w:p>
    <w:p>
      <w:pPr>
        <w:pStyle w:val="1202"/>
        <w:ind w:firstLine="420"/>
        <w:rPr>
          <w:rFonts w:ascii="Times New Roman" w:hAnsi="Times New Roman" w:eastAsia="宋体" w:cs="Times New Roman"/>
          <w:u w:val="single"/>
        </w:rPr>
      </w:pPr>
      <w:r>
        <w:rPr>
          <w:rFonts w:ascii="Times New Roman" w:hAnsi="Times New Roman" w:eastAsia="宋体" w:cs="Times New Roman"/>
          <w:sz w:val="21"/>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是，绿色产品政府采购相关政策确定的底级品目名称：</w:t>
      </w:r>
      <w:r>
        <w:rPr>
          <w:rFonts w:ascii="Times New Roman" w:hAnsi="Times New Roman" w:eastAsia="宋体" w:cs="Times New Roman"/>
          <w:u w:val="single"/>
        </w:rPr>
        <w:t xml:space="preserve">         </w:t>
      </w:r>
      <w:r/>
    </w:p>
    <w:p>
      <w:pPr>
        <w:spacing w:line="400" w:lineRule="exact"/>
        <w:tabs>
          <w:tab w:val="left" w:pos="740" w:leader="none"/>
        </w:tabs>
        <w:rPr>
          <w:iCs/>
          <w:szCs w:val="21"/>
        </w:rPr>
      </w:pPr>
      <w:r>
        <w:rPr>
          <w:iCs/>
          <w:szCs w:val="21"/>
        </w:rPr>
        <w:t xml:space="preserve">                </w:t>
      </w:r>
      <w:r>
        <w:rPr>
          <w:rFonts w:ascii="Wingdings" w:hAnsi="Wingdings" w:eastAsia="Wingdings" w:cs="Wingdings"/>
          <w:iCs/>
          <w:szCs w:val="21"/>
        </w:rPr>
        <w:t xml:space="preserve">¨</w:t>
      </w:r>
      <w:r>
        <w:rPr>
          <w:iCs/>
          <w:szCs w:val="21"/>
        </w:rPr>
        <w:t xml:space="preserve">强制采购       </w:t>
      </w:r>
      <w:r>
        <w:rPr>
          <w:rFonts w:ascii="Wingdings" w:hAnsi="Wingdings" w:eastAsia="Wingdings" w:cs="Wingdings"/>
          <w:iCs/>
          <w:szCs w:val="21"/>
        </w:rPr>
        <w:t xml:space="preserve">¨</w:t>
      </w:r>
      <w:r>
        <w:rPr>
          <w:iCs/>
          <w:szCs w:val="21"/>
        </w:rPr>
        <w:t xml:space="preserve">优先采购    </w:t>
      </w:r>
      <w:r/>
    </w:p>
    <w:p>
      <w:pPr>
        <w:pStyle w:val="1202"/>
        <w:ind w:firstLine="420"/>
        <w:rPr>
          <w:rFonts w:ascii="Times New Roman" w:hAnsi="Times New Roman" w:cs="Times New Roman"/>
          <w:sz w:val="21"/>
        </w:rPr>
      </w:pPr>
      <w:r>
        <w:rPr>
          <w:rFonts w:ascii="Times New Roman" w:hAnsi="Times New Roman" w:eastAsia="宋体" w:cs="Times New Roman"/>
          <w:sz w:val="21"/>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否</w:t>
      </w:r>
      <w:r/>
    </w:p>
    <w:p>
      <w:pPr>
        <w:spacing w:line="400" w:lineRule="exact"/>
        <w:rPr>
          <w:szCs w:val="21"/>
        </w:rPr>
      </w:pPr>
      <w:r>
        <w:rPr>
          <w:szCs w:val="21"/>
        </w:rPr>
        <w:t xml:space="preserve">    （1</w:t>
      </w:r>
      <w:r>
        <w:rPr>
          <w:szCs w:val="21"/>
          <w:lang w:val="en"/>
        </w:rPr>
        <w:t xml:space="preserve">1</w:t>
      </w:r>
      <w:r>
        <w:rPr>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szCs w:val="21"/>
        </w:rPr>
      </w:pPr>
      <w:r>
        <w:rPr>
          <w:rFonts w:eastAsiaTheme="minorEastAsia"/>
          <w:color w:val="000000" w:themeColor="text1"/>
          <w:szCs w:val="21"/>
          <w14:textFill>
            <w14:solidFill>
              <w14:schemeClr w14:val="tx1"/>
            </w14:solidFill>
          </w14:textFill>
        </w:rPr>
        <w:t xml:space="preserve">☑</w:t>
      </w:r>
      <w:r>
        <w:rPr>
          <w:szCs w:val="21"/>
        </w:rPr>
        <w:t xml:space="preserve">是       </w:t>
      </w:r>
      <w:r>
        <w:rPr>
          <w:rFonts w:ascii="Wingdings" w:hAnsi="Wingdings" w:eastAsia="Wingdings" w:cs="Wingdings"/>
          <w:szCs w:val="21"/>
        </w:rPr>
        <w:t xml:space="preserve">¨</w:t>
      </w:r>
      <w:r>
        <w:rPr>
          <w:szCs w:val="21"/>
        </w:rPr>
        <w:t xml:space="preserve">否      </w:t>
      </w:r>
      <w:r>
        <w:rPr>
          <w:rFonts w:ascii="Wingdings" w:hAnsi="Wingdings" w:eastAsia="Wingdings" w:cs="Wingdings"/>
          <w:szCs w:val="21"/>
        </w:rPr>
        <w:t xml:space="preserve">¨</w:t>
      </w:r>
      <w:r>
        <w:rPr>
          <w:szCs w:val="21"/>
        </w:rPr>
        <w:t xml:space="preserve">不涉及</w:t>
      </w:r>
      <w:r/>
    </w:p>
    <w:p>
      <w:pPr>
        <w:numPr>
          <w:ilvl w:val="0"/>
          <w:numId w:val="16"/>
        </w:numPr>
        <w:ind w:firstLine="422"/>
        <w:spacing w:line="400" w:lineRule="exact"/>
        <w:rPr>
          <w:b/>
          <w:szCs w:val="21"/>
        </w:rPr>
      </w:pPr>
      <w:r>
        <w:rPr>
          <w:b/>
          <w:szCs w:val="21"/>
        </w:rPr>
        <w:t xml:space="preserve">合同金额</w:t>
      </w:r>
      <w:r/>
    </w:p>
    <w:p>
      <w:pPr>
        <w:ind w:firstLine="420"/>
        <w:spacing w:line="400" w:lineRule="exact"/>
        <w:rPr>
          <w:szCs w:val="21"/>
        </w:rPr>
      </w:pPr>
      <w:r>
        <w:rPr>
          <w:szCs w:val="21"/>
        </w:rPr>
        <w:t xml:space="preserve">（1）合同金额小写：</w:t>
      </w:r>
      <w:r>
        <w:rPr>
          <w:szCs w:val="21"/>
          <w:u w:val="single"/>
        </w:rPr>
        <w:t xml:space="preserve">                           </w:t>
      </w:r>
      <w:r/>
    </w:p>
    <w:p>
      <w:pPr>
        <w:spacing w:line="400" w:lineRule="exact"/>
        <w:rPr>
          <w:szCs w:val="21"/>
          <w:u w:val="single"/>
        </w:rPr>
      </w:pPr>
      <w:r>
        <w:rPr>
          <w:szCs w:val="21"/>
        </w:rPr>
        <w:t xml:space="preserve">                 大写：</w:t>
      </w:r>
      <w:r>
        <w:rPr>
          <w:szCs w:val="21"/>
          <w:u w:val="single"/>
        </w:rPr>
        <w:t xml:space="preserve">                           </w:t>
      </w:r>
      <w:r/>
    </w:p>
    <w:p>
      <w:pPr>
        <w:spacing w:line="400" w:lineRule="exact"/>
        <w:rPr>
          <w:szCs w:val="21"/>
        </w:rPr>
      </w:pPr>
      <w:r>
        <w:rPr>
          <w:szCs w:val="21"/>
        </w:rPr>
        <w:t xml:space="preserve">         分包金额（如有）小写：</w:t>
      </w:r>
      <w:r>
        <w:rPr>
          <w:szCs w:val="21"/>
          <w:u w:val="single"/>
        </w:rPr>
        <w:t xml:space="preserve">           /        </w:t>
      </w:r>
      <w:r/>
    </w:p>
    <w:p>
      <w:pPr>
        <w:spacing w:line="400" w:lineRule="exact"/>
        <w:rPr>
          <w:szCs w:val="21"/>
          <w:u w:val="single"/>
        </w:rPr>
      </w:pPr>
      <w:r>
        <w:rPr>
          <w:szCs w:val="21"/>
        </w:rPr>
        <w:t xml:space="preserve">                     大写：</w:t>
      </w:r>
      <w:r>
        <w:rPr>
          <w:szCs w:val="21"/>
          <w:u w:val="single"/>
        </w:rPr>
        <w:t xml:space="preserve">               /        </w:t>
      </w:r>
      <w:r/>
    </w:p>
    <w:p>
      <w:pPr>
        <w:spacing w:line="400" w:lineRule="exact"/>
        <w:rPr>
          <w:szCs w:val="21"/>
        </w:rPr>
      </w:pPr>
      <w:r>
        <w:rPr>
          <w:szCs w:val="21"/>
        </w:rPr>
        <w:t xml:space="preserve">    （注：固定单价合同应填写单价和最高限价）</w:t>
      </w:r>
      <w:r/>
    </w:p>
    <w:p>
      <w:pPr>
        <w:spacing w:line="400" w:lineRule="exact"/>
        <w:rPr>
          <w:szCs w:val="21"/>
        </w:rPr>
      </w:pPr>
      <w:r>
        <w:rPr>
          <w:szCs w:val="21"/>
        </w:rPr>
        <w:t xml:space="preserve">    （2）合同定价方式（采用组合定价方式的，可以勾选多项）：</w:t>
      </w:r>
      <w:r/>
    </w:p>
    <w:p>
      <w:pPr>
        <w:ind w:firstLine="420"/>
        <w:spacing w:line="400" w:lineRule="exact"/>
        <w:rPr>
          <w:szCs w:val="21"/>
        </w:rPr>
      </w:pPr>
      <w:r>
        <w:rPr>
          <w:iCs/>
          <w:szCs w:val="21"/>
        </w:rPr>
        <w:t xml:space="preserve">  </w:t>
      </w:r>
      <w:r>
        <w:rPr>
          <w:rFonts w:eastAsiaTheme="minorEastAsia"/>
          <w:color w:val="000000" w:themeColor="text1"/>
          <w:szCs w:val="21"/>
          <w14:textFill>
            <w14:solidFill>
              <w14:schemeClr w14:val="tx1"/>
            </w14:solidFill>
          </w14:textFill>
        </w:rPr>
        <w:t xml:space="preserve">☑</w:t>
      </w:r>
      <w:r>
        <w:rPr>
          <w:iCs/>
          <w:szCs w:val="21"/>
        </w:rPr>
        <w:t xml:space="preserve">固定总价 </w:t>
      </w:r>
      <w:r>
        <w:rPr>
          <w:rFonts w:ascii="Wingdings" w:hAnsi="Wingdings" w:eastAsia="Wingdings" w:cs="Wingdings"/>
          <w:iCs/>
          <w:szCs w:val="21"/>
        </w:rPr>
        <w:t xml:space="preserve">¨</w:t>
      </w:r>
      <w:r>
        <w:rPr>
          <w:iCs/>
          <w:szCs w:val="21"/>
        </w:rPr>
        <w:t xml:space="preserve">固定单价 </w:t>
      </w:r>
      <w:r>
        <w:rPr>
          <w:rFonts w:ascii="Wingdings" w:hAnsi="Wingdings" w:eastAsia="Wingdings" w:cs="Wingdings"/>
          <w:iCs/>
          <w:szCs w:val="21"/>
        </w:rPr>
        <w:t xml:space="preserve">¨</w:t>
      </w:r>
      <w:r>
        <w:rPr>
          <w:iCs/>
          <w:szCs w:val="21"/>
        </w:rPr>
        <w:t xml:space="preserve">固定费率 </w:t>
      </w:r>
      <w:r>
        <w:rPr>
          <w:rFonts w:ascii="Wingdings" w:hAnsi="Wingdings" w:eastAsia="Wingdings" w:cs="Wingdings"/>
          <w:iCs/>
          <w:szCs w:val="21"/>
        </w:rPr>
        <w:t xml:space="preserve">¨</w:t>
      </w:r>
      <w:r>
        <w:rPr>
          <w:iCs/>
          <w:szCs w:val="21"/>
        </w:rPr>
        <w:t xml:space="preserve">成本补偿 </w:t>
      </w:r>
      <w:r>
        <w:rPr>
          <w:rFonts w:ascii="Wingdings" w:hAnsi="Wingdings" w:eastAsia="Wingdings" w:cs="Wingdings"/>
          <w:iCs/>
          <w:szCs w:val="21"/>
        </w:rPr>
        <w:t xml:space="preserve">¨</w:t>
      </w:r>
      <w:r>
        <w:rPr>
          <w:iCs/>
          <w:szCs w:val="21"/>
        </w:rPr>
        <w:t xml:space="preserve">绩效激励 </w:t>
      </w:r>
      <w:r>
        <w:rPr>
          <w:rFonts w:ascii="Wingdings" w:hAnsi="Wingdings" w:eastAsia="Wingdings" w:cs="Wingdings"/>
          <w:iCs/>
          <w:szCs w:val="21"/>
        </w:rPr>
        <w:t xml:space="preserve">¨</w:t>
      </w:r>
      <w:r>
        <w:rPr>
          <w:iCs/>
          <w:szCs w:val="21"/>
        </w:rPr>
        <w:t xml:space="preserve">其他</w:t>
      </w:r>
      <w:r>
        <w:rPr>
          <w:szCs w:val="21"/>
          <w:u w:val="single"/>
        </w:rPr>
        <w:t xml:space="preserve">       </w:t>
      </w:r>
      <w:r/>
    </w:p>
    <w:p>
      <w:pPr>
        <w:ind w:firstLine="420"/>
        <w:spacing w:line="400" w:lineRule="exact"/>
        <w:rPr>
          <w:szCs w:val="21"/>
        </w:rPr>
      </w:pPr>
      <w:r>
        <w:rPr>
          <w:szCs w:val="21"/>
        </w:rPr>
        <w:t xml:space="preserve">（3）预付款：</w:t>
      </w:r>
      <w:r/>
    </w:p>
    <w:p>
      <w:pPr>
        <w:ind w:firstLine="630"/>
        <w:spacing w:line="400" w:lineRule="exact"/>
        <w:rPr>
          <w:szCs w:val="21"/>
          <w:u w:val="single"/>
        </w:rPr>
      </w:pPr>
      <w:r>
        <w:rPr>
          <w:szCs w:val="21"/>
          <w:u w:val="single"/>
        </w:rPr>
        <w:t xml:space="preserve">□乙方明确表示无需预付款</w:t>
      </w:r>
      <w:r/>
    </w:p>
    <w:p>
      <w:pPr>
        <w:ind w:firstLine="630"/>
        <w:spacing w:line="400" w:lineRule="exact"/>
        <w:rPr>
          <w:szCs w:val="21"/>
          <w:u w:val="single"/>
        </w:rPr>
      </w:pPr>
      <w:r>
        <w:rPr>
          <w:szCs w:val="21"/>
          <w:u w:val="single"/>
        </w:rPr>
        <w:t xml:space="preserve">□有预付款：待合同签订生效后，甲方支付合同金额的30%的预付款，预付款将从第1笔（期）待支付的进度款款项中扣除。 </w:t>
      </w:r>
      <w:r/>
    </w:p>
    <w:p>
      <w:pPr>
        <w:ind w:firstLine="420"/>
        <w:spacing w:line="400" w:lineRule="exact"/>
        <w:rPr>
          <w:szCs w:val="21"/>
        </w:rPr>
      </w:pPr>
      <w:r>
        <w:rPr>
          <w:szCs w:val="21"/>
        </w:rPr>
        <w:t xml:space="preserve">（4）付款方式：</w:t>
      </w:r>
      <w:r/>
    </w:p>
    <w:p>
      <w:pPr>
        <w:ind w:firstLine="630"/>
        <w:spacing w:line="400" w:lineRule="exact"/>
        <w:rPr>
          <w:szCs w:val="21"/>
          <w:u w:val="single"/>
        </w:rPr>
      </w:pPr>
      <w:r>
        <w:rPr>
          <w:rFonts w:ascii="Wingdings" w:hAnsi="Wingdings" w:eastAsia="Wingdings" w:cs="Wingdings"/>
          <w:szCs w:val="21"/>
        </w:rPr>
        <w:t xml:space="preserve">¨</w:t>
      </w:r>
      <w:r>
        <w:rPr>
          <w:szCs w:val="21"/>
        </w:rPr>
        <w:t xml:space="preserve">全额付款：</w:t>
      </w:r>
      <w:r>
        <w:rPr>
          <w:szCs w:val="21"/>
          <w:u w:val="single"/>
        </w:rPr>
        <w:t xml:space="preserve">     （应明确一次性支付合同款项的条件）                    </w:t>
      </w:r>
      <w:r/>
    </w:p>
    <w:p>
      <w:pPr>
        <w:ind w:firstLine="630"/>
        <w:spacing w:line="400" w:lineRule="exact"/>
        <w:rPr>
          <w:rFonts w:hint="eastAsia"/>
          <w:szCs w:val="21"/>
          <w:highlight w:val="none"/>
          <w:u w:val="single"/>
        </w:rPr>
      </w:pPr>
      <w:r>
        <w:rPr>
          <w:rFonts w:eastAsiaTheme="minorEastAsia"/>
          <w:color w:val="000000" w:themeColor="text1"/>
          <w14:textFill>
            <w14:solidFill>
              <w14:schemeClr w14:val="tx1"/>
            </w14:solidFill>
          </w14:textFill>
        </w:rPr>
        <w:t xml:space="preserve">☑</w:t>
      </w:r>
      <w:r>
        <w:rPr>
          <w:szCs w:val="21"/>
        </w:rPr>
        <w:t xml:space="preserve">分期付款：</w:t>
      </w:r>
      <w:r>
        <w:rPr>
          <w:rFonts w:hint="eastAsia"/>
          <w:szCs w:val="21"/>
          <w:highlight w:val="none"/>
          <w:u w:val="single"/>
        </w:rPr>
        <w:t xml:space="preserve">所提供的货物安装完成并经甲方验收合格后，支付至合同金额的90%，余款在验收合格之日起满2年后付清；每期款项支付前，乙方应当按甲方要求开具对应发票，甲方自收到发票之日起10个工作日内支付对应款项。</w:t>
      </w:r>
      <w:r/>
    </w:p>
    <w:p>
      <w:pPr>
        <w:ind w:firstLine="630"/>
        <w:spacing w:line="400" w:lineRule="exact"/>
        <w:rPr>
          <w:szCs w:val="21"/>
        </w:rPr>
      </w:pPr>
      <w:r>
        <w:rPr>
          <w:szCs w:val="21"/>
        </w:rPr>
        <w:t xml:space="preserve">付款时须提供：</w:t>
      </w:r>
      <w:r/>
    </w:p>
    <w:p>
      <w:pPr>
        <w:ind w:firstLine="630"/>
        <w:spacing w:line="400" w:lineRule="exact"/>
        <w:rPr>
          <w:szCs w:val="21"/>
        </w:rPr>
      </w:pPr>
      <w:r>
        <w:rPr>
          <w:szCs w:val="21"/>
        </w:rPr>
        <w:t xml:space="preserve">A、甲方签收的送货回单。</w:t>
      </w:r>
      <w:r/>
    </w:p>
    <w:p>
      <w:pPr>
        <w:ind w:firstLine="630"/>
        <w:spacing w:line="400" w:lineRule="exact"/>
        <w:rPr>
          <w:szCs w:val="21"/>
        </w:rPr>
      </w:pPr>
      <w:r>
        <w:rPr>
          <w:szCs w:val="21"/>
        </w:rPr>
        <w:t xml:space="preserve">B、合格销售发票。</w:t>
      </w:r>
      <w:r/>
    </w:p>
    <w:p>
      <w:pPr>
        <w:ind w:firstLine="630"/>
        <w:spacing w:line="400" w:lineRule="exact"/>
        <w:rPr>
          <w:szCs w:val="21"/>
          <w:u w:val="single"/>
        </w:rPr>
      </w:pPr>
      <w:r>
        <w:rPr>
          <w:szCs w:val="21"/>
        </w:rPr>
        <w:t xml:space="preserve">C、付款出具由甲乙双方签章的《政府采购履行验收书》。</w:t>
      </w:r>
      <w:r/>
    </w:p>
    <w:p>
      <w:pPr>
        <w:ind w:firstLine="630"/>
        <w:spacing w:line="400" w:lineRule="exact"/>
        <w:rPr>
          <w:szCs w:val="21"/>
          <w:u w:val="single"/>
        </w:rPr>
      </w:pPr>
      <w:r>
        <w:rPr>
          <w:rFonts w:ascii="Wingdings" w:hAnsi="Wingdings" w:eastAsia="Wingdings" w:cs="Wingdings"/>
          <w:szCs w:val="21"/>
        </w:rPr>
        <w:t xml:space="preserve">¨</w:t>
      </w:r>
      <w:r>
        <w:rPr>
          <w:szCs w:val="21"/>
        </w:rPr>
        <w:t xml:space="preserve">成本补偿：</w:t>
      </w:r>
      <w:r>
        <w:rPr>
          <w:szCs w:val="21"/>
          <w:u w:val="single"/>
        </w:rPr>
        <w:t xml:space="preserve">      （应明确按照成本补偿方式的支付方式和支付条件）   </w:t>
      </w:r>
      <w:r/>
    </w:p>
    <w:p>
      <w:pPr>
        <w:ind w:firstLine="630"/>
        <w:spacing w:line="400" w:lineRule="exact"/>
        <w:rPr>
          <w:szCs w:val="21"/>
          <w:u w:val="single"/>
        </w:rPr>
      </w:pPr>
      <w:r>
        <w:rPr>
          <w:rFonts w:ascii="Wingdings" w:hAnsi="Wingdings" w:eastAsia="Wingdings" w:cs="Wingdings"/>
          <w:szCs w:val="21"/>
        </w:rPr>
        <w:t xml:space="preserve">¨</w:t>
      </w:r>
      <w:r>
        <w:rPr>
          <w:szCs w:val="21"/>
        </w:rPr>
        <w:t xml:space="preserve">绩效激励：</w:t>
      </w:r>
      <w:r>
        <w:rPr>
          <w:szCs w:val="21"/>
          <w:u w:val="single"/>
        </w:rPr>
        <w:t xml:space="preserve">      （应明确按照绩效激励方式的支付方式和支付条件）   </w:t>
      </w:r>
      <w:r/>
    </w:p>
    <w:p>
      <w:pPr>
        <w:pStyle w:val="968"/>
        <w:ind w:firstLine="400"/>
        <w:spacing w:line="400" w:lineRule="exact"/>
        <w:rPr>
          <w:rFonts w:ascii="Times New Roman" w:hAnsi="Times New Roman"/>
        </w:rPr>
      </w:pPr>
      <w:r>
        <w:rPr>
          <w:rFonts w:ascii="Times New Roman" w:hAnsi="Times New Roman"/>
        </w:rPr>
        <w:t xml:space="preserve">（5）在签订合同时，乙方明确表示无需预付款或者主动要求降低预付款比例的，甲方可不适用上述关于预付款的规定。</w:t>
      </w:r>
      <w:r/>
    </w:p>
    <w:p>
      <w:pPr>
        <w:numPr>
          <w:ilvl w:val="0"/>
          <w:numId w:val="16"/>
        </w:numPr>
        <w:ind w:firstLine="422"/>
        <w:spacing w:line="400" w:lineRule="exact"/>
        <w:rPr>
          <w:b/>
          <w:szCs w:val="21"/>
          <w:u w:val="single"/>
        </w:rPr>
      </w:pPr>
      <w:r>
        <w:rPr>
          <w:b/>
          <w:szCs w:val="21"/>
        </w:rPr>
        <w:t xml:space="preserve">合同履行</w:t>
      </w:r>
      <w:r/>
    </w:p>
    <w:p>
      <w:pPr>
        <w:ind w:firstLine="420"/>
        <w:spacing w:line="400" w:lineRule="exact"/>
        <w:rPr>
          <w:szCs w:val="21"/>
        </w:rPr>
      </w:pPr>
      <w:r>
        <w:rPr>
          <w:szCs w:val="21"/>
        </w:rPr>
        <w:t xml:space="preserve">（1）</w:t>
      </w:r>
      <w:r>
        <w:rPr>
          <w:rFonts w:hint="eastAsia"/>
          <w:szCs w:val="21"/>
          <w:lang w:val="en-US" w:eastAsia="zh-CN"/>
        </w:rPr>
        <w:t xml:space="preserve">合同履行期限</w:t>
      </w:r>
      <w:r>
        <w:rPr>
          <w:szCs w:val="21"/>
        </w:rPr>
        <w:t xml:space="preserve">：</w:t>
      </w:r>
      <w:r>
        <w:rPr>
          <w:color w:val="000000" w:themeColor="text1"/>
          <w:szCs w:val="21"/>
          <w:highlight w:val="none"/>
          <w:u w:val="single"/>
          <w14:textFill>
            <w14:solidFill>
              <w14:schemeClr w14:val="tx1"/>
            </w14:solidFill>
          </w14:textFill>
        </w:rPr>
        <w:t xml:space="preserve">合同签订后</w:t>
      </w:r>
      <w:r>
        <w:rPr>
          <w:rFonts w:hint="eastAsia"/>
          <w:color w:val="000000" w:themeColor="text1"/>
          <w:szCs w:val="21"/>
          <w:highlight w:val="none"/>
          <w:u w:val="single"/>
          <w14:textFill>
            <w14:solidFill>
              <w14:schemeClr w14:val="tx1"/>
            </w14:solidFill>
          </w14:textFill>
        </w:rPr>
        <w:t xml:space="preserve">50</w:t>
      </w:r>
      <w:r>
        <w:rPr>
          <w:color w:val="000000" w:themeColor="text1"/>
          <w:szCs w:val="21"/>
          <w:highlight w:val="none"/>
          <w:u w:val="single"/>
          <w14:textFill>
            <w14:solidFill>
              <w14:schemeClr w14:val="tx1"/>
            </w14:solidFill>
          </w14:textFill>
        </w:rPr>
        <w:t xml:space="preserve">天内供货并安装调试完毕。</w:t>
      </w:r>
      <w:r>
        <w:rPr>
          <w:rFonts w:hint="eastAsia"/>
          <w:color w:val="000000" w:themeColor="text1"/>
          <w:szCs w:val="21"/>
          <w:highlight w:val="none"/>
          <w:u w:val="single"/>
          <w14:textFill>
            <w14:solidFill>
              <w14:schemeClr w14:val="tx1"/>
            </w14:solidFill>
          </w14:textFill>
        </w:rPr>
        <w:t xml:space="preserve">如因现场不具备进场安装条件，采购人将书面或邮件通知成交供应商，履行期限相应顺延（顺延天数自通知之日起至具备条件之日止）</w:t>
      </w:r>
      <w:r>
        <w:rPr>
          <w:rFonts w:hint="eastAsia"/>
          <w:color w:val="000000" w:themeColor="text1"/>
          <w:szCs w:val="21"/>
          <w:highlight w:val="none"/>
          <w14:textFill>
            <w14:solidFill>
              <w14:schemeClr w14:val="tx1"/>
            </w14:solidFill>
          </w14:textFill>
        </w:rPr>
        <w:t xml:space="preserve">。</w:t>
      </w:r>
      <w:r/>
    </w:p>
    <w:p>
      <w:pPr>
        <w:ind w:firstLine="420"/>
        <w:spacing w:line="400" w:lineRule="exact"/>
        <w:rPr>
          <w:szCs w:val="21"/>
          <w:u w:val="single"/>
        </w:rPr>
      </w:pPr>
      <w:r>
        <w:rPr>
          <w:szCs w:val="21"/>
        </w:rPr>
        <w:t xml:space="preserve">（2）履约地点</w:t>
      </w:r>
      <w:r>
        <w:rPr>
          <w:bCs/>
          <w:szCs w:val="21"/>
        </w:rPr>
        <w:t xml:space="preserve">：</w:t>
      </w:r>
      <w:r>
        <w:rPr>
          <w:color w:val="000000"/>
          <w:szCs w:val="21"/>
          <w:u w:val="single"/>
        </w:rPr>
        <w:t xml:space="preserve">详见</w:t>
      </w:r>
      <w:r>
        <w:rPr>
          <w:b/>
          <w:color w:val="000000"/>
          <w:szCs w:val="21"/>
          <w:u w:val="single"/>
        </w:rPr>
        <w:t xml:space="preserve">【政府采购合同专用条款】</w:t>
      </w:r>
      <w:r>
        <w:rPr>
          <w:szCs w:val="21"/>
          <w:u w:val="single"/>
        </w:rPr>
        <w:t xml:space="preserve">第二节第7.1款“指定现场” 。 </w:t>
      </w:r>
      <w:r/>
    </w:p>
    <w:p>
      <w:pPr>
        <w:ind w:firstLine="420"/>
        <w:spacing w:line="400" w:lineRule="exact"/>
        <w:rPr>
          <w:bCs/>
          <w:szCs w:val="21"/>
        </w:rPr>
      </w:pPr>
      <w:r>
        <w:rPr>
          <w:bCs/>
          <w:szCs w:val="21"/>
        </w:rPr>
        <w:t xml:space="preserve">（3）履约担保：</w:t>
      </w:r>
      <w:r/>
    </w:p>
    <w:p>
      <w:pPr>
        <w:ind w:firstLine="420"/>
        <w:spacing w:line="400" w:lineRule="exact"/>
        <w:rPr>
          <w:szCs w:val="21"/>
        </w:rPr>
      </w:pPr>
      <w:r>
        <w:rPr>
          <w:bCs/>
        </w:rPr>
        <w:t xml:space="preserve">  </w:t>
      </w:r>
      <w:r>
        <w:t xml:space="preserve">  是否收取履约保证金：</w:t>
      </w:r>
      <w:r>
        <w:rPr>
          <w:rFonts w:ascii="Wingdings" w:hAnsi="Wingdings" w:eastAsia="Wingdings" w:cs="Wingdings"/>
          <w:szCs w:val="21"/>
        </w:rPr>
        <w:t xml:space="preserve">¨</w:t>
      </w:r>
      <w:r>
        <w:rPr>
          <w:szCs w:val="21"/>
        </w:rPr>
        <w:t xml:space="preserve">是   </w:t>
      </w:r>
      <w:r>
        <w:rPr>
          <w:rFonts w:eastAsiaTheme="minorEastAsia"/>
          <w:color w:val="000000" w:themeColor="text1"/>
          <w:szCs w:val="21"/>
          <w14:textFill>
            <w14:solidFill>
              <w14:schemeClr w14:val="tx1"/>
            </w14:solidFill>
          </w14:textFill>
        </w:rPr>
        <w:t xml:space="preserve">☑</w:t>
      </w:r>
      <w:r>
        <w:rPr>
          <w:szCs w:val="21"/>
        </w:rPr>
        <w:t xml:space="preserve">否</w:t>
      </w:r>
      <w:r/>
    </w:p>
    <w:p>
      <w:pPr>
        <w:pStyle w:val="1202"/>
        <w:rPr>
          <w:rFonts w:ascii="Times New Roman" w:hAnsi="Times New Roman" w:eastAsia="宋体" w:cs="Times New Roman"/>
          <w:sz w:val="21"/>
        </w:rPr>
      </w:pPr>
      <w:r>
        <w:rPr>
          <w:rFonts w:ascii="Times New Roman" w:hAnsi="Times New Roman" w:cs="Times New Roman"/>
          <w:bCs/>
        </w:rPr>
        <w:t xml:space="preserve">  </w:t>
      </w:r>
      <w:r>
        <w:rPr>
          <w:rFonts w:ascii="Times New Roman" w:hAnsi="Times New Roman" w:eastAsia="宋体" w:cs="Times New Roman"/>
          <w:sz w:val="21"/>
        </w:rPr>
        <w:t xml:space="preserve">  收取履约保证金形式：</w:t>
      </w:r>
      <w:r/>
    </w:p>
    <w:p>
      <w:pPr>
        <w:pStyle w:val="1202"/>
        <w:ind w:firstLine="840"/>
        <w:jc w:val="both"/>
        <w:rPr>
          <w:rFonts w:ascii="Times New Roman" w:hAnsi="Times New Roman" w:eastAsia="宋体" w:cs="Times New Roman"/>
          <w:color w:val="000000"/>
          <w:sz w:val="21"/>
          <w:u w:val="single"/>
        </w:rPr>
      </w:pPr>
      <w:r>
        <w:rPr>
          <w:rFonts w:ascii="Times New Roman" w:hAnsi="Times New Roman" w:eastAsia="宋体" w:cs="Times New Roman"/>
          <w:color w:val="000000"/>
          <w:sz w:val="21"/>
          <w:u w:val="single"/>
        </w:rPr>
        <w:t xml:space="preserve">在签订合同前，乙方应当以支票、汇票、本票或者金融机构、担保机构出具的保函等非现金形式提交，联合体中标的，其履约保证金以联合体各方或者联合体中牵头人的名义提交。</w:t>
      </w:r>
      <w:r/>
    </w:p>
    <w:p>
      <w:pPr>
        <w:pStyle w:val="1202"/>
        <w:ind w:firstLine="883"/>
        <w:jc w:val="both"/>
        <w:rPr>
          <w:rFonts w:ascii="Times New Roman" w:hAnsi="Times New Roman" w:eastAsia="宋体" w:cs="Times New Roman"/>
          <w:b/>
          <w:color w:val="000000"/>
          <w:sz w:val="21"/>
        </w:rPr>
      </w:pPr>
      <w:r>
        <w:rPr>
          <w:rFonts w:ascii="Times New Roman" w:hAnsi="Times New Roman" w:cs="Times New Roman" w:eastAsiaTheme="minorEastAsia"/>
          <w:b/>
          <w:color w:val="000000" w:themeColor="text1"/>
          <w14:textFill>
            <w14:solidFill>
              <w14:schemeClr w14:val="tx1"/>
            </w14:solidFill>
          </w14:textFill>
        </w:rPr>
        <w:t xml:space="preserve">☑</w:t>
      </w:r>
      <w:r>
        <w:rPr>
          <w:rFonts w:ascii="Times New Roman" w:hAnsi="Times New Roman" w:eastAsia="宋体" w:cs="Times New Roman"/>
          <w:b/>
          <w:color w:val="000000"/>
          <w:sz w:val="21"/>
        </w:rPr>
        <w:t xml:space="preserve">电子履约保函（保险）形式（如收取履约保证金）</w:t>
      </w:r>
      <w:r/>
    </w:p>
    <w:p>
      <w:pPr>
        <w:pStyle w:val="1202"/>
        <w:ind w:firstLine="840"/>
        <w:jc w:val="both"/>
        <w:rPr>
          <w:rFonts w:ascii="Times New Roman" w:hAnsi="Times New Roman" w:eastAsia="宋体" w:cs="Times New Roman"/>
          <w:sz w:val="21"/>
          <w:u w:val="single"/>
        </w:rPr>
      </w:pPr>
      <w:r>
        <w:rPr>
          <w:rFonts w:ascii="Times New Roman" w:hAnsi="Times New Roman" w:eastAsia="宋体" w:cs="Times New Roman"/>
          <w:color w:val="000000"/>
          <w:sz w:val="21"/>
          <w:u w:val="single"/>
        </w:rPr>
        <w:t xml:space="preserve">根据《关于在全省政府采购领域推行电子履约保函（保险）的通知（</w:t>
      </w:r>
      <w:r>
        <w:rPr>
          <w:rFonts w:hint="eastAsia" w:ascii="Times New Roman" w:hAnsi="Times New Roman" w:eastAsia="宋体" w:cs="Times New Roman"/>
          <w:color w:val="000000"/>
          <w:sz w:val="21"/>
          <w:u w:val="single"/>
        </w:rPr>
        <w:t xml:space="preserve">苏财购〔2023〕150号</w:t>
      </w:r>
      <w:r>
        <w:rPr>
          <w:rFonts w:ascii="Times New Roman" w:hAnsi="Times New Roman" w:eastAsia="宋体" w:cs="Times New Roman"/>
          <w:color w:val="000000"/>
          <w:sz w:val="21"/>
          <w:u w:val="single"/>
        </w:rPr>
        <w:t xml:space="preserve">）》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871"/>
        <w:spacing w:line="400" w:lineRule="exact"/>
        <w:tabs>
          <w:tab w:val="left" w:pos="142" w:leader="none"/>
          <w:tab w:val="left" w:pos="600" w:leader="none"/>
        </w:tabs>
        <w:rPr>
          <w:b/>
          <w:color w:val="000000"/>
          <w:szCs w:val="21"/>
        </w:rPr>
      </w:pPr>
      <w:r>
        <w:rPr>
          <w:rFonts w:ascii="Wingdings" w:hAnsi="Wingdings" w:eastAsia="Wingdings" w:cs="Wingdings"/>
          <w:b/>
          <w:color w:val="000000"/>
          <w:szCs w:val="21"/>
        </w:rPr>
        <w:t xml:space="preserve">¨</w:t>
      </w:r>
      <w:r>
        <w:rPr>
          <w:b/>
          <w:color w:val="000000"/>
          <w:szCs w:val="21"/>
        </w:rPr>
        <w:t xml:space="preserve">其他非现金形式（如收取履约保证金）</w:t>
      </w:r>
      <w:r/>
    </w:p>
    <w:p>
      <w:pPr>
        <w:pStyle w:val="1202"/>
        <w:ind w:firstLine="420"/>
        <w:rPr>
          <w:rFonts w:ascii="Times New Roman" w:hAnsi="Times New Roman" w:eastAsia="宋体" w:cs="Times New Roman"/>
          <w:sz w:val="21"/>
        </w:rPr>
      </w:pPr>
      <w:r>
        <w:rPr>
          <w:rFonts w:ascii="Times New Roman" w:hAnsi="Times New Roman" w:eastAsia="宋体" w:cs="Times New Roman"/>
          <w:sz w:val="21"/>
        </w:rPr>
        <w:t xml:space="preserve">    收取履约保证金金额：</w:t>
      </w:r>
      <w:r>
        <w:rPr>
          <w:rFonts w:ascii="Times New Roman" w:hAnsi="Times New Roman" w:eastAsia="宋体" w:cs="Times New Roman"/>
          <w:bCs/>
          <w:sz w:val="21"/>
          <w:u w:val="single"/>
        </w:rPr>
        <w:t xml:space="preserve">乙方交纳合同金额的 /  %（不得超过合同金额的10%），即人民币 /  元，作为本合同的履约保证金。</w:t>
      </w:r>
      <w:r/>
    </w:p>
    <w:p>
      <w:pPr>
        <w:ind w:firstLine="420"/>
        <w:spacing w:line="400" w:lineRule="exact"/>
        <w:rPr>
          <w:bCs/>
          <w:szCs w:val="21"/>
          <w:u w:val="single"/>
        </w:rPr>
      </w:pPr>
      <w:r>
        <w:rPr>
          <w:bCs/>
          <w:szCs w:val="21"/>
        </w:rPr>
        <w:t xml:space="preserve">    履约担保期限：</w:t>
      </w:r>
      <w:r>
        <w:rPr>
          <w:bCs/>
          <w:szCs w:val="21"/>
          <w:u w:val="single"/>
        </w:rPr>
        <w:t xml:space="preserve">               /                   </w:t>
      </w:r>
      <w:r/>
    </w:p>
    <w:p>
      <w:pPr>
        <w:ind w:firstLine="867"/>
        <w:spacing w:line="400" w:lineRule="exact"/>
        <w:tabs>
          <w:tab w:val="left" w:pos="142" w:leader="none"/>
          <w:tab w:val="left" w:pos="600" w:leader="none"/>
        </w:tabs>
        <w:rPr>
          <w:color w:val="000000"/>
          <w:szCs w:val="21"/>
        </w:rPr>
      </w:pPr>
      <w:r>
        <w:rPr>
          <w:color w:val="000000"/>
          <w:szCs w:val="21"/>
        </w:rPr>
        <w:t xml:space="preserve">履约保证金退还条件：</w:t>
      </w:r>
      <w:r>
        <w:rPr>
          <w:color w:val="000000"/>
          <w:szCs w:val="21"/>
          <w:u w:val="single"/>
        </w:rPr>
        <w:t xml:space="preserve">  </w:t>
      </w:r>
      <w:r>
        <w:rPr>
          <w:bCs/>
          <w:szCs w:val="21"/>
          <w:u w:val="single"/>
        </w:rPr>
        <w:t xml:space="preserve">       /   </w:t>
      </w:r>
      <w:r>
        <w:rPr>
          <w:color w:val="000000"/>
          <w:szCs w:val="21"/>
          <w:u w:val="single"/>
        </w:rPr>
        <w:t xml:space="preserve">     </w:t>
      </w:r>
      <w:r>
        <w:rPr>
          <w:color w:val="000000"/>
          <w:szCs w:val="21"/>
        </w:rPr>
        <w:t xml:space="preserve">。</w:t>
      </w:r>
      <w:r/>
    </w:p>
    <w:p>
      <w:pPr>
        <w:ind w:firstLine="867"/>
        <w:spacing w:line="400" w:lineRule="exact"/>
        <w:tabs>
          <w:tab w:val="left" w:pos="142" w:leader="none"/>
          <w:tab w:val="left" w:pos="600" w:leader="none"/>
        </w:tabs>
        <w:rPr>
          <w:color w:val="000000"/>
          <w:szCs w:val="21"/>
        </w:rPr>
      </w:pPr>
      <w:r>
        <w:rPr>
          <w:color w:val="000000"/>
          <w:szCs w:val="21"/>
        </w:rPr>
        <w:t xml:space="preserve">履约保证金退还时间：</w:t>
      </w:r>
      <w:r>
        <w:rPr>
          <w:color w:val="000000"/>
          <w:szCs w:val="21"/>
          <w:u w:val="single"/>
        </w:rPr>
        <w:t xml:space="preserve">   </w:t>
      </w:r>
      <w:r>
        <w:rPr>
          <w:bCs/>
          <w:szCs w:val="21"/>
          <w:u w:val="single"/>
        </w:rPr>
        <w:t xml:space="preserve">      /    </w:t>
      </w:r>
      <w:r>
        <w:rPr>
          <w:color w:val="000000"/>
          <w:szCs w:val="21"/>
          <w:u w:val="single"/>
        </w:rPr>
        <w:t xml:space="preserve">    </w:t>
      </w:r>
      <w:r>
        <w:rPr>
          <w:color w:val="000000"/>
          <w:szCs w:val="21"/>
        </w:rPr>
        <w:t xml:space="preserve">。</w:t>
      </w:r>
      <w:r/>
    </w:p>
    <w:p>
      <w:pPr>
        <w:ind w:firstLine="867"/>
        <w:spacing w:line="400" w:lineRule="exact"/>
        <w:tabs>
          <w:tab w:val="left" w:pos="142" w:leader="none"/>
          <w:tab w:val="left" w:pos="600" w:leader="none"/>
        </w:tabs>
        <w:rPr>
          <w:color w:val="000000"/>
          <w:szCs w:val="21"/>
        </w:rPr>
      </w:pPr>
      <w:r>
        <w:rPr>
          <w:color w:val="000000"/>
          <w:szCs w:val="21"/>
        </w:rPr>
        <w:t xml:space="preserve">履约保证金退还方式：</w:t>
      </w:r>
      <w:r>
        <w:rPr>
          <w:color w:val="000000"/>
          <w:szCs w:val="21"/>
          <w:u w:val="single"/>
        </w:rPr>
        <w:t xml:space="preserve">   </w:t>
      </w:r>
      <w:r>
        <w:rPr>
          <w:bCs/>
          <w:szCs w:val="21"/>
          <w:u w:val="single"/>
        </w:rPr>
        <w:t xml:space="preserve">       </w:t>
      </w:r>
      <w:r>
        <w:rPr>
          <w:color w:val="000000"/>
          <w:szCs w:val="21"/>
          <w:u w:val="single"/>
        </w:rPr>
        <w:t xml:space="preserve"> /      </w:t>
      </w:r>
      <w:r>
        <w:rPr>
          <w:color w:val="000000"/>
          <w:szCs w:val="21"/>
        </w:rPr>
        <w:t xml:space="preserve">。</w:t>
      </w:r>
      <w:r/>
    </w:p>
    <w:p>
      <w:pPr>
        <w:ind w:firstLine="867"/>
        <w:spacing w:line="400" w:lineRule="exact"/>
        <w:tabs>
          <w:tab w:val="left" w:pos="142" w:leader="none"/>
          <w:tab w:val="left" w:pos="600" w:leader="none"/>
        </w:tabs>
        <w:rPr>
          <w:color w:val="000000"/>
          <w:szCs w:val="21"/>
        </w:rPr>
      </w:pPr>
      <w:r>
        <w:rPr>
          <w:color w:val="000000"/>
          <w:szCs w:val="21"/>
        </w:rPr>
        <w:t xml:space="preserve">履约保证金不予退还的情形：</w:t>
      </w:r>
      <w:r>
        <w:rPr>
          <w:color w:val="000000"/>
          <w:szCs w:val="21"/>
          <w:u w:val="single"/>
        </w:rPr>
        <w:t xml:space="preserve">  详见</w:t>
      </w:r>
      <w:r>
        <w:rPr>
          <w:b/>
          <w:color w:val="000000"/>
          <w:szCs w:val="21"/>
          <w:u w:val="single"/>
        </w:rPr>
        <w:t xml:space="preserve">【政府采购合同专用条款】</w:t>
      </w:r>
      <w:r>
        <w:rPr>
          <w:bCs/>
          <w:szCs w:val="21"/>
          <w:u w:val="single"/>
        </w:rPr>
        <w:t xml:space="preserve">  </w:t>
      </w:r>
      <w:r>
        <w:rPr>
          <w:color w:val="000000"/>
          <w:szCs w:val="21"/>
        </w:rPr>
        <w:t xml:space="preserve">。</w:t>
      </w:r>
      <w:r/>
    </w:p>
    <w:p>
      <w:pPr>
        <w:ind w:firstLine="867"/>
        <w:spacing w:line="400" w:lineRule="exact"/>
        <w:tabs>
          <w:tab w:val="left" w:pos="142" w:leader="none"/>
          <w:tab w:val="left" w:pos="600" w:leader="none"/>
        </w:tabs>
        <w:rPr>
          <w:color w:val="000000"/>
          <w:szCs w:val="21"/>
        </w:rPr>
      </w:pPr>
      <w:r>
        <w:rPr>
          <w:color w:val="000000"/>
          <w:szCs w:val="21"/>
        </w:rPr>
        <w:t xml:space="preserve">甲方逾期退还履约保证金的，应当根据实际逾期期限向乙方支付逾期利息，逾期利率：</w:t>
      </w:r>
      <w:r>
        <w:rPr>
          <w:bCs/>
          <w:szCs w:val="21"/>
          <w:u w:val="single"/>
        </w:rPr>
        <w:t xml:space="preserve">详见</w:t>
      </w:r>
      <w:r>
        <w:rPr>
          <w:b/>
          <w:bCs/>
          <w:szCs w:val="21"/>
          <w:u w:val="single"/>
        </w:rPr>
        <w:t xml:space="preserve">【政府采购合同专用条款】</w:t>
      </w:r>
      <w:r>
        <w:rPr>
          <w:color w:val="000000"/>
          <w:szCs w:val="21"/>
        </w:rPr>
        <w:t xml:space="preserve">。</w:t>
      </w:r>
      <w:r/>
    </w:p>
    <w:p>
      <w:pPr>
        <w:ind w:firstLine="867"/>
        <w:spacing w:line="400" w:lineRule="exact"/>
        <w:tabs>
          <w:tab w:val="left" w:pos="142" w:leader="none"/>
          <w:tab w:val="left" w:pos="600" w:leader="none"/>
        </w:tabs>
        <w:rPr>
          <w:color w:val="000000"/>
          <w:szCs w:val="21"/>
        </w:rPr>
      </w:pPr>
      <w:r>
        <w:rPr>
          <w:color w:val="000000"/>
          <w:szCs w:val="21"/>
        </w:rPr>
        <w:t xml:space="preserve">乙方无故拖延或拒不提交履约保证金的，视为拒绝与采购人签订合同。</w:t>
      </w:r>
      <w:r/>
    </w:p>
    <w:p>
      <w:pPr>
        <w:ind w:firstLine="420"/>
        <w:spacing w:line="400" w:lineRule="exact"/>
        <w:rPr>
          <w:bCs/>
          <w:szCs w:val="21"/>
        </w:rPr>
      </w:pPr>
      <w:r>
        <w:rPr>
          <w:bCs/>
          <w:szCs w:val="21"/>
        </w:rPr>
        <w:t xml:space="preserve">（4）分期履行要求：</w:t>
      </w:r>
      <w:r>
        <w:rPr>
          <w:bCs/>
          <w:szCs w:val="21"/>
          <w:u w:val="single"/>
        </w:rPr>
        <w:t xml:space="preserve">                                                        </w:t>
      </w:r>
      <w:r/>
    </w:p>
    <w:p>
      <w:pPr>
        <w:ind w:firstLine="420"/>
        <w:spacing w:line="400" w:lineRule="exact"/>
        <w:rPr>
          <w:szCs w:val="21"/>
          <w:u w:val="single"/>
        </w:rPr>
      </w:pPr>
      <w:r>
        <w:rPr>
          <w:bCs/>
          <w:szCs w:val="21"/>
        </w:rPr>
        <w:t xml:space="preserve">（5）风险处置措施和替代方案：</w:t>
      </w:r>
      <w:r>
        <w:rPr>
          <w:color w:val="0000ff"/>
          <w:szCs w:val="21"/>
          <w:u w:val="single"/>
        </w:rPr>
        <w:t xml:space="preserve"> </w:t>
      </w:r>
      <w:r>
        <w:rPr>
          <w:color w:val="000000" w:themeColor="text1"/>
          <w:szCs w:val="21"/>
          <w:u w:val="single"/>
          <w14:textFill>
            <w14:solidFill>
              <w14:schemeClr w14:val="tx1"/>
            </w14:solidFill>
          </w14:textFill>
        </w:rPr>
        <w:t xml:space="preserve">              </w:t>
      </w:r>
      <w:r>
        <w:rPr>
          <w:szCs w:val="21"/>
          <w:u w:val="single"/>
        </w:rPr>
        <w:t xml:space="preserve">                                                </w:t>
      </w:r>
      <w:r/>
    </w:p>
    <w:p>
      <w:pPr>
        <w:numPr>
          <w:ilvl w:val="0"/>
          <w:numId w:val="16"/>
        </w:numPr>
        <w:ind w:firstLine="422"/>
        <w:spacing w:line="400" w:lineRule="exact"/>
        <w:rPr>
          <w:b/>
          <w:szCs w:val="21"/>
        </w:rPr>
      </w:pPr>
      <w:r>
        <w:rPr>
          <w:b/>
          <w:szCs w:val="21"/>
        </w:rPr>
        <w:t xml:space="preserve">合同验收</w:t>
      </w:r>
      <w:r/>
    </w:p>
    <w:p>
      <w:pPr>
        <w:numPr>
          <w:ilvl w:val="0"/>
          <w:numId w:val="18"/>
        </w:numPr>
        <w:ind w:firstLine="420"/>
        <w:spacing w:line="400" w:lineRule="exact"/>
        <w:rPr>
          <w:bCs/>
          <w:szCs w:val="21"/>
        </w:rPr>
      </w:pPr>
      <w:r>
        <w:rPr>
          <w:bCs/>
          <w:szCs w:val="21"/>
        </w:rPr>
        <w:t xml:space="preserve">验收组织方式：</w:t>
      </w:r>
      <w:r>
        <w:rPr>
          <w:rFonts w:ascii="Wingdings" w:hAnsi="Wingdings" w:eastAsia="Wingdings" w:cs="Wingdings"/>
          <w:szCs w:val="21"/>
        </w:rPr>
        <w:t xml:space="preserve">¨</w:t>
      </w:r>
      <w:r>
        <w:rPr>
          <w:bCs/>
          <w:szCs w:val="21"/>
        </w:rPr>
        <w:t xml:space="preserve">自行组织 </w:t>
      </w:r>
      <w:r>
        <w:rPr>
          <w:rFonts w:ascii="Wingdings" w:hAnsi="Wingdings" w:eastAsia="Wingdings" w:cs="Wingdings"/>
          <w:szCs w:val="21"/>
        </w:rPr>
        <w:t xml:space="preserve">¨</w:t>
      </w:r>
      <w:r>
        <w:rPr>
          <w:bCs/>
          <w:szCs w:val="21"/>
        </w:rPr>
        <w:t xml:space="preserve">委托第三方组织</w:t>
      </w:r>
      <w:r/>
    </w:p>
    <w:p>
      <w:pPr>
        <w:spacing w:line="400" w:lineRule="exact"/>
        <w:rPr>
          <w:bCs/>
          <w:szCs w:val="21"/>
        </w:rPr>
      </w:pPr>
      <w:r>
        <w:rPr>
          <w:bCs/>
          <w:szCs w:val="21"/>
        </w:rPr>
        <w:t xml:space="preserve">         验收主体：</w:t>
      </w:r>
      <w:r>
        <w:rPr>
          <w:bCs/>
          <w:szCs w:val="21"/>
          <w:u w:val="single"/>
        </w:rPr>
        <w:t xml:space="preserve">                  </w:t>
      </w:r>
      <w:r/>
    </w:p>
    <w:p>
      <w:pPr>
        <w:spacing w:line="400" w:lineRule="exact"/>
        <w:rPr>
          <w:bCs/>
          <w:szCs w:val="21"/>
        </w:rPr>
      </w:pPr>
      <w:r>
        <w:rPr>
          <w:bCs/>
          <w:szCs w:val="21"/>
        </w:rPr>
        <w:t xml:space="preserve">        是否邀请本项目的其他供应商参加验收：</w:t>
      </w:r>
      <w:r>
        <w:rPr>
          <w:rFonts w:ascii="Wingdings" w:hAnsi="Wingdings" w:eastAsia="Wingdings" w:cs="Wingdings"/>
          <w:szCs w:val="21"/>
        </w:rPr>
        <w:t xml:space="preserve">¨</w:t>
      </w:r>
      <w:r>
        <w:rPr>
          <w:bCs/>
          <w:szCs w:val="21"/>
        </w:rPr>
        <w:t xml:space="preserve">是  </w:t>
      </w:r>
      <w:r>
        <w:rPr>
          <w:rFonts w:ascii="Wingdings" w:hAnsi="Wingdings" w:eastAsia="Wingdings" w:cs="Wingdings"/>
          <w:szCs w:val="21"/>
        </w:rPr>
        <w:t xml:space="preserve">¨</w:t>
      </w:r>
      <w:r>
        <w:rPr>
          <w:bCs/>
          <w:szCs w:val="21"/>
        </w:rPr>
        <w:t xml:space="preserve">否</w:t>
      </w:r>
      <w:r/>
    </w:p>
    <w:p>
      <w:pPr>
        <w:ind w:firstLine="840"/>
        <w:spacing w:line="400" w:lineRule="exact"/>
        <w:rPr>
          <w:bCs/>
          <w:szCs w:val="21"/>
        </w:rPr>
      </w:pPr>
      <w:r>
        <w:rPr>
          <w:bCs/>
          <w:szCs w:val="21"/>
        </w:rPr>
        <w:t xml:space="preserve">是否邀请专家参加验收：</w:t>
      </w:r>
      <w:r>
        <w:rPr>
          <w:rFonts w:ascii="Wingdings" w:hAnsi="Wingdings" w:eastAsia="Wingdings" w:cs="Wingdings"/>
          <w:szCs w:val="21"/>
        </w:rPr>
        <w:t xml:space="preserve">¨</w:t>
      </w:r>
      <w:r>
        <w:rPr>
          <w:bCs/>
          <w:szCs w:val="21"/>
        </w:rPr>
        <w:t xml:space="preserve">是  </w:t>
      </w:r>
      <w:r>
        <w:rPr>
          <w:rFonts w:ascii="Wingdings" w:hAnsi="Wingdings" w:eastAsia="Wingdings" w:cs="Wingdings"/>
          <w:szCs w:val="21"/>
        </w:rPr>
        <w:t xml:space="preserve">¨</w:t>
      </w:r>
      <w:r>
        <w:rPr>
          <w:bCs/>
          <w:szCs w:val="21"/>
        </w:rPr>
        <w:t xml:space="preserve">否</w:t>
      </w:r>
      <w:r/>
    </w:p>
    <w:p>
      <w:pPr>
        <w:ind w:firstLine="840"/>
        <w:spacing w:line="400" w:lineRule="exact"/>
        <w:rPr>
          <w:bCs/>
          <w:szCs w:val="21"/>
        </w:rPr>
      </w:pPr>
      <w:r>
        <w:rPr>
          <w:bCs/>
          <w:szCs w:val="21"/>
        </w:rPr>
        <w:t xml:space="preserve">是否邀请服务对象参加验收：</w:t>
      </w:r>
      <w:r>
        <w:rPr>
          <w:rFonts w:ascii="Wingdings" w:hAnsi="Wingdings" w:eastAsia="Wingdings" w:cs="Wingdings"/>
          <w:szCs w:val="21"/>
        </w:rPr>
        <w:t xml:space="preserve">¨</w:t>
      </w:r>
      <w:r>
        <w:rPr>
          <w:bCs/>
          <w:szCs w:val="21"/>
        </w:rPr>
        <w:t xml:space="preserve">是  </w:t>
      </w:r>
      <w:r>
        <w:rPr>
          <w:rFonts w:ascii="Wingdings" w:hAnsi="Wingdings" w:eastAsia="Wingdings" w:cs="Wingdings"/>
          <w:szCs w:val="21"/>
        </w:rPr>
        <w:t xml:space="preserve">¨</w:t>
      </w:r>
      <w:r>
        <w:rPr>
          <w:bCs/>
          <w:szCs w:val="21"/>
        </w:rPr>
        <w:t xml:space="preserve">否</w:t>
      </w:r>
      <w:r/>
    </w:p>
    <w:p>
      <w:pPr>
        <w:ind w:firstLine="840"/>
        <w:spacing w:line="400" w:lineRule="exact"/>
        <w:rPr>
          <w:bCs/>
          <w:szCs w:val="21"/>
        </w:rPr>
      </w:pPr>
      <w:r>
        <w:rPr>
          <w:bCs/>
          <w:szCs w:val="21"/>
        </w:rPr>
        <w:t xml:space="preserve">是否邀请第三方检测机构参加验收：</w:t>
      </w:r>
      <w:r>
        <w:rPr>
          <w:rFonts w:ascii="Wingdings" w:hAnsi="Wingdings" w:eastAsia="Wingdings" w:cs="Wingdings"/>
          <w:szCs w:val="21"/>
        </w:rPr>
        <w:t xml:space="preserve">¨</w:t>
      </w:r>
      <w:r>
        <w:rPr>
          <w:bCs/>
          <w:szCs w:val="21"/>
        </w:rPr>
        <w:t xml:space="preserve">是  </w:t>
      </w:r>
      <w:r>
        <w:rPr>
          <w:rFonts w:ascii="Wingdings" w:hAnsi="Wingdings" w:eastAsia="Wingdings" w:cs="Wingdings"/>
          <w:szCs w:val="21"/>
        </w:rPr>
        <w:t xml:space="preserve">¨</w:t>
      </w:r>
      <w:r>
        <w:rPr>
          <w:bCs/>
          <w:szCs w:val="21"/>
        </w:rPr>
        <w:t xml:space="preserve">否</w:t>
      </w:r>
      <w:r/>
    </w:p>
    <w:p>
      <w:pPr>
        <w:ind w:firstLine="840"/>
        <w:spacing w:line="400" w:lineRule="exact"/>
        <w:rPr>
          <w:bCs/>
          <w:szCs w:val="21"/>
        </w:rPr>
      </w:pPr>
      <w:r>
        <w:rPr>
          <w:bCs/>
          <w:szCs w:val="21"/>
        </w:rPr>
        <w:t xml:space="preserve">是否进行抽查检测：</w:t>
      </w:r>
      <w:r>
        <w:rPr>
          <w:rFonts w:ascii="Wingdings" w:hAnsi="Wingdings" w:eastAsia="Wingdings" w:cs="Wingdings"/>
          <w:szCs w:val="21"/>
        </w:rPr>
        <w:t xml:space="preserve">¨</w:t>
      </w:r>
      <w:r>
        <w:rPr>
          <w:bCs/>
          <w:szCs w:val="21"/>
        </w:rPr>
        <w:t xml:space="preserve">是，抽查比例：</w:t>
      </w:r>
      <w:r>
        <w:rPr>
          <w:bCs/>
          <w:szCs w:val="21"/>
          <w:u w:val="single"/>
        </w:rPr>
        <w:t xml:space="preserve">        </w:t>
      </w:r>
      <w:r>
        <w:rPr>
          <w:bCs/>
          <w:szCs w:val="21"/>
        </w:rPr>
        <w:t xml:space="preserve"> </w:t>
      </w:r>
      <w:r>
        <w:rPr>
          <w:rFonts w:ascii="Wingdings" w:hAnsi="Wingdings" w:eastAsia="Wingdings" w:cs="Wingdings"/>
          <w:szCs w:val="21"/>
        </w:rPr>
        <w:t xml:space="preserve">¨</w:t>
      </w:r>
      <w:r>
        <w:rPr>
          <w:bCs/>
          <w:szCs w:val="21"/>
        </w:rPr>
        <w:t xml:space="preserve">否</w:t>
      </w:r>
      <w:r/>
    </w:p>
    <w:p>
      <w:pPr>
        <w:ind w:firstLine="840"/>
        <w:spacing w:line="400" w:lineRule="exact"/>
        <w:rPr>
          <w:bCs/>
          <w:szCs w:val="21"/>
          <w:u w:val="single"/>
        </w:rPr>
      </w:pPr>
      <w:r>
        <w:rPr>
          <w:bCs/>
          <w:szCs w:val="21"/>
        </w:rPr>
        <w:t xml:space="preserve">是否存在破坏性检测：</w:t>
      </w:r>
      <w:r>
        <w:rPr>
          <w:rFonts w:ascii="Wingdings" w:hAnsi="Wingdings" w:eastAsia="Wingdings" w:cs="Wingdings"/>
          <w:szCs w:val="21"/>
        </w:rPr>
        <w:t xml:space="preserve">¨</w:t>
      </w:r>
      <w:r>
        <w:rPr>
          <w:bCs/>
          <w:szCs w:val="21"/>
        </w:rPr>
        <w:t xml:space="preserve">是，</w:t>
      </w:r>
      <w:r>
        <w:rPr>
          <w:bCs/>
          <w:szCs w:val="21"/>
          <w:u w:val="single"/>
        </w:rPr>
        <w:t xml:space="preserve">（应明确对被破坏的检测产品的处理方式）</w:t>
      </w:r>
      <w:r/>
    </w:p>
    <w:p>
      <w:pPr>
        <w:ind w:firstLine="840"/>
        <w:spacing w:line="400" w:lineRule="exact"/>
        <w:rPr>
          <w:bCs/>
          <w:szCs w:val="21"/>
        </w:rPr>
      </w:pPr>
      <w:r>
        <w:rPr>
          <w:bCs/>
          <w:szCs w:val="21"/>
        </w:rPr>
        <w:t xml:space="preserve">                    </w:t>
      </w:r>
      <w:r>
        <w:rPr>
          <w:rFonts w:ascii="Wingdings" w:hAnsi="Wingdings" w:eastAsia="Wingdings" w:cs="Wingdings"/>
          <w:szCs w:val="21"/>
        </w:rPr>
        <w:t xml:space="preserve">¨</w:t>
      </w:r>
      <w:r>
        <w:rPr>
          <w:bCs/>
          <w:szCs w:val="21"/>
        </w:rPr>
        <w:t xml:space="preserve">否</w:t>
      </w:r>
      <w:r/>
    </w:p>
    <w:p>
      <w:pPr>
        <w:ind w:firstLine="840"/>
        <w:spacing w:line="400" w:lineRule="exact"/>
        <w:rPr>
          <w:bCs/>
          <w:szCs w:val="21"/>
          <w:u w:val="single"/>
        </w:rPr>
      </w:pPr>
      <w:r>
        <w:rPr>
          <w:bCs/>
          <w:szCs w:val="21"/>
        </w:rPr>
        <w:t xml:space="preserve">验收组织的其他事项：</w:t>
      </w:r>
      <w:r>
        <w:rPr>
          <w:bCs/>
          <w:szCs w:val="21"/>
          <w:u w:val="single"/>
        </w:rPr>
        <w:t xml:space="preserve">                </w:t>
      </w:r>
      <w:r/>
    </w:p>
    <w:p>
      <w:pPr>
        <w:ind w:firstLine="420"/>
        <w:spacing w:line="400" w:lineRule="exact"/>
        <w:rPr>
          <w:bCs/>
          <w:szCs w:val="21"/>
          <w:u w:val="single"/>
        </w:rPr>
      </w:pPr>
      <w:r>
        <w:rPr>
          <w:bCs/>
          <w:szCs w:val="21"/>
        </w:rPr>
        <w:t xml:space="preserve">（2）履约验收时间：</w:t>
      </w:r>
      <w:r>
        <w:rPr>
          <w:bCs/>
          <w:szCs w:val="21"/>
          <w:u w:val="single"/>
        </w:rPr>
        <w:t xml:space="preserve">   详见合同附件：履约验收方案    </w:t>
      </w:r>
      <w:r/>
    </w:p>
    <w:p>
      <w:pPr>
        <w:ind w:firstLine="420"/>
        <w:spacing w:line="400" w:lineRule="exact"/>
        <w:rPr>
          <w:bCs/>
          <w:szCs w:val="21"/>
        </w:rPr>
      </w:pPr>
      <w:r>
        <w:rPr>
          <w:bCs/>
          <w:szCs w:val="21"/>
        </w:rPr>
        <w:t xml:space="preserve">（3）履约验收方式：</w:t>
      </w:r>
      <w:r>
        <w:rPr>
          <w:rFonts w:ascii="Wingdings" w:hAnsi="Wingdings" w:eastAsia="Wingdings" w:cs="Wingdings"/>
          <w:szCs w:val="21"/>
        </w:rPr>
        <w:t xml:space="preserve">¨</w:t>
      </w:r>
      <w:r>
        <w:rPr>
          <w:bCs/>
          <w:szCs w:val="21"/>
        </w:rPr>
        <w:t xml:space="preserve">一次性验收         </w:t>
      </w:r>
      <w:r/>
    </w:p>
    <w:p>
      <w:pPr>
        <w:spacing w:line="400" w:lineRule="exact"/>
        <w:rPr>
          <w:bCs/>
          <w:szCs w:val="21"/>
          <w:highlight w:val="none"/>
        </w:rPr>
      </w:pPr>
      <w:r>
        <w:rPr>
          <w:bCs/>
          <w:szCs w:val="21"/>
        </w:rPr>
        <w:t xml:space="preserve">                 </w:t>
      </w:r>
      <w:r>
        <w:rPr>
          <w:bCs/>
          <w:szCs w:val="21"/>
          <w:highlight w:val="none"/>
        </w:rPr>
        <w:t xml:space="preserve">      </w:t>
      </w:r>
      <w:r>
        <w:rPr>
          <w:rFonts w:eastAsiaTheme="minorEastAsia"/>
          <w:color w:val="000000" w:themeColor="text1"/>
          <w:highlight w:val="none"/>
          <w14:textFill>
            <w14:solidFill>
              <w14:schemeClr w14:val="tx1"/>
            </w14:solidFill>
          </w14:textFill>
        </w:rPr>
        <w:t xml:space="preserve">☑</w:t>
      </w:r>
      <w:r>
        <w:rPr>
          <w:bCs/>
          <w:szCs w:val="21"/>
          <w:highlight w:val="none"/>
        </w:rPr>
        <w:t xml:space="preserve">分期/分项验收：</w:t>
      </w:r>
      <w:r>
        <w:rPr>
          <w:bCs/>
          <w:szCs w:val="21"/>
          <w:highlight w:val="none"/>
          <w:u w:val="single"/>
        </w:rPr>
        <w:t xml:space="preserve"> </w:t>
      </w:r>
      <w:r>
        <w:rPr>
          <w:rFonts w:hint="eastAsia"/>
          <w:bCs/>
          <w:szCs w:val="21"/>
          <w:highlight w:val="none"/>
          <w:u w:val="single"/>
        </w:rPr>
        <w:t xml:space="preserve">（应明确共分 2期（段），第一期（设备到场验收） ：供应商将全部电梯设备运至指定安装现场后，由甲方组织对设备的品牌、型号、规格、数量、外观质量、随机技术文件及备品备件等进行到场验收。验收合格后方可进行安装施工。第二期（最终竣工验收） ：电梯安装调试完毕、试运行正常，并取得特种设备监督检验机构出具的监督检验合格报告及</w:t>
      </w:r>
      <w:r>
        <w:rPr>
          <w:rFonts w:hint="eastAsia" w:asciiTheme="minorEastAsia" w:hAnsiTheme="minorEastAsia" w:eastAsiaTheme="minorEastAsia" w:cstheme="minorEastAsia"/>
          <w:sz w:val="21"/>
          <w:szCs w:val="21"/>
          <w:highlight w:val="none"/>
          <w:u w:val="single"/>
        </w:rPr>
        <w:t xml:space="preserve">《特种设备使用标志》</w:t>
      </w:r>
      <w:r>
        <w:rPr>
          <w:rFonts w:hint="eastAsia"/>
          <w:bCs/>
          <w:szCs w:val="21"/>
          <w:highlight w:val="none"/>
          <w:u w:val="single"/>
        </w:rPr>
        <w:t xml:space="preserve">后，由甲方组织最终竣工验收。验收合格后，双方签署最终验收报告，进入质保期。</w:t>
      </w:r>
      <w:r>
        <w:rPr>
          <w:bCs/>
          <w:szCs w:val="21"/>
          <w:highlight w:val="none"/>
          <w:u w:val="single"/>
        </w:rPr>
        <w:t xml:space="preserve">  </w:t>
      </w:r>
      <w:r/>
    </w:p>
    <w:p>
      <w:pPr>
        <w:ind w:firstLine="420"/>
        <w:spacing w:line="400" w:lineRule="exact"/>
        <w:rPr>
          <w:bCs/>
          <w:szCs w:val="21"/>
        </w:rPr>
      </w:pPr>
      <w:r>
        <w:rPr>
          <w:bCs/>
          <w:szCs w:val="21"/>
        </w:rPr>
        <w:t xml:space="preserve">（4）履约验收程序：</w:t>
      </w:r>
      <w:r>
        <w:rPr>
          <w:bCs/>
          <w:szCs w:val="21"/>
          <w:u w:val="single"/>
        </w:rPr>
        <w:t xml:space="preserve">   详见合同附件：履约验收方案    </w:t>
      </w:r>
      <w:r/>
    </w:p>
    <w:p>
      <w:pPr>
        <w:ind w:firstLine="420"/>
        <w:spacing w:line="400" w:lineRule="exact"/>
        <w:rPr>
          <w:bCs/>
          <w:szCs w:val="21"/>
          <w:u w:val="single"/>
        </w:rPr>
      </w:pPr>
      <w:r>
        <w:rPr>
          <w:bCs/>
          <w:szCs w:val="21"/>
        </w:rPr>
        <w:t xml:space="preserve">（5）履约验收的内容：</w:t>
      </w:r>
      <w:r>
        <w:rPr>
          <w:bCs/>
          <w:szCs w:val="21"/>
          <w:u w:val="single"/>
        </w:rPr>
        <w:t xml:space="preserve"> 详见合同附件：履约验收方案    </w:t>
      </w:r>
      <w:r/>
    </w:p>
    <w:p>
      <w:pPr>
        <w:ind w:firstLine="420"/>
        <w:spacing w:line="400" w:lineRule="exact"/>
        <w:rPr>
          <w:bCs/>
          <w:szCs w:val="21"/>
          <w:u w:val="single"/>
        </w:rPr>
      </w:pPr>
      <w:r>
        <w:rPr>
          <w:bCs/>
          <w:szCs w:val="21"/>
        </w:rPr>
        <w:t xml:space="preserve">（6）履约验收标准：</w:t>
      </w:r>
      <w:r>
        <w:rPr>
          <w:bCs/>
          <w:szCs w:val="21"/>
          <w:u w:val="single"/>
        </w:rPr>
        <w:t xml:space="preserve">   详见合同附件：履约验收方案    </w:t>
      </w:r>
      <w:r/>
    </w:p>
    <w:p>
      <w:pPr>
        <w:pStyle w:val="1202"/>
        <w:ind w:firstLine="420"/>
        <w:rPr>
          <w:rFonts w:ascii="Times New Roman" w:hAnsi="Times New Roman" w:eastAsia="宋体" w:cs="Times New Roman"/>
          <w:sz w:val="21"/>
        </w:rPr>
      </w:pPr>
      <w:r>
        <w:rPr>
          <w:rFonts w:ascii="Times New Roman" w:hAnsi="Times New Roman" w:eastAsia="宋体" w:cs="Times New Roman"/>
          <w:bCs/>
          <w:sz w:val="21"/>
        </w:rPr>
        <w:t xml:space="preserve">（7）是否以采购活动中供应商提供的样品作为参考：</w:t>
      </w:r>
      <w:r>
        <w:rPr>
          <w:rFonts w:ascii="Wingdings" w:hAnsi="Wingdings" w:eastAsia="Wingdings" w:cs="Wingdings"/>
          <w:sz w:val="21"/>
        </w:rPr>
        <w:t xml:space="preserve">¨</w:t>
      </w:r>
      <w:r>
        <w:rPr>
          <w:rFonts w:ascii="Times New Roman" w:hAnsi="Times New Roman" w:eastAsia="宋体" w:cs="Times New Roman"/>
          <w:bCs/>
          <w:sz w:val="21"/>
        </w:rPr>
        <w:t xml:space="preserve">是</w:t>
      </w:r>
      <w:r>
        <w:rPr>
          <w:rFonts w:ascii="Times New Roman" w:hAnsi="Times New Roman" w:eastAsia="宋体" w:cs="Times New Roman"/>
          <w:bCs/>
          <w:sz w:val="21"/>
          <w:highlight w:val="none"/>
        </w:rPr>
        <w:t xml:space="preserve">  </w:t>
      </w:r>
      <w:r>
        <w:rPr>
          <w:rFonts w:ascii="Times New Roman" w:hAnsi="Times New Roman" w:cs="Times New Roman" w:eastAsiaTheme="minorEastAsia"/>
          <w:color w:val="000000" w:themeColor="text1"/>
          <w:highlight w:val="none"/>
          <w14:textFill>
            <w14:solidFill>
              <w14:schemeClr w14:val="tx1"/>
            </w14:solidFill>
          </w14:textFill>
        </w:rPr>
        <w:t xml:space="preserve">☑</w:t>
      </w:r>
      <w:r>
        <w:rPr>
          <w:rFonts w:ascii="Times New Roman" w:hAnsi="Times New Roman" w:eastAsia="宋体" w:cs="Times New Roman"/>
          <w:bCs/>
          <w:sz w:val="21"/>
          <w:highlight w:val="none"/>
        </w:rPr>
        <w:t xml:space="preserve">否</w:t>
      </w:r>
      <w:r/>
    </w:p>
    <w:p>
      <w:pPr>
        <w:ind w:firstLine="420"/>
        <w:spacing w:line="400" w:lineRule="exact"/>
        <w:rPr>
          <w:bCs/>
          <w:szCs w:val="21"/>
          <w:u w:val="single"/>
        </w:rPr>
      </w:pPr>
      <w:r>
        <w:rPr>
          <w:bCs/>
          <w:szCs w:val="21"/>
        </w:rPr>
        <w:t xml:space="preserve">（8）履约验收其他事项：</w:t>
      </w:r>
      <w:r>
        <w:rPr>
          <w:bCs/>
          <w:szCs w:val="21"/>
          <w:u w:val="single"/>
        </w:rPr>
        <w:t xml:space="preserve">本项目将根据政府采购法及相关法规，《江苏省政府采购履约验收管理办法》以及《关于进一步加强履约验收管理的通知》文件的规定，对供应商进行履约验收，采购文件中设置检测报告相关要求的，应聘请检测机构实施检验、出具检测报告。具体履约验收方案详见合同附件。 </w:t>
      </w:r>
      <w:r/>
    </w:p>
    <w:p>
      <w:pPr>
        <w:numPr>
          <w:ilvl w:val="0"/>
          <w:numId w:val="16"/>
        </w:numPr>
        <w:ind w:firstLine="422"/>
        <w:spacing w:line="400" w:lineRule="exact"/>
        <w:rPr>
          <w:b/>
          <w:szCs w:val="21"/>
        </w:rPr>
      </w:pPr>
      <w:r>
        <w:rPr>
          <w:b/>
          <w:szCs w:val="21"/>
        </w:rPr>
        <w:t xml:space="preserve">组成合同的文件</w:t>
      </w:r>
      <w:r/>
    </w:p>
    <w:p>
      <w:pPr>
        <w:ind w:firstLine="420"/>
        <w:spacing w:line="400" w:lineRule="exact"/>
        <w:rPr>
          <w:szCs w:val="21"/>
        </w:rPr>
      </w:pPr>
      <w:r>
        <w:rPr>
          <w:szCs w:val="21"/>
        </w:rPr>
        <w:t xml:space="preserve">本协议书与下列文件一起构成合同文件，如下述文件之间有任何抵触、矛盾或歧义，应按以下顺序解释：</w:t>
      </w:r>
      <w:r/>
    </w:p>
    <w:p>
      <w:pPr>
        <w:ind w:firstLine="420"/>
        <w:spacing w:line="400" w:lineRule="exact"/>
        <w:rPr>
          <w:szCs w:val="21"/>
        </w:rPr>
      </w:pPr>
      <w:r>
        <w:rPr>
          <w:szCs w:val="21"/>
        </w:rPr>
        <w:t xml:space="preserve">（1）政府采购合同协议书及其变更、补充协议</w:t>
      </w:r>
      <w:r/>
    </w:p>
    <w:p>
      <w:pPr>
        <w:ind w:firstLine="420"/>
        <w:spacing w:line="400" w:lineRule="exact"/>
        <w:rPr>
          <w:szCs w:val="21"/>
        </w:rPr>
      </w:pPr>
      <w:r>
        <w:rPr>
          <w:szCs w:val="21"/>
        </w:rPr>
        <w:t xml:space="preserve">（2）政府采购合同专用条款</w:t>
      </w:r>
      <w:r/>
    </w:p>
    <w:p>
      <w:pPr>
        <w:ind w:firstLine="420"/>
        <w:spacing w:line="400" w:lineRule="exact"/>
        <w:rPr>
          <w:szCs w:val="21"/>
        </w:rPr>
      </w:pPr>
      <w:r>
        <w:rPr>
          <w:szCs w:val="21"/>
        </w:rPr>
        <w:t xml:space="preserve">（3）政府采购合同通用条款</w:t>
      </w:r>
      <w:r/>
    </w:p>
    <w:p>
      <w:pPr>
        <w:ind w:firstLine="420"/>
        <w:spacing w:line="400" w:lineRule="exact"/>
        <w:rPr>
          <w:szCs w:val="21"/>
        </w:rPr>
      </w:pPr>
      <w:r>
        <w:rPr>
          <w:szCs w:val="21"/>
        </w:rPr>
        <w:t xml:space="preserve">（4）中标（成交）通知书</w:t>
      </w:r>
      <w:r/>
    </w:p>
    <w:p>
      <w:pPr>
        <w:ind w:firstLine="420"/>
        <w:spacing w:line="400" w:lineRule="exact"/>
        <w:rPr>
          <w:szCs w:val="21"/>
        </w:rPr>
      </w:pPr>
      <w:r>
        <w:rPr>
          <w:szCs w:val="21"/>
        </w:rPr>
        <w:t xml:space="preserve">（5）投标（响应）文件</w:t>
      </w:r>
      <w:r/>
    </w:p>
    <w:p>
      <w:pPr>
        <w:ind w:firstLine="420"/>
        <w:spacing w:line="400" w:lineRule="exact"/>
        <w:rPr>
          <w:szCs w:val="21"/>
        </w:rPr>
      </w:pPr>
      <w:r>
        <w:rPr>
          <w:szCs w:val="21"/>
        </w:rPr>
        <w:t xml:space="preserve">（6）采购文件</w:t>
      </w:r>
      <w:r/>
    </w:p>
    <w:p>
      <w:pPr>
        <w:ind w:firstLine="420"/>
        <w:spacing w:line="400" w:lineRule="exact"/>
        <w:rPr>
          <w:szCs w:val="21"/>
        </w:rPr>
      </w:pPr>
      <w:r>
        <w:rPr>
          <w:szCs w:val="21"/>
        </w:rPr>
        <w:t xml:space="preserve">（7）有关技术文件，图纸</w:t>
      </w:r>
      <w:r/>
    </w:p>
    <w:p>
      <w:pPr>
        <w:pStyle w:val="1202"/>
        <w:ind w:firstLine="420"/>
        <w:rPr>
          <w:rFonts w:ascii="Times New Roman" w:hAnsi="Times New Roman" w:eastAsia="宋体" w:cs="Times New Roman"/>
          <w:sz w:val="21"/>
        </w:rPr>
      </w:pPr>
      <w:r>
        <w:rPr>
          <w:rFonts w:ascii="Times New Roman" w:hAnsi="Times New Roman" w:eastAsia="宋体" w:cs="Times New Roman"/>
          <w:sz w:val="21"/>
        </w:rPr>
        <w:t xml:space="preserve">（8）</w:t>
      </w:r>
      <w:r>
        <w:rPr>
          <w:rFonts w:ascii="Times New Roman" w:hAnsi="Times New Roman" w:eastAsia="宋体" w:cs="Times New Roman"/>
          <w:color w:val="000000" w:themeColor="text1"/>
          <w:sz w:val="21"/>
          <w14:textFill>
            <w14:solidFill>
              <w14:schemeClr w14:val="tx1"/>
            </w14:solidFill>
          </w14:textFill>
        </w:rPr>
        <w:t xml:space="preserve">国家法律、行政法规和规章制度规定或合同约定的作为合同组成部分的其他文件</w:t>
      </w:r>
      <w:r/>
    </w:p>
    <w:p>
      <w:pPr>
        <w:numPr>
          <w:ilvl w:val="0"/>
          <w:numId w:val="16"/>
        </w:numPr>
        <w:ind w:firstLine="422"/>
        <w:spacing w:line="400" w:lineRule="exact"/>
        <w:rPr>
          <w:b/>
          <w:szCs w:val="21"/>
        </w:rPr>
      </w:pPr>
      <w:r>
        <w:rPr>
          <w:b/>
          <w:szCs w:val="21"/>
        </w:rPr>
        <w:t xml:space="preserve">合同生效</w:t>
      </w:r>
      <w:r/>
    </w:p>
    <w:p>
      <w:pPr>
        <w:ind w:firstLine="420"/>
        <w:spacing w:line="400" w:lineRule="exact"/>
        <w:rPr>
          <w:szCs w:val="21"/>
        </w:rPr>
      </w:pPr>
      <w:r/>
      <w:bookmarkStart w:id="74" w:name="_Hlk195894663"/>
      <w:r>
        <w:rPr>
          <w:szCs w:val="21"/>
        </w:rPr>
        <w:t xml:space="preserve">本合同自</w:t>
      </w:r>
      <w:r>
        <w:rPr>
          <w:szCs w:val="21"/>
          <w:u w:val="single"/>
        </w:rPr>
        <w:t xml:space="preserve"> 甲乙双方加盖公章或电子公章之日 起</w:t>
      </w:r>
      <w:r>
        <w:rPr>
          <w:szCs w:val="21"/>
        </w:rPr>
        <w:t xml:space="preserve">生效。</w:t>
      </w:r>
      <w:bookmarkEnd w:id="74"/>
      <w:r/>
      <w:r/>
    </w:p>
    <w:p>
      <w:pPr>
        <w:numPr>
          <w:ilvl w:val="0"/>
          <w:numId w:val="16"/>
        </w:numPr>
        <w:ind w:firstLine="422"/>
        <w:spacing w:line="400" w:lineRule="exact"/>
        <w:rPr>
          <w:b/>
          <w:szCs w:val="21"/>
        </w:rPr>
      </w:pPr>
      <w:r>
        <w:rPr>
          <w:b/>
          <w:szCs w:val="21"/>
        </w:rPr>
        <w:t xml:space="preserve">合同份数</w:t>
      </w:r>
      <w:r/>
    </w:p>
    <w:p>
      <w:pPr>
        <w:ind w:firstLine="420"/>
        <w:spacing w:line="400" w:lineRule="exact"/>
        <w:rPr>
          <w:szCs w:val="21"/>
        </w:rPr>
      </w:pPr>
      <w:r>
        <w:rPr>
          <w:szCs w:val="21"/>
        </w:rPr>
        <w:t xml:space="preserve">本合同一式</w:t>
      </w:r>
      <w:r>
        <w:rPr>
          <w:szCs w:val="21"/>
          <w:u w:val="single"/>
        </w:rPr>
        <w:t xml:space="preserve">    </w:t>
      </w:r>
      <w:r>
        <w:rPr>
          <w:szCs w:val="21"/>
        </w:rPr>
        <w:t xml:space="preserve">份，甲方执</w:t>
      </w:r>
      <w:r>
        <w:rPr>
          <w:szCs w:val="21"/>
          <w:u w:val="single"/>
        </w:rPr>
        <w:t xml:space="preserve">    </w:t>
      </w:r>
      <w:r>
        <w:rPr>
          <w:szCs w:val="21"/>
        </w:rPr>
        <w:t xml:space="preserve">份，乙方执</w:t>
      </w:r>
      <w:r>
        <w:rPr>
          <w:szCs w:val="21"/>
          <w:u w:val="single"/>
        </w:rPr>
        <w:t xml:space="preserve">    </w:t>
      </w:r>
      <w:r>
        <w:rPr>
          <w:szCs w:val="21"/>
        </w:rPr>
        <w:t xml:space="preserve">份，均具有同等法律效力。</w:t>
      </w:r>
      <w:r/>
    </w:p>
    <w:p>
      <w:pPr>
        <w:ind w:firstLine="420"/>
        <w:spacing w:line="400" w:lineRule="exact"/>
        <w:rPr>
          <w:szCs w:val="21"/>
        </w:rPr>
      </w:pPr>
      <w:r>
        <w:rPr>
          <w:szCs w:val="21"/>
        </w:rPr>
        <w:t xml:space="preserve">合同订立时间：</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ind w:firstLine="420"/>
        <w:spacing w:line="400" w:lineRule="exact"/>
        <w:rPr>
          <w:szCs w:val="21"/>
        </w:rPr>
      </w:pPr>
      <w:r>
        <w:rPr>
          <w:szCs w:val="21"/>
        </w:rPr>
        <w:t xml:space="preserve">合同订立地点：</w:t>
      </w:r>
      <w:r>
        <w:rPr>
          <w:szCs w:val="21"/>
          <w:u w:val="single"/>
        </w:rPr>
        <w:t xml:space="preserve">                           </w:t>
      </w:r>
      <w:r/>
    </w:p>
    <w:p>
      <w:pPr>
        <w:ind w:firstLine="420"/>
        <w:spacing w:line="400" w:lineRule="exact"/>
        <w:rPr>
          <w:szCs w:val="21"/>
        </w:rPr>
      </w:pPr>
      <w:r>
        <w:rPr>
          <w:szCs w:val="21"/>
        </w:rPr>
        <w:t xml:space="preserve">附件：</w:t>
      </w:r>
      <w:r/>
    </w:p>
    <w:p>
      <w:pPr>
        <w:ind w:firstLine="420"/>
        <w:spacing w:line="400" w:lineRule="exact"/>
        <w:rPr>
          <w:szCs w:val="21"/>
        </w:rPr>
      </w:pPr>
      <w:r>
        <w:rPr>
          <w:szCs w:val="21"/>
        </w:rPr>
        <w:t xml:space="preserve">1、履约验收方案</w:t>
      </w:r>
      <w:r/>
    </w:p>
    <w:p>
      <w:pPr>
        <w:ind w:firstLine="420"/>
        <w:spacing w:line="400" w:lineRule="exact"/>
      </w:pPr>
      <w:r>
        <w:rPr>
          <w:szCs w:val="21"/>
        </w:rPr>
        <w:t xml:space="preserve">2、具体标的及其技术要求和商务要求</w:t>
      </w:r>
      <w:r/>
    </w:p>
    <w:p>
      <w:pPr>
        <w:pStyle w:val="968"/>
        <w:ind w:firstLine="400"/>
        <w:spacing w:line="400" w:lineRule="exact"/>
        <w:rPr>
          <w:rFonts w:ascii="Times New Roman" w:hAnsi="Times New Roman"/>
        </w:rPr>
      </w:pPr>
      <w:r>
        <w:rPr>
          <w:rFonts w:ascii="Times New Roman" w:hAnsi="Times New Roman"/>
        </w:rPr>
      </w:r>
      <w:r/>
    </w:p>
    <w:p>
      <w:pPr>
        <w:pStyle w:val="1136"/>
        <w:rPr>
          <w:rFonts w:ascii="Times New Roman" w:hAnsi="Times New Roman"/>
        </w:rPr>
      </w:pPr>
      <w:r>
        <w:rPr>
          <w:rFonts w:ascii="Times New Roman" w:hAnsi="Times New Roman"/>
          <w:lang w:val="en"/>
        </w:rPr>
        <w:t xml:space="preserve">   </w:t>
      </w:r>
      <w:r/>
    </w:p>
    <w:p>
      <w:r>
        <w:br w:type="page" w:clear="all"/>
      </w:r>
      <w:r/>
    </w:p>
    <w:p>
      <w:pPr>
        <w:pStyle w:val="968"/>
        <w:ind w:firstLine="400"/>
        <w:rPr>
          <w:rFonts w:ascii="Times New Roman" w:hAnsi="Times New Roman"/>
        </w:rPr>
      </w:pPr>
      <w:r>
        <w:rPr>
          <w:rFonts w:ascii="Times New Roman" w:hAnsi="Times New Roman"/>
        </w:rPr>
      </w:r>
      <w:r/>
    </w:p>
    <w:tbl>
      <w:tblPr>
        <w:tblStyle w:val="88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88"/>
        <w:gridCol w:w="2917"/>
        <w:gridCol w:w="2393"/>
        <w:gridCol w:w="2560"/>
      </w:tblGrid>
      <w:tr>
        <w:trPr>
          <w:trHeight w:val="490"/>
        </w:trPr>
        <w:tc>
          <w:tcPr>
            <w:gridSpan w:val="2"/>
            <w:tcBorders>
              <w:top w:val="single" w:color="auto" w:sz="4" w:space="0"/>
              <w:left w:val="single" w:color="auto" w:sz="4" w:space="0"/>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甲方（采购人、受采购人委托签订合同的单位或采购文件约定的合同甲方）</w:t>
            </w:r>
            <w:r/>
          </w:p>
        </w:tc>
        <w:tc>
          <w:tcPr>
            <w:gridSpan w:val="2"/>
            <w:tcBorders>
              <w:top w:val="single" w:color="auto" w:sz="4" w:space="0"/>
              <w:left w:val="single" w:color="auto" w:sz="2" w:space="0"/>
              <w:bottom w:val="single" w:color="auto" w:sz="2" w:space="0"/>
              <w:right w:val="single" w:color="auto" w:sz="4" w:space="0"/>
            </w:tcBorders>
            <w:tcW w:w="2437" w:type="pct"/>
            <w:vAlign w:val="center"/>
            <w:textDirection w:val="lrTb"/>
            <w:noWrap w:val="false"/>
          </w:tcPr>
          <w:p>
            <w:pPr>
              <w:jc w:val="center"/>
              <w:spacing w:line="300" w:lineRule="exact"/>
            </w:pPr>
            <w:r>
              <w:rPr>
                <w:szCs w:val="21"/>
              </w:rPr>
              <w:t xml:space="preserve">乙方（供应商）</w:t>
            </w:r>
            <w:r/>
          </w:p>
        </w:tc>
      </w:tr>
      <w:tr>
        <w:trPr>
          <w:trHeight w:val="917"/>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单位名称（公章或合同章）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left w:val="single" w:color="auto" w:sz="4" w:space="0"/>
              <w:bottom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szCs w:val="21"/>
              </w:rPr>
              <w:t xml:space="preserve">或其委托代理人（签章）</w:t>
            </w:r>
            <w:r/>
          </w:p>
        </w:tc>
        <w:tc>
          <w:tcPr>
            <w:tcBorders>
              <w:top w:val="single" w:color="auto" w:sz="2" w:space="0"/>
              <w:left w:val="single" w:color="auto" w:sz="2" w:space="0"/>
              <w:bottom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szCs w:val="21"/>
              </w:rPr>
              <w:t xml:space="preserve">或其委托代理人（签章）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top w:val="single" w:color="auto" w:sz="2" w:space="0"/>
              <w:left w:val="single" w:color="auto" w:sz="4" w:space="0"/>
              <w:bottom w:val="single" w:color="auto" w:sz="2" w:space="0"/>
              <w:right w:val="single" w:color="auto" w:sz="2" w:space="0"/>
            </w:tcBorders>
            <w:tcW w:w="0" w:type="auto"/>
            <w:vAlign w:val="center"/>
            <w:vMerge w:val="continue"/>
            <w:textDirection w:val="lrTb"/>
            <w:noWrap w:val="false"/>
          </w:tcPr>
          <w:p>
            <w:pPr>
              <w:jc w:val="left"/>
              <w:widowControl/>
              <w:rPr>
                <w:szCs w:val="21"/>
              </w:rPr>
            </w:pPr>
            <w:r>
              <w:rPr>
                <w:szCs w:val="21"/>
              </w:rPr>
            </w:r>
            <w:r/>
          </w:p>
        </w:tc>
        <w:tc>
          <w:tcPr>
            <w:tcBorders>
              <w:top w:val="single" w:color="auto" w:sz="2" w:space="0"/>
              <w:left w:val="single" w:color="auto" w:sz="2" w:space="0"/>
              <w:bottom w:val="single" w:color="auto" w:sz="2" w:space="0"/>
              <w:right w:val="single" w:color="auto" w:sz="2" w:space="0"/>
            </w:tcBorders>
            <w:tcW w:w="0" w:type="auto"/>
            <w:vAlign w:val="center"/>
            <w:vMerge w:val="continue"/>
            <w:textDirection w:val="lrTb"/>
            <w:noWrap w:val="false"/>
          </w:tcPr>
          <w:p>
            <w:pPr>
              <w:jc w:val="left"/>
              <w:widowControl/>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拥有者性别</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住  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通信地址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电子邮箱</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统一社会信用代码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left w:val="single" w:color="auto" w:sz="4" w:space="0"/>
              <w:bottom w:val="single" w:color="auto" w:sz="4" w:space="0"/>
              <w:right w:val="single" w:color="auto" w:sz="4" w:space="0"/>
            </w:tcBorders>
            <w:tcW w:w="5000" w:type="pct"/>
            <w:vAlign w:val="center"/>
            <w:textDirection w:val="lrTb"/>
            <w:noWrap w:val="false"/>
          </w:tcPr>
          <w:p>
            <w:pPr>
              <w:pStyle w:val="899"/>
              <w:ind w:left="0" w:right="40"/>
              <w:spacing w:before="156" w:after="0" w:line="360" w:lineRule="auto"/>
              <w:rPr>
                <w:spacing w:val="20"/>
                <w:szCs w:val="21"/>
              </w:rPr>
            </w:pPr>
            <w:r>
              <w:rPr>
                <w:szCs w:val="21"/>
              </w:rPr>
              <w:t xml:space="preserve">注：涉及联合体或其他合同主体的信息应按上表格式加列。</w:t>
            </w:r>
            <w:r/>
          </w:p>
        </w:tc>
      </w:tr>
    </w:tbl>
    <w:p>
      <w:pPr>
        <w:pStyle w:val="879"/>
        <w:jc w:val="center"/>
        <w:spacing w:before="156" w:line="415" w:lineRule="auto"/>
        <w:rPr>
          <w:rFonts w:ascii="Times New Roman" w:hAnsi="Times New Roman" w:eastAsia="黑体"/>
          <w:sz w:val="28"/>
          <w:szCs w:val="28"/>
        </w:rPr>
      </w:pPr>
      <w:r>
        <w:rPr>
          <w:rFonts w:ascii="Times New Roman" w:hAnsi="Times New Roman"/>
          <w:b w:val="0"/>
          <w:bCs w:val="0"/>
          <w:szCs w:val="21"/>
          <w:u w:val="single"/>
        </w:rPr>
        <w:br w:type="page" w:clear="all"/>
      </w:r>
      <w:bookmarkStart w:id="75" w:name="_Toc27624"/>
      <w:r>
        <w:rPr>
          <w:rFonts w:ascii="Times New Roman" w:hAnsi="Times New Roman" w:eastAsia="黑体"/>
          <w:b w:val="0"/>
          <w:bCs w:val="0"/>
          <w:sz w:val="28"/>
          <w:szCs w:val="28"/>
        </w:rPr>
        <w:t xml:space="preserve">第二节 政府采购合同通用条款</w:t>
      </w:r>
      <w:bookmarkEnd w:id="75"/>
      <w:r/>
      <w:r/>
    </w:p>
    <w:p>
      <w:pPr>
        <w:jc w:val="left"/>
        <w:spacing w:line="400" w:lineRule="exact"/>
        <w:tabs>
          <w:tab w:val="left" w:pos="8820" w:leader="none"/>
          <w:tab w:val="left" w:pos="9345" w:leader="none"/>
          <w:tab w:val="left" w:pos="9765" w:leader="none"/>
        </w:tabs>
        <w:rPr>
          <w:b/>
          <w:bCs/>
          <w:sz w:val="24"/>
        </w:rPr>
      </w:pPr>
      <w:r>
        <w:rPr>
          <w:b/>
          <w:sz w:val="24"/>
        </w:rPr>
        <w:t xml:space="preserve">1. </w:t>
      </w:r>
      <w:r>
        <w:rPr>
          <w:b/>
          <w:bCs/>
          <w:sz w:val="24"/>
        </w:rPr>
        <w:t xml:space="preserve">定义</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1.1合同当事人</w:t>
      </w:r>
      <w:r/>
    </w:p>
    <w:p>
      <w:pPr>
        <w:ind w:firstLine="420"/>
        <w:jc w:val="left"/>
        <w:spacing w:line="400" w:lineRule="exact"/>
        <w:rPr>
          <w:szCs w:val="21"/>
        </w:rPr>
      </w:pPr>
      <w:r>
        <w:rPr>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szCs w:val="21"/>
        </w:rPr>
      </w:pPr>
      <w:r>
        <w:rPr>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szCs w:val="21"/>
        </w:rPr>
      </w:pPr>
      <w:r>
        <w:rPr>
          <w:szCs w:val="21"/>
        </w:rPr>
        <w:t xml:space="preserve">（3）其他合同主体是指除采购人和供应商以外，</w:t>
      </w:r>
      <w:r>
        <w:rPr>
          <w:bCs/>
          <w:color w:val="000000" w:themeColor="text1"/>
          <w:szCs w:val="21"/>
          <w14:textFill>
            <w14:solidFill>
              <w14:schemeClr w14:val="tx1"/>
            </w14:solidFill>
          </w14:textFill>
        </w:rPr>
        <w:t xml:space="preserve">依法参与合同缔结或履行，享有权利、承担义务的合同当事人</w:t>
      </w:r>
      <w:r>
        <w:rPr>
          <w:szCs w:val="21"/>
        </w:rPr>
        <w:t xml:space="preserve">。</w:t>
      </w:r>
      <w:r/>
    </w:p>
    <w:p>
      <w:pPr>
        <w:ind w:firstLine="420"/>
        <w:jc w:val="left"/>
        <w:spacing w:line="400" w:lineRule="exact"/>
        <w:tabs>
          <w:tab w:val="left" w:pos="570" w:leader="none"/>
          <w:tab w:val="left" w:pos="9240" w:leader="none"/>
          <w:tab w:val="left" w:pos="9555" w:leader="none"/>
        </w:tabs>
        <w:rPr>
          <w:szCs w:val="21"/>
        </w:rPr>
      </w:pPr>
      <w:r>
        <w:rPr>
          <w:szCs w:val="21"/>
        </w:rPr>
        <w:t xml:space="preserve">1.2本合同下列术语应解释为：</w:t>
      </w:r>
      <w:r/>
    </w:p>
    <w:p>
      <w:pPr>
        <w:ind w:firstLine="420"/>
        <w:jc w:val="left"/>
        <w:spacing w:line="400" w:lineRule="exact"/>
        <w:rPr>
          <w:szCs w:val="21"/>
        </w:rPr>
      </w:pPr>
      <w:r>
        <w:rPr>
          <w:szCs w:val="21"/>
        </w:rPr>
        <w:t xml:space="preserve">（1）“合同”系指</w:t>
      </w:r>
      <w:r>
        <w:rPr>
          <w:bCs/>
          <w:color w:val="000000" w:themeColor="text1"/>
          <w:szCs w:val="21"/>
          <w14:textFill>
            <w14:solidFill>
              <w14:schemeClr w14:val="tx1"/>
            </w14:solidFill>
          </w14:textFill>
        </w:rPr>
        <w:t xml:space="preserve">合同当事人意思表示达成一致的任何协议，包括签署的</w:t>
      </w:r>
      <w:r>
        <w:rPr>
          <w:szCs w:val="21"/>
        </w:rPr>
        <w:t xml:space="preserve">政府采购合同协议书及其变更、补充协议，政府采购合同专用条款，政府采购合同通用条款，中标（成交）通知书，投标（响应）文件，采购文件，有关技术文件和图纸，以及</w:t>
      </w:r>
      <w:r>
        <w:rPr>
          <w:color w:val="000000" w:themeColor="text1"/>
          <w:szCs w:val="21"/>
          <w14:textFill>
            <w14:solidFill>
              <w14:schemeClr w14:val="tx1"/>
            </w14:solidFill>
          </w14:textFill>
        </w:rPr>
        <w:t xml:space="preserve">国家法律、行政法规和规章制度规定或合同约定的作为合同组成部分的其他文件</w:t>
      </w:r>
      <w:r>
        <w:rPr>
          <w:szCs w:val="21"/>
        </w:rPr>
        <w:t xml:space="preserve">。</w:t>
      </w:r>
      <w:r/>
    </w:p>
    <w:p>
      <w:pPr>
        <w:ind w:firstLine="420"/>
        <w:jc w:val="left"/>
        <w:spacing w:line="400" w:lineRule="exact"/>
        <w:tabs>
          <w:tab w:val="left" w:pos="570" w:leader="none"/>
          <w:tab w:val="left" w:pos="9240" w:leader="none"/>
          <w:tab w:val="left" w:pos="9555" w:leader="none"/>
        </w:tabs>
        <w:rPr>
          <w:szCs w:val="21"/>
        </w:rPr>
      </w:pPr>
      <w:r>
        <w:rPr>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color w:val="000000" w:themeColor="text1"/>
          <w:szCs w:val="21"/>
          <w14:textFill>
            <w14:solidFill>
              <w14:schemeClr w14:val="tx1"/>
            </w14:solidFill>
          </w14:textFill>
        </w:rPr>
      </w:pPr>
      <w:r>
        <w:rPr>
          <w:szCs w:val="21"/>
        </w:rPr>
        <w:t xml:space="preserve">（3）“货物”系指乙方根据本合同规定须向甲方提供的各种形态和种类的物品，包括原材料、设备、产品（</w:t>
      </w:r>
      <w:r>
        <w:rPr>
          <w:color w:val="000000" w:themeColor="text1"/>
          <w:szCs w:val="21"/>
          <w14:textFill>
            <w14:solidFill>
              <w14:schemeClr w14:val="tx1"/>
            </w14:solidFill>
          </w14:textFill>
        </w:rPr>
        <w:t xml:space="preserve">包括软件）及相关的其备品备件、工具、手册及</w:t>
      </w:r>
      <w:r>
        <w:rPr>
          <w:color w:val="000000" w:themeColor="text1"/>
          <w:szCs w:val="21"/>
          <w:lang w:val="en"/>
          <w14:textFill>
            <w14:solidFill>
              <w14:schemeClr w14:val="tx1"/>
            </w14:solidFill>
          </w14:textFill>
        </w:rPr>
        <w:t xml:space="preserve">其他</w:t>
      </w:r>
      <w:r>
        <w:rPr>
          <w:color w:val="000000" w:themeColor="text1"/>
          <w:szCs w:val="21"/>
          <w14:textFill>
            <w14:solidFill>
              <w14:schemeClr w14:val="tx1"/>
            </w14:solidFill>
          </w14:textFill>
        </w:rPr>
        <w:t xml:space="preserve">技术资料和材料等。</w:t>
      </w:r>
      <w:r/>
    </w:p>
    <w:p>
      <w:pPr>
        <w:ind w:firstLine="420"/>
        <w:jc w:val="left"/>
        <w:spacing w:line="400" w:lineRule="exact"/>
        <w:rPr>
          <w:color w:val="000000" w:themeColor="text1"/>
          <w:szCs w:val="21"/>
          <w:highlight w:val="yellow"/>
          <w14:textFill>
            <w14:solidFill>
              <w14:schemeClr w14:val="tx1"/>
            </w14:solidFill>
          </w14:textFill>
        </w:rPr>
      </w:pPr>
      <w:r>
        <w:rPr>
          <w:color w:val="000000" w:themeColor="text1"/>
          <w:szCs w:val="21"/>
          <w14:textFill>
            <w14:solidFill>
              <w14:schemeClr w14:val="tx1"/>
            </w14:solidFill>
          </w14:textFill>
        </w:rPr>
        <w:t xml:space="preserve">（4）“</w:t>
      </w:r>
      <w:r>
        <w:rPr>
          <w:szCs w:val="21"/>
        </w:rPr>
        <w:t xml:space="preserve">相关</w:t>
      </w:r>
      <w:r>
        <w:rPr>
          <w:color w:val="000000" w:themeColor="text1"/>
          <w:szCs w:val="21"/>
          <w14:textFill>
            <w14:solidFill>
              <w14:schemeClr w14:val="tx1"/>
            </w14:solidFill>
          </w14:textFill>
        </w:rPr>
        <w:t xml:space="preserve">服务”系指根据合同规定，乙方应提供的与货物有关的技术、管理和</w:t>
      </w:r>
      <w:r>
        <w:rPr>
          <w:color w:val="000000" w:themeColor="text1"/>
          <w:szCs w:val="21"/>
          <w:lang w:val="en"/>
          <w14:textFill>
            <w14:solidFill>
              <w14:schemeClr w14:val="tx1"/>
            </w14:solidFill>
          </w14:textFill>
        </w:rPr>
        <w:t xml:space="preserve">其他</w:t>
      </w:r>
      <w:r>
        <w:rPr>
          <w:color w:val="000000" w:themeColor="text1"/>
          <w:szCs w:val="2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color w:val="000000" w:themeColor="text1"/>
          <w:szCs w:val="21"/>
          <w:lang w:val="en"/>
          <w14:textFill>
            <w14:solidFill>
              <w14:schemeClr w14:val="tx1"/>
            </w14:solidFill>
          </w14:textFill>
        </w:rPr>
        <w:t xml:space="preserve">其他</w:t>
      </w:r>
      <w:r>
        <w:rPr>
          <w:color w:val="000000" w:themeColor="text1"/>
          <w:szCs w:val="21"/>
          <w14:textFill>
            <w14:solidFill>
              <w14:schemeClr w14:val="tx1"/>
            </w14:solidFill>
          </w14:textFill>
        </w:rPr>
        <w:t xml:space="preserve">义务。</w:t>
      </w:r>
      <w:r/>
    </w:p>
    <w:p>
      <w:pPr>
        <w:ind w:firstLine="420"/>
        <w:jc w:val="left"/>
        <w:spacing w:line="400" w:lineRule="exact"/>
        <w:rPr>
          <w:color w:val="000000" w:themeColor="text1"/>
          <w:szCs w:val="21"/>
          <w:highlight w:val="yellow"/>
          <w14:textFill>
            <w14:solidFill>
              <w14:schemeClr w14:val="tx1"/>
            </w14:solidFill>
          </w14:textFill>
        </w:rPr>
      </w:pPr>
      <w:r>
        <w:rPr>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（6）</w:t>
      </w:r>
      <w:r>
        <w:rPr>
          <w:szCs w:val="21"/>
        </w:rPr>
        <w:t xml:space="preserve">“联合体”系指由两个以上的自然人、法人或者非法人组织组成，以一个供应商的身份共同参加政府采购的主体</w:t>
      </w:r>
      <w:r>
        <w:rPr>
          <w:color w:val="000000" w:themeColor="text1"/>
          <w:szCs w:val="21"/>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b/>
          <w:bCs/>
          <w:color w:val="000000" w:themeColor="text1"/>
          <w:szCs w:val="21"/>
          <w14:textFill>
            <w14:solidFill>
              <w14:schemeClr w14:val="tx1"/>
            </w14:solidFill>
          </w14:textFill>
        </w:rPr>
        <w:t xml:space="preserve">政府采购合同专用条款</w:t>
      </w:r>
      <w:r>
        <w:rPr>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（7）其他术语解释，见【</w:t>
      </w:r>
      <w:r>
        <w:rPr>
          <w:b/>
          <w:bCs/>
          <w:color w:val="000000" w:themeColor="text1"/>
          <w:szCs w:val="21"/>
          <w14:textFill>
            <w14:solidFill>
              <w14:schemeClr w14:val="tx1"/>
            </w14:solidFill>
          </w14:textFill>
        </w:rPr>
        <w:t xml:space="preserve">政府采购合同专用条款</w:t>
      </w:r>
      <w:r>
        <w:rPr>
          <w:color w:val="000000" w:themeColor="text1"/>
          <w:szCs w:val="21"/>
          <w14:textFill>
            <w14:solidFill>
              <w14:schemeClr w14:val="tx1"/>
            </w14:solidFill>
          </w14:textFill>
        </w:rPr>
        <w:t xml:space="preserve">】。</w:t>
      </w:r>
      <w:r/>
    </w:p>
    <w:p>
      <w:pPr>
        <w:numPr>
          <w:ilvl w:val="0"/>
          <w:numId w:val="19"/>
        </w:numPr>
        <w:jc w:val="left"/>
        <w:spacing w:line="400" w:lineRule="exact"/>
        <w:rPr>
          <w:b/>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合同标的及金额</w:t>
      </w:r>
      <w:r/>
    </w:p>
    <w:p>
      <w:pPr>
        <w:ind w:firstLine="420"/>
        <w:jc w:val="left"/>
        <w:spacing w:line="400" w:lineRule="exact"/>
        <w:rPr>
          <w:b/>
          <w:bCs/>
          <w:i/>
          <w:iCs/>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w:t>
      </w:r>
      <w:r>
        <w:rPr>
          <w:color w:val="000000" w:themeColor="text1"/>
          <w:szCs w:val="21"/>
          <w:lang w:val="en"/>
          <w14:textFill>
            <w14:solidFill>
              <w14:schemeClr w14:val="tx1"/>
            </w14:solidFill>
          </w14:textFill>
        </w:rPr>
        <w:t xml:space="preserve">其他</w:t>
      </w:r>
      <w:r>
        <w:rPr>
          <w:color w:val="000000" w:themeColor="text1"/>
          <w:szCs w:val="21"/>
          <w14:textFill>
            <w14:solidFill>
              <w14:schemeClr w14:val="tx1"/>
            </w14:solidFill>
          </w14:textFill>
        </w:rPr>
        <w:t xml:space="preserve">任何费用。</w:t>
      </w:r>
      <w:r/>
    </w:p>
    <w:p>
      <w:pPr>
        <w:jc w:val="left"/>
        <w:spacing w:line="400" w:lineRule="exact"/>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 履行合同的时间、地点和方式</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3.1 </w:t>
      </w:r>
      <w:r>
        <w:rPr>
          <w:szCs w:val="21"/>
        </w:rPr>
        <w:t xml:space="preserve">乙方应当在约定的时间、地点，按照约定方式履行合同。</w:t>
      </w:r>
      <w:r/>
    </w:p>
    <w:p>
      <w:pPr>
        <w:jc w:val="left"/>
        <w:spacing w:line="40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4. 甲方的权利和义务</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eastAsia="华文楷体"/>
        </w:rPr>
      </w:pPr>
      <w:r>
        <w:rPr>
          <w:color w:val="000000" w:themeColor="text1"/>
          <w:szCs w:val="21"/>
          <w14:textFill>
            <w14:solidFill>
              <w14:schemeClr w14:val="tx1"/>
            </w14:solidFill>
          </w14:textFill>
        </w:rPr>
        <w:t xml:space="preserve">4.4 甲方应当按照合同约定及时对交付的货物进行验收，</w:t>
      </w:r>
      <w:r>
        <w:rPr>
          <w:szCs w:val="21"/>
        </w:rPr>
        <w:t xml:space="preserve">未</w:t>
      </w:r>
      <w:r>
        <w:rPr>
          <w:color w:val="000000" w:themeColor="text1"/>
          <w:szCs w:val="21"/>
          <w14:textFill>
            <w14:solidFill>
              <w14:schemeClr w14:val="tx1"/>
            </w14:solidFill>
          </w14:textFill>
        </w:rPr>
        <w:t xml:space="preserve">在</w:t>
      </w:r>
      <w:r>
        <w:rPr>
          <w:b/>
          <w:bCs/>
          <w:szCs w:val="21"/>
        </w:rPr>
        <w:t xml:space="preserve">【政府采购合同专用条款】</w:t>
      </w:r>
      <w:r>
        <w:rPr>
          <w:szCs w:val="21"/>
        </w:rPr>
        <w:t xml:space="preserve">约定的期限内对乙方履约提出任何异议或者向乙方作出任何说明的，</w:t>
      </w:r>
      <w:r>
        <w:rPr>
          <w:color w:val="000000" w:themeColor="text1"/>
          <w:szCs w:val="21"/>
          <w14:textFill>
            <w14:solidFill>
              <w14:schemeClr w14:val="tx1"/>
            </w14:solidFill>
          </w14:textFill>
        </w:rPr>
        <w:t xml:space="preserve">视为验收通过。</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4.6 国家法律法规规定及</w:t>
      </w:r>
      <w:r>
        <w:rPr>
          <w:b/>
          <w:bCs/>
          <w:szCs w:val="21"/>
        </w:rPr>
        <w:t xml:space="preserve">【政府采购合同专用条款】</w:t>
      </w:r>
      <w:r>
        <w:rPr>
          <w:color w:val="000000" w:themeColor="text1"/>
          <w:szCs w:val="21"/>
          <w14:textFill>
            <w14:solidFill>
              <w14:schemeClr w14:val="tx1"/>
            </w14:solidFill>
          </w14:textFill>
        </w:rPr>
        <w:t xml:space="preserve">约定应由甲方承担的其他义务和责任。</w:t>
      </w:r>
      <w:r/>
    </w:p>
    <w:p>
      <w:pPr>
        <w:jc w:val="left"/>
        <w:spacing w:line="40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5. 乙方的权利和义务</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98"/>
        <w:ind w:firstLine="422"/>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5.3乙方有权根据合同约定向甲方收取合同价款。</w:t>
      </w:r>
      <w:r/>
    </w:p>
    <w:p>
      <w:pPr>
        <w:pStyle w:val="898"/>
        <w:ind w:firstLine="422"/>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5.4国家法律法规规定及</w:t>
      </w:r>
      <w:r>
        <w:rPr>
          <w:b/>
          <w:bCs/>
          <w:szCs w:val="21"/>
        </w:rPr>
        <w:t xml:space="preserve">【政府采购合同专用条款】</w:t>
      </w:r>
      <w:r>
        <w:rPr>
          <w:szCs w:val="21"/>
        </w:rPr>
        <w:t xml:space="preserve">约定应</w:t>
      </w:r>
      <w:r>
        <w:rPr>
          <w:color w:val="000000" w:themeColor="text1"/>
          <w:szCs w:val="21"/>
          <w14:textFill>
            <w14:solidFill>
              <w14:schemeClr w14:val="tx1"/>
            </w14:solidFill>
          </w14:textFill>
        </w:rPr>
        <w:t xml:space="preserve">由乙方承担的其他义务和责任。</w:t>
      </w:r>
      <w:r/>
    </w:p>
    <w:p>
      <w:pPr>
        <w:numPr>
          <w:ilvl w:val="0"/>
          <w:numId w:val="20"/>
        </w:numPr>
        <w:jc w:val="left"/>
        <w:spacing w:line="40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合同履行</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6.1 甲乙双方应当按照</w:t>
      </w:r>
      <w:r>
        <w:rPr>
          <w:b/>
          <w:bCs/>
          <w:szCs w:val="21"/>
        </w:rPr>
        <w:t xml:space="preserve">【政府采购合同专用条款】</w:t>
      </w:r>
      <w:r>
        <w:rPr>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pPr>
      <w:r>
        <w:rPr>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7.1 本合同</w:t>
      </w:r>
      <w:r>
        <w:rPr>
          <w:bCs/>
          <w:color w:val="000000" w:themeColor="text1"/>
          <w:szCs w:val="21"/>
          <w14:textFill>
            <w14:solidFill>
              <w14:schemeClr w14:val="tx1"/>
            </w14:solidFill>
          </w14:textFill>
        </w:rPr>
        <w:t xml:space="preserve">涉及商品包装、快递包装的，</w:t>
      </w:r>
      <w:r>
        <w:rPr>
          <w:color w:val="000000" w:themeColor="text1"/>
          <w:szCs w:val="21"/>
          <w14:textFill>
            <w14:solidFill>
              <w14:schemeClr w14:val="tx1"/>
            </w14:solidFill>
          </w14:textFill>
        </w:rPr>
        <w:t xml:space="preserve">除</w:t>
      </w:r>
      <w:r>
        <w:rPr>
          <w:b/>
          <w:color w:val="000000" w:themeColor="text1"/>
          <w:szCs w:val="21"/>
          <w14:textFill>
            <w14:solidFill>
              <w14:schemeClr w14:val="tx1"/>
            </w14:solidFill>
          </w14:textFill>
        </w:rPr>
        <w:t xml:space="preserve">【政府采购合同专用条款】</w:t>
      </w:r>
      <w:r>
        <w:rPr>
          <w:bCs/>
          <w:color w:val="000000" w:themeColor="text1"/>
          <w:szCs w:val="21"/>
          <w14:textFill>
            <w14:solidFill>
              <w14:schemeClr w14:val="tx1"/>
            </w14:solidFill>
          </w14:textFill>
        </w:rPr>
        <w:t xml:space="preserve">另有约定外，</w:t>
      </w:r>
      <w:r>
        <w:rPr>
          <w:color w:val="000000" w:themeColor="text1"/>
          <w:szCs w:val="21"/>
          <w14:textFill>
            <w14:solidFill>
              <w14:schemeClr w14:val="tx1"/>
            </w14:solidFill>
          </w14:textFill>
        </w:rPr>
        <w:t xml:space="preserve">包装应适应远距离运输、防潮、防震、防锈和防野蛮装卸等要求，确保货物安全无损地运抵</w:t>
      </w:r>
      <w:r>
        <w:rPr>
          <w:b/>
          <w:color w:val="000000" w:themeColor="text1"/>
          <w:szCs w:val="21"/>
          <w14:textFill>
            <w14:solidFill>
              <w14:schemeClr w14:val="tx1"/>
            </w14:solidFill>
          </w14:textFill>
        </w:rPr>
        <w:t xml:space="preserve">【政府采购合同专用条款】</w:t>
      </w:r>
      <w:r>
        <w:rPr>
          <w:bCs/>
          <w:color w:val="000000" w:themeColor="text1"/>
          <w:szCs w:val="21"/>
          <w14:textFill>
            <w14:solidFill>
              <w14:schemeClr w14:val="tx1"/>
            </w14:solidFill>
          </w14:textFill>
        </w:rPr>
        <w:t xml:space="preserve">约定的</w:t>
      </w:r>
      <w:r>
        <w:rPr>
          <w:color w:val="000000" w:themeColor="text1"/>
          <w:szCs w:val="21"/>
          <w14:textFill>
            <w14:solidFill>
              <w14:schemeClr w14:val="tx1"/>
            </w14:solidFill>
          </w14:textFill>
        </w:rPr>
        <w:t xml:space="preserve">指定现场。</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7.2 除</w:t>
      </w:r>
      <w:r>
        <w:rPr>
          <w:b/>
          <w:color w:val="000000" w:themeColor="text1"/>
          <w:szCs w:val="21"/>
          <w14:textFill>
            <w14:solidFill>
              <w14:schemeClr w14:val="tx1"/>
            </w14:solidFill>
          </w14:textFill>
        </w:rPr>
        <w:t xml:space="preserve">【政府采购合同专用条款】</w:t>
      </w:r>
      <w:r>
        <w:rPr>
          <w:bCs/>
          <w:color w:val="000000" w:themeColor="text1"/>
          <w:szCs w:val="21"/>
          <w14:textFill>
            <w14:solidFill>
              <w14:schemeClr w14:val="tx1"/>
            </w14:solidFill>
          </w14:textFill>
        </w:rPr>
        <w:t xml:space="preserve">另有约定外，</w:t>
      </w:r>
      <w:r>
        <w:rPr>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7.3 货物保险要求按</w:t>
      </w:r>
      <w:r>
        <w:rPr>
          <w:b/>
          <w:color w:val="000000" w:themeColor="text1"/>
          <w:szCs w:val="21"/>
          <w14:textFill>
            <w14:solidFill>
              <w14:schemeClr w14:val="tx1"/>
            </w14:solidFill>
          </w14:textFill>
        </w:rPr>
        <w:t xml:space="preserve">【政府采购合同专用条款】</w:t>
      </w:r>
      <w:r>
        <w:rPr>
          <w:bCs/>
          <w:color w:val="000000" w:themeColor="text1"/>
          <w:szCs w:val="21"/>
          <w14:textFill>
            <w14:solidFill>
              <w14:schemeClr w14:val="tx1"/>
            </w14:solidFill>
          </w14:textFill>
        </w:rPr>
        <w:t xml:space="preserve">规定执行</w:t>
      </w:r>
      <w:r>
        <w:rPr>
          <w:color w:val="000000" w:themeColor="text1"/>
          <w:szCs w:val="21"/>
          <w14:textFill>
            <w14:solidFill>
              <w14:schemeClr w14:val="tx1"/>
            </w14:solidFill>
          </w14:textFill>
        </w:rPr>
        <w:t xml:space="preserve">。</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7.5 </w:t>
      </w:r>
      <w:r>
        <w:rPr>
          <w:color w:val="000000"/>
          <w:szCs w:val="21"/>
        </w:rPr>
        <w:t xml:space="preserve">乙方在运输到达之前应提前通知甲方，并提示货物运输装卸的注意事项，甲方配合乙方做好货物的接收工作。</w:t>
      </w:r>
      <w:r/>
    </w:p>
    <w:p>
      <w:pPr>
        <w:pStyle w:val="1202"/>
        <w:ind w:firstLine="420"/>
        <w:rPr>
          <w:rFonts w:ascii="Times New Roman" w:hAnsi="Times New Roman" w:cs="Times New Roman"/>
          <w:sz w:val="21"/>
        </w:rPr>
      </w:pPr>
      <w:r>
        <w:rPr>
          <w:rFonts w:ascii="Times New Roman" w:hAnsi="Times New Roman" w:eastAsia="宋体" w:cs="Times New Roman"/>
          <w:color w:val="000000" w:themeColor="text1"/>
          <w:sz w:val="21"/>
          <w14:textFill>
            <w14:solidFill>
              <w14:schemeClr w14:val="tx1"/>
            </w14:solidFill>
          </w14:textFill>
        </w:rPr>
        <w:t xml:space="preserve">7.6 </w:t>
      </w:r>
      <w:r>
        <w:rPr>
          <w:rFonts w:ascii="Times New Roman" w:hAnsi="Times New Roman" w:eastAsia="宋体" w:cs="Times New Roman"/>
          <w:color w:val="000000"/>
          <w:sz w:val="21"/>
        </w:rPr>
        <w:t xml:space="preserve">如因包装、运输问题导致货物</w:t>
      </w:r>
      <w:r>
        <w:rPr>
          <w:rFonts w:ascii="Times New Roman" w:hAnsi="Times New Roman" w:eastAsia="宋体" w:cs="Times New Roman"/>
          <w:color w:val="000000" w:themeColor="text1"/>
          <w:sz w:val="21"/>
          <w14:textFill>
            <w14:solidFill>
              <w14:schemeClr w14:val="tx1"/>
            </w14:solidFill>
          </w14:textFill>
        </w:rPr>
        <w:t xml:space="preserve">损毁、丢失</w:t>
      </w:r>
      <w:r>
        <w:rPr>
          <w:rFonts w:ascii="Times New Roman" w:hAnsi="Times New Roman"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b/>
          <w:sz w:val="24"/>
        </w:rPr>
      </w:pPr>
      <w:r>
        <w:rPr>
          <w:b/>
          <w:color w:val="000000" w:themeColor="text1"/>
          <w:sz w:val="24"/>
          <w14:textFill>
            <w14:solidFill>
              <w14:schemeClr w14:val="tx1"/>
            </w14:solidFill>
          </w14:textFill>
        </w:rPr>
        <w:t xml:space="preserve">8. </w:t>
      </w:r>
      <w:r>
        <w:rPr>
          <w:b/>
          <w:sz w:val="24"/>
        </w:rPr>
        <w:t xml:space="preserve">质量标准和保证</w:t>
      </w:r>
      <w:r/>
    </w:p>
    <w:p>
      <w:pPr>
        <w:ind w:firstLine="420"/>
        <w:jc w:val="left"/>
        <w:spacing w:line="400" w:lineRule="exact"/>
        <w:rPr>
          <w:szCs w:val="21"/>
        </w:rPr>
      </w:pPr>
      <w:r>
        <w:rPr>
          <w:szCs w:val="21"/>
        </w:rPr>
        <w:t xml:space="preserve">8.1 质量标准</w:t>
      </w:r>
      <w:r/>
    </w:p>
    <w:p>
      <w:pPr>
        <w:ind w:firstLine="420"/>
        <w:jc w:val="left"/>
        <w:spacing w:line="400" w:lineRule="exact"/>
        <w:rPr>
          <w:szCs w:val="21"/>
        </w:rPr>
      </w:pPr>
      <w:r>
        <w:rPr>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szCs w:val="21"/>
        </w:rPr>
      </w:pPr>
      <w:r>
        <w:rPr>
          <w:szCs w:val="21"/>
        </w:rPr>
        <w:t xml:space="preserve">（2）采用中华人民共和国法定计量单位。</w:t>
      </w:r>
      <w:r/>
    </w:p>
    <w:p>
      <w:pPr>
        <w:ind w:firstLine="420"/>
        <w:jc w:val="left"/>
        <w:spacing w:line="400" w:lineRule="exact"/>
        <w:rPr>
          <w:szCs w:val="21"/>
        </w:rPr>
      </w:pPr>
      <w:r>
        <w:rPr>
          <w:szCs w:val="21"/>
        </w:rPr>
        <w:t xml:space="preserve">（3）乙方所提供的货物应符合国家有关安全、环保、卫生的规定。</w:t>
      </w:r>
      <w:r/>
    </w:p>
    <w:p>
      <w:pPr>
        <w:ind w:firstLine="420"/>
        <w:jc w:val="left"/>
        <w:spacing w:line="400" w:lineRule="exact"/>
        <w:rPr>
          <w:szCs w:val="21"/>
        </w:rPr>
      </w:pPr>
      <w:r>
        <w:rPr>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szCs w:val="21"/>
        </w:rPr>
      </w:pPr>
      <w:r>
        <w:rPr>
          <w:szCs w:val="21"/>
        </w:rPr>
        <w:t xml:space="preserve">8.2 保证</w:t>
      </w:r>
      <w:r/>
    </w:p>
    <w:p>
      <w:pPr>
        <w:ind w:firstLine="420"/>
        <w:jc w:val="left"/>
        <w:spacing w:line="400" w:lineRule="exact"/>
        <w:rPr>
          <w:szCs w:val="21"/>
        </w:rPr>
      </w:pPr>
      <w:r>
        <w:rPr>
          <w:szCs w:val="21"/>
        </w:rPr>
        <w:t xml:space="preserve">（1）</w:t>
      </w:r>
      <w:r>
        <w:t xml:space="preserve">乙方应保证货物的生产、安装、检验检测、调试等各项技术标准，应当符合国家或行业标准。</w:t>
      </w:r>
      <w:r>
        <w:rPr>
          <w:szCs w:val="21"/>
        </w:rPr>
        <w:t xml:space="preserve">乙方应保证提供的货物是货物生产厂商原造的，全新、未使用过的，</w:t>
      </w:r>
      <w:r>
        <w:t xml:space="preserve">通过货物生产厂商的出厂检验合格的，</w:t>
      </w:r>
      <w:r>
        <w:rPr>
          <w:szCs w:val="21"/>
        </w:rPr>
        <w:t xml:space="preserve">产品质量符合国家或行业标准、采购文件所列的各项要求以及乙方在投标（响应）文件中承诺的其它指标。</w:t>
      </w:r>
      <w:r/>
    </w:p>
    <w:p>
      <w:pPr>
        <w:ind w:firstLine="420"/>
        <w:jc w:val="left"/>
        <w:spacing w:line="400" w:lineRule="exact"/>
        <w:rPr>
          <w:szCs w:val="21"/>
        </w:rPr>
      </w:pPr>
      <w:r>
        <w:rPr>
          <w:szCs w:val="21"/>
        </w:rPr>
        <w:t xml:space="preserve">（2）乙方应保证提供的货物完全符合合同规定的质量、规格和性能要求。乙方应保证货物在正确安装、正常使用和保养条件下，在其使用寿命期内具备合同约定的性能。存在质量保证期的，货物最终交付验收合格后在</w:t>
      </w:r>
      <w:r>
        <w:rPr>
          <w:b/>
          <w:szCs w:val="21"/>
        </w:rPr>
        <w:t xml:space="preserve">【政府采购合同专用条款】</w:t>
      </w:r>
      <w:r>
        <w:rPr>
          <w:szCs w:val="21"/>
        </w:rPr>
        <w:t xml:space="preserve">规定或乙方书面承诺（两者以较长的为准）的质量保证期内，本保证保持有效。</w:t>
      </w:r>
      <w:r/>
    </w:p>
    <w:p>
      <w:pPr>
        <w:ind w:firstLine="420"/>
        <w:jc w:val="left"/>
        <w:spacing w:line="400" w:lineRule="exact"/>
        <w:rPr>
          <w:szCs w:val="21"/>
        </w:rPr>
      </w:pPr>
      <w:r>
        <w:rPr>
          <w:szCs w:val="21"/>
        </w:rPr>
        <w:t xml:space="preserve">（3）在质量保证期内所发现的缺陷，甲方应尽快以书面形式通知乙方。</w:t>
      </w:r>
      <w:r/>
    </w:p>
    <w:p>
      <w:pPr>
        <w:ind w:firstLine="420"/>
        <w:jc w:val="left"/>
        <w:spacing w:line="400" w:lineRule="exact"/>
        <w:rPr>
          <w:szCs w:val="21"/>
        </w:rPr>
      </w:pPr>
      <w:r>
        <w:rPr>
          <w:szCs w:val="21"/>
        </w:rPr>
        <w:t xml:space="preserve">（4）乙方收到通知后，应在</w:t>
      </w:r>
      <w:r>
        <w:rPr>
          <w:b/>
          <w:szCs w:val="21"/>
        </w:rPr>
        <w:t xml:space="preserve">【政府采购合同专用条款】</w:t>
      </w:r>
      <w:r>
        <w:rPr>
          <w:szCs w:val="21"/>
        </w:rPr>
        <w:t xml:space="preserve">规定的响应时间内以合理的速度免费维修或更换有缺陷的货物或部件。</w:t>
      </w:r>
      <w:r/>
    </w:p>
    <w:p>
      <w:pPr>
        <w:ind w:firstLine="420"/>
        <w:jc w:val="left"/>
        <w:spacing w:line="400" w:lineRule="exact"/>
        <w:rPr>
          <w:szCs w:val="21"/>
        </w:rPr>
      </w:pPr>
      <w:r>
        <w:rPr>
          <w:szCs w:val="21"/>
        </w:rPr>
        <w:t xml:space="preserve">（5）在质量保证期内，如果货物的质量或规格与合同不符，或证实货物是有缺陷的，包括潜在的缺陷或使用不符合要求的材料等，甲方可以根据本合同第1</w:t>
      </w:r>
      <w:r>
        <w:rPr>
          <w:color w:val="000000" w:themeColor="text1"/>
          <w:szCs w:val="21"/>
          <w14:textFill>
            <w14:solidFill>
              <w14:schemeClr w14:val="tx1"/>
            </w14:solidFill>
          </w14:textFill>
        </w:rPr>
        <w:t xml:space="preserve">5</w:t>
      </w:r>
      <w:r>
        <w:rPr>
          <w:szCs w:val="21"/>
        </w:rPr>
        <w:t xml:space="preserve">.1条规定以书面形式</w:t>
      </w:r>
      <w:r>
        <w:rPr>
          <w:color w:val="000000" w:themeColor="text1"/>
          <w:szCs w:val="21"/>
          <w14:textFill>
            <w14:solidFill>
              <w14:schemeClr w14:val="tx1"/>
            </w14:solidFill>
          </w14:textFill>
        </w:rPr>
        <w:t xml:space="preserve">追究</w:t>
      </w:r>
      <w:r>
        <w:rPr>
          <w:szCs w:val="21"/>
        </w:rPr>
        <w:t xml:space="preserve">乙方</w:t>
      </w:r>
      <w:r>
        <w:rPr>
          <w:color w:val="000000" w:themeColor="text1"/>
          <w:szCs w:val="21"/>
          <w14:textFill>
            <w14:solidFill>
              <w14:schemeClr w14:val="tx1"/>
            </w14:solidFill>
          </w14:textFill>
        </w:rPr>
        <w:t xml:space="preserve">的违约责任</w:t>
      </w:r>
      <w:r>
        <w:rPr>
          <w:szCs w:val="21"/>
        </w:rPr>
        <w:t xml:space="preserve">。</w:t>
      </w:r>
      <w:r/>
    </w:p>
    <w:p>
      <w:pPr>
        <w:ind w:firstLine="420"/>
        <w:jc w:val="left"/>
        <w:spacing w:line="400" w:lineRule="exact"/>
      </w:pPr>
      <w:r>
        <w:rPr>
          <w:szCs w:val="21"/>
        </w:rPr>
        <w:t xml:space="preserve">（6）乙方在约定的时间内未能弥补缺陷，甲方可采取必要的补救措施，但其风险和费用将由乙方承担，甲方根据合同约定对乙方行使的其他权利不受影响。</w:t>
      </w:r>
      <w:r/>
    </w:p>
    <w:p>
      <w:pPr>
        <w:jc w:val="left"/>
        <w:spacing w:line="400" w:lineRule="exact"/>
        <w:rPr>
          <w:b/>
          <w:bCs/>
          <w:sz w:val="24"/>
        </w:rPr>
      </w:pPr>
      <w:r>
        <w:rPr>
          <w:b/>
          <w:bCs/>
          <w:color w:val="000000" w:themeColor="text1"/>
          <w:sz w:val="24"/>
          <w14:textFill>
            <w14:solidFill>
              <w14:schemeClr w14:val="tx1"/>
            </w14:solidFill>
          </w14:textFill>
        </w:rPr>
        <w:t xml:space="preserve">9</w:t>
      </w:r>
      <w:r>
        <w:rPr>
          <w:b/>
          <w:bCs/>
          <w:sz w:val="24"/>
        </w:rPr>
        <w:t xml:space="preserve">.</w:t>
      </w:r>
      <w:r>
        <w:rPr>
          <w:b/>
          <w:bCs/>
          <w:color w:val="000000" w:themeColor="text1"/>
          <w:sz w:val="24"/>
          <w14:textFill>
            <w14:solidFill>
              <w14:schemeClr w14:val="tx1"/>
            </w14:solidFill>
          </w14:textFill>
        </w:rPr>
        <w:t xml:space="preserve"> </w:t>
      </w:r>
      <w:r>
        <w:rPr>
          <w:b/>
          <w:bCs/>
          <w:sz w:val="24"/>
        </w:rPr>
        <w:t xml:space="preserve">权利瑕疵担保</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9.2 </w:t>
      </w:r>
      <w:r>
        <w:rPr>
          <w:szCs w:val="15"/>
        </w:rPr>
        <w:t xml:space="preserve">乙方保证在交付的货物上不存在抵押权等担保物权。</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10. 知识产权保护</w:t>
      </w:r>
      <w:r/>
    </w:p>
    <w:p>
      <w:pPr>
        <w:ind w:firstLine="420"/>
        <w:jc w:val="left"/>
        <w:spacing w:line="400" w:lineRule="exact"/>
        <w:rPr>
          <w:szCs w:val="21"/>
        </w:rPr>
      </w:pPr>
      <w:r>
        <w:rPr>
          <w:color w:val="000000" w:themeColor="text1"/>
          <w:szCs w:val="21"/>
          <w14:textFill>
            <w14:solidFill>
              <w14:schemeClr w14:val="tx1"/>
            </w14:solidFill>
          </w14:textFill>
        </w:rPr>
        <w:t xml:space="preserve">10.1 乙方对其所销售的货物应当享有知识产权或经权利人合法授权，保证没有侵犯任</w:t>
      </w:r>
      <w:r>
        <w:rPr>
          <w:szCs w:val="21"/>
        </w:rPr>
        <w:t xml:space="preserve">何第三人的知识产权等权利。</w:t>
      </w:r>
      <w:bookmarkStart w:id="76" w:name="_Hlk163047038"/>
      <w:r>
        <w:rPr>
          <w:szCs w:val="15"/>
        </w:rPr>
        <w:t xml:space="preserve">因违反前述约定对第三人构成侵权的，应当由乙方向第三人承担法律责任；甲方依法向第三人赔偿后，有权向乙方追偿。甲方有其他损失的，乙方应当赔偿</w:t>
      </w:r>
      <w:bookmarkEnd w:id="76"/>
      <w:r>
        <w:rPr>
          <w:szCs w:val="21"/>
        </w:rPr>
        <w:t xml:space="preserve">。</w:t>
      </w:r>
      <w:r/>
    </w:p>
    <w:p>
      <w:pPr>
        <w:jc w:val="left"/>
        <w:spacing w:line="400" w:lineRule="exact"/>
        <w:rPr>
          <w:b/>
          <w:bCs/>
          <w:sz w:val="24"/>
        </w:rPr>
      </w:pPr>
      <w:r>
        <w:rPr>
          <w:b/>
          <w:bCs/>
          <w:sz w:val="24"/>
        </w:rPr>
        <w:t xml:space="preserve">11. 保密义务</w:t>
      </w:r>
      <w:r/>
    </w:p>
    <w:p>
      <w:pPr>
        <w:ind w:firstLine="420"/>
        <w:jc w:val="left"/>
        <w:spacing w:line="400" w:lineRule="exact"/>
        <w:rPr>
          <w:szCs w:val="15"/>
        </w:rPr>
      </w:pPr>
      <w:r>
        <w:rPr>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b/>
          <w:bCs/>
          <w:szCs w:val="15"/>
        </w:rPr>
        <w:t xml:space="preserve">【政府采购合同专用条款】</w:t>
      </w:r>
      <w:r>
        <w:rPr>
          <w:szCs w:val="15"/>
        </w:rPr>
        <w:t xml:space="preserve">中约定。</w:t>
      </w:r>
      <w:r/>
    </w:p>
    <w:p>
      <w:pPr>
        <w:pStyle w:val="1202"/>
        <w:ind w:firstLine="420"/>
        <w:rPr>
          <w:rFonts w:ascii="Times New Roman" w:hAnsi="Times New Roman" w:eastAsia="宋体" w:cs="Times New Roman"/>
          <w:sz w:val="21"/>
          <w:szCs w:val="15"/>
        </w:rPr>
      </w:pPr>
      <w:r>
        <w:rPr>
          <w:rFonts w:ascii="Times New Roman" w:hAnsi="Times New Roman" w:eastAsia="宋体" w:cs="Times New Roman"/>
          <w:sz w:val="21"/>
          <w:szCs w:val="15"/>
        </w:rPr>
        <w:t xml:space="preserve">11.2在下列情形下：当国家机关调查、审查、审计时，以及其他符合法律规定的情形下，甲方无须事先征求乙方同意而可以披露关于采购过程、合同文本、签署情况的资料、乙方的名称及地址、采购内容的有关信息以及补充条款等，但应当在合理的必要范围内。</w:t>
      </w:r>
      <w:r/>
    </w:p>
    <w:p>
      <w:pPr>
        <w:pStyle w:val="1202"/>
        <w:ind w:firstLine="420"/>
        <w:rPr>
          <w:rFonts w:ascii="Times New Roman" w:hAnsi="Times New Roman" w:eastAsia="宋体" w:cs="Times New Roman"/>
          <w:sz w:val="21"/>
          <w:szCs w:val="15"/>
        </w:rPr>
      </w:pPr>
      <w:r>
        <w:rPr>
          <w:rFonts w:ascii="Times New Roman" w:hAnsi="Times New Roman" w:eastAsia="宋体" w:cs="Times New Roman"/>
          <w:sz w:val="21"/>
          <w:szCs w:val="15"/>
        </w:rPr>
        <w:t xml:space="preserve">此外的其他情形下，除非法律、法规另有规定或得到本合同之其他各方的书面许可，任何一方不得向第三人泄露前款规定的商业秘密和国家秘密以及保密信息等非公开信息。保密期限自任何一方获知该商业秘密和国家秘密及保密信息等非公开信息之日起至本条规定的秘密成为公开信息之日止。</w:t>
      </w:r>
      <w:r/>
    </w:p>
    <w:p>
      <w:pPr>
        <w:ind w:firstLine="420"/>
        <w:jc w:val="left"/>
        <w:spacing w:line="360" w:lineRule="auto"/>
        <w:rPr>
          <w:szCs w:val="15"/>
        </w:rPr>
      </w:pPr>
      <w:r>
        <w:rPr>
          <w:szCs w:val="15"/>
        </w:rPr>
        <w:t xml:space="preserve">11.3乙方员工、供应商、客户等凡是有机会接触到保密信息的主体，含自然人和法人，均负有前述保密义务，乙方应当采取充足措施保障前述主体履行保密义务，否则视为乙方违反保密义务。</w:t>
      </w:r>
      <w:r/>
    </w:p>
    <w:p>
      <w:pPr>
        <w:pStyle w:val="1202"/>
        <w:ind w:firstLine="420"/>
        <w:rPr>
          <w:rFonts w:ascii="Times New Roman" w:hAnsi="Times New Roman" w:eastAsia="宋体" w:cs="Times New Roman"/>
          <w:sz w:val="21"/>
          <w:szCs w:val="15"/>
        </w:rPr>
      </w:pPr>
      <w:r>
        <w:rPr>
          <w:rFonts w:ascii="Times New Roman" w:hAnsi="Times New Roman" w:eastAsia="宋体" w:cs="Times New Roman"/>
          <w:sz w:val="21"/>
          <w:szCs w:val="15"/>
        </w:rPr>
        <w:t xml:space="preserve">11.4乙方对保密信息未经甲方许可进行披露（包括且不限于故意，过失或疏忽）或有其他违反保密义务的行为，甲方有权解除本合同，且乙方应当向甲方及其关联主体赔偿因此受到的全部直接和间接损失。此外，甲方还有权寻求停止侵害的禁令或其他类似的法律救济。</w:t>
      </w:r>
      <w:r/>
    </w:p>
    <w:p>
      <w:pPr>
        <w:pStyle w:val="1202"/>
        <w:ind w:firstLine="420"/>
        <w:rPr>
          <w:rFonts w:ascii="Times New Roman" w:hAnsi="Times New Roman" w:eastAsia="宋体" w:cs="Times New Roman"/>
          <w:sz w:val="21"/>
          <w:szCs w:val="15"/>
        </w:rPr>
      </w:pPr>
      <w:r>
        <w:rPr>
          <w:rFonts w:ascii="Times New Roman" w:hAnsi="Times New Roman" w:eastAsia="宋体" w:cs="Times New Roman"/>
          <w:sz w:val="21"/>
          <w:szCs w:val="15"/>
        </w:rPr>
        <w:t xml:space="preserve">11.5无论合同是否成立、生效、变更、解除或终止，前述保密条款不受其限制而继续有效，乙方都应继续承担保密条款约定的保密义务及责任。</w:t>
      </w:r>
      <w:r/>
    </w:p>
    <w:p>
      <w:pPr>
        <w:jc w:val="left"/>
        <w:spacing w:line="400" w:lineRule="exact"/>
        <w:rPr>
          <w:b/>
          <w:bCs/>
          <w:sz w:val="24"/>
        </w:rPr>
      </w:pPr>
      <w:r>
        <w:rPr>
          <w:b/>
          <w:bCs/>
          <w:sz w:val="24"/>
        </w:rPr>
        <w:t xml:space="preserve">12. 合同价款支付</w:t>
      </w:r>
      <w:r/>
    </w:p>
    <w:p>
      <w:pPr>
        <w:ind w:firstLine="420"/>
        <w:jc w:val="left"/>
        <w:spacing w:line="400" w:lineRule="exact"/>
        <w:rPr>
          <w:szCs w:val="21"/>
        </w:rPr>
      </w:pPr>
      <w:r>
        <w:rPr>
          <w:szCs w:val="21"/>
        </w:rPr>
        <w:t xml:space="preserve">12.1 合同价款支付按照国库集中支付制度及财政管理相关规定执行。</w:t>
      </w:r>
      <w:r/>
    </w:p>
    <w:p>
      <w:pPr>
        <w:pStyle w:val="1136"/>
        <w:rPr>
          <w:rFonts w:ascii="Times New Roman" w:hAnsi="Times New Roman"/>
        </w:rPr>
      </w:pPr>
      <w:r>
        <w:rPr>
          <w:rFonts w:ascii="Times New Roman" w:hAnsi="Times New Roman"/>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98"/>
        <w:spacing w:line="400" w:lineRule="exact"/>
        <w:rPr>
          <w:b/>
          <w:bCs/>
        </w:rPr>
      </w:pPr>
      <w:r>
        <w:rPr>
          <w:b/>
          <w:bCs/>
        </w:rPr>
        <w:t xml:space="preserve">13. 履约保证金</w:t>
      </w:r>
      <w:r/>
    </w:p>
    <w:p>
      <w:pPr>
        <w:ind w:firstLine="420"/>
        <w:jc w:val="left"/>
        <w:spacing w:line="400" w:lineRule="exact"/>
        <w:rPr>
          <w:szCs w:val="21"/>
        </w:rPr>
      </w:pPr>
      <w:r>
        <w:rPr>
          <w:szCs w:val="21"/>
        </w:rPr>
        <w:t xml:space="preserve">13.1 </w:t>
      </w:r>
      <w:r>
        <w:rPr>
          <w:szCs w:val="15"/>
        </w:rPr>
        <w:t xml:space="preserve">乙方应当以支票、汇票、本票或者金融机构、担保机构出具的保函等非现金形式提交。</w:t>
      </w:r>
      <w:r>
        <w:rPr>
          <w:color w:val="000000" w:themeColor="text1"/>
          <w:szCs w:val="21"/>
          <w14:textFill>
            <w14:solidFill>
              <w14:schemeClr w14:val="tx1"/>
            </w14:solidFill>
          </w14:textFill>
        </w:rPr>
        <w:t xml:space="preserve">联合体中标的，其履约保证金以联合体各方或者联合体中牵头人的名义提交。</w:t>
      </w:r>
      <w:r/>
    </w:p>
    <w:p>
      <w:pPr>
        <w:ind w:firstLine="420"/>
        <w:jc w:val="left"/>
        <w:spacing w:line="400" w:lineRule="exact"/>
        <w:rPr>
          <w:szCs w:val="21"/>
        </w:rPr>
      </w:pPr>
      <w:r>
        <w:rPr>
          <w:szCs w:val="21"/>
        </w:rPr>
        <w:t xml:space="preserve">13.2 如果乙方出现</w:t>
      </w:r>
      <w:r>
        <w:rPr>
          <w:b/>
          <w:bCs/>
          <w:szCs w:val="15"/>
        </w:rPr>
        <w:t xml:space="preserve">【政府采购合同专用条款】</w:t>
      </w:r>
      <w:r>
        <w:rPr>
          <w:szCs w:val="15"/>
        </w:rPr>
        <w:t xml:space="preserve">约定情形的</w:t>
      </w:r>
      <w:r>
        <w:rPr>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szCs w:val="21"/>
        </w:rPr>
        <w:t xml:space="preserve">13.3 甲方在项目通过验收后按照</w:t>
      </w:r>
      <w:r>
        <w:rPr>
          <w:b/>
          <w:szCs w:val="21"/>
        </w:rPr>
        <w:t xml:space="preserve">【政府采购合同专用条款】</w:t>
      </w:r>
      <w:r>
        <w:rPr>
          <w:szCs w:val="21"/>
        </w:rPr>
        <w:t xml:space="preserve">规定的时间内将履约保证金退还乙方；逾期退还的，乙方可要求甲方支付违约金，违约金按照</w:t>
      </w:r>
      <w:r>
        <w:rPr>
          <w:b/>
          <w:szCs w:val="21"/>
        </w:rPr>
        <w:t xml:space="preserve">【政府采购合同专用条款】</w:t>
      </w:r>
      <w:r>
        <w:rPr>
          <w:szCs w:val="21"/>
        </w:rPr>
        <w:t xml:space="preserve">规定支付。</w:t>
      </w:r>
      <w:r/>
    </w:p>
    <w:p>
      <w:pPr>
        <w:jc w:val="left"/>
        <w:spacing w:line="400" w:lineRule="exact"/>
        <w:rPr>
          <w:b/>
          <w:sz w:val="24"/>
        </w:rPr>
      </w:pPr>
      <w:r>
        <w:rPr>
          <w:b/>
          <w:bCs/>
          <w:sz w:val="24"/>
        </w:rPr>
        <w:t xml:space="preserve">14. </w:t>
      </w:r>
      <w:r>
        <w:rPr>
          <w:b/>
          <w:sz w:val="24"/>
        </w:rPr>
        <w:t xml:space="preserve">售后服务</w:t>
      </w:r>
      <w:r/>
    </w:p>
    <w:p>
      <w:pPr>
        <w:ind w:firstLine="420"/>
        <w:jc w:val="left"/>
        <w:spacing w:line="400" w:lineRule="exact"/>
        <w:rPr>
          <w:szCs w:val="21"/>
        </w:rPr>
      </w:pPr>
      <w:r>
        <w:rPr>
          <w:szCs w:val="21"/>
        </w:rPr>
        <w:t xml:space="preserve">14.1 除项目不涉及或采购活动中明确约定无须承担外，乙方还应提供下列服务：</w:t>
      </w:r>
      <w:r/>
    </w:p>
    <w:p>
      <w:pPr>
        <w:ind w:firstLine="420"/>
        <w:jc w:val="left"/>
        <w:spacing w:line="400" w:lineRule="exact"/>
        <w:rPr>
          <w:szCs w:val="21"/>
        </w:rPr>
      </w:pPr>
      <w:r>
        <w:rPr>
          <w:szCs w:val="21"/>
        </w:rPr>
        <w:t xml:space="preserve">（1）货物的现场移动、安装、调试、启动监督及技术支持；</w:t>
      </w:r>
      <w:r/>
    </w:p>
    <w:p>
      <w:pPr>
        <w:ind w:firstLine="420"/>
        <w:jc w:val="left"/>
        <w:spacing w:line="400" w:lineRule="exact"/>
        <w:rPr>
          <w:szCs w:val="21"/>
        </w:rPr>
      </w:pPr>
      <w:r>
        <w:rPr>
          <w:szCs w:val="21"/>
        </w:rPr>
        <w:t xml:space="preserve">（2）提供货物组装和维修所需的专用工具和辅助材料；</w:t>
      </w:r>
      <w:r/>
    </w:p>
    <w:p>
      <w:pPr>
        <w:ind w:firstLine="420"/>
        <w:jc w:val="left"/>
        <w:spacing w:line="400" w:lineRule="exact"/>
        <w:rPr>
          <w:szCs w:val="21"/>
        </w:rPr>
      </w:pPr>
      <w:r>
        <w:rPr>
          <w:szCs w:val="21"/>
        </w:rPr>
        <w:t xml:space="preserve">（3）在</w:t>
      </w:r>
      <w:r>
        <w:rPr>
          <w:b/>
          <w:bCs/>
          <w:szCs w:val="15"/>
        </w:rPr>
        <w:t xml:space="preserve">【政府采购合同专用条款】</w:t>
      </w:r>
      <w:r>
        <w:rPr>
          <w:szCs w:val="21"/>
        </w:rPr>
        <w:t xml:space="preserve">约定的期限内对所有的货物实施运行监督、维修，但前提条件是该服务并不能免除乙方在质量保证期内所承担的义务；</w:t>
      </w:r>
      <w:r/>
    </w:p>
    <w:p>
      <w:pPr>
        <w:ind w:firstLine="420"/>
        <w:jc w:val="left"/>
        <w:spacing w:line="400" w:lineRule="exact"/>
        <w:rPr>
          <w:szCs w:val="21"/>
        </w:rPr>
      </w:pPr>
      <w:r>
        <w:rPr>
          <w:szCs w:val="21"/>
        </w:rPr>
        <w:t xml:space="preserve">（4）在制造商所在地或指定现场就货物的安装、启动、运营、维护、废弃处置等对甲方操作人员进行培训</w:t>
      </w:r>
      <w:r>
        <w:rPr>
          <w:szCs w:val="15"/>
        </w:rPr>
        <w:t xml:space="preserve">；</w:t>
      </w:r>
      <w:r/>
    </w:p>
    <w:p>
      <w:pPr>
        <w:pStyle w:val="1202"/>
        <w:ind w:firstLine="420"/>
        <w:rPr>
          <w:rFonts w:ascii="Times New Roman" w:hAnsi="Times New Roman" w:eastAsia="宋体" w:cs="Times New Roman"/>
          <w:sz w:val="21"/>
        </w:rPr>
      </w:pPr>
      <w:r>
        <w:rPr>
          <w:rFonts w:ascii="Times New Roman" w:hAnsi="Times New Roman" w:eastAsia="宋体" w:cs="Times New Roman"/>
          <w:sz w:val="21"/>
        </w:rPr>
        <w:t xml:space="preserve">（5）依照法律、行政法规的规定或者按照</w:t>
      </w:r>
      <w:r>
        <w:rPr>
          <w:rFonts w:ascii="Times New Roman" w:hAnsi="Times New Roman" w:eastAsia="宋体" w:cs="Times New Roman"/>
          <w:b/>
          <w:bCs/>
          <w:sz w:val="21"/>
        </w:rPr>
        <w:t xml:space="preserve">【政府采购合同专用条款】</w:t>
      </w:r>
      <w:r>
        <w:rPr>
          <w:rFonts w:ascii="Times New Roman" w:hAnsi="Times New Roman" w:eastAsia="宋体" w:cs="Times New Roman"/>
          <w:sz w:val="21"/>
        </w:rPr>
        <w:t xml:space="preserve">约定，货物在有效使用年限届满后应予回收的，乙方负有自行或者委托第三人对货物予以回收的义务；</w:t>
      </w:r>
      <w:r/>
    </w:p>
    <w:p>
      <w:pPr>
        <w:ind w:firstLine="420"/>
        <w:jc w:val="left"/>
        <w:spacing w:line="400" w:lineRule="exact"/>
        <w:rPr>
          <w:szCs w:val="21"/>
        </w:rPr>
      </w:pPr>
      <w:r>
        <w:rPr>
          <w:szCs w:val="21"/>
        </w:rPr>
        <w:t xml:space="preserve">（6）</w:t>
      </w:r>
      <w:r>
        <w:rPr>
          <w:b/>
          <w:szCs w:val="21"/>
        </w:rPr>
        <w:t xml:space="preserve">【政府采购合同专用条款】</w:t>
      </w:r>
      <w:r>
        <w:rPr>
          <w:szCs w:val="21"/>
        </w:rPr>
        <w:t xml:space="preserve">规定由乙方提供的其他服务。</w:t>
      </w:r>
      <w:r/>
    </w:p>
    <w:p>
      <w:pPr>
        <w:ind w:firstLine="420"/>
        <w:jc w:val="left"/>
        <w:spacing w:line="400" w:lineRule="exact"/>
        <w:rPr>
          <w:szCs w:val="21"/>
        </w:rPr>
      </w:pPr>
      <w:r>
        <w:rPr>
          <w:szCs w:val="21"/>
        </w:rPr>
        <w:t xml:space="preserve">14.2 乙方提供的售后服务的费用已包含在合同价款中，甲方不再另行支付。</w:t>
      </w:r>
      <w:r/>
    </w:p>
    <w:p>
      <w:pPr>
        <w:jc w:val="left"/>
        <w:spacing w:line="400" w:lineRule="exact"/>
        <w:rPr>
          <w:b/>
          <w:bCs/>
          <w:sz w:val="24"/>
        </w:rPr>
      </w:pPr>
      <w:r>
        <w:rPr>
          <w:b/>
          <w:bCs/>
          <w:sz w:val="24"/>
        </w:rPr>
        <w:t xml:space="preserve">15. 违约责任</w:t>
      </w:r>
      <w:r/>
    </w:p>
    <w:p>
      <w:pPr>
        <w:ind w:firstLine="420"/>
        <w:jc w:val="left"/>
        <w:spacing w:line="400" w:lineRule="exact"/>
        <w:rPr>
          <w:bCs/>
          <w:szCs w:val="21"/>
        </w:rPr>
      </w:pPr>
      <w:r>
        <w:rPr>
          <w:bCs/>
          <w:szCs w:val="21"/>
        </w:rPr>
        <w:t xml:space="preserve">15.1质量瑕疵的违约责任</w:t>
      </w:r>
      <w:r/>
    </w:p>
    <w:p>
      <w:pPr>
        <w:ind w:firstLine="420"/>
        <w:jc w:val="left"/>
        <w:spacing w:line="400" w:lineRule="exact"/>
        <w:rPr>
          <w:szCs w:val="21"/>
        </w:rPr>
      </w:pPr>
      <w:r>
        <w:rPr>
          <w:szCs w:val="21"/>
        </w:rPr>
        <w:t xml:space="preserve">乙方提供的产品不符合合同约定的质量标准或存在产品质量缺陷，甲方有权要求乙方根据</w:t>
      </w:r>
      <w:r>
        <w:rPr>
          <w:b/>
          <w:szCs w:val="21"/>
        </w:rPr>
        <w:t xml:space="preserve">【政府采购合同专用条款】</w:t>
      </w:r>
      <w:r>
        <w:rPr>
          <w:bCs/>
          <w:szCs w:val="21"/>
        </w:rPr>
        <w:t xml:space="preserve">要求</w:t>
      </w:r>
      <w:r>
        <w:rPr>
          <w:szCs w:val="21"/>
        </w:rPr>
        <w:t xml:space="preserve">及时修理、重作、更换，并承担由此给甲方及第三方造成的损失。</w:t>
      </w:r>
      <w:r/>
    </w:p>
    <w:p>
      <w:pPr>
        <w:ind w:firstLine="420"/>
        <w:jc w:val="left"/>
        <w:spacing w:line="400" w:lineRule="exact"/>
        <w:rPr>
          <w:bCs/>
          <w:szCs w:val="21"/>
        </w:rPr>
      </w:pPr>
      <w:r>
        <w:rPr>
          <w:bCs/>
          <w:szCs w:val="21"/>
        </w:rPr>
        <w:t xml:space="preserve">15.2 迟延交货的违约责任</w:t>
      </w:r>
      <w:r/>
    </w:p>
    <w:p>
      <w:pPr>
        <w:ind w:firstLine="420"/>
        <w:jc w:val="left"/>
        <w:spacing w:line="400" w:lineRule="exact"/>
        <w:rPr>
          <w:szCs w:val="21"/>
        </w:rPr>
      </w:pPr>
      <w:r>
        <w:rPr>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szCs w:val="21"/>
        </w:rPr>
      </w:pPr>
      <w:r>
        <w:rPr>
          <w:szCs w:val="21"/>
        </w:rPr>
        <w:t xml:space="preserve">（2）如果乙方没有按照合同规定的时间交货和提供相关服务，甲方有权从货款中扣除误期赔偿费而不影响合同项下的其他补救方法，赔偿费按</w:t>
      </w:r>
      <w:r>
        <w:rPr>
          <w:b/>
          <w:szCs w:val="21"/>
        </w:rPr>
        <w:t xml:space="preserve">【政府采购合同专用条款】</w:t>
      </w:r>
      <w:r>
        <w:rPr>
          <w:szCs w:val="21"/>
        </w:rPr>
        <w:t xml:space="preserve">规定执行。如果涉及公共利益，且赔偿金额无法弥补公共利益损失，甲方可要求继续履行或者采取其他补救措施。</w:t>
      </w:r>
      <w:r/>
    </w:p>
    <w:p>
      <w:pPr>
        <w:ind w:firstLine="420"/>
        <w:jc w:val="left"/>
        <w:spacing w:line="400" w:lineRule="exact"/>
        <w:rPr>
          <w:szCs w:val="21"/>
        </w:rPr>
      </w:pPr>
      <w:r>
        <w:rPr>
          <w:szCs w:val="21"/>
        </w:rPr>
        <w:t xml:space="preserve">15.3 迟延支付的违约责任</w:t>
      </w:r>
      <w:r/>
    </w:p>
    <w:p>
      <w:pPr>
        <w:ind w:firstLine="420"/>
        <w:jc w:val="left"/>
        <w:spacing w:line="400" w:lineRule="exact"/>
        <w:rPr>
          <w:szCs w:val="21"/>
        </w:rPr>
      </w:pPr>
      <w:r>
        <w:rPr>
          <w:szCs w:val="21"/>
        </w:rPr>
        <w:t xml:space="preserve">甲方存在迟延支付乙方合同款项的，应当承担</w:t>
      </w:r>
      <w:r>
        <w:rPr>
          <w:b/>
          <w:bCs/>
          <w:szCs w:val="21"/>
        </w:rPr>
        <w:t xml:space="preserve">【政府采购合同专用条款】</w:t>
      </w:r>
      <w:r>
        <w:rPr>
          <w:szCs w:val="21"/>
        </w:rPr>
        <w:t xml:space="preserve">规定的逾期付款利息。</w:t>
      </w:r>
      <w:r/>
    </w:p>
    <w:p>
      <w:pPr>
        <w:ind w:firstLine="420"/>
        <w:jc w:val="left"/>
        <w:spacing w:line="400" w:lineRule="exact"/>
        <w:rPr>
          <w:szCs w:val="21"/>
        </w:rPr>
      </w:pPr>
      <w:r>
        <w:rPr>
          <w:bCs/>
          <w:szCs w:val="21"/>
        </w:rPr>
        <w:t xml:space="preserve">15.4其他违约责任根据项目实际需要按</w:t>
      </w:r>
      <w:r>
        <w:rPr>
          <w:b/>
          <w:bCs/>
          <w:szCs w:val="21"/>
        </w:rPr>
        <w:t xml:space="preserve">【政府采购合同专用条款】</w:t>
      </w:r>
      <w:r>
        <w:rPr>
          <w:szCs w:val="21"/>
        </w:rPr>
        <w:t xml:space="preserve">规定执行。</w:t>
      </w:r>
      <w:r/>
    </w:p>
    <w:p>
      <w:pPr>
        <w:numPr>
          <w:ilvl w:val="0"/>
          <w:numId w:val="21"/>
        </w:numPr>
        <w:jc w:val="left"/>
        <w:spacing w:line="400" w:lineRule="exact"/>
        <w:rPr>
          <w:b/>
          <w:sz w:val="24"/>
        </w:rPr>
      </w:pPr>
      <w:r>
        <w:rPr>
          <w:b/>
          <w:sz w:val="24"/>
        </w:rPr>
        <w:t xml:space="preserve">合同变更、中止与终止</w:t>
      </w:r>
      <w:r/>
    </w:p>
    <w:p>
      <w:pPr>
        <w:jc w:val="left"/>
        <w:spacing w:line="400" w:lineRule="exact"/>
        <w:rPr>
          <w:szCs w:val="21"/>
        </w:rPr>
      </w:pPr>
      <w:r>
        <w:rPr>
          <w:szCs w:val="21"/>
        </w:rPr>
        <w:t xml:space="preserve">    16.1合同的变更</w:t>
      </w:r>
      <w:r/>
    </w:p>
    <w:p>
      <w:pPr>
        <w:ind w:firstLine="420"/>
        <w:jc w:val="left"/>
        <w:spacing w:line="400" w:lineRule="exact"/>
        <w:rPr>
          <w:szCs w:val="21"/>
        </w:rPr>
      </w:pPr>
      <w:r>
        <w:rPr>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szCs w:val="21"/>
        </w:rPr>
      </w:pPr>
      <w:r>
        <w:rPr>
          <w:szCs w:val="21"/>
        </w:rPr>
        <w:t xml:space="preserve">16.2合同的中止</w:t>
      </w:r>
      <w:r/>
    </w:p>
    <w:p>
      <w:pPr>
        <w:ind w:firstLine="420"/>
        <w:jc w:val="left"/>
        <w:spacing w:line="400" w:lineRule="exact"/>
        <w:rPr>
          <w:szCs w:val="21"/>
        </w:rPr>
      </w:pPr>
      <w:r>
        <w:rPr>
          <w:szCs w:val="21"/>
        </w:rPr>
        <w:t xml:space="preserve">（1）合同履行过程中因供应商就采购文件、采购过程或结果提起投诉的，甲方认为有必要的，可以中止合同的履行。</w:t>
      </w:r>
      <w:r/>
    </w:p>
    <w:p>
      <w:pPr>
        <w:ind w:firstLine="420"/>
        <w:jc w:val="left"/>
        <w:spacing w:line="400" w:lineRule="exact"/>
        <w:rPr>
          <w:szCs w:val="21"/>
        </w:rPr>
      </w:pPr>
      <w:r>
        <w:rPr>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02"/>
        <w:ind w:firstLine="420"/>
        <w:jc w:val="both"/>
        <w:rPr>
          <w:rFonts w:ascii="Times New Roman" w:hAnsi="Times New Roman" w:cs="Times New Roman"/>
          <w:sz w:val="21"/>
        </w:rPr>
      </w:pPr>
      <w:r>
        <w:rPr>
          <w:rFonts w:ascii="Times New Roman" w:hAnsi="Times New Roman" w:eastAsia="宋体" w:cs="Times New Roman"/>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szCs w:val="21"/>
        </w:rPr>
        <w:t xml:space="preserve">（4）甲方不得以行政区划调整、政府换届、机构或者职能调整以及相关责任人更替为由中止合同。</w:t>
      </w:r>
      <w:r/>
    </w:p>
    <w:p>
      <w:pPr>
        <w:ind w:firstLine="420"/>
        <w:jc w:val="left"/>
        <w:spacing w:line="400" w:lineRule="exact"/>
        <w:rPr>
          <w:szCs w:val="21"/>
        </w:rPr>
      </w:pPr>
      <w:r>
        <w:rPr>
          <w:szCs w:val="21"/>
        </w:rPr>
        <w:t xml:space="preserve">16.3合同的终止</w:t>
      </w:r>
      <w:r/>
    </w:p>
    <w:p>
      <w:pPr>
        <w:ind w:firstLine="420"/>
        <w:jc w:val="left"/>
        <w:spacing w:line="400" w:lineRule="exact"/>
        <w:rPr>
          <w:szCs w:val="21"/>
        </w:rPr>
      </w:pPr>
      <w:r>
        <w:rPr>
          <w:szCs w:val="21"/>
        </w:rPr>
        <w:t xml:space="preserve">（1）合同因有效期限届满而终止；</w:t>
      </w:r>
      <w:r/>
    </w:p>
    <w:p>
      <w:pPr>
        <w:ind w:firstLine="420"/>
        <w:spacing w:line="400" w:lineRule="exact"/>
      </w:pPr>
      <w:r>
        <w:rPr>
          <w:szCs w:val="21"/>
        </w:rPr>
        <w:t xml:space="preserve">（2）乙方未按合同约定履行，构成根本性违约的，甲方有权终止合同，并追究乙方的违约责任。</w:t>
      </w:r>
      <w:r/>
    </w:p>
    <w:p>
      <w:pPr>
        <w:pStyle w:val="1202"/>
        <w:rPr>
          <w:rFonts w:ascii="Times New Roman" w:hAnsi="Times New Roman" w:cs="Times New Roman"/>
        </w:rPr>
      </w:pPr>
      <w:r>
        <w:rPr>
          <w:rFonts w:ascii="Times New Roman" w:hAnsi="Times New Roman" w:cs="Times New Roman"/>
        </w:rPr>
        <w:t xml:space="preserve">16.4 </w:t>
      </w:r>
      <w:r>
        <w:rPr>
          <w:rFonts w:ascii="Times New Roman" w:hAnsi="Times New Roman" w:eastAsia="宋体" w:cs="Times New Roman"/>
          <w:sz w:val="21"/>
        </w:rPr>
        <w:t xml:space="preserve">涉及国家利益、社会公共利益的情形</w:t>
      </w:r>
      <w:r/>
    </w:p>
    <w:p>
      <w:pPr>
        <w:pStyle w:val="1202"/>
        <w:ind w:firstLine="420"/>
        <w:jc w:val="both"/>
        <w:rPr>
          <w:rFonts w:ascii="Times New Roman" w:hAnsi="Times New Roman" w:cs="Times New Roman"/>
          <w:sz w:val="21"/>
        </w:rPr>
      </w:pPr>
      <w:r>
        <w:rPr>
          <w:rFonts w:ascii="Times New Roman" w:hAnsi="Times New Roman" w:eastAsia="宋体" w:cs="Times New Roman"/>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b/>
          <w:bCs/>
          <w:sz w:val="24"/>
        </w:rPr>
      </w:pPr>
      <w:r>
        <w:rPr>
          <w:b/>
          <w:bCs/>
          <w:sz w:val="24"/>
        </w:rPr>
        <w:t xml:space="preserve">17. 合同分包</w:t>
      </w:r>
      <w:r/>
    </w:p>
    <w:p>
      <w:pPr>
        <w:ind w:firstLine="420"/>
        <w:jc w:val="left"/>
        <w:spacing w:line="400" w:lineRule="exact"/>
        <w:rPr>
          <w:szCs w:val="21"/>
        </w:rPr>
      </w:pPr>
      <w:r>
        <w:rPr>
          <w:szCs w:val="21"/>
        </w:rPr>
        <w:t xml:space="preserve">17.1 乙方不得将合同转包给其他供应商。涉及合同分包的，乙方应根据采购文件和投标（响应）文件规定进行合同分包。</w:t>
      </w:r>
      <w:r/>
    </w:p>
    <w:p>
      <w:pPr>
        <w:ind w:firstLine="420"/>
        <w:jc w:val="left"/>
        <w:spacing w:line="400" w:lineRule="exact"/>
        <w:rPr>
          <w:szCs w:val="21"/>
        </w:rPr>
      </w:pPr>
      <w:r>
        <w:rPr>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b/>
          <w:bCs/>
          <w:sz w:val="24"/>
        </w:rPr>
      </w:pPr>
      <w:r>
        <w:rPr>
          <w:b/>
          <w:bCs/>
          <w:sz w:val="24"/>
        </w:rPr>
        <w:t xml:space="preserve">18. 不可抗力</w:t>
      </w:r>
      <w:r/>
    </w:p>
    <w:p>
      <w:pPr>
        <w:ind w:firstLine="420"/>
        <w:jc w:val="left"/>
        <w:spacing w:line="400" w:lineRule="exact"/>
        <w:rPr>
          <w:szCs w:val="21"/>
        </w:rPr>
      </w:pPr>
      <w:r>
        <w:rPr>
          <w:szCs w:val="21"/>
        </w:rPr>
        <w:t xml:space="preserve">18.1 不可抗力是指合同双方不能预见、不能避免且不能克服的客观情况。</w:t>
      </w:r>
      <w:r/>
    </w:p>
    <w:p>
      <w:pPr>
        <w:ind w:firstLine="420"/>
        <w:jc w:val="left"/>
        <w:spacing w:line="400" w:lineRule="exact"/>
        <w:rPr>
          <w:szCs w:val="21"/>
        </w:rPr>
      </w:pPr>
      <w:r>
        <w:rPr>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szCs w:val="21"/>
        </w:rPr>
      </w:pPr>
      <w:r>
        <w:rPr>
          <w:szCs w:val="21"/>
        </w:rPr>
        <w:t xml:space="preserve">18.3 遇有不可抗力的一方，应及时将事件情况以书面形式告知另一方，并在事件发生后三日内向另一方提交合同不能履行或部分不能履行或需要延期履行的详细报告，以及证明不可抗力发生及其持续时间的证据。</w:t>
      </w:r>
      <w:r/>
    </w:p>
    <w:p>
      <w:pPr>
        <w:pStyle w:val="1202"/>
        <w:ind w:firstLine="420"/>
        <w:rPr>
          <w:rFonts w:ascii="Times New Roman" w:hAnsi="Times New Roman" w:eastAsia="宋体" w:cs="Times New Roman"/>
          <w:sz w:val="21"/>
        </w:rPr>
      </w:pPr>
      <w:r>
        <w:rPr>
          <w:rFonts w:ascii="Times New Roman" w:hAnsi="Times New Roman" w:eastAsia="宋体" w:cs="Times New Roman"/>
          <w:sz w:val="21"/>
        </w:rPr>
        <w:t xml:space="preserve">18.4 遭受不可抗力影响的一方有责任尽可能及时采取适当或必要措施减少或消除不可抗力的影响。遭受不可抗力影响的一方对因未尽本项责任而造成的相关损失承担责任。</w:t>
      </w:r>
      <w:r/>
    </w:p>
    <w:p>
      <w:pPr>
        <w:pStyle w:val="1202"/>
        <w:ind w:firstLine="420"/>
        <w:rPr>
          <w:rFonts w:ascii="Times New Roman" w:hAnsi="Times New Roman" w:eastAsia="宋体" w:cs="Times New Roman"/>
          <w:sz w:val="21"/>
        </w:rPr>
      </w:pPr>
      <w:r>
        <w:rPr>
          <w:rFonts w:ascii="Times New Roman" w:hAnsi="Times New Roman" w:eastAsia="宋体" w:cs="Times New Roman"/>
          <w:sz w:val="21"/>
        </w:rPr>
        <w:t xml:space="preserve">18.5合同各方应根据不可抗力对本合同履行的影响程度，协商确定是否终止本合同，或是继续履行本合同。因不可抗力致使不能实现合同目的，未受不可抗力影响的一方有权解除合同。</w:t>
      </w:r>
      <w:r/>
    </w:p>
    <w:p>
      <w:pPr>
        <w:jc w:val="left"/>
        <w:spacing w:line="400" w:lineRule="exact"/>
        <w:rPr>
          <w:b/>
          <w:bCs/>
          <w:sz w:val="24"/>
        </w:rPr>
      </w:pPr>
      <w:r>
        <w:rPr>
          <w:b/>
          <w:bCs/>
          <w:sz w:val="24"/>
        </w:rPr>
        <w:t xml:space="preserve">19. 解决争议的方法</w:t>
      </w:r>
      <w:r/>
    </w:p>
    <w:p>
      <w:pPr>
        <w:pStyle w:val="1202"/>
        <w:ind w:firstLine="420"/>
        <w:jc w:val="both"/>
        <w:rPr>
          <w:rFonts w:ascii="Times New Roman" w:hAnsi="Times New Roman" w:eastAsia="宋体" w:cs="Times New Roman"/>
          <w:sz w:val="21"/>
        </w:rPr>
      </w:pPr>
      <w:r>
        <w:rPr>
          <w:rFonts w:ascii="Times New Roman" w:hAnsi="Times New Roman" w:eastAsia="宋体" w:cs="Times New Roman"/>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02"/>
        <w:ind w:firstLine="420"/>
        <w:jc w:val="both"/>
        <w:rPr>
          <w:rFonts w:ascii="Times New Roman" w:hAnsi="Times New Roman" w:eastAsia="宋体" w:cs="Times New Roman"/>
          <w:sz w:val="21"/>
        </w:rPr>
      </w:pPr>
      <w:r>
        <w:rPr>
          <w:rFonts w:ascii="Times New Roman" w:hAnsi="Times New Roman" w:eastAsia="宋体" w:cs="Times New Roman"/>
          <w:sz w:val="21"/>
        </w:rPr>
        <w:t xml:space="preserve">19.2 选择仲裁的，应在</w:t>
      </w:r>
      <w:r>
        <w:rPr>
          <w:rFonts w:ascii="Times New Roman" w:hAnsi="Times New Roman" w:eastAsia="宋体" w:cs="Times New Roman"/>
          <w:b/>
          <w:bCs/>
          <w:sz w:val="21"/>
        </w:rPr>
        <w:t xml:space="preserve">【政府采购合同专用条款】</w:t>
      </w:r>
      <w:r>
        <w:rPr>
          <w:rFonts w:ascii="Times New Roman" w:hAnsi="Times New Roman" w:eastAsia="宋体" w:cs="Times New Roman"/>
          <w:sz w:val="21"/>
        </w:rPr>
        <w:t xml:space="preserve">中明确仲裁机构及仲裁地；通过诉讼方式解决的，可以在</w:t>
      </w:r>
      <w:r>
        <w:rPr>
          <w:rFonts w:ascii="Times New Roman" w:hAnsi="Times New Roman" w:eastAsia="宋体" w:cs="Times New Roman"/>
          <w:b/>
          <w:bCs/>
          <w:sz w:val="21"/>
        </w:rPr>
        <w:t xml:space="preserve">【政府采购合同专用条款】</w:t>
      </w:r>
      <w:r>
        <w:rPr>
          <w:rFonts w:ascii="Times New Roman" w:hAnsi="Times New Roman" w:eastAsia="宋体" w:cs="Times New Roman"/>
          <w:sz w:val="21"/>
        </w:rPr>
        <w:t xml:space="preserve">中进一步约定选择与争议有实际联系的地点的人民法院管辖，但管辖法院的约定不得违反级别管辖和专属管辖的规定。</w:t>
      </w:r>
      <w:r/>
    </w:p>
    <w:p>
      <w:pPr>
        <w:pStyle w:val="1202"/>
        <w:ind w:firstLine="420"/>
        <w:jc w:val="both"/>
        <w:rPr>
          <w:rFonts w:ascii="Times New Roman" w:hAnsi="Times New Roman" w:eastAsia="宋体" w:cs="Times New Roman"/>
          <w:sz w:val="21"/>
        </w:rPr>
      </w:pPr>
      <w:r>
        <w:rPr>
          <w:rFonts w:ascii="Times New Roman" w:hAnsi="Times New Roman" w:eastAsia="宋体" w:cs="Times New Roman"/>
          <w:sz w:val="21"/>
        </w:rPr>
        <w:t xml:space="preserve">19.3 如甲乙双方有争议的事项不影响合同其他部分的履行，在争议解决期间，合同其他部分应当继续履行。</w:t>
      </w:r>
      <w:r/>
    </w:p>
    <w:p>
      <w:pPr>
        <w:jc w:val="left"/>
        <w:spacing w:line="400" w:lineRule="exact"/>
        <w:rPr>
          <w:sz w:val="24"/>
        </w:rPr>
      </w:pPr>
      <w:r>
        <w:rPr>
          <w:b/>
          <w:sz w:val="24"/>
        </w:rPr>
        <w:t xml:space="preserve">20. 政府采购政策</w:t>
      </w:r>
      <w:r/>
    </w:p>
    <w:p>
      <w:pPr>
        <w:ind w:firstLine="420"/>
        <w:jc w:val="left"/>
        <w:spacing w:line="400" w:lineRule="exact"/>
        <w:rPr>
          <w:szCs w:val="21"/>
        </w:rPr>
      </w:pPr>
      <w:r>
        <w:rPr>
          <w:szCs w:val="21"/>
        </w:rPr>
        <w:t xml:space="preserve">20.1 </w:t>
      </w:r>
      <w:r>
        <w:rPr>
          <w:lang w:val="en-GB"/>
        </w:rPr>
        <w:t xml:space="preserve">本合同应当按照规定执行政府采购政策。</w:t>
      </w:r>
      <w:r/>
    </w:p>
    <w:p>
      <w:pPr>
        <w:ind w:firstLine="420"/>
        <w:jc w:val="left"/>
        <w:spacing w:line="400" w:lineRule="exact"/>
        <w:rPr>
          <w:szCs w:val="21"/>
        </w:rPr>
      </w:pPr>
      <w:r>
        <w:rPr>
          <w:szCs w:val="21"/>
        </w:rPr>
        <w:t xml:space="preserve">20.2 本合同依法执行政府采购政策的方式和内容，属于合同履约验收的范围。甲乙双方</w:t>
      </w:r>
      <w:r>
        <w:rPr>
          <w:szCs w:val="21"/>
          <w:lang w:val="en-GB"/>
        </w:rPr>
        <w:t xml:space="preserve">未按规定要求执行政府采购政策造成损失的</w:t>
      </w:r>
      <w:r>
        <w:rPr>
          <w:szCs w:val="21"/>
        </w:rPr>
        <w:t xml:space="preserve">，有过错的一方应当承担赔偿责任，双方都有过错的，各自承担相应的责任。</w:t>
      </w:r>
      <w:r/>
    </w:p>
    <w:p>
      <w:pPr>
        <w:ind w:firstLine="420"/>
        <w:jc w:val="left"/>
        <w:spacing w:line="400" w:lineRule="exact"/>
        <w:rPr>
          <w:szCs w:val="21"/>
        </w:rPr>
      </w:pPr>
      <w:r>
        <w:rPr>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b/>
          <w:sz w:val="24"/>
        </w:rPr>
      </w:pPr>
      <w:r>
        <w:rPr>
          <w:b/>
          <w:sz w:val="24"/>
        </w:rPr>
        <w:t xml:space="preserve">21. 法律适用</w:t>
      </w:r>
      <w:r/>
    </w:p>
    <w:p>
      <w:pPr>
        <w:pStyle w:val="1202"/>
        <w:ind w:firstLine="420"/>
        <w:jc w:val="both"/>
        <w:rPr>
          <w:rFonts w:ascii="Times New Roman" w:hAnsi="Times New Roman" w:eastAsia="宋体" w:cs="Times New Roman"/>
          <w:sz w:val="21"/>
        </w:rPr>
      </w:pPr>
      <w:r>
        <w:rPr>
          <w:rFonts w:ascii="Times New Roman" w:hAnsi="Times New Roman" w:eastAsia="宋体" w:cs="Times New Roman"/>
          <w:sz w:val="21"/>
        </w:rPr>
        <w:t xml:space="preserve">21.1 本合同的订立、生效、解释、履行及与本合同有关的争议解决，均适用中华人民共和国大陆地区法律、行政法规。</w:t>
      </w:r>
      <w:r/>
    </w:p>
    <w:p>
      <w:pPr>
        <w:pStyle w:val="1202"/>
        <w:ind w:firstLine="420"/>
        <w:jc w:val="both"/>
        <w:rPr>
          <w:rFonts w:ascii="Times New Roman" w:hAnsi="Times New Roman" w:eastAsia="宋体" w:cs="Times New Roman"/>
          <w:sz w:val="21"/>
        </w:rPr>
      </w:pPr>
      <w:r>
        <w:rPr>
          <w:rFonts w:ascii="Times New Roman" w:hAnsi="Times New Roman" w:eastAsia="宋体" w:cs="Times New Roman"/>
          <w:sz w:val="21"/>
        </w:rPr>
        <w:t xml:space="preserve">21.2 本合同条款与法律、行政法规的强制性规定不一致的，双方当事人应按照法律、行政法规的强制性规定修改本合同的相关条款。</w:t>
      </w:r>
      <w:r/>
    </w:p>
    <w:p>
      <w:pPr>
        <w:jc w:val="left"/>
        <w:spacing w:line="400" w:lineRule="exact"/>
        <w:rPr>
          <w:b/>
          <w:sz w:val="24"/>
        </w:rPr>
      </w:pPr>
      <w:r>
        <w:rPr>
          <w:b/>
          <w:sz w:val="24"/>
        </w:rPr>
        <w:t xml:space="preserve">22. 通知</w:t>
      </w:r>
      <w:r/>
    </w:p>
    <w:p>
      <w:pPr>
        <w:pStyle w:val="1202"/>
        <w:ind w:firstLine="420"/>
        <w:jc w:val="both"/>
        <w:rPr>
          <w:rFonts w:ascii="Times New Roman" w:hAnsi="Times New Roman" w:eastAsia="宋体" w:cs="Times New Roman"/>
          <w:sz w:val="21"/>
        </w:rPr>
      </w:pPr>
      <w:r>
        <w:rPr>
          <w:rFonts w:ascii="Times New Roman" w:hAnsi="Times New Roman" w:eastAsia="宋体" w:cs="Times New Roman"/>
          <w:sz w:val="21"/>
        </w:rPr>
        <w:t xml:space="preserve">22.1 本合同任何一方向对方发出的通知、信件、数据电文等，应当发送至本合同第一部分《政府采购合同协议书》所约定的通讯地址、联系人、联系电话或电子邮箱。</w:t>
      </w:r>
      <w:r/>
    </w:p>
    <w:p>
      <w:pPr>
        <w:pStyle w:val="1202"/>
        <w:ind w:firstLine="0"/>
        <w:jc w:val="both"/>
        <w:rPr>
          <w:rFonts w:ascii="Times New Roman" w:hAnsi="Times New Roman" w:cs="Times New Roman"/>
          <w:sz w:val="21"/>
        </w:rPr>
      </w:pPr>
      <w:r>
        <w:rPr>
          <w:rFonts w:ascii="Times New Roman" w:hAnsi="Times New Roman" w:eastAsia="宋体" w:cs="Times New Roman"/>
          <w:sz w:val="21"/>
        </w:rPr>
        <w:t xml:space="preserve">    22.2 一方当事人变更名称、住所、联系人、联系电话或电子邮箱、通讯地址、统一社会信用代码信息的，应当在变更后3日内及时书面通知对方，对方实际收到变更通知前的送达仍为有效送达。</w:t>
      </w:r>
      <w:r/>
    </w:p>
    <w:p>
      <w:pPr>
        <w:ind w:firstLine="420"/>
        <w:jc w:val="left"/>
        <w:spacing w:line="400" w:lineRule="exact"/>
        <w:rPr>
          <w:szCs w:val="21"/>
        </w:rPr>
      </w:pPr>
      <w:r>
        <w:rPr>
          <w:szCs w:val="21"/>
        </w:rPr>
        <w:t xml:space="preserve">22.3本合同一方给另一方的通知均应采用书面形式，传真或快递送到本合同中规定的对方的地址和办理签收手续。</w:t>
      </w:r>
      <w:r/>
    </w:p>
    <w:p>
      <w:pPr>
        <w:ind w:firstLine="420"/>
        <w:jc w:val="left"/>
        <w:spacing w:line="400" w:lineRule="exact"/>
        <w:rPr>
          <w:szCs w:val="21"/>
        </w:rPr>
      </w:pPr>
      <w:r>
        <w:rPr>
          <w:szCs w:val="21"/>
        </w:rPr>
        <w:t xml:space="preserve">22.4通知以送达之日或通知书中规定的生效之日起生效，两者中以较迟之日为准。</w:t>
      </w:r>
      <w:r/>
    </w:p>
    <w:p>
      <w:pPr>
        <w:pStyle w:val="1202"/>
        <w:ind w:firstLine="420"/>
        <w:rPr>
          <w:rFonts w:ascii="Times New Roman" w:hAnsi="Times New Roman" w:eastAsia="宋体" w:cs="Times New Roman"/>
          <w:sz w:val="21"/>
        </w:rPr>
      </w:pPr>
      <w:r>
        <w:rPr>
          <w:rFonts w:ascii="Times New Roman" w:hAnsi="Times New Roman" w:eastAsia="宋体" w:cs="Times New Roman"/>
          <w:sz w:val="21"/>
        </w:rPr>
        <w:t xml:space="preserve">22.5上述发出通知、回复的费用由发出一方承担。</w:t>
      </w:r>
      <w:r/>
    </w:p>
    <w:p>
      <w:pPr>
        <w:numPr>
          <w:ilvl w:val="0"/>
          <w:numId w:val="22"/>
        </w:numPr>
        <w:jc w:val="left"/>
        <w:spacing w:line="400" w:lineRule="exact"/>
        <w:rPr>
          <w:b/>
          <w:bCs/>
          <w:sz w:val="24"/>
        </w:rPr>
      </w:pPr>
      <w:r>
        <w:rPr>
          <w:b/>
          <w:bCs/>
          <w:sz w:val="24"/>
        </w:rPr>
        <w:t xml:space="preserve">合同未尽事项</w:t>
      </w:r>
      <w:r/>
    </w:p>
    <w:p>
      <w:pPr>
        <w:ind w:firstLine="420"/>
        <w:jc w:val="left"/>
        <w:spacing w:line="400" w:lineRule="exact"/>
        <w:rPr>
          <w:bCs/>
          <w:szCs w:val="21"/>
        </w:rPr>
      </w:pPr>
      <w:r>
        <w:rPr>
          <w:bCs/>
          <w:szCs w:val="21"/>
        </w:rPr>
        <w:t xml:space="preserve">23.1合同未尽事项见</w:t>
      </w:r>
      <w:r>
        <w:rPr>
          <w:b/>
          <w:szCs w:val="21"/>
        </w:rPr>
        <w:t xml:space="preserve">【政府采购合同专用条款】</w:t>
      </w:r>
      <w:r>
        <w:rPr>
          <w:bCs/>
          <w:szCs w:val="21"/>
        </w:rPr>
        <w:t xml:space="preserve">。</w:t>
      </w:r>
      <w:r/>
    </w:p>
    <w:p>
      <w:pPr>
        <w:jc w:val="left"/>
        <w:spacing w:line="400" w:lineRule="exact"/>
        <w:rPr>
          <w:rFonts w:eastAsia="黑体"/>
          <w:sz w:val="28"/>
          <w:szCs w:val="28"/>
        </w:rPr>
      </w:pPr>
      <w:r>
        <w:rPr>
          <w:bCs/>
          <w:szCs w:val="21"/>
        </w:rPr>
        <w:t xml:space="preserve">    23.2 合同附件与合同正文具有同等的法律效力。</w:t>
      </w:r>
      <w:bookmarkStart w:id="77" w:name="_Toc20313"/>
      <w:r/>
      <w:r/>
    </w:p>
    <w:p>
      <w:pPr>
        <w:jc w:val="center"/>
        <w:rPr>
          <w:rFonts w:eastAsia="黑体"/>
          <w:sz w:val="28"/>
          <w:szCs w:val="28"/>
        </w:rPr>
      </w:pPr>
      <w:r>
        <w:rPr>
          <w:rFonts w:eastAsia="黑体"/>
          <w:sz w:val="28"/>
          <w:szCs w:val="28"/>
        </w:rPr>
        <w:br w:type="page" w:clear="all"/>
      </w:r>
      <w:r/>
    </w:p>
    <w:p>
      <w:pPr>
        <w:pStyle w:val="879"/>
        <w:jc w:val="center"/>
        <w:rPr>
          <w:rFonts w:ascii="Times New Roman" w:hAnsi="Times New Roman" w:eastAsia="黑体"/>
          <w:b w:val="0"/>
          <w:bCs w:val="0"/>
          <w:sz w:val="28"/>
          <w:szCs w:val="28"/>
        </w:rPr>
      </w:pPr>
      <w:r>
        <w:rPr>
          <w:rFonts w:ascii="Times New Roman" w:hAnsi="Times New Roman" w:eastAsia="黑体"/>
          <w:b w:val="0"/>
          <w:bCs w:val="0"/>
          <w:sz w:val="28"/>
          <w:szCs w:val="28"/>
        </w:rPr>
        <w:t xml:space="preserve">第三节 政府采购合同专用条款</w:t>
      </w:r>
      <w:bookmarkEnd w:id="77"/>
      <w:r/>
      <w:r/>
    </w:p>
    <w:tbl>
      <w:tblPr>
        <w:tblStyle w:val="888"/>
        <w:tblW w:w="9945"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099"/>
        <w:gridCol w:w="6239"/>
      </w:tblGrid>
      <w:tr>
        <w:trPr>
          <w:trHeight w:val="736"/>
        </w:trPr>
        <w:tc>
          <w:tcPr>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第1.2（6）项</w:t>
            </w:r>
            <w:r/>
          </w:p>
        </w:tc>
        <w:tc>
          <w:tcPr>
            <w:tcBorders>
              <w:top w:val="single" w:color="auto" w:sz="4"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联合体具体要求</w:t>
            </w:r>
            <w:r/>
          </w:p>
        </w:tc>
        <w:tc>
          <w:tcPr>
            <w:tcBorders>
              <w:top w:val="single" w:color="auto" w:sz="4" w:space="0"/>
              <w:left w:val="single" w:color="auto" w:sz="6" w:space="0"/>
              <w:bottom w:val="single" w:color="auto" w:sz="6" w:space="0"/>
              <w:right w:val="single" w:color="auto" w:sz="4" w:space="0"/>
            </w:tcBorders>
            <w:tcW w:w="6237" w:type="dxa"/>
            <w:vAlign w:val="center"/>
            <w:textDirection w:val="lrTb"/>
            <w:noWrap w:val="false"/>
          </w:tcPr>
          <w:p>
            <w:pPr>
              <w:jc w:val="left"/>
              <w:rPr>
                <w:szCs w:val="21"/>
              </w:rPr>
            </w:pPr>
            <w:r>
              <w:rPr>
                <w:szCs w:val="21"/>
              </w:rPr>
              <w:t xml:space="preserve">本项目不接受联合体</w:t>
            </w:r>
            <w:r/>
          </w:p>
        </w:tc>
      </w:tr>
      <w:tr>
        <w:trPr>
          <w:trHeight w:val="60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第1.2（7）项</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其他术语解释</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jc w:val="left"/>
              <w:rPr>
                <w:szCs w:val="21"/>
              </w:rPr>
            </w:pPr>
            <w:r>
              <w:rPr>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第4.4款</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highlight w:val="none"/>
              </w:rPr>
            </w:pPr>
            <w:r>
              <w:rPr>
                <w:szCs w:val="21"/>
                <w:highlight w:val="none"/>
              </w:rPr>
              <w:t xml:space="preserve">履约验收中甲方提出异议或作出说明的期限</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jc w:val="left"/>
              <w:rPr>
                <w:szCs w:val="21"/>
                <w:highlight w:val="none"/>
              </w:rPr>
            </w:pPr>
            <w:r>
              <w:rPr>
                <w:rFonts w:hint="eastAsia"/>
                <w:szCs w:val="21"/>
                <w:highlight w:val="none"/>
              </w:rPr>
              <w:t xml:space="preserve">（每次）履约验收日起</w:t>
            </w:r>
            <w:r>
              <w:rPr>
                <w:szCs w:val="21"/>
                <w:highlight w:val="none"/>
              </w:rPr>
              <w:t xml:space="preserve">30</w:t>
            </w:r>
            <w:r>
              <w:rPr>
                <w:rFonts w:hint="eastAsia"/>
                <w:szCs w:val="21"/>
                <w:highlight w:val="none"/>
              </w:rPr>
              <w:t xml:space="preserve">个工作日内</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第4.6款</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约定甲方承担的其他义务和责任</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jc w:val="left"/>
              <w:rPr>
                <w:szCs w:val="21"/>
              </w:rPr>
            </w:pPr>
            <w:r>
              <w:rPr>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pPr>
            <w:r>
              <w:rPr>
                <w:szCs w:val="21"/>
              </w:rPr>
              <w:t xml:space="preserve">第5.4款</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约定乙方承担的其他义务和责任</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jc w:val="left"/>
              <w:rPr>
                <w:szCs w:val="21"/>
              </w:rPr>
            </w:pPr>
            <w:r>
              <w:rPr>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第6.1款</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履行合同义务的顺序</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jc w:val="left"/>
              <w:rPr>
                <w:szCs w:val="21"/>
              </w:rPr>
            </w:pPr>
            <w:r>
              <w:rPr>
                <w:szCs w:val="21"/>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jc w:val="center"/>
              <w:rPr>
                <w:szCs w:val="21"/>
              </w:rPr>
            </w:pPr>
            <w:r>
              <w:rPr>
                <w:szCs w:val="21"/>
              </w:rPr>
              <w:t xml:space="preserve">第二节</w:t>
            </w:r>
            <w:r/>
          </w:p>
          <w:p>
            <w:pPr>
              <w:jc w:val="center"/>
              <w:rPr>
                <w:szCs w:val="21"/>
              </w:rPr>
            </w:pPr>
            <w:r>
              <w:rPr>
                <w:szCs w:val="21"/>
              </w:rPr>
              <w:t xml:space="preserve">第7.1款</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包装特殊要求</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jc w:val="left"/>
              <w:widowControl/>
              <w:rPr>
                <w:szCs w:val="21"/>
              </w:rPr>
            </w:pPr>
            <w:r>
              <w:rPr>
                <w:szCs w:val="21"/>
              </w:rPr>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指定现场</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r>
              <w:t xml:space="preserve">交货地点为</w:t>
            </w:r>
            <w:r>
              <w:rPr>
                <w:highlight w:val="none"/>
              </w:rPr>
              <w:t xml:space="preserve">：【</w:t>
            </w:r>
            <w:r>
              <w:rPr>
                <w:rFonts w:hint="eastAsia"/>
                <w:highlight w:val="none"/>
              </w:rPr>
              <w:t xml:space="preserve">苏州工业园区青少年活动中心（苏州工业园区南施街</w:t>
            </w:r>
            <w:r>
              <w:rPr>
                <w:highlight w:val="none"/>
              </w:rPr>
              <w:t xml:space="preserve">288</w:t>
            </w:r>
            <w:r>
              <w:rPr>
                <w:rFonts w:hint="eastAsia"/>
                <w:highlight w:val="none"/>
              </w:rPr>
              <w:t xml:space="preserve">号）</w:t>
            </w:r>
            <w:r>
              <w:rPr>
                <w:highlight w:val="none"/>
              </w:rPr>
              <w:t xml:space="preserve">】</w:t>
            </w:r>
            <w:r/>
          </w:p>
        </w:tc>
      </w:tr>
      <w:tr>
        <w:trPr>
          <w:trHeight w:val="772"/>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第7.2款</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运输特殊要求</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第7.3款</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保险要求</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第8.2（1）项</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质量保证期</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jc w:val="left"/>
              <w:rPr>
                <w:szCs w:val="21"/>
              </w:rPr>
            </w:pPr>
            <w:r>
              <w:rPr>
                <w:b/>
                <w:szCs w:val="21"/>
                <w:highlight w:val="none"/>
              </w:rPr>
              <w:t xml:space="preserve">【</w:t>
            </w:r>
            <w:r>
              <w:rPr>
                <w:rFonts w:hint="eastAsia"/>
                <w:b/>
                <w:szCs w:val="21"/>
                <w:highlight w:val="none"/>
              </w:rPr>
              <w:t xml:space="preserve">5年电梯整梯厂家质保</w:t>
            </w:r>
            <w:r>
              <w:rPr>
                <w:b/>
                <w:szCs w:val="21"/>
                <w:highlight w:val="none"/>
              </w:rPr>
              <w:t xml:space="preserve">】</w:t>
            </w:r>
            <w:r>
              <w:rPr>
                <w:szCs w:val="21"/>
                <w:highlight w:val="none"/>
              </w:rPr>
              <w:t xml:space="preserve">或</w:t>
            </w:r>
            <w:r>
              <w:rPr>
                <w:szCs w:val="21"/>
              </w:rPr>
              <w:t xml:space="preserve">乙方书面承诺或货物生产者规定的质量保证期（三者以较长的为准）</w:t>
            </w:r>
            <w:r/>
          </w:p>
          <w:p>
            <w:pPr>
              <w:jc w:val="left"/>
              <w:rPr>
                <w:szCs w:val="21"/>
              </w:rPr>
            </w:pPr>
            <w:r>
              <w:rPr>
                <w:szCs w:val="21"/>
              </w:rPr>
              <w:t xml:space="preserve">质量保证期</w:t>
            </w:r>
            <w:r>
              <w:rPr>
                <w:rFonts w:hint="eastAsia"/>
                <w:szCs w:val="21"/>
              </w:rPr>
              <w:t xml:space="preserve">自项目验收合格并发放《特种设备使用标志》</w:t>
            </w:r>
            <w:r>
              <w:rPr>
                <w:szCs w:val="21"/>
              </w:rPr>
              <w:t xml:space="preserve">之日起计算。</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第8.2（3）项</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货物质量缺陷</w:t>
            </w:r>
            <w:r/>
          </w:p>
          <w:p>
            <w:pPr>
              <w:jc w:val="left"/>
              <w:rPr>
                <w:szCs w:val="21"/>
              </w:rPr>
            </w:pPr>
            <w:r>
              <w:rPr>
                <w:szCs w:val="21"/>
              </w:rPr>
              <w:t xml:space="preserve">响应时间</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jc w:val="left"/>
              <w:rPr>
                <w:rFonts w:hint="eastAsia"/>
                <w:szCs w:val="21"/>
                <w:highlight w:val="cyan"/>
              </w:rPr>
            </w:pPr>
            <w:r>
              <w:rPr>
                <w:rFonts w:hint="eastAsia"/>
                <w:color w:val="000000" w:themeColor="text1"/>
                <w:szCs w:val="21"/>
                <w:highlight w:val="none"/>
                <w14:textFill>
                  <w14:solidFill>
                    <w14:schemeClr w14:val="tx1"/>
                  </w14:solidFill>
                </w14:textFill>
              </w:rPr>
              <w:t xml:space="preserve">在免费质保期内，乙方应</w:t>
            </w:r>
            <w:r>
              <w:rPr>
                <w:rFonts w:cs="Ubuntu" w:asciiTheme="minorEastAsia" w:hAnsiTheme="minorEastAsia" w:eastAsiaTheme="minorEastAsia"/>
                <w:color w:val="0f1115"/>
                <w:sz w:val="21"/>
                <w:szCs w:val="21"/>
                <w:highlight w:val="none"/>
                <w:shd w:val="clear" w:color="auto" w:fill="ffffff"/>
              </w:rPr>
              <w:t xml:space="preserve">提供24小时应急服务电话</w:t>
            </w:r>
            <w:r>
              <w:rPr>
                <w:rFonts w:hint="eastAsia" w:cs="宋体" w:asciiTheme="minorEastAsia" w:hAnsiTheme="minorEastAsia" w:eastAsiaTheme="minorEastAsia"/>
                <w:color w:val="0f1115"/>
                <w:sz w:val="21"/>
                <w:szCs w:val="21"/>
                <w:highlight w:val="none"/>
                <w:shd w:val="clear" w:color="auto" w:fill="ffffff"/>
              </w:rPr>
              <w:t xml:space="preserve">，响应时间在</w:t>
            </w:r>
            <w:r>
              <w:rPr>
                <w:rFonts w:hint="eastAsia" w:cs="Ubuntu" w:asciiTheme="minorEastAsia" w:hAnsiTheme="minorEastAsia" w:eastAsiaTheme="minorEastAsia"/>
                <w:color w:val="0f1115"/>
                <w:sz w:val="21"/>
                <w:szCs w:val="21"/>
                <w:highlight w:val="none"/>
                <w:shd w:val="clear" w:color="auto" w:fill="ffffff"/>
              </w:rPr>
              <w:t xml:space="preserve">15</w:t>
            </w:r>
            <w:r>
              <w:rPr>
                <w:rFonts w:hint="eastAsia" w:cs="宋体" w:asciiTheme="minorEastAsia" w:hAnsiTheme="minorEastAsia" w:eastAsiaTheme="minorEastAsia"/>
                <w:color w:val="0f1115"/>
                <w:sz w:val="21"/>
                <w:szCs w:val="21"/>
                <w:highlight w:val="none"/>
                <w:shd w:val="clear" w:color="auto" w:fill="ffffff"/>
              </w:rPr>
              <w:t xml:space="preserve">分钟内</w:t>
            </w:r>
            <w:r>
              <w:rPr>
                <w:rFonts w:cs="Ubuntu" w:asciiTheme="minorEastAsia" w:hAnsiTheme="minorEastAsia" w:eastAsiaTheme="minorEastAsia"/>
                <w:color w:val="0f1115"/>
                <w:sz w:val="21"/>
                <w:szCs w:val="21"/>
                <w:highlight w:val="none"/>
                <w:shd w:val="clear" w:color="auto" w:fill="ffffff"/>
              </w:rPr>
              <w:t xml:space="preserve">。</w:t>
            </w:r>
            <w:r>
              <w:rPr>
                <w:rFonts w:hint="eastAsia"/>
                <w:color w:val="000000" w:themeColor="text1"/>
                <w:szCs w:val="21"/>
                <w:highlight w:val="none"/>
                <w14:textFill>
                  <w14:solidFill>
                    <w14:schemeClr w14:val="tx1"/>
                  </w14:solidFill>
                </w14:textFill>
              </w:rPr>
              <w:t xml:space="preserve">一旦货物发生质量问题，乙方应在2小时以内响应，4小时内赶到现场，8小时内解决问题</w:t>
            </w:r>
            <w:r>
              <w:rPr>
                <w:rFonts w:hint="eastAsia"/>
                <w:color w:val="000000" w:themeColor="text1"/>
                <w:szCs w:val="21"/>
                <w:highlight w:val="none"/>
                <w:lang w:eastAsia="zh-CN"/>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如在8小时内不能解决问题，应免费用同样品牌、规格的产品更换到位。如乙方在接到通知后24小时内没有答复或处理问题，甲方有权直接聘请第三方提供，因此而造成的费用、损失风险由乙方承担，甲方可在合同金额中直接予以扣除。若出现电梯困人等紧急情况，维修人员应在30分钟内到达现场进行救援。</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pStyle w:val="1202"/>
              <w:ind w:firstLine="0"/>
              <w:jc w:val="center"/>
              <w:rPr>
                <w:rFonts w:ascii="Times New Roman" w:hAnsi="Times New Roman" w:cs="Times New Roman"/>
              </w:rPr>
            </w:pPr>
            <w:r>
              <w:rPr>
                <w:rFonts w:ascii="Times New Roman" w:hAnsi="Times New Roman" w:eastAsia="宋体" w:cs="Times New Roman"/>
              </w:rPr>
              <w:t xml:space="preserve">第11.1款</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rPr>
                <w:szCs w:val="21"/>
              </w:rPr>
            </w:pPr>
            <w:r>
              <w:rPr>
                <w:szCs w:val="21"/>
              </w:rPr>
              <w:t xml:space="preserve">其他应当保密的信息</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jc w:val="left"/>
              <w:rPr>
                <w:szCs w:val="21"/>
              </w:rPr>
            </w:pPr>
            <w:r>
              <w:rPr>
                <w:szCs w:val="21"/>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第12.2款</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合同价款支付时间</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jc w:val="left"/>
              <w:rPr>
                <w:szCs w:val="21"/>
                <w:highlight w:val="none"/>
              </w:rPr>
            </w:pPr>
            <w:r>
              <w:rPr>
                <w:szCs w:val="21"/>
              </w:rPr>
              <w:t xml:space="preserve">1.支付时间</w:t>
            </w:r>
            <w:r>
              <w:rPr>
                <w:szCs w:val="21"/>
                <w:highlight w:val="none"/>
              </w:rPr>
              <w:t xml:space="preserve">：甲方原则上应当自收到发票后10个工作日内将资金支付到合同约定的乙方账户</w:t>
            </w:r>
            <w:r>
              <w:rPr>
                <w:rFonts w:hint="eastAsia"/>
                <w:szCs w:val="21"/>
                <w:highlight w:val="none"/>
              </w:rPr>
              <w:t xml:space="preserve">。</w:t>
            </w:r>
            <w:r/>
          </w:p>
          <w:p>
            <w:pPr>
              <w:jc w:val="left"/>
              <w:rPr>
                <w:szCs w:val="21"/>
              </w:rPr>
            </w:pPr>
            <w:r>
              <w:rPr>
                <w:szCs w:val="21"/>
              </w:rPr>
              <w:t xml:space="preserve">2.支付条件：</w:t>
            </w:r>
            <w:r>
              <w:rPr>
                <w:rFonts w:hint="eastAsia"/>
                <w:szCs w:val="21"/>
                <w:highlight w:val="none"/>
              </w:rPr>
              <w:t xml:space="preserve">满足各期款项支付约定的情形，并经甲方签署书面文件，且乙方不存在其它违约情形，方视为合同付款条件成就。</w:t>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第13.2款</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jc w:val="left"/>
              <w:rPr>
                <w:szCs w:val="21"/>
              </w:rPr>
            </w:pPr>
            <w:r>
              <w:rPr>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第13.3款</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pStyle w:val="1202"/>
              <w:ind w:firstLine="0"/>
              <w:rPr>
                <w:rFonts w:ascii="Times New Roman" w:hAnsi="Times New Roman" w:cs="Times New Roman"/>
              </w:rPr>
            </w:pPr>
            <w:r>
              <w:rPr>
                <w:rFonts w:ascii="Times New Roman" w:hAnsi="Times New Roman" w:cs="Times New Roman"/>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第14.1（3）项</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运行监督、维修期限</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jc w:val="left"/>
              <w:rPr>
                <w:szCs w:val="21"/>
                <w:highlight w:val="none"/>
              </w:rPr>
            </w:pPr>
            <w:r>
              <w:rPr>
                <w:rFonts w:hint="eastAsia"/>
                <w:szCs w:val="21"/>
                <w:highlight w:val="none"/>
              </w:rPr>
              <w:t xml:space="preserve">1、安装完成后，委托经甲方认可的特种设备监督检验机构进行安装监督检验，取得《电梯监督检验报告》和《特种设备使用标志》。检验不合格项由乙方在规定期限内整改并承担复检费用。</w:t>
            </w:r>
            <w:r/>
          </w:p>
          <w:p>
            <w:pPr>
              <w:jc w:val="left"/>
              <w:rPr>
                <w:szCs w:val="21"/>
                <w:highlight w:val="none"/>
              </w:rPr>
            </w:pPr>
            <w:r>
              <w:rPr>
                <w:rFonts w:hint="eastAsia"/>
                <w:szCs w:val="21"/>
                <w:highlight w:val="none"/>
              </w:rPr>
              <w:t xml:space="preserve">2、乙方应免费提供至少5年电梯整梯厂家质保。在质保期内该产品出现质量问题，应负责免费修理并更换有缺陷的部件。</w:t>
            </w:r>
            <w:r/>
          </w:p>
          <w:p>
            <w:pPr>
              <w:jc w:val="left"/>
              <w:rPr>
                <w:rFonts w:hint="eastAsia"/>
                <w:szCs w:val="21"/>
              </w:rPr>
            </w:pPr>
            <w:r>
              <w:rPr>
                <w:rFonts w:hint="eastAsia"/>
                <w:szCs w:val="21"/>
                <w:highlight w:val="none"/>
              </w:rPr>
              <w:t xml:space="preserve">3、乙方应免费提供至少5年的日常维护保养，并定期检查。提供的电梯维保服务，保养项目应覆盖《电梯维护保养规则》（TSG T5002-2017）规定的半月、季度、半年、年度保养项目和电梯制造单位安装使用维护说明书要求所要求的特殊保养项目以及与电梯安全运行相关的其它项目。（如服务期内有最新规定的，应按新规执行）。对在用特种设备进行检查和日常维护保养时发现异常情况的，应当及时汇报甲方。在维护保养中应严格执行国家安全技术规范的要求，保证电梯的安全技术性能，并负责落实现场安全防护措施，保证安全。</w:t>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第14.1（5）项</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货物回收的约定</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jc w:val="left"/>
              <w:rPr>
                <w:szCs w:val="21"/>
              </w:rPr>
            </w:pPr>
            <w:r>
              <w:rPr>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第14.1（6）项</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乙方提供的其他服务</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jc w:val="left"/>
              <w:rPr>
                <w:szCs w:val="21"/>
              </w:rPr>
            </w:pPr>
            <w:r>
              <w:rPr>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第15.1款</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jc w:val="left"/>
              <w:rPr>
                <w:szCs w:val="21"/>
              </w:rPr>
            </w:pPr>
            <w:r>
              <w:rPr>
                <w:szCs w:val="21"/>
              </w:rPr>
              <w:t xml:space="preserve">1、乙方提供的产品不符合合同约定的质量标准或存在产品质量缺陷，乙方应当免费修理、重作、更换。因乙方修理、更换、重作的产品的免费质保期应自甲方验收通过合格产品起重新计算。由此导致的延迟交货责任由乙方自行承担。</w:t>
            </w:r>
            <w:r/>
          </w:p>
          <w:p>
            <w:pPr>
              <w:jc w:val="left"/>
            </w:pPr>
            <w:r>
              <w:rPr>
                <w:szCs w:val="21"/>
              </w:rPr>
              <w:t xml:space="preserve">2、在免费质保期届满后，乙方保证继续为甲方提供设备的维修服务。甲方应按乙方提供的不高于任何第三方的优惠价格向乙方支付相关费用，乙方保证在合同货物使用期内以不高于本合同货物、相关配件及服务的价格，并且不高于任何第三方的优惠价格，向甲方提供备品、备件及维修服务。</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第15.2（2）项</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迟延交货赔偿费</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jc w:val="left"/>
              <w:rPr>
                <w:szCs w:val="21"/>
                <w:highlight w:val="none"/>
                <w:u w:val="single"/>
              </w:rPr>
            </w:pPr>
            <w:r>
              <w:rPr>
                <w:szCs w:val="21"/>
                <w:highlight w:val="none"/>
                <w:u w:val="single"/>
              </w:rPr>
              <w:t xml:space="preserve">每迟延一日，乙方应按照本合同总金额的万分之五向甲方支付违约金，延迟超过【</w:t>
            </w:r>
            <w:r>
              <w:rPr>
                <w:rFonts w:hint="eastAsia"/>
                <w:szCs w:val="21"/>
                <w:highlight w:val="none"/>
                <w:u w:val="single"/>
              </w:rPr>
              <w:t xml:space="preserve">30</w:t>
            </w:r>
            <w:r>
              <w:rPr>
                <w:szCs w:val="21"/>
                <w:highlight w:val="none"/>
                <w:u w:val="single"/>
              </w:rPr>
              <w:t xml:space="preserve">】日的，甲方有权解除本合同。</w:t>
            </w:r>
            <w:r>
              <w:rPr>
                <w:highlight w:val="none"/>
              </w:rPr>
              <w:t xml:space="preserve">如甲方未选择解除合同的，乙方仍应在甲方要求的期限内履行约定的义务，</w:t>
            </w:r>
            <w:r>
              <w:rPr>
                <w:szCs w:val="21"/>
                <w:highlight w:val="none"/>
                <w:u w:val="single"/>
              </w:rPr>
              <w:t xml:space="preserve">并承担由此给甲方造成的损失及甲方因此产生的对第三方的责任</w:t>
            </w:r>
            <w:r>
              <w:rPr>
                <w:highlight w:val="none"/>
              </w:rPr>
              <w:t xml:space="preserve">。</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第15.3款</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逾期付款利息</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jc w:val="left"/>
              <w:rPr>
                <w:szCs w:val="21"/>
                <w:highlight w:val="none"/>
                <w:u w:val="single"/>
              </w:rPr>
            </w:pPr>
            <w:r>
              <w:rPr>
                <w:szCs w:val="21"/>
                <w:highlight w:val="none"/>
                <w:u w:val="single"/>
              </w:rPr>
              <w:t xml:space="preserve">甲方按照逾期付款金额的每天【</w:t>
            </w:r>
            <w:r>
              <w:rPr>
                <w:rFonts w:hint="eastAsia"/>
                <w:szCs w:val="21"/>
                <w:highlight w:val="none"/>
                <w:u w:val="single"/>
              </w:rPr>
              <w:t xml:space="preserve">3%</w:t>
            </w:r>
            <w:r>
              <w:rPr>
                <w:szCs w:val="21"/>
                <w:highlight w:val="none"/>
                <w:u w:val="single"/>
              </w:rPr>
              <w:t xml:space="preserve">】向乙方支付，但由于乙方违约导致的甲方延迟付款不视为甲方逾期付款。</w:t>
            </w:r>
            <w:r/>
          </w:p>
        </w:tc>
      </w:tr>
      <w:tr>
        <w:trPr>
          <w:trHeight w:val="876"/>
        </w:trPr>
        <w:tc>
          <w:tcPr>
            <w:tcBorders>
              <w:top w:val="single" w:color="auto" w:sz="6" w:space="0"/>
              <w:left w:val="single" w:color="auto" w:sz="4" w:space="0"/>
              <w:bottom w:val="single" w:color="auto" w:sz="2" w:space="0"/>
              <w:right w:val="single" w:color="auto" w:sz="2"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第15.4款</w:t>
            </w:r>
            <w:r/>
          </w:p>
        </w:tc>
        <w:tc>
          <w:tcPr>
            <w:tcBorders>
              <w:top w:val="single" w:color="auto" w:sz="6" w:space="0"/>
              <w:left w:val="single" w:color="auto" w:sz="2" w:space="0"/>
              <w:bottom w:val="single" w:color="auto" w:sz="2" w:space="0"/>
              <w:right w:val="single" w:color="auto" w:sz="2" w:space="0"/>
            </w:tcBorders>
            <w:tcW w:w="2098" w:type="dxa"/>
            <w:vAlign w:val="center"/>
            <w:textDirection w:val="lrTb"/>
            <w:noWrap w:val="false"/>
          </w:tcPr>
          <w:p>
            <w:pPr>
              <w:jc w:val="left"/>
              <w:rPr>
                <w:szCs w:val="21"/>
              </w:rPr>
            </w:pPr>
            <w:r>
              <w:rPr>
                <w:szCs w:val="21"/>
              </w:rPr>
              <w:t xml:space="preserve">其他违约责任</w:t>
            </w:r>
            <w:r/>
          </w:p>
        </w:tc>
        <w:tc>
          <w:tcPr>
            <w:tcBorders>
              <w:top w:val="single" w:color="auto" w:sz="6" w:space="0"/>
              <w:left w:val="single" w:color="auto" w:sz="2" w:space="0"/>
              <w:bottom w:val="single" w:color="auto" w:sz="2" w:space="0"/>
              <w:right w:val="single" w:color="auto" w:sz="4" w:space="0"/>
            </w:tcBorders>
            <w:tcW w:w="6237" w:type="dxa"/>
            <w:vAlign w:val="center"/>
            <w:textDirection w:val="lrTb"/>
            <w:noWrap w:val="false"/>
          </w:tcPr>
          <w:p>
            <w:pPr>
              <w:jc w:val="left"/>
              <w:rPr>
                <w:szCs w:val="21"/>
                <w:highlight w:val="none"/>
                <w:u w:val="single"/>
              </w:rPr>
            </w:pPr>
            <w:r>
              <w:rPr>
                <w:szCs w:val="21"/>
                <w:highlight w:val="none"/>
                <w:u w:val="single"/>
              </w:rPr>
              <w:t xml:space="preserve">1、若乙方未如期按照合同约定交付合同货物或提供服务，或乙方未能履行合同规定的任何其他义务时，甲方有权直接向乙方发出违约通知书，并要求乙方按照下列一种或多种方式承担违约责任：</w:t>
            </w:r>
            <w:r/>
          </w:p>
          <w:p>
            <w:pPr>
              <w:jc w:val="left"/>
              <w:rPr>
                <w:szCs w:val="21"/>
                <w:highlight w:val="none"/>
                <w:u w:val="single"/>
              </w:rPr>
            </w:pPr>
            <w:r>
              <w:rPr>
                <w:szCs w:val="21"/>
                <w:highlight w:val="none"/>
                <w:u w:val="single"/>
              </w:rPr>
              <w:t xml:space="preserve">1）乙方每迟延交付合同货物或提供服务一日，乙方应按照本合同总金额的万分之五向甲方支付违约金，延迟超过【</w:t>
            </w:r>
            <w:r>
              <w:rPr>
                <w:rFonts w:hint="eastAsia"/>
                <w:szCs w:val="21"/>
                <w:highlight w:val="none"/>
                <w:u w:val="single"/>
              </w:rPr>
              <w:t xml:space="preserve">30</w:t>
            </w:r>
            <w:r>
              <w:rPr>
                <w:szCs w:val="21"/>
                <w:highlight w:val="none"/>
                <w:u w:val="single"/>
              </w:rPr>
              <w:t xml:space="preserve">】日的，甲方有权解除本合同。如甲方未选择解除合同的，乙方仍应在甲方要求的期限内履行约定的义务，并承担由此给甲方造成的损失及甲方因此产生的对第三方的责任。</w:t>
            </w:r>
            <w:r/>
          </w:p>
          <w:p>
            <w:pPr>
              <w:jc w:val="left"/>
              <w:rPr>
                <w:szCs w:val="21"/>
                <w:highlight w:val="none"/>
                <w:u w:val="single"/>
              </w:rPr>
            </w:pPr>
            <w:r>
              <w:rPr>
                <w:szCs w:val="21"/>
                <w:highlight w:val="none"/>
                <w:u w:val="single"/>
              </w:rPr>
              <w:t xml:space="preserve">2）在甲方规定的时间内，乙方未用符合合同规定的规格、质量和性能要求的新零件、部件或货物来更换有缺陷的零件、部件和货物，或未修补缺陷部分以达到合同规定的要求，乙方应承担由此发生的相关费用并承担由此给甲方造成的损失；若甲方依法向第三方承担赔偿责任的，甲方有权向乙方追偿。此时，相关货物的免费质量保修期也应相应延长。</w:t>
            </w:r>
            <w:r/>
          </w:p>
          <w:p>
            <w:pPr>
              <w:jc w:val="left"/>
              <w:rPr>
                <w:szCs w:val="21"/>
                <w:highlight w:val="none"/>
                <w:u w:val="single"/>
              </w:rPr>
            </w:pPr>
            <w:r>
              <w:rPr>
                <w:szCs w:val="21"/>
                <w:highlight w:val="none"/>
                <w:u w:val="single"/>
              </w:rPr>
              <w:t xml:space="preserve">3）若乙方存在违约情形，甲方有权根据货物、服务低劣程度、损坏程度以及使甲方所遭受的损失及甲方因此产生的对第三方的责任，采取包括但不限于以下措施：按双方商定的结果降低货物、服务的价格；直接要求乙方赔偿甲方所遭受的损失及甲方因此产生的对第三方的责任。</w:t>
            </w:r>
            <w:r/>
          </w:p>
          <w:p>
            <w:pPr>
              <w:jc w:val="left"/>
              <w:rPr>
                <w:szCs w:val="21"/>
                <w:highlight w:val="none"/>
                <w:u w:val="single"/>
              </w:rPr>
            </w:pPr>
            <w:r>
              <w:rPr>
                <w:szCs w:val="21"/>
                <w:highlight w:val="none"/>
                <w:u w:val="single"/>
              </w:rPr>
              <w:t xml:space="preserve">4）若乙方提供的服务不符合甲方要求的，甲方有权直接聘请第三方提供服务，因此而造成的费用、损失、风险由乙方承担，相应的费用甲方可在合同价款或履约保证金（如有）中直接予以扣除。</w:t>
            </w:r>
            <w:r/>
          </w:p>
          <w:p>
            <w:pPr>
              <w:jc w:val="left"/>
              <w:rPr>
                <w:szCs w:val="21"/>
                <w:highlight w:val="none"/>
                <w:u w:val="single"/>
              </w:rPr>
            </w:pPr>
            <w:r>
              <w:rPr>
                <w:szCs w:val="21"/>
                <w:highlight w:val="none"/>
                <w:u w:val="single"/>
              </w:rPr>
              <w:t xml:space="preserve">5）甲方有权要求乙方按合同规定的同种货币将甲方所退货物已支付的货款全部退还给甲方，并承担由此发生的损失和相关费用及甲方因此产生的对第三方的责任。</w:t>
            </w:r>
            <w:r/>
          </w:p>
          <w:p>
            <w:pPr>
              <w:jc w:val="left"/>
              <w:rPr>
                <w:szCs w:val="21"/>
                <w:highlight w:val="none"/>
                <w:u w:val="single"/>
              </w:rPr>
            </w:pPr>
            <w:r>
              <w:rPr>
                <w:szCs w:val="21"/>
                <w:highlight w:val="none"/>
                <w:u w:val="single"/>
              </w:rPr>
              <w:t xml:space="preserve">6）甲方有权部分或全部解除合同，并要求乙方赔偿由此造成的损失及甲方因此产生的对第三方的责任。此时甲方可采取必要的补救措施，相关费用由乙方承担。</w:t>
            </w:r>
            <w:r/>
          </w:p>
          <w:p>
            <w:pPr>
              <w:jc w:val="left"/>
              <w:rPr>
                <w:szCs w:val="21"/>
                <w:highlight w:val="none"/>
                <w:u w:val="single"/>
              </w:rPr>
            </w:pPr>
            <w:r>
              <w:rPr>
                <w:szCs w:val="21"/>
                <w:highlight w:val="none"/>
                <w:u w:val="single"/>
              </w:rPr>
              <w:t xml:space="preserve">7）甲方为采取必要的补救措施或因防止损失扩大而支出的合理费用应由乙方承担。</w:t>
            </w:r>
            <w:r/>
          </w:p>
          <w:p>
            <w:pPr>
              <w:jc w:val="left"/>
              <w:rPr>
                <w:szCs w:val="21"/>
                <w:highlight w:val="none"/>
                <w:u w:val="single"/>
              </w:rPr>
            </w:pPr>
            <w:r>
              <w:rPr>
                <w:szCs w:val="21"/>
                <w:highlight w:val="none"/>
                <w:u w:val="single"/>
              </w:rPr>
              <w:t xml:space="preserve">2、如果乙方在收到甲方的违约通知书7日内未作答复也没有按照甲方选择的方式承担违约责任，则甲方有权从尚未支付的合同价款或履约保证金（如有）中扣回相当于甲方选择的方式计算的索赔金额。如果前述金额不足以补偿甲方损失，甲方有权要求乙方补足。</w:t>
            </w:r>
            <w:r/>
          </w:p>
          <w:p>
            <w:pPr>
              <w:pStyle w:val="1202"/>
              <w:ind w:firstLine="0"/>
              <w:spacing w:line="240" w:lineRule="auto"/>
              <w:rPr>
                <w:rFonts w:ascii="Times New Roman" w:hAnsi="Times New Roman" w:eastAsia="宋体" w:cs="Times New Roman"/>
                <w:sz w:val="21"/>
                <w:highlight w:val="none"/>
                <w:u w:val="single"/>
              </w:rPr>
            </w:pPr>
            <w:r>
              <w:rPr>
                <w:rFonts w:ascii="Times New Roman" w:hAnsi="Times New Roman" w:eastAsia="宋体" w:cs="Times New Roman"/>
                <w:sz w:val="21"/>
                <w:highlight w:val="none"/>
                <w:u w:val="single"/>
              </w:rPr>
              <w:t xml:space="preserve">3、小型、微型企业不得分包或转包给大型、中型企业，中型企业不得分包或转包给大型企业，否则视为乙方违约，甲方有权单方解除合同。</w:t>
            </w:r>
            <w:r/>
          </w:p>
          <w:p>
            <w:pPr>
              <w:pStyle w:val="1202"/>
              <w:ind w:firstLine="0"/>
              <w:spacing w:line="240" w:lineRule="auto"/>
              <w:rPr>
                <w:rFonts w:ascii="Times New Roman" w:hAnsi="Times New Roman" w:eastAsia="宋体" w:cs="Times New Roman"/>
                <w:sz w:val="21"/>
                <w:highlight w:val="none"/>
                <w:u w:val="single"/>
              </w:rPr>
            </w:pPr>
            <w:r>
              <w:rPr>
                <w:rFonts w:ascii="Times New Roman" w:hAnsi="Times New Roman" w:eastAsia="宋体" w:cs="Times New Roman"/>
                <w:sz w:val="21"/>
                <w:highlight w:val="none"/>
                <w:u w:val="single"/>
              </w:rPr>
              <w:t xml:space="preserve">4、合同的部分和全部都不得转让，否则视为乙方违约，甲方有权单方解除合同。</w:t>
            </w:r>
            <w:r/>
          </w:p>
          <w:p>
            <w:pPr>
              <w:pStyle w:val="1202"/>
              <w:ind w:firstLine="0"/>
              <w:spacing w:line="240" w:lineRule="auto"/>
              <w:rPr>
                <w:rStyle w:val="939"/>
                <w:rFonts w:ascii="Times New Roman" w:hAnsi="Times New Roman" w:cs="Times New Roman"/>
                <w:highlight w:val="none"/>
              </w:rPr>
            </w:pPr>
            <w:r>
              <w:rPr>
                <w:rFonts w:ascii="Times New Roman" w:hAnsi="Times New Roman" w:eastAsia="宋体" w:cs="Times New Roman"/>
                <w:sz w:val="21"/>
                <w:highlight w:val="none"/>
                <w:u w:val="single"/>
              </w:rPr>
              <w:t xml:space="preserve">5、因乙方违约导致合同解除的，乙方应当全额退还甲方已经支付的货款，自行取回货物，并向甲方支付合同总金额20%的违约金，赔偿由此造成的损失及甲方因此产生的对第三方的责任。</w:t>
            </w:r>
            <w:r/>
          </w:p>
          <w:p>
            <w:pPr>
              <w:pStyle w:val="1202"/>
              <w:ind w:firstLine="0"/>
              <w:spacing w:line="240" w:lineRule="auto"/>
              <w:rPr>
                <w:rFonts w:ascii="Times New Roman" w:hAnsi="Times New Roman" w:cs="Times New Roman"/>
                <w:highlight w:val="none"/>
                <w:u w:val="single"/>
              </w:rPr>
            </w:pPr>
            <w:r>
              <w:rPr>
                <w:rStyle w:val="939"/>
                <w:rFonts w:ascii="Times New Roman" w:hAnsi="Times New Roman" w:eastAsia="宋体" w:cs="Times New Roman"/>
                <w:highlight w:val="none"/>
              </w:rPr>
              <w:t xml:space="preserve">6、甲方的损失包括但不限于：因乙方违约致使采购货物延迟交付、质量不达标或服务未达要求所产生的重新采购差价、项目停滞导致的额外支出、为解决问题而投入的补救费用，以及因无法按时向公众提供服务或完成项目引发的第三方索赔、未来潜在收益损失等。</w:t>
            </w:r>
            <w:r/>
          </w:p>
        </w:tc>
      </w:tr>
      <w:tr>
        <w:trPr>
          <w:trHeight w:val="90"/>
        </w:trPr>
        <w:tc>
          <w:tcPr>
            <w:tcBorders>
              <w:top w:val="single" w:color="auto" w:sz="2" w:space="0"/>
              <w:left w:val="single" w:color="auto" w:sz="4" w:space="0"/>
              <w:bottom w:val="single" w:color="auto" w:sz="6" w:space="0"/>
              <w:right w:val="single" w:color="auto" w:sz="2"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第19.2款</w:t>
            </w:r>
            <w:r/>
          </w:p>
        </w:tc>
        <w:tc>
          <w:tcPr>
            <w:tcBorders>
              <w:top w:val="single" w:color="auto" w:sz="2" w:space="0"/>
              <w:left w:val="single" w:color="auto" w:sz="2" w:space="0"/>
              <w:bottom w:val="single" w:color="auto" w:sz="6" w:space="0"/>
              <w:right w:val="single" w:color="auto" w:sz="2" w:space="0"/>
            </w:tcBorders>
            <w:tcW w:w="2098" w:type="dxa"/>
            <w:vAlign w:val="center"/>
            <w:textDirection w:val="lrTb"/>
            <w:noWrap w:val="false"/>
          </w:tcPr>
          <w:p>
            <w:pPr>
              <w:jc w:val="left"/>
              <w:rPr>
                <w:szCs w:val="21"/>
              </w:rPr>
            </w:pPr>
            <w:r>
              <w:rPr>
                <w:szCs w:val="21"/>
              </w:rPr>
              <w:t xml:space="preserve">解决争议的方法</w:t>
            </w:r>
            <w:r/>
          </w:p>
        </w:tc>
        <w:tc>
          <w:tcPr>
            <w:tcBorders>
              <w:top w:val="single" w:color="auto" w:sz="2" w:space="0"/>
              <w:left w:val="single" w:color="auto" w:sz="2" w:space="0"/>
              <w:bottom w:val="single" w:color="auto" w:sz="6" w:space="0"/>
              <w:right w:val="single" w:color="auto" w:sz="4" w:space="0"/>
            </w:tcBorders>
            <w:tcW w:w="6237" w:type="dxa"/>
            <w:vAlign w:val="center"/>
            <w:textDirection w:val="lrTb"/>
            <w:noWrap w:val="false"/>
          </w:tcPr>
          <w:p>
            <w:pPr>
              <w:jc w:val="left"/>
              <w:spacing w:line="400" w:lineRule="exact"/>
              <w:rPr>
                <w:iCs/>
                <w:szCs w:val="21"/>
              </w:rPr>
            </w:pPr>
            <w:r>
              <w:rPr>
                <w:iCs/>
                <w:szCs w:val="21"/>
              </w:rPr>
              <w:t xml:space="preserve">因本合同及合同有关事项发生的争议，按下列第</w:t>
            </w:r>
            <w:r>
              <w:rPr>
                <w:iCs/>
                <w:szCs w:val="21"/>
                <w:u w:val="single"/>
              </w:rPr>
              <w:t xml:space="preserve">（2）</w:t>
            </w:r>
            <w:r>
              <w:rPr>
                <w:iCs/>
                <w:szCs w:val="21"/>
              </w:rPr>
              <w:t xml:space="preserve">种方式解决：</w:t>
            </w:r>
            <w:r/>
          </w:p>
          <w:p>
            <w:pPr>
              <w:jc w:val="left"/>
              <w:spacing w:line="400" w:lineRule="exact"/>
              <w:rPr>
                <w:iCs/>
                <w:szCs w:val="21"/>
              </w:rPr>
            </w:pPr>
            <w:r>
              <w:rPr>
                <w:iCs/>
                <w:szCs w:val="21"/>
              </w:rPr>
              <w:t xml:space="preserve">（1）向</w:t>
            </w:r>
            <w:r>
              <w:rPr>
                <w:iCs/>
                <w:szCs w:val="21"/>
                <w:u w:val="single"/>
              </w:rPr>
              <w:t xml:space="preserve">                    </w:t>
            </w:r>
            <w:r>
              <w:rPr>
                <w:iCs/>
                <w:szCs w:val="21"/>
              </w:rPr>
              <w:t xml:space="preserve">仲裁委员会申请仲裁，仲裁地点为</w:t>
            </w:r>
            <w:r>
              <w:rPr>
                <w:iCs/>
                <w:szCs w:val="21"/>
                <w:u w:val="single"/>
              </w:rPr>
              <w:t xml:space="preserve">           </w:t>
            </w:r>
            <w:r>
              <w:rPr>
                <w:iCs/>
                <w:szCs w:val="21"/>
              </w:rPr>
              <w:t xml:space="preserve">；</w:t>
            </w:r>
            <w:r/>
          </w:p>
          <w:p>
            <w:pPr>
              <w:jc w:val="left"/>
              <w:rPr>
                <w:szCs w:val="21"/>
                <w:u w:val="single"/>
              </w:rPr>
            </w:pPr>
            <w:r>
              <w:rPr>
                <w:iCs/>
                <w:szCs w:val="21"/>
              </w:rPr>
              <w:t xml:space="preserve">（2）向</w:t>
            </w:r>
            <w:r>
              <w:rPr>
                <w:iCs/>
                <w:szCs w:val="21"/>
                <w:u w:val="single"/>
              </w:rPr>
              <w:t xml:space="preserve">  甲方所在地有管辖权  </w:t>
            </w:r>
            <w:r>
              <w:rPr>
                <w:iCs/>
                <w:szCs w:val="21"/>
              </w:rPr>
              <w:t xml:space="preserve">人民法院起诉。</w:t>
            </w:r>
            <w:r/>
          </w:p>
        </w:tc>
      </w:tr>
      <w:tr>
        <w:trPr>
          <w:trHeight w:val="770"/>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第23.1款</w:t>
            </w:r>
            <w:r/>
          </w:p>
        </w:tc>
        <w:tc>
          <w:tcPr>
            <w:tcBorders>
              <w:top w:val="single" w:color="auto" w:sz="6" w:space="0"/>
              <w:left w:val="single" w:color="auto" w:sz="6" w:space="0"/>
              <w:bottom w:val="single" w:color="auto" w:sz="4" w:space="0"/>
              <w:right w:val="single" w:color="auto" w:sz="6" w:space="0"/>
            </w:tcBorders>
            <w:tcW w:w="2098" w:type="dxa"/>
            <w:vAlign w:val="center"/>
            <w:textDirection w:val="lrTb"/>
            <w:noWrap w:val="false"/>
          </w:tcPr>
          <w:p>
            <w:pPr>
              <w:jc w:val="left"/>
              <w:rPr>
                <w:szCs w:val="21"/>
              </w:rPr>
            </w:pPr>
            <w:r>
              <w:rPr>
                <w:bCs/>
                <w:szCs w:val="21"/>
              </w:rPr>
              <w:t xml:space="preserve">其他专用条款</w:t>
            </w:r>
            <w:r/>
          </w:p>
        </w:tc>
        <w:tc>
          <w:tcPr>
            <w:tcBorders>
              <w:top w:val="single" w:color="auto" w:sz="6" w:space="0"/>
              <w:left w:val="single" w:color="auto" w:sz="6" w:space="0"/>
              <w:bottom w:val="single" w:color="auto" w:sz="4" w:space="0"/>
              <w:right w:val="single" w:color="auto" w:sz="4" w:space="0"/>
            </w:tcBorders>
            <w:tcW w:w="6237" w:type="dxa"/>
            <w:vAlign w:val="center"/>
            <w:textDirection w:val="lrTb"/>
            <w:noWrap w:val="false"/>
          </w:tcPr>
          <w:p>
            <w:pPr>
              <w:jc w:val="left"/>
              <w:rPr>
                <w:szCs w:val="21"/>
              </w:rPr>
            </w:pPr>
            <w:r>
              <w:rPr>
                <w:szCs w:val="21"/>
              </w:rPr>
              <w:t xml:space="preserve">1、</w:t>
            </w:r>
            <w:r>
              <w:t xml:space="preserve">本合同第一部分《政府采购合同协议书》所约定的银行账户即为乙方指定收款账号。</w:t>
            </w:r>
            <w:r>
              <w:rPr>
                <w:szCs w:val="21"/>
              </w:rPr>
              <w:t xml:space="preserve">经双方协商一致同意，在本合同签订后，若因乙方办理“园采贷”信用融资的需要，本合同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r/>
          </w:p>
          <w:p>
            <w:pPr>
              <w:pStyle w:val="1202"/>
              <w:ind w:firstLine="0"/>
              <w:spacing w:line="240" w:lineRule="auto"/>
              <w:rPr>
                <w:rFonts w:ascii="Times New Roman" w:hAnsi="Times New Roman" w:eastAsia="宋体" w:cs="Times New Roman"/>
                <w:sz w:val="21"/>
              </w:rPr>
            </w:pPr>
            <w:r>
              <w:rPr>
                <w:rFonts w:ascii="Times New Roman" w:hAnsi="Times New Roman" w:eastAsia="宋体" w:cs="Times New Roman"/>
                <w:sz w:val="21"/>
              </w:rPr>
              <w:t xml:space="preserve">2、如因甲方使用不当而引起的缺陷，或因甲方人员维护不当而损坏的货物或零部件，乙方不负保修责任，乙方应按照或比照本合同相关条款规定提供更换或修理服务，由此引起的合理费用由甲方负担。</w:t>
            </w:r>
            <w:r/>
          </w:p>
          <w:p>
            <w:pPr>
              <w:pStyle w:val="1202"/>
              <w:ind w:firstLine="0"/>
              <w:spacing w:line="240" w:lineRule="auto"/>
              <w:rPr>
                <w:rFonts w:ascii="Times New Roman" w:hAnsi="Times New Roman" w:eastAsia="宋体" w:cs="Times New Roman"/>
                <w:sz w:val="21"/>
              </w:rPr>
            </w:pPr>
            <w:r>
              <w:rPr>
                <w:rFonts w:ascii="Times New Roman" w:hAnsi="Times New Roman" w:eastAsia="宋体" w:cs="Times New Roman"/>
                <w:sz w:val="21"/>
              </w:rPr>
              <w:t xml:space="preserve">3、如果出现政府采购监管部门在处理投诉事项期间，通知甲方暂停采购活动的情形，或者询问或质疑事项可能影响最终成交结果的，导致甲方中止履行合同的情形，均不视为甲方违约。</w:t>
            </w:r>
            <w:r/>
          </w:p>
          <w:p>
            <w:pPr>
              <w:pStyle w:val="1202"/>
              <w:ind w:firstLine="0"/>
              <w:spacing w:line="240" w:lineRule="auto"/>
              <w:rPr>
                <w:rFonts w:ascii="Times New Roman" w:hAnsi="Times New Roman" w:cs="Times New Roman"/>
              </w:rPr>
            </w:pPr>
            <w:r>
              <w:rPr>
                <w:rFonts w:ascii="Times New Roman" w:hAnsi="Times New Roman" w:eastAsia="宋体" w:cs="Times New Roman"/>
                <w:sz w:val="21"/>
              </w:rPr>
              <w:t xml:space="preserve">4、有权解除合同的一方，应当在其知道或者应当知道解除事由之日起【一年】内书面通知对方提出解除合同；另一方如有异议，应当在解除合同通知到达之日起【7】日内提出异议，否则视为无异议，合同自异议期满之次日起即告解除。</w:t>
            </w:r>
            <w:r/>
          </w:p>
        </w:tc>
      </w:tr>
    </w:tbl>
    <w:p>
      <w:r/>
      <w:r/>
    </w:p>
    <w:p>
      <w:r>
        <w:br w:type="page" w:clear="all"/>
      </w:r>
      <w:r/>
    </w:p>
    <w:p>
      <w:r/>
      <w:bookmarkEnd w:id="72"/>
      <w:r/>
      <w:r/>
    </w:p>
    <w:p>
      <w:pPr>
        <w:jc w:val="left"/>
        <w:spacing w:line="360" w:lineRule="auto"/>
        <w:rPr>
          <w:b/>
          <w:bCs/>
        </w:rPr>
        <w:outlineLvl w:val="1"/>
      </w:pPr>
      <w:r/>
      <w:bookmarkStart w:id="78" w:name="OLE_LINK24"/>
      <w:r/>
      <w:bookmarkStart w:id="79" w:name="OLE_LINK10"/>
      <w:r/>
      <w:bookmarkStart w:id="80" w:name="OLE_LINK25"/>
      <w:r>
        <w:rPr>
          <w:b/>
          <w:bCs/>
        </w:rPr>
        <w:t xml:space="preserve">附件1：</w:t>
      </w:r>
      <w:r/>
    </w:p>
    <w:p>
      <w:pPr>
        <w:jc w:val="center"/>
        <w:spacing w:line="360" w:lineRule="auto"/>
        <w:rPr>
          <w:b/>
          <w:sz w:val="36"/>
        </w:rPr>
      </w:pPr>
      <w:r>
        <w:rPr>
          <w:b/>
          <w:sz w:val="36"/>
        </w:rPr>
        <w:t xml:space="preserve">苏州工业园区货物类项目履约验收方案</w:t>
      </w:r>
      <w:r/>
    </w:p>
    <w:p>
      <w:pPr>
        <w:jc w:val="left"/>
        <w:spacing w:line="360" w:lineRule="auto"/>
        <w:rPr>
          <w:b/>
        </w:rPr>
      </w:pPr>
      <w:r>
        <w:rPr>
          <w:b/>
        </w:rPr>
        <w:t xml:space="preserve">一、项目概况</w:t>
      </w:r>
      <w:r/>
    </w:p>
    <w:p>
      <w:pPr>
        <w:ind w:firstLine="420"/>
        <w:jc w:val="left"/>
        <w:spacing w:line="360" w:lineRule="auto"/>
      </w:pPr>
      <w:r>
        <w:t xml:space="preserve">项目编号：</w:t>
      </w:r>
      <w:r/>
    </w:p>
    <w:p>
      <w:pPr>
        <w:ind w:firstLine="420"/>
        <w:jc w:val="left"/>
        <w:spacing w:line="360" w:lineRule="auto"/>
      </w:pPr>
      <w:r>
        <w:t xml:space="preserve">项目名称：</w:t>
      </w:r>
      <w:r/>
    </w:p>
    <w:p>
      <w:pPr>
        <w:ind w:firstLine="420"/>
        <w:jc w:val="left"/>
        <w:spacing w:line="360" w:lineRule="auto"/>
      </w:pPr>
      <w:r>
        <w:t xml:space="preserve">供应商名称：</w:t>
      </w:r>
      <w:r/>
    </w:p>
    <w:p>
      <w:pPr>
        <w:ind w:firstLine="420"/>
        <w:jc w:val="left"/>
        <w:spacing w:line="360" w:lineRule="auto"/>
      </w:pPr>
      <w:r>
        <w:t xml:space="preserve">合同金额：</w:t>
      </w:r>
      <w:r/>
    </w:p>
    <w:p>
      <w:pPr>
        <w:ind w:firstLine="420"/>
        <w:jc w:val="left"/>
        <w:spacing w:line="360" w:lineRule="auto"/>
      </w:pPr>
      <w:r>
        <w:t xml:space="preserve">验收主体：</w:t>
      </w:r>
      <w:r/>
    </w:p>
    <w:p>
      <w:pPr>
        <w:jc w:val="left"/>
        <w:spacing w:line="360" w:lineRule="auto"/>
      </w:pPr>
      <w:r>
        <w:rPr>
          <w:b/>
        </w:rPr>
        <w:t xml:space="preserve">二、验收目的</w:t>
      </w:r>
      <w:r/>
    </w:p>
    <w:p>
      <w:pPr>
        <w:ind w:firstLine="420"/>
        <w:jc w:val="left"/>
        <w:spacing w:line="360" w:lineRule="auto"/>
      </w:pPr>
      <w: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jc w:val="left"/>
        <w:spacing w:line="360" w:lineRule="auto"/>
        <w:rPr>
          <w:b/>
        </w:rPr>
      </w:pPr>
      <w:r>
        <w:rPr>
          <w:b/>
        </w:rPr>
        <w:t xml:space="preserve">三、验收依据</w:t>
      </w:r>
      <w:r/>
    </w:p>
    <w:p>
      <w:pPr>
        <w:ind w:firstLine="420"/>
        <w:jc w:val="left"/>
        <w:spacing w:line="360" w:lineRule="auto"/>
      </w:pPr>
      <w:r>
        <w:t xml:space="preserve">苏州工业园区采购人通过政府采购方式和程序确定供应商的货物和服务类政府采购项目应当执行《江苏省政府采购履约验收管理办法》和《关于进一步加强履约验收管理的通知》。上级文件规定与《关于进一步加强履约验收管理的通知》不一致的，以上级文件规定为准。政府采购文件、供应商投标（响应）文件、政府采购合同是履约验收工作的基本依据。</w:t>
      </w:r>
      <w:r/>
    </w:p>
    <w:p>
      <w:pPr>
        <w:numPr>
          <w:ilvl w:val="0"/>
          <w:numId w:val="23"/>
        </w:numPr>
        <w:jc w:val="left"/>
        <w:spacing w:line="360" w:lineRule="auto"/>
        <w:widowControl/>
        <w:rPr>
          <w:b/>
          <w:bCs/>
        </w:rPr>
      </w:pPr>
      <w:r>
        <w:rPr>
          <w:b/>
        </w:rPr>
        <w:t xml:space="preserve">验收</w:t>
      </w:r>
      <w:r>
        <w:rPr>
          <w:b/>
          <w:bCs/>
        </w:rPr>
        <w:t xml:space="preserve">责任主体</w:t>
      </w:r>
      <w:r/>
    </w:p>
    <w:p>
      <w:pPr>
        <w:ind w:firstLine="420"/>
        <w:jc w:val="left"/>
        <w:spacing w:line="360" w:lineRule="auto"/>
      </w:pPr>
      <w: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jc w:val="left"/>
        <w:spacing w:line="360" w:lineRule="auto"/>
        <w:rPr>
          <w:b/>
        </w:rPr>
      </w:pPr>
      <w:r>
        <w:rPr>
          <w:b/>
        </w:rPr>
        <w:t xml:space="preserve">五、验收方式及验收内容</w:t>
      </w:r>
      <w:r/>
    </w:p>
    <w:p>
      <w:pPr>
        <w:jc w:val="left"/>
        <w:spacing w:line="360" w:lineRule="auto"/>
        <w:rPr>
          <w:b/>
        </w:rPr>
      </w:pPr>
      <w:r>
        <w:rPr>
          <w:b/>
        </w:rPr>
        <w:t xml:space="preserve">5.1日常考核</w:t>
      </w:r>
      <w:r/>
    </w:p>
    <w:p>
      <w:pPr>
        <w:ind w:firstLine="420"/>
        <w:jc w:val="left"/>
        <w:spacing w:line="360" w:lineRule="auto"/>
      </w:pPr>
      <w: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w:t>
      </w:r>
      <w:r>
        <w:rPr>
          <w:b/>
          <w:bCs/>
        </w:rPr>
        <w:t xml:space="preserve">采购人书面要求供应商限期整改，由此造成的一切损失由供应商承担。</w:t>
      </w:r>
      <w:r/>
    </w:p>
    <w:p>
      <w:pPr>
        <w:jc w:val="left"/>
        <w:spacing w:line="360" w:lineRule="auto"/>
        <w:rPr>
          <w:b/>
          <w:bCs/>
        </w:rPr>
      </w:pPr>
      <w:r>
        <w:rPr>
          <w:b/>
          <w:bCs/>
        </w:rPr>
        <w:t xml:space="preserve">5.2检测(检验)验收</w:t>
      </w:r>
      <w:r/>
    </w:p>
    <w:p>
      <w:pPr>
        <w:ind w:firstLine="420"/>
        <w:jc w:val="left"/>
        <w:spacing w:line="360" w:lineRule="auto"/>
      </w:pPr>
      <w:r>
        <w:t xml:space="preserve">5.2.1 </w:t>
      </w:r>
      <w:r>
        <w:rPr>
          <w:b/>
          <w:bCs/>
        </w:rPr>
        <w:t xml:space="preserve">采购文件中设置检测报告相关要求的，应由采购人聘请有资质的检测机构实施检验、出具检测报告</w:t>
      </w:r>
      <w:r>
        <w:t xml:space="preserve">，且检测机构、检测标准、检测内容等应与采购文件中的要求一致或相关，</w:t>
      </w:r>
      <w:r>
        <w:rPr>
          <w:b/>
          <w:bCs/>
        </w:rPr>
        <w:t xml:space="preserve">相关费用由供应商承担。</w:t>
      </w:r>
      <w:r/>
    </w:p>
    <w:p>
      <w:pPr>
        <w:ind w:firstLine="420"/>
        <w:jc w:val="left"/>
        <w:spacing w:line="360" w:lineRule="auto"/>
      </w:pPr>
      <w: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w:t>
      </w:r>
      <w:r>
        <w:rPr>
          <w:b/>
          <w:bCs/>
        </w:rPr>
        <w:t xml:space="preserve">供应商拒不配合抽样送检的，其所移交货物作不合格处理。</w:t>
      </w:r>
      <w:r/>
    </w:p>
    <w:p>
      <w:pPr>
        <w:ind w:firstLine="420"/>
        <w:jc w:val="left"/>
        <w:spacing w:line="360" w:lineRule="auto"/>
      </w:pPr>
      <w:r>
        <w:t xml:space="preserve">5.2.3当某一产品检验不合格时，认定该类产品均不合格，采购人书面通知供应商限期进行整改，供应商应在限期完成不合格产品的更换，若供应商未按时完成整改或整改后再次抽检仍不合格的，</w:t>
      </w:r>
      <w:r>
        <w:rPr>
          <w:b/>
          <w:bCs/>
        </w:rPr>
        <w:t xml:space="preserve">则采购人有权终止合同，重新采购，由此造成的一切损失由供应商承担。</w:t>
      </w:r>
      <w:r/>
    </w:p>
    <w:p>
      <w:pPr>
        <w:ind w:firstLine="420"/>
        <w:jc w:val="left"/>
        <w:spacing w:line="360" w:lineRule="auto"/>
      </w:pPr>
      <w:r>
        <w:t xml:space="preserve">5.2.4对检验结果存在异议时，启用备样检验，</w:t>
      </w:r>
      <w:r>
        <w:rPr>
          <w:b/>
          <w:bCs/>
        </w:rPr>
        <w:t xml:space="preserve">相关费用由异议提出方承担。</w:t>
      </w:r>
      <w:r/>
    </w:p>
    <w:p>
      <w:pPr>
        <w:ind w:firstLine="420"/>
        <w:jc w:val="left"/>
        <w:spacing w:line="360" w:lineRule="auto"/>
      </w:pPr>
      <w:r>
        <w:t xml:space="preserve">5.2.5实施检验检测所造成的产品损坏、损耗，</w:t>
      </w:r>
      <w:r>
        <w:rPr>
          <w:b/>
          <w:bCs/>
        </w:rPr>
        <w:t xml:space="preserve">其替换补充或维修费用由供应商承担。</w:t>
      </w:r>
      <w:r/>
    </w:p>
    <w:p>
      <w:pPr>
        <w:ind w:firstLine="420"/>
        <w:jc w:val="left"/>
        <w:spacing w:line="360" w:lineRule="auto"/>
      </w:pPr>
      <w:r>
        <w:t xml:space="preserve">5.2.6除上述5.2.1 条检测要求以外，采购人有权指定有资质的检验检测机构对整体货物按</w:t>
      </w:r>
      <w:r>
        <w:rPr>
          <w:b/>
          <w:bCs/>
        </w:rPr>
        <w:t xml:space="preserve">不超过合同金额5%</w:t>
      </w:r>
      <w:r>
        <w:t xml:space="preserve">的比例进行随机抽检，检验依据现行有效的国家或行业标准。</w:t>
      </w:r>
      <w:r>
        <w:rPr>
          <w:b/>
          <w:bCs/>
        </w:rPr>
        <w:t xml:space="preserve">若检测合格由采购人支付检测费用，检测不合格由供应商支付，</w:t>
      </w:r>
      <w:r>
        <w:t xml:space="preserve">且采购人书面通知供应商限期进行整改。若供应商未按时完成整改或整改后再次抽检仍不合格的，</w:t>
      </w:r>
      <w:r>
        <w:rPr>
          <w:b/>
          <w:bCs/>
        </w:rPr>
        <w:t xml:space="preserve">则采购人有权终止合同，重新采购，由此造成的一切损失由供应商承担。</w:t>
      </w:r>
      <w:r/>
    </w:p>
    <w:p>
      <w:pPr>
        <w:jc w:val="left"/>
        <w:spacing w:line="360" w:lineRule="auto"/>
        <w:rPr>
          <w:b/>
          <w:bCs/>
        </w:rPr>
      </w:pPr>
      <w:r>
        <w:rPr>
          <w:b/>
          <w:bCs/>
        </w:rPr>
        <w:t xml:space="preserve">5.3最终验收</w:t>
      </w:r>
      <w:r/>
    </w:p>
    <w:p>
      <w:pPr>
        <w:jc w:val="left"/>
        <w:spacing w:line="360" w:lineRule="auto"/>
        <w:rPr>
          <w:b/>
          <w:bCs/>
        </w:rPr>
      </w:pPr>
      <w:r>
        <w:rPr>
          <w:b/>
          <w:bCs/>
        </w:rPr>
        <w:t xml:space="preserve">5.3.1验收准备</w:t>
      </w:r>
      <w:r/>
    </w:p>
    <w:p>
      <w:pPr>
        <w:ind w:firstLine="420"/>
        <w:jc w:val="left"/>
        <w:spacing w:line="360" w:lineRule="auto"/>
      </w:pPr>
      <w:r>
        <w:t xml:space="preserve">5.3.1.1政府采购合同约定的履约验收条件达到时，采购人应当在</w:t>
      </w:r>
      <w:r>
        <w:rPr>
          <w:b/>
          <w:bCs/>
        </w:rPr>
        <w:t xml:space="preserve"> 5 个工作日内</w:t>
      </w:r>
      <w:r>
        <w:t xml:space="preserve">启动履约验收工作，并向供应商发出</w:t>
      </w:r>
      <w:r>
        <w:rPr>
          <w:b/>
          <w:bCs/>
        </w:rPr>
        <w:t xml:space="preserve">《政府采购履约验收通知单》（见下表1）。</w:t>
      </w:r>
      <w:r>
        <w:t xml:space="preserve">在政府采购合同约定的履行验收条件达到时，供应商可以主动联系采购人启动履约验收工作。</w:t>
      </w:r>
      <w:r>
        <w:rPr>
          <w:b/>
          <w:bCs/>
        </w:rPr>
        <w:t xml:space="preserve">供应商在收到验收通知单后五个工作日内拒不配合的，采购人应依照合同约定追究其责任。</w:t>
      </w:r>
      <w:r/>
    </w:p>
    <w:p>
      <w:pPr>
        <w:ind w:firstLine="420"/>
        <w:jc w:val="left"/>
        <w:spacing w:line="360" w:lineRule="auto"/>
      </w:pPr>
      <w:r>
        <w:t xml:space="preserve">5.3.1.2供应商应当配合采购人、采购代理机构做好项目验收工作，及时提供与项目验收相关的生产、技术、服务、数量、质量、安全、合格证明及验收所必须具备的其他材料。</w:t>
      </w:r>
      <w:r/>
    </w:p>
    <w:p>
      <w:pPr>
        <w:ind w:firstLine="420"/>
        <w:jc w:val="left"/>
        <w:spacing w:line="360" w:lineRule="auto"/>
      </w:pPr>
      <w:r>
        <w:t xml:space="preserve">5.3.1.3采购人应及时全面准备验收，在验收日期前做好通水、通电、准备验收工具等必要的验收准备工作。</w:t>
      </w:r>
      <w:r/>
    </w:p>
    <w:p>
      <w:pPr>
        <w:jc w:val="left"/>
        <w:spacing w:line="360" w:lineRule="auto"/>
        <w:rPr>
          <w:b/>
          <w:bCs/>
        </w:rPr>
      </w:pPr>
      <w:r>
        <w:rPr>
          <w:b/>
          <w:bCs/>
        </w:rPr>
        <w:t xml:space="preserve">5.3.2验收小组</w:t>
      </w:r>
      <w:r/>
    </w:p>
    <w:p>
      <w:pPr>
        <w:pStyle w:val="941"/>
        <w:ind w:firstLine="420"/>
        <w:spacing w:line="360" w:lineRule="auto"/>
        <w:rPr>
          <w:rFonts w:ascii="Times New Roman"/>
        </w:rPr>
      </w:pPr>
      <w:r>
        <w:rPr>
          <w:rFonts w:ascii="Times New Roman"/>
        </w:rPr>
        <w:t xml:space="preserve">5.3.2.1</w:t>
      </w:r>
      <w:r>
        <w:rPr>
          <w:rFonts w:ascii="Times New Roman"/>
          <w:b/>
          <w:bCs/>
        </w:rPr>
        <w:t xml:space="preserve">采购人应当组织成立验收小组</w:t>
      </w:r>
      <w:r>
        <w:rPr>
          <w:rFonts w:ascii="Times New Roman"/>
        </w:rPr>
        <w:t xml:space="preserve">，验收小组负责实施项目验收工作，其成员构成、人员数量以及负责人由采购人确定，</w:t>
      </w:r>
      <w:r>
        <w:rPr>
          <w:rFonts w:ascii="Times New Roman"/>
          <w:szCs w:val="22"/>
        </w:rPr>
        <w:t xml:space="preserve">验收小组一般由采购人指定的本单位 </w:t>
      </w:r>
      <w:r>
        <w:rPr>
          <w:rFonts w:ascii="Times New Roman"/>
          <w:b/>
          <w:bCs/>
          <w:szCs w:val="22"/>
        </w:rPr>
        <w:t xml:space="preserve">3 名（含）以上单数工作人员组成，并确定一名负责人</w:t>
      </w:r>
      <w:r>
        <w:rPr>
          <w:rFonts w:ascii="Times New Roman"/>
          <w:szCs w:val="22"/>
        </w:rPr>
        <w:t xml:space="preserve">，</w:t>
      </w:r>
      <w:r>
        <w:rPr>
          <w:rFonts w:ascii="Times New Roman"/>
          <w:b/>
          <w:bCs/>
          <w:szCs w:val="22"/>
        </w:rPr>
        <w:t xml:space="preserve">参与本项目评审的采购人代表不能作为负责人</w:t>
      </w:r>
      <w:r>
        <w:rPr>
          <w:rFonts w:ascii="Times New Roman"/>
          <w:szCs w:val="22"/>
        </w:rPr>
        <w:t xml:space="preserve">。</w:t>
      </w:r>
      <w:r>
        <w:rPr>
          <w:rFonts w:ascii="Times New Roman"/>
        </w:rPr>
        <w:t xml:space="preserve">若经办采购的人员与采购需求人员分属不同部门，二者应当同时参与验收。</w:t>
      </w:r>
      <w:r>
        <w:rPr>
          <w:rFonts w:ascii="Times New Roman"/>
          <w:szCs w:val="22"/>
        </w:rPr>
        <w:t xml:space="preserve">分期（分段）验收的负责人原则上应当保持一致，</w:t>
      </w:r>
      <w:r>
        <w:rPr>
          <w:rFonts w:ascii="Times New Roman"/>
          <w:b/>
          <w:bCs/>
          <w:szCs w:val="22"/>
        </w:rPr>
        <w:t xml:space="preserve">负责人不得无故更换。</w:t>
      </w:r>
      <w:r/>
    </w:p>
    <w:p>
      <w:pPr>
        <w:ind w:firstLine="420"/>
        <w:jc w:val="left"/>
        <w:spacing w:line="360" w:lineRule="auto"/>
      </w:pPr>
      <w:r>
        <w:t xml:space="preserve">5.3.2.2根据采购项目特点和实际需要，可以邀请相关领域专业技术人员等作为验收小组成员参与验收，</w:t>
      </w:r>
      <w:r>
        <w:rPr>
          <w:b/>
          <w:bCs/>
        </w:rPr>
        <w:t xml:space="preserve">劳务报酬等费用由采购人承担</w:t>
      </w:r>
      <w:r>
        <w:t xml:space="preserve">，</w:t>
      </w:r>
      <w:r>
        <w:rPr>
          <w:b/>
          <w:bCs/>
        </w:rPr>
        <w:t xml:space="preserve">执行标准可参照江苏省政府采购专家评审费，采购人单位指定参加履约验收的工作人员不得获取劳务报酬。</w:t>
      </w:r>
      <w: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firstLine="420"/>
        <w:jc w:val="left"/>
        <w:spacing w:line="360" w:lineRule="auto"/>
      </w:pPr>
      <w:r>
        <w:t xml:space="preserve">5.3.2.3采取代建方式进行采购的，结合代建协议内容按照前款5.3.2.1、5.3.2.2成立验收小组。日常考核、分段验收小组成员的组成不受5.3.2.1、5.3.2.2规定约束，但采购人的工作人员必须参与最终验收。</w:t>
      </w:r>
      <w:r/>
    </w:p>
    <w:p>
      <w:pPr>
        <w:jc w:val="left"/>
        <w:spacing w:line="360" w:lineRule="auto"/>
        <w:rPr>
          <w:b/>
          <w:bCs/>
        </w:rPr>
      </w:pPr>
      <w:r>
        <w:rPr>
          <w:b/>
          <w:bCs/>
        </w:rPr>
        <w:t xml:space="preserve">5.3.3参与验收人员</w:t>
      </w:r>
      <w:r/>
    </w:p>
    <w:p>
      <w:pPr>
        <w:ind w:firstLine="420"/>
        <w:jc w:val="left"/>
        <w:spacing w:line="360" w:lineRule="auto"/>
      </w:pPr>
      <w:r>
        <w:t xml:space="preserve">5.3.3.1技术复杂或专业性强的政府采购项目，可以邀请有资质的第三方专业机构参加验收并出具专业意见。</w:t>
      </w:r>
      <w:r/>
    </w:p>
    <w:p>
      <w:pPr>
        <w:ind w:firstLine="420"/>
        <w:jc w:val="left"/>
        <w:spacing w:line="360" w:lineRule="auto"/>
      </w:pPr>
      <w:r>
        <w:t xml:space="preserve">5.3.3.2对于采购人和使用人分离的采购项目，采购人应当邀请实际使用人参与验收。政府向社会公众提供的公共服务项目，验收时应当邀请服务对象进行公共服务项目满意度评价，评价结果作为履约验收的参考依据。</w:t>
      </w:r>
      <w:r/>
    </w:p>
    <w:p>
      <w:pPr>
        <w:jc w:val="left"/>
        <w:spacing w:line="360" w:lineRule="auto"/>
        <w:rPr>
          <w:b/>
          <w:bCs/>
        </w:rPr>
      </w:pPr>
      <w:r>
        <w:rPr>
          <w:b/>
          <w:bCs/>
        </w:rPr>
        <w:t xml:space="preserve">5.3.4验收内容</w:t>
      </w:r>
      <w:r/>
    </w:p>
    <w:p>
      <w:pPr>
        <w:ind w:firstLine="420"/>
        <w:jc w:val="left"/>
        <w:spacing w:line="360" w:lineRule="auto"/>
      </w:pPr>
      <w:r>
        <w:t xml:space="preserve">5.3.4.1验收时，验收小组应与供应商一起验货，如发现货物短缺、质次、损坏、产地和规格不符等问题，应作详细记录由双方进行签字确认，</w:t>
      </w:r>
      <w:r>
        <w:rPr>
          <w:b/>
          <w:bCs/>
        </w:rPr>
        <w:t xml:space="preserve">供应商立即无条件地在合同约定期限内调换或补齐，由此造成的一切损失由供应商承担。</w:t>
      </w:r>
      <w:r/>
    </w:p>
    <w:p>
      <w:pPr>
        <w:ind w:firstLine="420"/>
        <w:jc w:val="left"/>
        <w:spacing w:line="360" w:lineRule="auto"/>
      </w:pPr>
      <w:r>
        <w:t xml:space="preserve">5.3.4.2交付验收标准适用标准为：</w:t>
      </w:r>
      <w:r/>
    </w:p>
    <w:p>
      <w:pPr>
        <w:ind w:firstLine="420"/>
        <w:jc w:val="left"/>
        <w:spacing w:line="360" w:lineRule="auto"/>
      </w:pPr>
      <w:r>
        <w:t xml:space="preserve">①按照现行国家标准执行，无国家标准的，按行业标准执行，无国家和行业标准的，按企业标准执行，并且应符合相关法律、法规规定的要求；</w:t>
      </w:r>
      <w:r/>
    </w:p>
    <w:p>
      <w:pPr>
        <w:ind w:firstLine="420"/>
        <w:jc w:val="left"/>
        <w:spacing w:line="360" w:lineRule="auto"/>
      </w:pPr>
      <w:r>
        <w:t xml:space="preserve">②采购文件所列的各项要求、采购合同、供应商在投标（响应）文件中承诺的质量技术指标。</w:t>
      </w:r>
      <w:r/>
    </w:p>
    <w:p>
      <w:pPr>
        <w:ind w:firstLine="420"/>
        <w:jc w:val="left"/>
        <w:spacing w:line="360" w:lineRule="auto"/>
      </w:pPr>
      <w: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jc w:val="left"/>
        <w:spacing w:line="360" w:lineRule="auto"/>
      </w:pPr>
      <w:r>
        <w:rPr>
          <w:b/>
          <w:bCs/>
        </w:rPr>
        <w:t xml:space="preserve">5.3.5验收记录</w:t>
      </w:r>
      <w:r/>
    </w:p>
    <w:p>
      <w:pPr>
        <w:ind w:firstLine="420"/>
        <w:jc w:val="left"/>
        <w:spacing w:line="360" w:lineRule="auto"/>
      </w:pPr>
      <w:r>
        <w:t xml:space="preserve">5.3.5.1验收小组应当要求参与验收的供应商、专业机构、专家和服务对象等出具书面意见，作为验收书的重要组成部分。</w:t>
      </w:r>
      <w:r/>
    </w:p>
    <w:p>
      <w:pPr>
        <w:ind w:firstLine="420"/>
        <w:jc w:val="left"/>
        <w:spacing w:line="360" w:lineRule="auto"/>
      </w:pPr>
      <w:r>
        <w:t xml:space="preserve">5.3.5.2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0"/>
        <w:jc w:val="left"/>
        <w:spacing w:line="360" w:lineRule="auto"/>
      </w:pPr>
      <w:r>
        <w:t xml:space="preserve">5.3.5.3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jc w:val="left"/>
        <w:spacing w:line="360" w:lineRule="auto"/>
        <w:rPr>
          <w:b/>
        </w:rPr>
      </w:pPr>
      <w:r>
        <w:rPr>
          <w:b/>
        </w:rPr>
        <w:t xml:space="preserve">六、验收结果</w:t>
      </w:r>
      <w:r/>
    </w:p>
    <w:p>
      <w:pPr>
        <w:ind w:firstLine="420"/>
        <w:jc w:val="left"/>
        <w:spacing w:line="360" w:lineRule="auto"/>
      </w:pPr>
      <w:r>
        <w:t xml:space="preserve">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20"/>
        <w:jc w:val="left"/>
        <w:spacing w:line="360" w:lineRule="auto"/>
      </w:pPr>
      <w:r>
        <w:t xml:space="preserve">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20"/>
        <w:jc w:val="left"/>
        <w:spacing w:line="360" w:lineRule="auto"/>
      </w:pPr>
      <w:r>
        <w:t xml:space="preserve">6.3项目验收结果与政府采购合同约定内容不一致的，在未增加合同金额的情况下，供应商所提供的货物、工程和服务比政府采购合同约定内容提高了使用功能和标准，或者属于技术更新换代产品，但在不增加产品的全生命周期成本，且不影响、不降低整个项目的运行质量和功能，采购人可按照采购文件组织专家论证，如论证通过后视同验收通过，并在验收意见中注明。</w:t>
      </w:r>
      <w:r/>
    </w:p>
    <w:p>
      <w:pPr>
        <w:ind w:firstLine="420"/>
        <w:jc w:val="left"/>
        <w:spacing w:line="360" w:lineRule="auto"/>
      </w:pPr>
      <w:r>
        <w:t xml:space="preserve">6.4</w:t>
      </w:r>
      <w:r>
        <w:rPr>
          <w:b/>
          <w:bCs/>
        </w:rPr>
        <w:t xml:space="preserve">《政府采购履约验收书》（见下表2）、合同是申请支付政府采购合同价款的必备资料。</w:t>
      </w:r>
      <w: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941"/>
        <w:ind w:firstLine="420"/>
        <w:spacing w:line="360" w:lineRule="auto"/>
        <w:rPr>
          <w:rFonts w:ascii="Times New Roman"/>
          <w:szCs w:val="22"/>
        </w:rPr>
      </w:pPr>
      <w:r>
        <w:rPr>
          <w:rFonts w:ascii="Times New Roman"/>
        </w:rPr>
        <w:t xml:space="preserve">6.5</w:t>
      </w:r>
      <w:r>
        <w:rPr>
          <w:rFonts w:ascii="Times New Roman"/>
          <w:szCs w:val="22"/>
        </w:rPr>
        <w:t xml:space="preserve">对为社会公众提供的公共服务项目，采购人应于验收结束之日起 2 个工作日内在江苏政府采购网公开验收结果（待“苏采云”系统中履约验收公告模块开通后执行）。</w:t>
      </w:r>
      <w:r/>
    </w:p>
    <w:p>
      <w:pPr>
        <w:jc w:val="left"/>
        <w:spacing w:line="360" w:lineRule="auto"/>
      </w:pPr>
      <w:r>
        <w:rPr>
          <w:b/>
        </w:rPr>
        <w:t xml:space="preserve">七、验收资料归档</w:t>
      </w:r>
      <w:r/>
    </w:p>
    <w:p>
      <w:pPr>
        <w:ind w:firstLine="420"/>
        <w:jc w:val="left"/>
        <w:spacing w:line="360" w:lineRule="auto"/>
      </w:pPr>
      <w: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r>
        <w:br w:type="page" w:clear="all"/>
      </w:r>
      <w:r/>
    </w:p>
    <w:p>
      <w:pPr>
        <w:ind w:firstLine="482"/>
        <w:jc w:val="center"/>
        <w:spacing w:line="480" w:lineRule="auto"/>
        <w:widowControl/>
        <w:rPr>
          <w:b/>
          <w:bCs/>
          <w:color w:val="000000"/>
          <w:sz w:val="24"/>
          <w:szCs w:val="24"/>
        </w:rPr>
      </w:pPr>
      <w:r>
        <w:rPr>
          <w:b/>
          <w:bCs/>
          <w:color w:val="000000"/>
          <w:sz w:val="32"/>
          <w:szCs w:val="32"/>
        </w:rPr>
        <w:t xml:space="preserve">表1：政府采购履约验收通知单</w:t>
      </w:r>
      <w:r/>
    </w:p>
    <w:tbl>
      <w:tblPr>
        <w:tblStyle w:val="888"/>
        <w:tblpPr w:horzAnchor="margin" w:tblpXSpec="left" w:vertAnchor="text" w:tblpY="187" w:leftFromText="180" w:topFromText="0" w:rightFromText="180" w:bottomFromText="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346"/>
        <w:gridCol w:w="3611"/>
        <w:gridCol w:w="1362"/>
        <w:gridCol w:w="3987"/>
      </w:tblGrid>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color w:val="000000"/>
                <w:szCs w:val="21"/>
              </w:rPr>
            </w:pPr>
            <w:r>
              <w:rPr>
                <w:color w:val="000000"/>
                <w:szCs w:val="21"/>
              </w:rPr>
              <w:t xml:space="preserve">采购人</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color w:val="000000"/>
                <w:szCs w:val="21"/>
              </w:rPr>
            </w:pPr>
            <w:r>
              <w:rPr>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color w:val="000000"/>
                <w:szCs w:val="21"/>
              </w:rPr>
            </w:pPr>
            <w:r>
              <w:rPr>
                <w:color w:val="000000"/>
                <w:szCs w:val="21"/>
              </w:rPr>
              <w:t xml:space="preserve">供应商</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color w:val="000000"/>
                <w:szCs w:val="21"/>
              </w:rPr>
            </w:pPr>
            <w:r>
              <w:rPr>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color w:val="000000"/>
                <w:szCs w:val="21"/>
              </w:rPr>
            </w:pPr>
            <w:r>
              <w:rPr>
                <w:color w:val="000000"/>
                <w:szCs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color w:val="000000"/>
                <w:szCs w:val="21"/>
              </w:rPr>
            </w:pPr>
            <w:r>
              <w:rPr>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color w:val="000000"/>
                <w:szCs w:val="21"/>
              </w:rPr>
            </w:pPr>
            <w:r>
              <w:rPr>
                <w:color w:val="000000"/>
                <w:szCs w:val="21"/>
              </w:rPr>
              <w:t xml:space="preserve">合同名称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color w:val="000000"/>
                <w:szCs w:val="21"/>
              </w:rPr>
            </w:pPr>
            <w:r>
              <w:rPr>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color w:val="000000"/>
                <w:szCs w:val="21"/>
              </w:rPr>
            </w:pPr>
            <w:r>
              <w:rPr>
                <w:color w:val="000000"/>
                <w:szCs w:val="21"/>
              </w:rPr>
              <w:t xml:space="preserve">合同编号</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color w:val="000000"/>
                <w:szCs w:val="21"/>
              </w:rPr>
            </w:pPr>
            <w:r>
              <w:rPr>
                <w:color w:val="000000"/>
                <w:szCs w:val="21"/>
              </w:rPr>
              <w:t xml:space="preserve">合同金额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color w:val="000000"/>
                <w:szCs w:val="21"/>
              </w:rPr>
            </w:pPr>
            <w:r>
              <w:rPr>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color w:val="000000"/>
                <w:szCs w:val="21"/>
              </w:rPr>
            </w:pPr>
            <w:r>
              <w:rPr>
                <w:color w:val="000000"/>
                <w:szCs w:val="21"/>
              </w:rPr>
              <w:t xml:space="preserve">验收时间</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widowControl/>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color w:val="000000"/>
                <w:szCs w:val="21"/>
              </w:rPr>
            </w:pPr>
            <w:r>
              <w:rPr>
                <w:color w:val="000000"/>
                <w:szCs w:val="21"/>
              </w:rPr>
              <w:t xml:space="preserve">验收地点</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color w:val="000000"/>
                <w:szCs w:val="21"/>
              </w:rPr>
            </w:pPr>
            <w:r>
              <w:rPr>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color w:val="000000"/>
                <w:szCs w:val="21"/>
              </w:rPr>
            </w:pPr>
            <w:r>
              <w:rPr>
                <w:color w:val="000000"/>
                <w:szCs w:val="21"/>
              </w:rPr>
              <w:t xml:space="preserve">联系人</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jc w:val="center"/>
              <w:widowControl/>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widowControl/>
              <w:rPr>
                <w:color w:val="000000"/>
                <w:szCs w:val="21"/>
              </w:rPr>
            </w:pPr>
            <w:r>
              <w:rPr>
                <w:color w:val="000000"/>
                <w:szCs w:val="21"/>
              </w:rPr>
              <w:t xml:space="preserve">联系电话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val="false"/>
          </w:tcPr>
          <w:p>
            <w:pPr>
              <w:jc w:val="center"/>
              <w:widowControl/>
              <w:rPr>
                <w:color w:val="000000"/>
                <w:szCs w:val="21"/>
              </w:rPr>
            </w:pPr>
            <w:r>
              <w:rPr>
                <w:color w:val="000000"/>
                <w:szCs w:val="21"/>
              </w:rPr>
            </w: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color w:val="000000"/>
                <w:szCs w:val="21"/>
              </w:rPr>
            </w:pPr>
            <w:r>
              <w:rPr>
                <w:color w:val="000000"/>
                <w:szCs w:val="21"/>
              </w:rPr>
              <w:t xml:space="preserve">履约验收方案及工作要求</w:t>
            </w:r>
            <w:r/>
          </w:p>
        </w:tc>
      </w:tr>
      <w:tr>
        <w:trPr>
          <w:trHeight w:val="885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color w:val="000000"/>
                <w:szCs w:val="21"/>
              </w:rPr>
            </w:pPr>
            <w:r>
              <w:rPr>
                <w:color w:val="000000"/>
                <w:szCs w:val="21"/>
              </w:rPr>
              <w:t xml:space="preserve">                                         </w:t>
            </w:r>
            <w:r/>
          </w:p>
          <w:p>
            <w:pPr>
              <w:ind w:firstLine="210"/>
              <w:jc w:val="center"/>
              <w:widowControl/>
              <w:rPr>
                <w:color w:val="000000"/>
                <w:szCs w:val="21"/>
              </w:rPr>
            </w:pPr>
            <w:r>
              <w:rPr>
                <w:color w:val="000000"/>
                <w:szCs w:val="21"/>
              </w:rPr>
            </w:r>
            <w:r/>
          </w:p>
          <w:p>
            <w:pPr>
              <w:ind w:firstLine="210"/>
              <w:jc w:val="center"/>
              <w:widowControl/>
              <w:rPr>
                <w:color w:val="000000"/>
                <w:szCs w:val="21"/>
              </w:rPr>
            </w:pPr>
            <w:r>
              <w:rPr>
                <w:color w:val="000000"/>
                <w:szCs w:val="21"/>
              </w:rPr>
            </w:r>
            <w:r/>
          </w:p>
          <w:p>
            <w:pPr>
              <w:ind w:firstLine="210"/>
              <w:jc w:val="center"/>
              <w:widowControl/>
              <w:rPr>
                <w:color w:val="000000"/>
                <w:szCs w:val="21"/>
              </w:rPr>
            </w:pPr>
            <w:r>
              <w:rPr>
                <w:color w:val="000000"/>
                <w:szCs w:val="21"/>
              </w:rPr>
            </w:r>
            <w:r/>
          </w:p>
          <w:p>
            <w:pPr>
              <w:ind w:firstLine="210"/>
              <w:jc w:val="center"/>
              <w:widowControl/>
              <w:rPr>
                <w:color w:val="000000"/>
                <w:szCs w:val="21"/>
              </w:rPr>
            </w:pPr>
            <w:r>
              <w:rPr>
                <w:color w:val="000000"/>
                <w:szCs w:val="21"/>
              </w:rPr>
            </w:r>
            <w:r/>
          </w:p>
          <w:p>
            <w:pPr>
              <w:ind w:firstLine="210"/>
              <w:jc w:val="center"/>
              <w:widowControl/>
              <w:rPr>
                <w:color w:val="000000"/>
                <w:szCs w:val="21"/>
              </w:rPr>
            </w:pPr>
            <w:r>
              <w:rPr>
                <w:color w:val="000000"/>
                <w:szCs w:val="21"/>
              </w:rPr>
            </w:r>
            <w:r/>
          </w:p>
          <w:p>
            <w:pPr>
              <w:ind w:firstLine="210"/>
              <w:jc w:val="center"/>
              <w:widowControl/>
              <w:rPr>
                <w:color w:val="000000"/>
                <w:szCs w:val="21"/>
              </w:rPr>
            </w:pPr>
            <w:r>
              <w:rPr>
                <w:color w:val="000000"/>
                <w:szCs w:val="21"/>
              </w:rPr>
            </w:r>
            <w:r/>
          </w:p>
          <w:p>
            <w:pPr>
              <w:ind w:firstLine="210"/>
              <w:jc w:val="center"/>
              <w:widowControl/>
              <w:rPr>
                <w:color w:val="000000"/>
                <w:szCs w:val="21"/>
              </w:rPr>
            </w:pPr>
            <w:r>
              <w:rPr>
                <w:color w:val="000000"/>
                <w:szCs w:val="21"/>
              </w:rPr>
            </w:r>
            <w:r/>
          </w:p>
          <w:p>
            <w:pPr>
              <w:ind w:firstLine="210"/>
              <w:jc w:val="center"/>
              <w:widowControl/>
              <w:rPr>
                <w:color w:val="000000"/>
                <w:szCs w:val="21"/>
              </w:rPr>
            </w:pPr>
            <w:r>
              <w:rPr>
                <w:color w:val="000000"/>
                <w:szCs w:val="21"/>
              </w:rPr>
            </w:r>
            <w:r/>
          </w:p>
          <w:p>
            <w:pPr>
              <w:ind w:firstLine="210"/>
              <w:jc w:val="center"/>
              <w:widowControl/>
              <w:rPr>
                <w:color w:val="000000"/>
                <w:szCs w:val="21"/>
              </w:rPr>
            </w:pPr>
            <w:r>
              <w:rPr>
                <w:color w:val="000000"/>
                <w:szCs w:val="21"/>
              </w:rPr>
            </w:r>
            <w:r/>
          </w:p>
          <w:p>
            <w:pPr>
              <w:ind w:firstLine="210"/>
              <w:jc w:val="center"/>
              <w:widowControl/>
              <w:rPr>
                <w:color w:val="000000"/>
                <w:szCs w:val="21"/>
              </w:rPr>
            </w:pPr>
            <w:r>
              <w:rPr>
                <w:color w:val="000000"/>
                <w:szCs w:val="21"/>
              </w:rPr>
            </w:r>
            <w:r/>
          </w:p>
          <w:p>
            <w:pPr>
              <w:ind w:firstLine="210"/>
              <w:jc w:val="center"/>
              <w:widowControl/>
              <w:rPr>
                <w:color w:val="000000"/>
                <w:szCs w:val="21"/>
              </w:rPr>
            </w:pPr>
            <w:r>
              <w:rPr>
                <w:color w:val="000000"/>
                <w:szCs w:val="21"/>
              </w:rPr>
            </w:r>
            <w:r/>
          </w:p>
          <w:p>
            <w:pPr>
              <w:ind w:firstLine="210"/>
              <w:jc w:val="center"/>
              <w:widowControl/>
              <w:rPr>
                <w:color w:val="000000"/>
                <w:szCs w:val="21"/>
              </w:rPr>
            </w:pPr>
            <w:r>
              <w:rPr>
                <w:color w:val="000000"/>
                <w:szCs w:val="21"/>
              </w:rPr>
            </w:r>
            <w:r/>
          </w:p>
          <w:p>
            <w:pPr>
              <w:ind w:firstLine="210"/>
              <w:jc w:val="center"/>
              <w:widowControl/>
              <w:rPr>
                <w:color w:val="000000"/>
                <w:szCs w:val="21"/>
              </w:rPr>
            </w:pPr>
            <w:r>
              <w:rPr>
                <w:color w:val="000000"/>
                <w:szCs w:val="21"/>
              </w:rPr>
            </w:r>
            <w:r/>
          </w:p>
          <w:p>
            <w:pPr>
              <w:ind w:firstLine="210"/>
              <w:jc w:val="center"/>
              <w:widowControl/>
              <w:rPr>
                <w:color w:val="000000"/>
                <w:szCs w:val="21"/>
              </w:rPr>
            </w:pPr>
            <w:r>
              <w:rPr>
                <w:color w:val="000000"/>
                <w:szCs w:val="21"/>
              </w:rPr>
            </w:r>
            <w:r/>
          </w:p>
          <w:p>
            <w:pPr>
              <w:ind w:firstLine="210"/>
              <w:jc w:val="center"/>
              <w:widowControl/>
              <w:rPr>
                <w:color w:val="000000"/>
                <w:szCs w:val="21"/>
              </w:rPr>
            </w:pPr>
            <w:r>
              <w:rPr>
                <w:color w:val="000000"/>
                <w:szCs w:val="21"/>
              </w:rPr>
            </w:r>
            <w:r/>
          </w:p>
          <w:p>
            <w:pPr>
              <w:ind w:firstLine="210"/>
              <w:jc w:val="center"/>
              <w:widowControl/>
              <w:rPr>
                <w:color w:val="000000"/>
                <w:szCs w:val="21"/>
              </w:rPr>
            </w:pPr>
            <w:r>
              <w:rPr>
                <w:color w:val="000000"/>
                <w:szCs w:val="21"/>
              </w:rPr>
            </w:r>
            <w:r/>
          </w:p>
          <w:p>
            <w:pPr>
              <w:ind w:firstLine="210"/>
              <w:jc w:val="center"/>
              <w:widowControl/>
              <w:rPr>
                <w:color w:val="000000"/>
                <w:szCs w:val="21"/>
              </w:rPr>
            </w:pPr>
            <w:r>
              <w:rPr>
                <w:color w:val="000000"/>
                <w:szCs w:val="21"/>
              </w:rPr>
            </w:r>
            <w:r/>
          </w:p>
          <w:p>
            <w:pPr>
              <w:ind w:firstLine="6930"/>
              <w:widowControl/>
              <w:rPr>
                <w:color w:val="000000"/>
                <w:szCs w:val="21"/>
              </w:rPr>
            </w:pPr>
            <w:r>
              <w:rPr>
                <w:color w:val="000000"/>
                <w:szCs w:val="21"/>
              </w:rPr>
              <w:t xml:space="preserve">单位公章</w:t>
            </w:r>
            <w:r/>
          </w:p>
          <w:p>
            <w:pPr>
              <w:pStyle w:val="941"/>
              <w:ind w:firstLine="4620"/>
              <w:jc w:val="center"/>
              <w:rPr>
                <w:rFonts w:ascii="Times New Roman"/>
              </w:rPr>
            </w:pPr>
            <w:r>
              <w:rPr>
                <w:rFonts w:ascii="Times New Roman"/>
                <w:color w:val="000000"/>
                <w:szCs w:val="21"/>
              </w:rPr>
              <w:t xml:space="preserve">年 月 日</w:t>
            </w:r>
            <w:r/>
          </w:p>
        </w:tc>
      </w:tr>
    </w:tbl>
    <w:p>
      <w:pPr>
        <w:ind w:firstLine="420"/>
        <w:spacing w:line="360" w:lineRule="auto"/>
        <w:rPr>
          <w:rFonts w:eastAsiaTheme="minorEastAsia"/>
          <w:szCs w:val="21"/>
        </w:rPr>
      </w:pPr>
      <w:r>
        <w:rPr>
          <w:rFonts w:eastAsiaTheme="minorEastAsia"/>
          <w:szCs w:val="21"/>
        </w:rPr>
      </w:r>
      <w:r/>
    </w:p>
    <w:p>
      <w:pPr>
        <w:ind w:firstLine="883"/>
        <w:jc w:val="left"/>
        <w:widowControl/>
        <w:rPr>
          <w:lang w:val="zh-CN"/>
        </w:rPr>
      </w:pPr>
      <w:r>
        <w:rPr>
          <w:b/>
          <w:bCs/>
          <w:color w:val="000000" w:themeColor="text1"/>
          <w:sz w:val="44"/>
          <w:szCs w:val="44"/>
          <w14:textFill>
            <w14:solidFill>
              <w14:schemeClr w14:val="tx1"/>
            </w14:solidFill>
          </w14:textFill>
        </w:rPr>
        <w:br w:type="page" w:clear="all"/>
      </w:r>
      <w:r/>
    </w:p>
    <w:tbl>
      <w:tblPr>
        <w:tblStyle w:val="888"/>
        <w:tblW w:w="5001" w:type="pct"/>
        <w:jc w:val="center"/>
        <w:tblLayout w:type="fixed"/>
        <w:tblCellMar>
          <w:left w:w="108" w:type="dxa"/>
          <w:top w:w="0" w:type="dxa"/>
          <w:right w:w="108" w:type="dxa"/>
          <w:bottom w:w="0" w:type="dxa"/>
        </w:tblCellMar>
        <w:tblLook w:val="04A0" w:firstRow="1" w:lastRow="0" w:firstColumn="1" w:lastColumn="0" w:noHBand="0" w:noVBand="1"/>
      </w:tblPr>
      <w:tblGrid>
        <w:gridCol w:w="1287"/>
        <w:gridCol w:w="2006"/>
        <w:gridCol w:w="1451"/>
        <w:gridCol w:w="1372"/>
        <w:gridCol w:w="1445"/>
        <w:gridCol w:w="1555"/>
        <w:gridCol w:w="1194"/>
      </w:tblGrid>
      <w:tr>
        <w:trPr>
          <w:jc w:val="center"/>
          <w:trHeight w:val="499"/>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b/>
                <w:bCs/>
                <w:color w:val="000000"/>
                <w:sz w:val="32"/>
                <w:szCs w:val="32"/>
              </w:rPr>
            </w:pPr>
            <w:r>
              <w:rPr>
                <w:b/>
                <w:bCs/>
                <w:color w:val="000000"/>
                <w:sz w:val="32"/>
                <w:szCs w:val="32"/>
              </w:rPr>
              <w:t xml:space="preserve">表2：政府采购履约验收书（货物类）</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color w:val="000000"/>
                <w:sz w:val="22"/>
              </w:rPr>
            </w:pPr>
            <w:r>
              <w:rPr>
                <w:color w:val="000000"/>
                <w:sz w:val="22"/>
              </w:rPr>
              <w:t xml:space="preserve">采购人</w:t>
            </w:r>
            <w:r/>
          </w:p>
        </w:tc>
        <w:tc>
          <w:tcPr>
            <w:gridSpan w:val="3"/>
            <w:tcBorders>
              <w:top w:val="single" w:color="000000" w:sz="4" w:space="0"/>
              <w:left w:val="single" w:color="000000" w:sz="4" w:space="0"/>
              <w:bottom w:val="single" w:color="000000" w:sz="4" w:space="0"/>
              <w:right w:val="single" w:color="000000" w:sz="4" w:space="0"/>
            </w:tcBorders>
            <w:tcW w:w="2342" w:type="pct"/>
            <w:vAlign w:val="center"/>
            <w:textDirection w:val="lrTb"/>
            <w:noWrap/>
          </w:tcPr>
          <w:p>
            <w:pPr>
              <w:ind w:firstLine="440"/>
              <w:jc w:val="center"/>
              <w:rPr>
                <w:color w:val="000000"/>
                <w:sz w:val="22"/>
              </w:rPr>
            </w:pPr>
            <w:r>
              <w:rPr>
                <w:color w:val="000000"/>
                <w:sz w:val="22"/>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widowControl/>
              <w:rPr>
                <w:color w:val="000000"/>
                <w:sz w:val="22"/>
              </w:rPr>
            </w:pPr>
            <w:r>
              <w:rPr>
                <w:color w:val="000000"/>
                <w:sz w:val="22"/>
              </w:rPr>
              <w:t xml:space="preserve">供应商</w:t>
            </w:r>
            <w:r/>
          </w:p>
        </w:tc>
        <w:tc>
          <w:tcPr>
            <w:gridSpan w:val="2"/>
            <w:tcBorders>
              <w:top w:val="single" w:color="000000" w:sz="4" w:space="0"/>
              <w:left w:val="single" w:color="000000" w:sz="4" w:space="0"/>
              <w:bottom w:val="single" w:color="000000" w:sz="4" w:space="0"/>
              <w:right w:val="single" w:color="000000" w:sz="4" w:space="0"/>
            </w:tcBorders>
            <w:tcW w:w="1330" w:type="pct"/>
            <w:vAlign w:val="center"/>
            <w:textDirection w:val="lrTb"/>
            <w:noWrap/>
          </w:tcPr>
          <w:p>
            <w:pPr>
              <w:jc w:val="center"/>
              <w:widowControl/>
              <w:rPr>
                <w:color w:val="000000"/>
                <w:sz w:val="22"/>
              </w:rPr>
            </w:pPr>
            <w:r>
              <w:rPr>
                <w:color w:val="000000"/>
                <w:sz w:val="22"/>
              </w:rPr>
              <w:t xml:space="preserve">（姓名+职务+单位）</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color w:val="000000"/>
                <w:sz w:val="22"/>
              </w:rPr>
            </w:pPr>
            <w:r>
              <w:rPr>
                <w:color w:val="000000"/>
                <w:sz w:val="22"/>
              </w:rPr>
              <w:t xml:space="preserve">采购代理机构</w:t>
            </w:r>
            <w:r/>
          </w:p>
        </w:tc>
        <w:tc>
          <w:tcPr>
            <w:gridSpan w:val="3"/>
            <w:tcBorders>
              <w:top w:val="single" w:color="000000" w:sz="4" w:space="0"/>
              <w:left w:val="single" w:color="000000" w:sz="4" w:space="0"/>
              <w:bottom w:val="single" w:color="000000" w:sz="4" w:space="0"/>
              <w:right w:val="single" w:color="000000" w:sz="4" w:space="0"/>
            </w:tcBorders>
            <w:tcW w:w="2342" w:type="pct"/>
            <w:vAlign w:val="center"/>
            <w:textDirection w:val="lrTb"/>
            <w:noWrap/>
          </w:tcPr>
          <w:p>
            <w:pPr>
              <w:ind w:firstLine="440"/>
              <w:jc w:val="center"/>
              <w:rPr>
                <w:color w:val="000000"/>
                <w:sz w:val="22"/>
              </w:rPr>
            </w:pPr>
            <w:r>
              <w:rPr>
                <w:color w:val="000000"/>
                <w:sz w:val="22"/>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widowControl/>
              <w:rPr>
                <w:color w:val="000000"/>
                <w:sz w:val="22"/>
              </w:rPr>
            </w:pPr>
            <w:r>
              <w:rPr>
                <w:color w:val="000000"/>
                <w:sz w:val="22"/>
              </w:rPr>
              <w:t xml:space="preserve">验收日期和地点</w:t>
            </w:r>
            <w:r/>
          </w:p>
        </w:tc>
        <w:tc>
          <w:tcPr>
            <w:gridSpan w:val="2"/>
            <w:tcBorders>
              <w:top w:val="single" w:color="000000" w:sz="4" w:space="0"/>
              <w:left w:val="single" w:color="000000" w:sz="4" w:space="0"/>
              <w:bottom w:val="single" w:color="000000" w:sz="4" w:space="0"/>
              <w:right w:val="single" w:color="000000" w:sz="4" w:space="0"/>
            </w:tcBorders>
            <w:tcW w:w="1330" w:type="pct"/>
            <w:vAlign w:val="center"/>
            <w:textDirection w:val="lrTb"/>
            <w:noWrap/>
          </w:tcPr>
          <w:p>
            <w:pPr>
              <w:ind w:firstLine="440"/>
              <w:jc w:val="center"/>
              <w:rPr>
                <w:color w:val="000000"/>
                <w:sz w:val="22"/>
              </w:rPr>
            </w:pPr>
            <w:r>
              <w:rPr>
                <w:color w:val="000000"/>
                <w:sz w:val="22"/>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color w:val="000000"/>
                <w:sz w:val="22"/>
              </w:rPr>
            </w:pPr>
            <w:r>
              <w:rPr>
                <w:color w:val="000000"/>
                <w:sz w:val="22"/>
              </w:rPr>
              <w:t xml:space="preserve">项目名称和编号</w:t>
            </w:r>
            <w:r/>
          </w:p>
        </w:tc>
        <w:tc>
          <w:tcPr>
            <w:gridSpan w:val="3"/>
            <w:tcBorders>
              <w:top w:val="single" w:color="000000" w:sz="4" w:space="0"/>
              <w:left w:val="single" w:color="000000" w:sz="4" w:space="0"/>
              <w:bottom w:val="single" w:color="000000" w:sz="4" w:space="0"/>
              <w:right w:val="single" w:color="000000" w:sz="4" w:space="0"/>
            </w:tcBorders>
            <w:tcW w:w="2342" w:type="pct"/>
            <w:vAlign w:val="center"/>
            <w:textDirection w:val="lrTb"/>
            <w:noWrap/>
          </w:tcPr>
          <w:p>
            <w:pPr>
              <w:ind w:firstLine="440"/>
              <w:jc w:val="center"/>
              <w:rPr>
                <w:color w:val="000000"/>
                <w:sz w:val="22"/>
              </w:rPr>
            </w:pPr>
            <w:r>
              <w:rPr>
                <w:color w:val="000000"/>
                <w:sz w:val="22"/>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widowControl/>
              <w:rPr>
                <w:color w:val="000000"/>
                <w:sz w:val="22"/>
              </w:rPr>
            </w:pPr>
            <w:r>
              <w:rPr>
                <w:color w:val="000000"/>
                <w:sz w:val="22"/>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1330" w:type="pct"/>
            <w:vAlign w:val="center"/>
            <w:textDirection w:val="lrTb"/>
            <w:noWrap/>
          </w:tcPr>
          <w:p>
            <w:pPr>
              <w:ind w:firstLine="440"/>
              <w:jc w:val="center"/>
              <w:rPr>
                <w:color w:val="000000"/>
                <w:sz w:val="22"/>
              </w:rPr>
            </w:pPr>
            <w:r>
              <w:rPr>
                <w:color w:val="000000"/>
                <w:sz w:val="22"/>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color w:val="000000"/>
                <w:sz w:val="22"/>
              </w:rPr>
            </w:pPr>
            <w:r>
              <w:rPr>
                <w:color w:val="000000"/>
                <w:sz w:val="22"/>
              </w:rPr>
              <w:t xml:space="preserve">验收组织形式</w:t>
            </w:r>
            <w:r/>
          </w:p>
        </w:tc>
        <w:tc>
          <w:tcPr>
            <w:gridSpan w:val="6"/>
            <w:tcBorders>
              <w:top w:val="single" w:color="000000" w:sz="4" w:space="0"/>
              <w:left w:val="single" w:color="000000" w:sz="4" w:space="0"/>
              <w:bottom w:val="single" w:color="000000" w:sz="4" w:space="0"/>
              <w:right w:val="single" w:color="000000" w:sz="4" w:space="0"/>
            </w:tcBorders>
            <w:tcW w:w="4375" w:type="pct"/>
            <w:vAlign w:val="center"/>
            <w:textDirection w:val="lrTb"/>
            <w:noWrap w:val="false"/>
          </w:tcPr>
          <w:p>
            <w:pPr>
              <w:widowControl/>
              <w:rPr>
                <w:color w:val="000000"/>
                <w:sz w:val="22"/>
              </w:rPr>
            </w:pPr>
            <w:r>
              <w:rPr>
                <w:color w:val="000000"/>
                <w:sz w:val="22"/>
              </w:rPr>
              <w:t xml:space="preserve">□采购人自行组织验收          □委托代理机构验收</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color w:val="000000"/>
                <w:sz w:val="22"/>
              </w:rPr>
            </w:pPr>
            <w:r>
              <w:rPr>
                <w:color w:val="000000"/>
                <w:sz w:val="22"/>
              </w:rPr>
              <w:t xml:space="preserve">是否日常检查/分段验收</w:t>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widowControl/>
              <w:rPr>
                <w:color w:val="000000"/>
                <w:sz w:val="22"/>
              </w:rPr>
            </w:pPr>
            <w:r>
              <w:rPr>
                <w:color w:val="000000"/>
                <w:sz w:val="22"/>
              </w:rPr>
              <w:t xml:space="preserve">□是      □否</w:t>
            </w:r>
            <w:r/>
          </w:p>
        </w:tc>
        <w:tc>
          <w:tcPr>
            <w:tcBorders>
              <w:top w:val="single" w:color="000000" w:sz="4" w:space="0"/>
              <w:left w:val="single" w:color="000000" w:sz="4" w:space="0"/>
              <w:bottom w:val="none" w:color="000000" w:sz="4" w:space="0"/>
              <w:right w:val="single" w:color="000000" w:sz="4" w:space="0"/>
            </w:tcBorders>
            <w:tcW w:w="703" w:type="pct"/>
            <w:vAlign w:val="center"/>
            <w:textDirection w:val="lrTb"/>
            <w:noWrap/>
          </w:tcPr>
          <w:p>
            <w:pPr>
              <w:jc w:val="center"/>
              <w:widowControl/>
              <w:rPr>
                <w:color w:val="000000"/>
                <w:sz w:val="22"/>
              </w:rPr>
            </w:pPr>
            <w:r>
              <w:rPr>
                <w:color w:val="000000"/>
                <w:sz w:val="22"/>
              </w:rPr>
              <w:t xml:space="preserve">日常检查/分段验收情况</w:t>
            </w:r>
            <w:r/>
          </w:p>
        </w:tc>
        <w:tc>
          <w:tcPr>
            <w:gridSpan w:val="4"/>
            <w:tcBorders>
              <w:top w:val="single" w:color="000000" w:sz="4" w:space="0"/>
              <w:left w:val="single" w:color="000000" w:sz="4" w:space="0"/>
              <w:bottom w:val="none" w:color="000000" w:sz="4" w:space="0"/>
              <w:right w:val="single" w:color="000000" w:sz="4" w:space="0"/>
            </w:tcBorders>
            <w:tcW w:w="2698" w:type="pct"/>
            <w:vAlign w:val="center"/>
            <w:textDirection w:val="lrTb"/>
            <w:noWrap/>
          </w:tcPr>
          <w:p>
            <w:pPr>
              <w:jc w:val="left"/>
              <w:widowControl/>
              <w:rPr>
                <w:color w:val="000000"/>
                <w:sz w:val="22"/>
              </w:rPr>
            </w:pPr>
            <w:r>
              <w:rPr>
                <w:color w:val="000000"/>
                <w:sz w:val="22"/>
              </w:rPr>
              <w:t xml:space="preserve">本项目验收共分        期，本次为第        期</w:t>
            </w:r>
            <w:r/>
          </w:p>
        </w:tc>
      </w:tr>
      <w:tr>
        <w:trPr>
          <w:jc w:val="center"/>
          <w:trHeight w:val="499"/>
        </w:trPr>
        <w:tc>
          <w:tcPr>
            <w:gridSpan w:val="3"/>
            <w:tcBorders>
              <w:top w:val="single" w:color="000000" w:sz="4" w:space="0"/>
              <w:left w:val="single" w:color="000000" w:sz="4" w:space="0"/>
              <w:bottom w:val="single" w:color="000000" w:sz="4" w:space="0"/>
              <w:right w:val="single" w:color="000000" w:sz="4" w:space="0"/>
            </w:tcBorders>
            <w:tcW w:w="2301" w:type="pct"/>
            <w:vAlign w:val="center"/>
            <w:textDirection w:val="lrTb"/>
            <w:noWrap/>
          </w:tcPr>
          <w:p>
            <w:pPr>
              <w:jc w:val="center"/>
              <w:widowControl/>
              <w:rPr>
                <w:color w:val="000000"/>
                <w:sz w:val="22"/>
              </w:rPr>
            </w:pPr>
            <w:r>
              <w:rPr>
                <w:color w:val="000000"/>
                <w:sz w:val="22"/>
              </w:rPr>
              <w:t xml:space="preserve">验收人员</w:t>
            </w:r>
            <w:r/>
          </w:p>
        </w:tc>
        <w:tc>
          <w:tcPr>
            <w:gridSpan w:val="3"/>
            <w:tcBorders>
              <w:top w:val="single" w:color="000000" w:sz="4" w:space="0"/>
              <w:left w:val="single" w:color="000000" w:sz="4" w:space="0"/>
              <w:bottom w:val="single" w:color="000000" w:sz="4" w:space="0"/>
              <w:right w:val="single" w:color="000000" w:sz="4" w:space="0"/>
            </w:tcBorders>
            <w:tcW w:w="2120" w:type="pct"/>
            <w:vAlign w:val="center"/>
            <w:textDirection w:val="lrTb"/>
            <w:noWrap/>
          </w:tcPr>
          <w:p>
            <w:pPr>
              <w:jc w:val="center"/>
              <w:widowControl/>
              <w:rPr>
                <w:color w:val="000000"/>
                <w:sz w:val="22"/>
              </w:rPr>
            </w:pPr>
            <w:r>
              <w:rPr>
                <w:color w:val="000000"/>
                <w:sz w:val="22"/>
              </w:rPr>
              <w:t xml:space="preserve">验收方式（结合验收方案多选）</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color w:val="000000"/>
                <w:sz w:val="22"/>
              </w:rPr>
            </w:pPr>
            <w:r>
              <w:rPr>
                <w:color w:val="000000"/>
                <w:sz w:val="22"/>
              </w:rPr>
              <w:t xml:space="preserve">验收意见</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vMerge w:val="restart"/>
            <w:textDirection w:val="lrTb"/>
            <w:noWrap/>
          </w:tcPr>
          <w:p>
            <w:pPr>
              <w:jc w:val="center"/>
              <w:widowControl/>
              <w:rPr>
                <w:color w:val="000000"/>
                <w:sz w:val="22"/>
              </w:rPr>
            </w:pPr>
            <w:r>
              <w:rPr>
                <w:color w:val="000000"/>
                <w:sz w:val="22"/>
              </w:rPr>
              <w:t xml:space="preserve">验收小组成员（最终验收成员人数为3人以上单数，组成根据实际情况选择）</w:t>
            </w:r>
            <w:r/>
          </w:p>
        </w:tc>
        <w:tc>
          <w:tcPr>
            <w:gridSpan w:val="2"/>
            <w:tcBorders>
              <w:top w:val="single" w:color="000000" w:sz="4" w:space="0"/>
              <w:left w:val="single" w:color="000000" w:sz="4" w:space="0"/>
              <w:right w:val="single" w:color="000000" w:sz="4" w:space="0"/>
            </w:tcBorders>
            <w:tcW w:w="1677" w:type="pct"/>
            <w:vMerge w:val="restart"/>
            <w:textDirection w:val="lrTb"/>
            <w:noWrap w:val="false"/>
          </w:tcPr>
          <w:p>
            <w:pPr>
              <w:jc w:val="left"/>
              <w:widowControl/>
              <w:rPr>
                <w:color w:val="000000"/>
                <w:sz w:val="22"/>
              </w:rPr>
            </w:pPr>
            <w:r>
              <w:rPr>
                <w:color w:val="000000"/>
                <w:sz w:val="22"/>
              </w:rPr>
              <w:t xml:space="preserve">□采购人：</w:t>
            </w:r>
            <w:r/>
          </w:p>
          <w:p>
            <w:pPr>
              <w:jc w:val="left"/>
              <w:widowControl/>
              <w:rPr>
                <w:color w:val="000000"/>
                <w:sz w:val="22"/>
              </w:rPr>
            </w:pPr>
            <w:r>
              <w:rPr>
                <w:color w:val="000000"/>
                <w:sz w:val="22"/>
              </w:rPr>
              <w:t xml:space="preserve">（姓名+所属部门）                        *最终验收时必有，若经办采购的人员与采购需求人员分属不同部门，二者应同时参与验收              </w:t>
            </w:r>
            <w:r/>
          </w:p>
          <w:p>
            <w:pPr>
              <w:jc w:val="left"/>
              <w:widowControl/>
              <w:rPr>
                <w:color w:val="000000"/>
                <w:sz w:val="22"/>
              </w:rPr>
            </w:pPr>
            <w:r>
              <w:rPr>
                <w:color w:val="000000"/>
                <w:sz w:val="22"/>
              </w:rPr>
              <w:t xml:space="preserve">                                                                □代建单位（如有）：</w:t>
            </w:r>
            <w:r/>
          </w:p>
          <w:p>
            <w:pPr>
              <w:jc w:val="left"/>
              <w:widowControl/>
              <w:rPr>
                <w:color w:val="000000"/>
                <w:sz w:val="22"/>
              </w:rPr>
            </w:pPr>
            <w:r>
              <w:rPr>
                <w:color w:val="000000"/>
                <w:sz w:val="22"/>
              </w:rPr>
              <w:t xml:space="preserve">（姓名+单位+所属部门） </w:t>
            </w:r>
            <w:r/>
          </w:p>
          <w:p>
            <w:pPr>
              <w:jc w:val="left"/>
              <w:widowControl/>
              <w:rPr>
                <w:color w:val="000000"/>
                <w:sz w:val="22"/>
              </w:rPr>
            </w:pPr>
            <w:r>
              <w:rPr>
                <w:color w:val="000000"/>
                <w:sz w:val="22"/>
              </w:rPr>
            </w:r>
            <w:r/>
          </w:p>
          <w:p>
            <w:pPr>
              <w:jc w:val="left"/>
              <w:widowControl/>
              <w:rPr>
                <w:color w:val="000000"/>
                <w:sz w:val="22"/>
              </w:rPr>
            </w:pPr>
            <w:r>
              <w:rPr>
                <w:color w:val="000000"/>
                <w:sz w:val="22"/>
              </w:rPr>
              <w:t xml:space="preserve">□采购人委托的代理机构（如有）：</w:t>
            </w:r>
            <w:r/>
          </w:p>
          <w:p>
            <w:pPr>
              <w:jc w:val="left"/>
              <w:widowControl/>
              <w:rPr>
                <w:color w:val="000000"/>
                <w:sz w:val="22"/>
              </w:rPr>
            </w:pPr>
            <w:r>
              <w:rPr>
                <w:spacing w:val="8"/>
              </w:rPr>
              <w:t xml:space="preserve"> </w:t>
            </w:r>
            <w:r>
              <w:rPr>
                <w:color w:val="000000"/>
                <w:sz w:val="22"/>
              </w:rPr>
              <w:t xml:space="preserve">(姓名）                                 *</w:t>
            </w:r>
            <w:r>
              <w:rPr>
                <w:spacing w:val="11"/>
              </w:rPr>
              <w:t xml:space="preserve">前</w:t>
            </w:r>
            <w:r>
              <w:rPr>
                <w:spacing w:val="10"/>
              </w:rPr>
              <w:t xml:space="preserve">期参与采购活动的采购代理机构工作人员</w:t>
            </w:r>
            <w:r>
              <w:rPr>
                <w:spacing w:val="8"/>
              </w:rPr>
              <w:t xml:space="preserve">不得参与验收</w:t>
            </w:r>
            <w:r/>
          </w:p>
          <w:p>
            <w:pPr>
              <w:jc w:val="left"/>
              <w:widowControl/>
              <w:rPr>
                <w:color w:val="000000"/>
                <w:sz w:val="22"/>
              </w:rPr>
            </w:pPr>
            <w:r>
              <w:rPr>
                <w:color w:val="000000"/>
                <w:sz w:val="22"/>
              </w:rPr>
            </w:r>
            <w:r/>
          </w:p>
          <w:p>
            <w:pPr>
              <w:jc w:val="left"/>
              <w:widowControl/>
              <w:rPr>
                <w:color w:val="000000"/>
                <w:sz w:val="22"/>
              </w:rPr>
            </w:pPr>
            <w:r>
              <w:rPr>
                <w:color w:val="000000"/>
                <w:sz w:val="22"/>
              </w:rPr>
              <w:t xml:space="preserve">□采购人委托的专家（如有）：            （姓名+单位）                             *</w:t>
            </w:r>
            <w:r>
              <w:rPr>
                <w:spacing w:val="11"/>
              </w:rPr>
              <w:t xml:space="preserve">前</w:t>
            </w:r>
            <w:r>
              <w:rPr>
                <w:spacing w:val="10"/>
              </w:rPr>
              <w:t xml:space="preserve">期参与采购活动的评审专家</w:t>
            </w:r>
            <w:r>
              <w:rPr>
                <w:spacing w:val="8"/>
              </w:rPr>
              <w:t xml:space="preserve">不得参与验收</w:t>
            </w:r>
            <w:r/>
          </w:p>
        </w:tc>
        <w:tc>
          <w:tcPr>
            <w:gridSpan w:val="3"/>
            <w:tcBorders>
              <w:top w:val="single" w:color="000000" w:sz="4" w:space="0"/>
              <w:left w:val="single" w:color="000000" w:sz="4" w:space="0"/>
              <w:bottom w:val="single" w:color="auto" w:sz="4" w:space="0"/>
              <w:right w:val="single" w:color="000000" w:sz="4" w:space="0"/>
            </w:tcBorders>
            <w:tcW w:w="2120" w:type="pct"/>
            <w:vAlign w:val="center"/>
            <w:textDirection w:val="lrTb"/>
            <w:noWrap w:val="false"/>
          </w:tcPr>
          <w:p>
            <w:pPr>
              <w:jc w:val="left"/>
              <w:widowControl/>
              <w:rPr>
                <w:color w:val="000000"/>
                <w:sz w:val="22"/>
              </w:rPr>
            </w:pPr>
            <w:r>
              <w:rPr>
                <w:color w:val="000000"/>
                <w:sz w:val="22"/>
              </w:rPr>
              <w:t xml:space="preserve">□货物清单</w:t>
            </w:r>
            <w:r/>
          </w:p>
        </w:tc>
        <w:tc>
          <w:tcPr>
            <w:tcBorders>
              <w:top w:val="single" w:color="000000" w:sz="4" w:space="0"/>
              <w:left w:val="single" w:color="000000" w:sz="4" w:space="0"/>
              <w:bottom w:val="single" w:color="auto" w:sz="4" w:space="0"/>
              <w:right w:val="single" w:color="000000" w:sz="4" w:space="0"/>
            </w:tcBorders>
            <w:tcW w:w="577" w:type="pct"/>
            <w:vAlign w:val="center"/>
            <w:textDirection w:val="lrTb"/>
            <w:noWrap w:val="false"/>
          </w:tcPr>
          <w:p>
            <w:pPr>
              <w:jc w:val="center"/>
              <w:widowControl/>
              <w:rPr>
                <w:color w:val="000000"/>
                <w:sz w:val="22"/>
              </w:rPr>
            </w:pPr>
            <w:r>
              <w:rPr>
                <w:color w:val="000000"/>
                <w:sz w:val="22"/>
              </w:rPr>
              <w:t xml:space="preserve">□合  格               □不合格</w:t>
            </w:r>
            <w:r/>
          </w:p>
        </w:tc>
      </w:tr>
      <w:tr>
        <w:trPr>
          <w:jc w:val="center"/>
          <w:trHeight w:val="499"/>
        </w:trPr>
        <w:tc>
          <w:tcPr>
            <w:tcBorders>
              <w:left w:val="single" w:color="000000" w:sz="4" w:space="0"/>
              <w:right w:val="single" w:color="000000" w:sz="4" w:space="0"/>
            </w:tcBorders>
            <w:tcW w:w="624" w:type="pct"/>
            <w:vAlign w:val="center"/>
            <w:vMerge w:val="continue"/>
            <w:textDirection w:val="lrTb"/>
            <w:noWrap/>
          </w:tcPr>
          <w:p>
            <w:pPr>
              <w:jc w:val="center"/>
              <w:widowControl/>
              <w:rPr>
                <w:color w:val="000000"/>
                <w:sz w:val="22"/>
              </w:rPr>
            </w:pPr>
            <w:r>
              <w:rPr>
                <w:color w:val="000000"/>
                <w:sz w:val="22"/>
              </w:rPr>
            </w:r>
            <w:r/>
          </w:p>
        </w:tc>
        <w:tc>
          <w:tcPr>
            <w:gridSpan w:val="2"/>
            <w:tcBorders>
              <w:left w:val="single" w:color="000000" w:sz="4" w:space="0"/>
              <w:right w:val="single" w:color="000000" w:sz="4" w:space="0"/>
            </w:tcBorders>
            <w:tcW w:w="1677" w:type="pct"/>
            <w:vMerge w:val="continue"/>
            <w:textDirection w:val="lrTb"/>
            <w:noWrap w:val="false"/>
          </w:tcPr>
          <w:p>
            <w:pPr>
              <w:jc w:val="left"/>
              <w:widowControl/>
              <w:rPr>
                <w:color w:val="000000"/>
                <w:sz w:val="22"/>
              </w:rPr>
            </w:pPr>
            <w:r>
              <w:rPr>
                <w:color w:val="000000"/>
                <w:sz w:val="22"/>
              </w:rPr>
            </w:r>
            <w:r/>
          </w:p>
        </w:tc>
        <w:tc>
          <w:tcPr>
            <w:gridSpan w:val="3"/>
            <w:tcBorders>
              <w:top w:val="single" w:color="auto" w:sz="4" w:space="0"/>
              <w:left w:val="single" w:color="000000" w:sz="4" w:space="0"/>
              <w:bottom w:val="single" w:color="auto" w:sz="4" w:space="0"/>
              <w:right w:val="single" w:color="000000" w:sz="4" w:space="0"/>
            </w:tcBorders>
            <w:tcW w:w="2120" w:type="pct"/>
            <w:vAlign w:val="center"/>
            <w:textDirection w:val="lrTb"/>
            <w:noWrap w:val="false"/>
          </w:tcPr>
          <w:p>
            <w:pPr>
              <w:jc w:val="left"/>
              <w:widowControl/>
              <w:rPr>
                <w:color w:val="000000"/>
                <w:sz w:val="22"/>
              </w:rPr>
            </w:pPr>
            <w:r>
              <w:rPr>
                <w:color w:val="000000"/>
                <w:sz w:val="22"/>
              </w:rPr>
              <w:t xml:space="preserve">□品牌、型号、规格、数量及外观质量</w:t>
            </w:r>
            <w:r/>
          </w:p>
        </w:tc>
        <w:tc>
          <w:tcPr>
            <w:tcBorders>
              <w:top w:val="single" w:color="auto" w:sz="4" w:space="0"/>
              <w:left w:val="single" w:color="000000" w:sz="4" w:space="0"/>
              <w:bottom w:val="single" w:color="auto" w:sz="4" w:space="0"/>
              <w:right w:val="single" w:color="000000" w:sz="4" w:space="0"/>
            </w:tcBorders>
            <w:tcW w:w="577" w:type="pct"/>
            <w:vAlign w:val="center"/>
            <w:textDirection w:val="lrTb"/>
            <w:noWrap w:val="false"/>
          </w:tcPr>
          <w:p>
            <w:pPr>
              <w:jc w:val="center"/>
              <w:widowControl/>
              <w:rPr>
                <w:color w:val="000000"/>
                <w:sz w:val="22"/>
              </w:rPr>
            </w:pPr>
            <w:r>
              <w:rPr>
                <w:color w:val="000000"/>
                <w:sz w:val="22"/>
              </w:rPr>
              <w:t xml:space="preserve">□合  格              □不合格</w:t>
            </w:r>
            <w:r/>
          </w:p>
        </w:tc>
      </w:tr>
      <w:tr>
        <w:trPr>
          <w:jc w:val="center"/>
          <w:trHeight w:val="499"/>
        </w:trPr>
        <w:tc>
          <w:tcPr>
            <w:tcBorders>
              <w:left w:val="single" w:color="000000" w:sz="4" w:space="0"/>
              <w:right w:val="single" w:color="000000" w:sz="4" w:space="0"/>
            </w:tcBorders>
            <w:tcW w:w="624" w:type="pct"/>
            <w:vAlign w:val="center"/>
            <w:vMerge w:val="continue"/>
            <w:textDirection w:val="lrTb"/>
            <w:noWrap/>
          </w:tcPr>
          <w:p>
            <w:pPr>
              <w:jc w:val="center"/>
              <w:widowControl/>
              <w:rPr>
                <w:color w:val="000000"/>
                <w:sz w:val="22"/>
              </w:rPr>
            </w:pPr>
            <w:r>
              <w:rPr>
                <w:color w:val="000000"/>
                <w:sz w:val="22"/>
              </w:rPr>
            </w:r>
            <w:r/>
          </w:p>
        </w:tc>
        <w:tc>
          <w:tcPr>
            <w:gridSpan w:val="2"/>
            <w:tcBorders>
              <w:left w:val="single" w:color="000000" w:sz="4" w:space="0"/>
              <w:right w:val="single" w:color="000000" w:sz="4" w:space="0"/>
            </w:tcBorders>
            <w:tcW w:w="1677" w:type="pct"/>
            <w:vMerge w:val="continue"/>
            <w:textDirection w:val="lrTb"/>
            <w:noWrap w:val="false"/>
          </w:tcPr>
          <w:p>
            <w:pPr>
              <w:jc w:val="left"/>
              <w:widowControl/>
              <w:rPr>
                <w:color w:val="000000"/>
                <w:sz w:val="22"/>
              </w:rPr>
            </w:pPr>
            <w:r>
              <w:rPr>
                <w:color w:val="000000"/>
                <w:sz w:val="22"/>
              </w:rPr>
            </w:r>
            <w:r/>
          </w:p>
        </w:tc>
        <w:tc>
          <w:tcPr>
            <w:gridSpan w:val="3"/>
            <w:tcBorders>
              <w:top w:val="single" w:color="auto" w:sz="4" w:space="0"/>
              <w:left w:val="single" w:color="000000" w:sz="4" w:space="0"/>
              <w:right w:val="single" w:color="000000" w:sz="4" w:space="0"/>
            </w:tcBorders>
            <w:tcW w:w="2120" w:type="pct"/>
            <w:vAlign w:val="center"/>
            <w:textDirection w:val="lrTb"/>
            <w:noWrap w:val="false"/>
          </w:tcPr>
          <w:p>
            <w:pPr>
              <w:jc w:val="left"/>
              <w:widowControl/>
              <w:rPr>
                <w:color w:val="000000"/>
                <w:sz w:val="22"/>
              </w:rPr>
            </w:pPr>
            <w:r>
              <w:rPr>
                <w:color w:val="000000"/>
                <w:sz w:val="22"/>
              </w:rPr>
              <w:t xml:space="preserve">□标的物合格证、说明书等质量证明信息</w:t>
            </w:r>
            <w:r/>
          </w:p>
        </w:tc>
        <w:tc>
          <w:tcPr>
            <w:tcBorders>
              <w:top w:val="single" w:color="auto" w:sz="4" w:space="0"/>
              <w:left w:val="single" w:color="000000" w:sz="4" w:space="0"/>
              <w:right w:val="single" w:color="000000" w:sz="4" w:space="0"/>
            </w:tcBorders>
            <w:tcW w:w="577" w:type="pct"/>
            <w:vAlign w:val="center"/>
            <w:textDirection w:val="lrTb"/>
            <w:noWrap w:val="false"/>
          </w:tcPr>
          <w:p>
            <w:pPr>
              <w:jc w:val="center"/>
              <w:widowControl/>
              <w:rPr>
                <w:color w:val="000000"/>
                <w:sz w:val="22"/>
              </w:rPr>
            </w:pPr>
            <w:r>
              <w:rPr>
                <w:color w:val="000000"/>
                <w:sz w:val="22"/>
              </w:rPr>
              <w:t xml:space="preserve">□合  格         □不合格</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vMerge w:val="continue"/>
            <w:textDirection w:val="lrTb"/>
            <w:noWrap/>
          </w:tcPr>
          <w:p>
            <w:pPr>
              <w:ind w:firstLine="440"/>
              <w:jc w:val="center"/>
              <w:rPr>
                <w:color w:val="000000"/>
                <w:sz w:val="22"/>
              </w:rPr>
            </w:pPr>
            <w:r>
              <w:rPr>
                <w:color w:val="000000"/>
                <w:sz w:val="22"/>
              </w:rPr>
            </w:r>
            <w:r/>
          </w:p>
        </w:tc>
        <w:tc>
          <w:tcPr>
            <w:gridSpan w:val="2"/>
            <w:tcBorders>
              <w:left w:val="single" w:color="000000" w:sz="4" w:space="0"/>
              <w:right w:val="single" w:color="000000" w:sz="4" w:space="0"/>
            </w:tcBorders>
            <w:tcW w:w="1677" w:type="pct"/>
            <w:vMerge w:val="continue"/>
            <w:textDirection w:val="lrTb"/>
            <w:noWrap w:val="false"/>
          </w:tcPr>
          <w:p>
            <w:pPr>
              <w:jc w:val="left"/>
              <w:widowControl/>
              <w:rPr>
                <w:color w:val="000000"/>
                <w:sz w:val="22"/>
              </w:rPr>
            </w:pPr>
            <w:r>
              <w:rPr>
                <w:color w:val="000000"/>
                <w:sz w:val="22"/>
              </w:rPr>
            </w:r>
            <w:r/>
          </w:p>
        </w:tc>
        <w:tc>
          <w:tcPr>
            <w:gridSpan w:val="3"/>
            <w:tcBorders>
              <w:top w:val="single" w:color="auto" w:sz="4" w:space="0"/>
              <w:left w:val="single" w:color="000000" w:sz="4" w:space="0"/>
              <w:bottom w:val="single" w:color="auto" w:sz="4" w:space="0"/>
              <w:right w:val="single" w:color="000000" w:sz="4" w:space="0"/>
            </w:tcBorders>
            <w:tcW w:w="2120" w:type="pct"/>
            <w:vAlign w:val="center"/>
            <w:textDirection w:val="lrTb"/>
            <w:noWrap w:val="false"/>
          </w:tcPr>
          <w:p>
            <w:pPr>
              <w:jc w:val="left"/>
              <w:widowControl/>
              <w:rPr>
                <w:color w:val="000000"/>
                <w:sz w:val="22"/>
              </w:rPr>
            </w:pPr>
            <w:r>
              <w:rPr>
                <w:color w:val="000000"/>
                <w:sz w:val="22"/>
              </w:rPr>
              <w:t xml:space="preserve">□运行状况及安装调试</w:t>
            </w:r>
            <w:r/>
          </w:p>
        </w:tc>
        <w:tc>
          <w:tcPr>
            <w:tcBorders>
              <w:top w:val="single" w:color="auto" w:sz="4" w:space="0"/>
              <w:left w:val="single" w:color="000000" w:sz="4" w:space="0"/>
              <w:bottom w:val="single" w:color="auto" w:sz="4" w:space="0"/>
              <w:right w:val="single" w:color="000000" w:sz="4" w:space="0"/>
            </w:tcBorders>
            <w:tcW w:w="577" w:type="pct"/>
            <w:vAlign w:val="center"/>
            <w:textDirection w:val="lrTb"/>
            <w:noWrap w:val="false"/>
          </w:tcPr>
          <w:p>
            <w:pPr>
              <w:jc w:val="center"/>
              <w:rPr>
                <w:color w:val="000000"/>
                <w:sz w:val="22"/>
              </w:rPr>
            </w:pPr>
            <w:r>
              <w:rPr>
                <w:color w:val="000000"/>
                <w:sz w:val="22"/>
              </w:rPr>
              <w:t xml:space="preserve">□合  格         □不合格</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vMerge w:val="continue"/>
            <w:textDirection w:val="lrTb"/>
            <w:noWrap/>
          </w:tcPr>
          <w:p>
            <w:pPr>
              <w:ind w:firstLine="440"/>
              <w:jc w:val="center"/>
              <w:rPr>
                <w:color w:val="000000"/>
                <w:sz w:val="22"/>
              </w:rPr>
            </w:pPr>
            <w:r>
              <w:rPr>
                <w:color w:val="000000"/>
                <w:sz w:val="22"/>
              </w:rPr>
            </w:r>
            <w:r/>
          </w:p>
        </w:tc>
        <w:tc>
          <w:tcPr>
            <w:gridSpan w:val="2"/>
            <w:tcBorders>
              <w:left w:val="single" w:color="000000" w:sz="4" w:space="0"/>
              <w:right w:val="single" w:color="000000" w:sz="4" w:space="0"/>
            </w:tcBorders>
            <w:tcW w:w="1677" w:type="pct"/>
            <w:vMerge w:val="continue"/>
            <w:textDirection w:val="lrTb"/>
            <w:noWrap w:val="false"/>
          </w:tcPr>
          <w:p>
            <w:pPr>
              <w:jc w:val="left"/>
              <w:widowControl/>
              <w:rPr>
                <w:color w:val="000000"/>
                <w:sz w:val="22"/>
              </w:rPr>
            </w:pPr>
            <w:r>
              <w:rPr>
                <w:color w:val="000000"/>
                <w:sz w:val="22"/>
              </w:rPr>
            </w:r>
            <w:r/>
          </w:p>
        </w:tc>
        <w:tc>
          <w:tcPr>
            <w:gridSpan w:val="3"/>
            <w:tcBorders>
              <w:top w:val="single" w:color="auto" w:sz="4" w:space="0"/>
              <w:left w:val="single" w:color="000000" w:sz="4" w:space="0"/>
              <w:right w:val="single" w:color="000000" w:sz="4" w:space="0"/>
            </w:tcBorders>
            <w:tcW w:w="2120" w:type="pct"/>
            <w:vAlign w:val="center"/>
            <w:textDirection w:val="lrTb"/>
            <w:noWrap w:val="false"/>
          </w:tcPr>
          <w:p>
            <w:pPr>
              <w:jc w:val="left"/>
              <w:widowControl/>
              <w:rPr>
                <w:color w:val="000000"/>
                <w:sz w:val="22"/>
              </w:rPr>
            </w:pPr>
            <w:r>
              <w:rPr>
                <w:color w:val="000000"/>
                <w:sz w:val="22"/>
              </w:rPr>
              <w:t xml:space="preserve">□供应商售后服务、安全标准等在响应文件中承诺的内容</w:t>
            </w:r>
            <w:r/>
          </w:p>
        </w:tc>
        <w:tc>
          <w:tcPr>
            <w:tcBorders>
              <w:top w:val="single" w:color="auto" w:sz="4" w:space="0"/>
              <w:left w:val="single" w:color="000000" w:sz="4" w:space="0"/>
              <w:right w:val="single" w:color="000000" w:sz="4" w:space="0"/>
            </w:tcBorders>
            <w:tcW w:w="577" w:type="pct"/>
            <w:vAlign w:val="center"/>
            <w:textDirection w:val="lrTb"/>
            <w:noWrap w:val="false"/>
          </w:tcPr>
          <w:p>
            <w:pPr>
              <w:jc w:val="center"/>
              <w:rPr>
                <w:color w:val="000000"/>
                <w:sz w:val="22"/>
              </w:rPr>
            </w:pPr>
            <w:r>
              <w:rPr>
                <w:color w:val="000000"/>
                <w:sz w:val="22"/>
              </w:rPr>
              <w:t xml:space="preserve">□合  格         □不合格</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vMerge w:val="continue"/>
            <w:textDirection w:val="lrTb"/>
            <w:noWrap/>
          </w:tcPr>
          <w:p>
            <w:pPr>
              <w:ind w:firstLine="440"/>
              <w:jc w:val="center"/>
              <w:rPr>
                <w:color w:val="000000"/>
                <w:sz w:val="22"/>
              </w:rPr>
            </w:pPr>
            <w:r>
              <w:rPr>
                <w:color w:val="000000"/>
                <w:sz w:val="22"/>
              </w:rPr>
            </w:r>
            <w:r/>
          </w:p>
        </w:tc>
        <w:tc>
          <w:tcPr>
            <w:gridSpan w:val="2"/>
            <w:tcBorders>
              <w:left w:val="single" w:color="000000" w:sz="4" w:space="0"/>
              <w:right w:val="single" w:color="000000" w:sz="4" w:space="0"/>
            </w:tcBorders>
            <w:tcW w:w="1677" w:type="pct"/>
            <w:vMerge w:val="continue"/>
            <w:textDirection w:val="lrTb"/>
            <w:noWrap w:val="false"/>
          </w:tcPr>
          <w:p>
            <w:pPr>
              <w:jc w:val="left"/>
              <w:widowControl/>
              <w:rPr>
                <w:color w:val="000000"/>
                <w:sz w:val="22"/>
              </w:rPr>
            </w:pPr>
            <w:r>
              <w:rPr>
                <w:color w:val="000000"/>
                <w:sz w:val="22"/>
              </w:rPr>
            </w:r>
            <w:r/>
          </w:p>
        </w:tc>
        <w:tc>
          <w:tcPr>
            <w:gridSpan w:val="3"/>
            <w:tcBorders>
              <w:top w:val="single" w:color="auto" w:sz="4" w:space="0"/>
              <w:left w:val="single" w:color="000000" w:sz="4" w:space="0"/>
              <w:bottom w:val="single" w:color="auto" w:sz="4" w:space="0"/>
              <w:right w:val="single" w:color="000000" w:sz="4" w:space="0"/>
            </w:tcBorders>
            <w:tcW w:w="2120" w:type="pct"/>
            <w:vAlign w:val="center"/>
            <w:textDirection w:val="lrTb"/>
            <w:noWrap w:val="false"/>
          </w:tcPr>
          <w:p>
            <w:pPr>
              <w:jc w:val="left"/>
              <w:widowControl/>
              <w:rPr>
                <w:color w:val="000000"/>
                <w:sz w:val="22"/>
              </w:rPr>
            </w:pPr>
            <w:r>
              <w:rPr>
                <w:color w:val="000000"/>
                <w:sz w:val="22"/>
              </w:rPr>
              <w:t xml:space="preserve">□对照采购文件中检测机构、标准、内容对相应标的物进行抽查检验（采购文件中设置检测报告要求时必选）</w:t>
            </w:r>
            <w:r/>
          </w:p>
        </w:tc>
        <w:tc>
          <w:tcPr>
            <w:tcBorders>
              <w:top w:val="single" w:color="auto" w:sz="4" w:space="0"/>
              <w:left w:val="single" w:color="000000" w:sz="4" w:space="0"/>
              <w:bottom w:val="single" w:color="auto" w:sz="4" w:space="0"/>
              <w:right w:val="single" w:color="000000" w:sz="4" w:space="0"/>
            </w:tcBorders>
            <w:tcW w:w="577" w:type="pct"/>
            <w:vAlign w:val="center"/>
            <w:textDirection w:val="lrTb"/>
            <w:noWrap w:val="false"/>
          </w:tcPr>
          <w:p>
            <w:pPr>
              <w:jc w:val="center"/>
              <w:rPr>
                <w:color w:val="000000"/>
                <w:sz w:val="22"/>
              </w:rPr>
            </w:pPr>
            <w:r>
              <w:rPr>
                <w:color w:val="000000"/>
                <w:sz w:val="22"/>
              </w:rPr>
              <w:t xml:space="preserve">□合  格         □不合格</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vMerge w:val="continue"/>
            <w:textDirection w:val="lrTb"/>
            <w:noWrap/>
          </w:tcPr>
          <w:p>
            <w:pPr>
              <w:ind w:firstLine="440"/>
              <w:jc w:val="center"/>
              <w:rPr>
                <w:color w:val="000000"/>
                <w:sz w:val="22"/>
              </w:rPr>
            </w:pPr>
            <w:r>
              <w:rPr>
                <w:color w:val="000000"/>
                <w:sz w:val="22"/>
              </w:rPr>
            </w:r>
            <w:r/>
          </w:p>
        </w:tc>
        <w:tc>
          <w:tcPr>
            <w:gridSpan w:val="2"/>
            <w:tcBorders>
              <w:left w:val="single" w:color="000000" w:sz="4" w:space="0"/>
              <w:right w:val="single" w:color="000000" w:sz="4" w:space="0"/>
            </w:tcBorders>
            <w:tcW w:w="1677" w:type="pct"/>
            <w:vMerge w:val="continue"/>
            <w:textDirection w:val="lrTb"/>
            <w:noWrap w:val="false"/>
          </w:tcPr>
          <w:p>
            <w:pPr>
              <w:jc w:val="left"/>
              <w:widowControl/>
              <w:rPr>
                <w:color w:val="000000"/>
                <w:sz w:val="22"/>
              </w:rPr>
            </w:pPr>
            <w:r>
              <w:rPr>
                <w:color w:val="000000"/>
                <w:sz w:val="22"/>
              </w:rPr>
            </w:r>
            <w:r/>
          </w:p>
        </w:tc>
        <w:tc>
          <w:tcPr>
            <w:gridSpan w:val="3"/>
            <w:tcBorders>
              <w:top w:val="single" w:color="auto" w:sz="4" w:space="0"/>
              <w:left w:val="single" w:color="000000" w:sz="4" w:space="0"/>
              <w:right w:val="single" w:color="000000" w:sz="4" w:space="0"/>
            </w:tcBorders>
            <w:tcW w:w="2120" w:type="pct"/>
            <w:vAlign w:val="center"/>
            <w:textDirection w:val="lrTb"/>
            <w:noWrap w:val="false"/>
          </w:tcPr>
          <w:p>
            <w:pPr>
              <w:jc w:val="left"/>
              <w:widowControl/>
              <w:rPr>
                <w:color w:val="000000"/>
                <w:sz w:val="22"/>
              </w:rPr>
            </w:pPr>
            <w:r>
              <w:rPr>
                <w:color w:val="000000"/>
                <w:sz w:val="22"/>
              </w:rPr>
              <w:t xml:space="preserve">□对照采购人需求，对标的物中涉及专业领域的部分进行复核</w:t>
            </w:r>
            <w:r/>
          </w:p>
        </w:tc>
        <w:tc>
          <w:tcPr>
            <w:tcBorders>
              <w:top w:val="single" w:color="auto" w:sz="4" w:space="0"/>
              <w:left w:val="single" w:color="000000" w:sz="4" w:space="0"/>
              <w:right w:val="single" w:color="000000" w:sz="4" w:space="0"/>
            </w:tcBorders>
            <w:tcW w:w="577" w:type="pct"/>
            <w:vAlign w:val="center"/>
            <w:textDirection w:val="lrTb"/>
            <w:noWrap w:val="false"/>
          </w:tcPr>
          <w:p>
            <w:pPr>
              <w:jc w:val="center"/>
              <w:rPr>
                <w:color w:val="000000"/>
                <w:sz w:val="22"/>
              </w:rPr>
            </w:pPr>
            <w:r>
              <w:rPr>
                <w:color w:val="000000"/>
                <w:sz w:val="22"/>
              </w:rPr>
              <w:t xml:space="preserve">□合  格         □不合格</w:t>
            </w:r>
            <w:r/>
          </w:p>
        </w:tc>
      </w:tr>
      <w:tr>
        <w:trPr>
          <w:jc w:val="center"/>
          <w:trHeight w:val="499"/>
        </w:trPr>
        <w:tc>
          <w:tcPr>
            <w:tcBorders>
              <w:left w:val="single" w:color="000000" w:sz="4" w:space="0"/>
              <w:bottom w:val="single" w:color="000000" w:sz="4" w:space="0"/>
              <w:right w:val="single" w:color="000000" w:sz="4" w:space="0"/>
            </w:tcBorders>
            <w:tcW w:w="624" w:type="pct"/>
            <w:vAlign w:val="center"/>
            <w:vMerge w:val="continue"/>
            <w:textDirection w:val="lrTb"/>
            <w:noWrap/>
          </w:tcPr>
          <w:p>
            <w:pPr>
              <w:ind w:firstLine="440"/>
              <w:jc w:val="center"/>
              <w:rPr>
                <w:color w:val="000000"/>
                <w:sz w:val="22"/>
              </w:rPr>
            </w:pPr>
            <w:r>
              <w:rPr>
                <w:color w:val="000000"/>
                <w:sz w:val="22"/>
              </w:rPr>
            </w:r>
            <w:r/>
          </w:p>
        </w:tc>
        <w:tc>
          <w:tcPr>
            <w:gridSpan w:val="2"/>
            <w:tcBorders>
              <w:left w:val="single" w:color="000000" w:sz="4" w:space="0"/>
              <w:right w:val="single" w:color="000000" w:sz="4" w:space="0"/>
            </w:tcBorders>
            <w:tcW w:w="1677" w:type="pct"/>
            <w:vMerge w:val="continue"/>
            <w:textDirection w:val="lrTb"/>
            <w:noWrap w:val="false"/>
          </w:tcPr>
          <w:p>
            <w:pPr>
              <w:jc w:val="left"/>
              <w:widowControl/>
              <w:rPr>
                <w:color w:val="000000"/>
                <w:sz w:val="22"/>
              </w:rPr>
            </w:pPr>
            <w:r>
              <w:rPr>
                <w:color w:val="000000"/>
                <w:sz w:val="22"/>
              </w:rPr>
            </w:r>
            <w:r/>
          </w:p>
        </w:tc>
        <w:tc>
          <w:tcPr>
            <w:gridSpan w:val="3"/>
            <w:tcBorders>
              <w:top w:val="single" w:color="auto" w:sz="4" w:space="0"/>
              <w:left w:val="single" w:color="000000" w:sz="4" w:space="0"/>
              <w:bottom w:val="single" w:color="auto" w:sz="4" w:space="0"/>
              <w:right w:val="single" w:color="000000" w:sz="4" w:space="0"/>
            </w:tcBorders>
            <w:tcW w:w="2120" w:type="pct"/>
            <w:vAlign w:val="center"/>
            <w:textDirection w:val="lrTb"/>
            <w:noWrap w:val="false"/>
          </w:tcPr>
          <w:p>
            <w:pPr>
              <w:jc w:val="left"/>
              <w:widowControl/>
              <w:rPr>
                <w:color w:val="000000"/>
                <w:sz w:val="22"/>
              </w:rPr>
            </w:pPr>
            <w:r>
              <w:rPr>
                <w:color w:val="000000"/>
                <w:sz w:val="22"/>
              </w:rPr>
              <w:t xml:space="preserve">□合同履约时间、地点、方式</w:t>
            </w:r>
            <w:r/>
          </w:p>
        </w:tc>
        <w:tc>
          <w:tcPr>
            <w:tcBorders>
              <w:top w:val="single" w:color="auto" w:sz="4" w:space="0"/>
              <w:left w:val="single" w:color="000000" w:sz="4" w:space="0"/>
              <w:bottom w:val="single" w:color="auto" w:sz="4" w:space="0"/>
              <w:right w:val="single" w:color="000000" w:sz="4" w:space="0"/>
            </w:tcBorders>
            <w:tcW w:w="577" w:type="pct"/>
            <w:vAlign w:val="center"/>
            <w:textDirection w:val="lrTb"/>
            <w:noWrap w:val="false"/>
          </w:tcPr>
          <w:p>
            <w:pPr>
              <w:jc w:val="center"/>
              <w:rPr>
                <w:color w:val="000000"/>
                <w:sz w:val="22"/>
              </w:rPr>
            </w:pPr>
            <w:r>
              <w:rPr>
                <w:color w:val="000000"/>
                <w:sz w:val="22"/>
              </w:rPr>
              <w:t xml:space="preserve">□合  格         □不合格</w:t>
            </w:r>
            <w:r/>
          </w:p>
        </w:tc>
      </w:tr>
      <w:tr>
        <w:trPr>
          <w:jc w:val="center"/>
          <w:trHeight w:val="499"/>
        </w:trPr>
        <w:tc>
          <w:tcPr>
            <w:tcBorders>
              <w:left w:val="single" w:color="000000" w:sz="4" w:space="0"/>
              <w:bottom w:val="single" w:color="000000" w:sz="4" w:space="0"/>
              <w:right w:val="single" w:color="000000" w:sz="4" w:space="0"/>
            </w:tcBorders>
            <w:tcW w:w="624" w:type="pct"/>
            <w:vAlign w:val="center"/>
            <w:vMerge w:val="continue"/>
            <w:textDirection w:val="lrTb"/>
            <w:noWrap/>
          </w:tcPr>
          <w:p>
            <w:pPr>
              <w:ind w:firstLine="440"/>
              <w:jc w:val="center"/>
              <w:rPr>
                <w:color w:val="000000"/>
                <w:sz w:val="22"/>
              </w:rPr>
            </w:pPr>
            <w:r>
              <w:rPr>
                <w:color w:val="000000"/>
                <w:sz w:val="22"/>
              </w:rPr>
            </w:r>
            <w:r/>
          </w:p>
        </w:tc>
        <w:tc>
          <w:tcPr>
            <w:gridSpan w:val="2"/>
            <w:tcBorders>
              <w:left w:val="single" w:color="000000" w:sz="4" w:space="0"/>
              <w:bottom w:val="single" w:color="000000" w:sz="4" w:space="0"/>
              <w:right w:val="single" w:color="000000" w:sz="4" w:space="0"/>
            </w:tcBorders>
            <w:tcW w:w="1677" w:type="pct"/>
            <w:vMerge w:val="continue"/>
            <w:textDirection w:val="lrTb"/>
            <w:noWrap w:val="false"/>
          </w:tcPr>
          <w:p>
            <w:pPr>
              <w:jc w:val="left"/>
              <w:widowControl/>
              <w:rPr>
                <w:color w:val="000000"/>
                <w:sz w:val="22"/>
              </w:rPr>
            </w:pPr>
            <w:r>
              <w:rPr>
                <w:color w:val="000000"/>
                <w:sz w:val="22"/>
              </w:rPr>
            </w:r>
            <w:r/>
          </w:p>
        </w:tc>
        <w:tc>
          <w:tcPr>
            <w:gridSpan w:val="3"/>
            <w:tcBorders>
              <w:top w:val="single" w:color="auto" w:sz="4" w:space="0"/>
              <w:left w:val="single" w:color="000000" w:sz="4" w:space="0"/>
              <w:bottom w:val="single" w:color="000000" w:sz="4" w:space="0"/>
              <w:right w:val="single" w:color="000000" w:sz="4" w:space="0"/>
            </w:tcBorders>
            <w:tcW w:w="2120" w:type="pct"/>
            <w:vAlign w:val="center"/>
            <w:textDirection w:val="lrTb"/>
            <w:noWrap w:val="false"/>
          </w:tcPr>
          <w:p>
            <w:pPr>
              <w:jc w:val="left"/>
              <w:widowControl/>
              <w:rPr>
                <w:color w:val="000000"/>
                <w:sz w:val="22"/>
              </w:rPr>
            </w:pPr>
            <w:r>
              <w:rPr>
                <w:color w:val="000000"/>
                <w:sz w:val="22"/>
              </w:rPr>
              <w:t xml:space="preserve">□其他：</w:t>
            </w:r>
            <w:r/>
          </w:p>
        </w:tc>
        <w:tc>
          <w:tcPr>
            <w:tcBorders>
              <w:top w:val="single" w:color="auto" w:sz="4" w:space="0"/>
              <w:left w:val="single" w:color="000000" w:sz="4" w:space="0"/>
              <w:bottom w:val="single" w:color="auto" w:sz="4" w:space="0"/>
              <w:right w:val="single" w:color="000000" w:sz="4" w:space="0"/>
            </w:tcBorders>
            <w:tcW w:w="577" w:type="pct"/>
            <w:vAlign w:val="center"/>
            <w:textDirection w:val="lrTb"/>
            <w:noWrap w:val="false"/>
          </w:tcPr>
          <w:p>
            <w:pPr>
              <w:jc w:val="center"/>
              <w:rPr>
                <w:color w:val="000000"/>
                <w:sz w:val="22"/>
              </w:rPr>
            </w:pPr>
            <w:r>
              <w:rPr>
                <w:color w:val="000000"/>
                <w:sz w:val="22"/>
              </w:rPr>
              <w:t xml:space="preserve">□合  格         □不合格</w:t>
            </w:r>
            <w:r/>
          </w:p>
        </w:tc>
      </w:tr>
      <w:tr>
        <w:trPr>
          <w:jc w:val="center"/>
          <w:trHeight w:val="499"/>
        </w:trPr>
        <w:tc>
          <w:tcPr>
            <w:tcBorders>
              <w:top w:val="single" w:color="000000" w:sz="4" w:space="0"/>
              <w:left w:val="single" w:color="000000" w:sz="4" w:space="0"/>
              <w:right w:val="single" w:color="000000" w:sz="4" w:space="0"/>
            </w:tcBorders>
            <w:tcW w:w="624" w:type="pct"/>
            <w:vAlign w:val="center"/>
            <w:vMerge w:val="restart"/>
            <w:textDirection w:val="lrTb"/>
            <w:noWrap/>
          </w:tcPr>
          <w:p>
            <w:pPr>
              <w:jc w:val="center"/>
              <w:widowControl/>
              <w:rPr>
                <w:color w:val="000000"/>
                <w:sz w:val="22"/>
              </w:rPr>
            </w:pPr>
            <w:r>
              <w:rPr>
                <w:color w:val="000000"/>
                <w:sz w:val="22"/>
              </w:rPr>
              <w:t xml:space="preserve">验收参与人员 （如有）</w:t>
            </w:r>
            <w:r/>
          </w:p>
        </w:tc>
        <w:tc>
          <w:tcPr>
            <w:gridSpan w:val="2"/>
            <w:tcBorders>
              <w:top w:val="single" w:color="000000" w:sz="4" w:space="0"/>
              <w:left w:val="single" w:color="000000" w:sz="4" w:space="0"/>
              <w:bottom w:val="single" w:color="000000" w:sz="4" w:space="0"/>
              <w:right w:val="none" w:color="000000" w:sz="4" w:space="0"/>
            </w:tcBorders>
            <w:tcW w:w="1677" w:type="pct"/>
            <w:textDirection w:val="lrTb"/>
            <w:noWrap w:val="false"/>
          </w:tcPr>
          <w:p>
            <w:pPr>
              <w:jc w:val="left"/>
              <w:widowControl/>
              <w:rPr>
                <w:color w:val="000000"/>
                <w:sz w:val="22"/>
              </w:rPr>
            </w:pPr>
            <w:r>
              <w:rPr>
                <w:color w:val="000000"/>
                <w:sz w:val="22"/>
              </w:rPr>
              <w:t xml:space="preserve">□实际使用人：</w:t>
            </w:r>
            <w:r/>
          </w:p>
        </w:tc>
        <w:tc>
          <w:tcPr>
            <w:gridSpan w:val="3"/>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ind w:firstLine="440"/>
              <w:jc w:val="left"/>
              <w:rPr>
                <w:color w:val="000000"/>
                <w:sz w:val="22"/>
              </w:rPr>
            </w:pPr>
            <w:r>
              <w:rPr>
                <w:color w:val="000000"/>
                <w:sz w:val="22"/>
              </w:rPr>
            </w:r>
            <w:r/>
          </w:p>
        </w:tc>
        <w:tc>
          <w:tcPr>
            <w:tcBorders>
              <w:top w:val="single" w:color="auto" w:sz="4" w:space="0"/>
              <w:left w:val="single" w:color="000000" w:sz="4" w:space="0"/>
              <w:bottom w:val="single" w:color="000000" w:sz="4" w:space="0"/>
              <w:right w:val="single" w:color="000000" w:sz="4" w:space="0"/>
            </w:tcBorders>
            <w:tcW w:w="577" w:type="pct"/>
            <w:vAlign w:val="center"/>
            <w:textDirection w:val="lrTb"/>
            <w:noWrap w:val="false"/>
          </w:tcPr>
          <w:p>
            <w:pPr>
              <w:jc w:val="center"/>
              <w:rPr>
                <w:color w:val="000000"/>
                <w:sz w:val="22"/>
                <w:szCs w:val="21"/>
                <w:lang w:eastAsia="en-US"/>
              </w:rPr>
            </w:pPr>
            <w:r>
              <w:rPr>
                <w:color w:val="000000"/>
                <w:sz w:val="22"/>
              </w:rPr>
              <w:t xml:space="preserve">□合  格         □不合格</w:t>
            </w:r>
            <w:r/>
          </w:p>
        </w:tc>
      </w:tr>
      <w:tr>
        <w:trPr>
          <w:jc w:val="center"/>
          <w:trHeight w:val="499"/>
        </w:trPr>
        <w:tc>
          <w:tcPr>
            <w:tcBorders>
              <w:left w:val="single" w:color="000000" w:sz="4" w:space="0"/>
              <w:right w:val="single" w:color="000000" w:sz="4" w:space="0"/>
            </w:tcBorders>
            <w:tcW w:w="624" w:type="pct"/>
            <w:vAlign w:val="center"/>
            <w:vMerge w:val="continue"/>
            <w:textDirection w:val="lrTb"/>
            <w:noWrap/>
          </w:tcPr>
          <w:p>
            <w:pPr>
              <w:ind w:firstLine="440"/>
              <w:jc w:val="center"/>
              <w:rPr>
                <w:color w:val="000000"/>
                <w:sz w:val="22"/>
              </w:rPr>
            </w:pPr>
            <w:r>
              <w:rPr>
                <w:color w:val="000000"/>
                <w:sz w:val="22"/>
              </w:rPr>
            </w:r>
            <w:r/>
          </w:p>
        </w:tc>
        <w:tc>
          <w:tcPr>
            <w:gridSpan w:val="2"/>
            <w:tcBorders>
              <w:top w:val="single" w:color="000000" w:sz="4" w:space="0"/>
              <w:left w:val="single" w:color="000000" w:sz="4" w:space="0"/>
              <w:bottom w:val="single" w:color="000000" w:sz="4" w:space="0"/>
              <w:right w:val="none" w:color="000000" w:sz="4" w:space="0"/>
            </w:tcBorders>
            <w:tcW w:w="1677" w:type="pct"/>
            <w:textDirection w:val="lrTb"/>
            <w:noWrap w:val="false"/>
          </w:tcPr>
          <w:p>
            <w:pPr>
              <w:jc w:val="left"/>
              <w:widowControl/>
              <w:rPr>
                <w:color w:val="000000"/>
                <w:sz w:val="22"/>
              </w:rPr>
            </w:pPr>
            <w:r>
              <w:rPr>
                <w:color w:val="000000"/>
                <w:sz w:val="22"/>
              </w:rPr>
              <w:t xml:space="preserve">□第三方专业机构：</w:t>
            </w:r>
            <w:r/>
          </w:p>
        </w:tc>
        <w:tc>
          <w:tcPr>
            <w:gridSpan w:val="3"/>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jc w:val="left"/>
              <w:widowControl/>
              <w:rPr>
                <w:color w:val="000000"/>
                <w:sz w:val="20"/>
                <w:szCs w:val="20"/>
              </w:rPr>
            </w:pPr>
            <w:r>
              <w:rPr>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color w:val="000000"/>
                <w:sz w:val="22"/>
                <w:szCs w:val="21"/>
                <w:lang w:eastAsia="en-US"/>
              </w:rPr>
            </w:pPr>
            <w:r>
              <w:rPr>
                <w:color w:val="000000"/>
                <w:sz w:val="22"/>
              </w:rPr>
              <w:t xml:space="preserve">□合  格         □不合格</w:t>
            </w:r>
            <w:r/>
          </w:p>
        </w:tc>
      </w:tr>
      <w:tr>
        <w:trPr>
          <w:jc w:val="center"/>
          <w:trHeight w:val="499"/>
        </w:trPr>
        <w:tc>
          <w:tcPr>
            <w:tcBorders>
              <w:left w:val="single" w:color="000000" w:sz="4" w:space="0"/>
              <w:right w:val="single" w:color="000000" w:sz="4" w:space="0"/>
            </w:tcBorders>
            <w:tcW w:w="624" w:type="pct"/>
            <w:vAlign w:val="center"/>
            <w:vMerge w:val="continue"/>
            <w:textDirection w:val="lrTb"/>
            <w:noWrap/>
          </w:tcPr>
          <w:p>
            <w:pPr>
              <w:ind w:firstLine="440"/>
              <w:jc w:val="center"/>
              <w:rPr>
                <w:color w:val="000000"/>
                <w:sz w:val="22"/>
              </w:rPr>
            </w:pPr>
            <w:r>
              <w:rPr>
                <w:color w:val="000000"/>
                <w:sz w:val="22"/>
              </w:rPr>
            </w:r>
            <w:r/>
          </w:p>
        </w:tc>
        <w:tc>
          <w:tcPr>
            <w:gridSpan w:val="2"/>
            <w:tcBorders>
              <w:top w:val="single" w:color="000000" w:sz="4" w:space="0"/>
              <w:left w:val="single" w:color="000000" w:sz="4" w:space="0"/>
              <w:bottom w:val="single" w:color="000000" w:sz="4" w:space="0"/>
              <w:right w:val="none" w:color="000000" w:sz="4" w:space="0"/>
            </w:tcBorders>
            <w:tcW w:w="1677" w:type="pct"/>
            <w:textDirection w:val="lrTb"/>
            <w:noWrap w:val="false"/>
          </w:tcPr>
          <w:p>
            <w:pPr>
              <w:jc w:val="left"/>
              <w:widowControl/>
              <w:rPr>
                <w:color w:val="000000"/>
                <w:sz w:val="22"/>
              </w:rPr>
            </w:pPr>
            <w:r>
              <w:rPr>
                <w:color w:val="000000"/>
                <w:sz w:val="22"/>
              </w:rPr>
              <w:t xml:space="preserve">□专家：</w:t>
            </w:r>
            <w:r/>
          </w:p>
        </w:tc>
        <w:tc>
          <w:tcPr>
            <w:gridSpan w:val="3"/>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jc w:val="left"/>
              <w:widowControl/>
              <w:rPr>
                <w:color w:val="000000"/>
                <w:sz w:val="22"/>
              </w:rPr>
            </w:pPr>
            <w:r>
              <w:rPr>
                <w:color w:val="000000"/>
                <w:sz w:val="22"/>
              </w:rPr>
              <w:t xml:space="preserve">出具书面意见</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color w:val="000000"/>
                <w:sz w:val="22"/>
                <w:szCs w:val="21"/>
                <w:lang w:eastAsia="en-US"/>
              </w:rPr>
            </w:pPr>
            <w:r>
              <w:rPr>
                <w:color w:val="000000"/>
                <w:sz w:val="22"/>
              </w:rPr>
              <w:t xml:space="preserve">□合  格         □不合格</w:t>
            </w:r>
            <w:r/>
          </w:p>
        </w:tc>
      </w:tr>
      <w:tr>
        <w:trPr>
          <w:jc w:val="center"/>
          <w:trHeight w:val="499"/>
        </w:trPr>
        <w:tc>
          <w:tcPr>
            <w:tcBorders>
              <w:left w:val="single" w:color="000000" w:sz="4" w:space="0"/>
              <w:bottom w:val="none" w:color="000000" w:sz="4" w:space="0"/>
              <w:right w:val="single" w:color="000000" w:sz="4" w:space="0"/>
            </w:tcBorders>
            <w:tcW w:w="624" w:type="pct"/>
            <w:vAlign w:val="center"/>
            <w:vMerge w:val="continue"/>
            <w:textDirection w:val="lrTb"/>
            <w:noWrap/>
          </w:tcPr>
          <w:p>
            <w:pPr>
              <w:ind w:firstLine="440"/>
              <w:jc w:val="center"/>
              <w:rPr>
                <w:color w:val="000000"/>
                <w:sz w:val="22"/>
              </w:rPr>
            </w:pPr>
            <w:r>
              <w:rPr>
                <w:color w:val="000000"/>
                <w:sz w:val="22"/>
              </w:rPr>
            </w:r>
            <w:r/>
          </w:p>
        </w:tc>
        <w:tc>
          <w:tcPr>
            <w:gridSpan w:val="2"/>
            <w:tcBorders>
              <w:top w:val="single" w:color="000000" w:sz="4" w:space="0"/>
              <w:left w:val="single" w:color="000000" w:sz="4" w:space="0"/>
              <w:bottom w:val="single" w:color="000000" w:sz="4" w:space="0"/>
              <w:right w:val="none" w:color="000000" w:sz="4" w:space="0"/>
            </w:tcBorders>
            <w:tcW w:w="1677" w:type="pct"/>
            <w:textDirection w:val="lrTb"/>
            <w:noWrap w:val="false"/>
          </w:tcPr>
          <w:p>
            <w:pPr>
              <w:jc w:val="left"/>
              <w:widowControl/>
              <w:rPr>
                <w:color w:val="000000"/>
                <w:sz w:val="22"/>
              </w:rPr>
            </w:pPr>
            <w:r>
              <w:rPr>
                <w:color w:val="000000"/>
                <w:sz w:val="22"/>
              </w:rPr>
              <w:t xml:space="preserve">□其他供应商：</w:t>
            </w:r>
            <w:r/>
          </w:p>
        </w:tc>
        <w:tc>
          <w:tcPr>
            <w:gridSpan w:val="3"/>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jc w:val="left"/>
              <w:widowControl/>
              <w:rPr>
                <w:color w:val="000000"/>
                <w:sz w:val="22"/>
              </w:rPr>
            </w:pPr>
            <w:r>
              <w:rPr>
                <w:color w:val="000000"/>
                <w:sz w:val="22"/>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color w:val="000000"/>
                <w:sz w:val="22"/>
              </w:rPr>
            </w:pPr>
            <w:r>
              <w:rPr>
                <w:color w:val="000000"/>
                <w:sz w:val="22"/>
              </w:rPr>
              <w:t xml:space="preserve">□合  格       □不合格</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color w:val="000000"/>
                <w:sz w:val="22"/>
              </w:rPr>
            </w:pPr>
            <w:r>
              <w:rPr>
                <w:color w:val="000000"/>
                <w:sz w:val="22"/>
              </w:rPr>
              <w:t xml:space="preserve">验收意见</w:t>
            </w:r>
            <w:r/>
          </w:p>
        </w:tc>
        <w:tc>
          <w:tcPr>
            <w:gridSpan w:val="6"/>
            <w:tcBorders>
              <w:top w:val="single" w:color="000000" w:sz="4" w:space="0"/>
              <w:left w:val="single" w:color="000000" w:sz="4" w:space="0"/>
              <w:bottom w:val="single" w:color="000000" w:sz="4" w:space="0"/>
              <w:right w:val="single" w:color="000000" w:sz="4" w:space="0"/>
            </w:tcBorders>
            <w:tcW w:w="4375" w:type="pct"/>
            <w:vAlign w:val="bottom"/>
            <w:textDirection w:val="lrTb"/>
            <w:noWrap w:val="false"/>
          </w:tcPr>
          <w:p>
            <w:pPr>
              <w:jc w:val="left"/>
              <w:widowControl/>
              <w:rPr>
                <w:color w:val="000000"/>
                <w:sz w:val="22"/>
              </w:rPr>
            </w:pPr>
            <w:r>
              <w:rPr>
                <w:color w:val="000000"/>
                <w:sz w:val="22"/>
              </w:rPr>
              <w:t xml:space="preserve">（如意见一致，请全体验收小组成员分别签名，如有异议，请分别签署意见并签名）</w:t>
            </w:r>
            <w:r/>
          </w:p>
          <w:p>
            <w:pPr>
              <w:jc w:val="left"/>
              <w:widowControl/>
              <w:rPr>
                <w:color w:val="000000"/>
                <w:sz w:val="22"/>
              </w:rPr>
            </w:pPr>
            <w:r>
              <w:rPr>
                <w:color w:val="000000"/>
                <w:sz w:val="22"/>
              </w:rPr>
            </w:r>
            <w:r/>
          </w:p>
          <w:p>
            <w:pPr>
              <w:jc w:val="left"/>
              <w:widowControl/>
              <w:rPr>
                <w:color w:val="000000"/>
                <w:sz w:val="22"/>
              </w:rPr>
            </w:pPr>
            <w:r>
              <w:rPr>
                <w:color w:val="000000"/>
                <w:sz w:val="22"/>
              </w:rPr>
            </w:r>
            <w:r/>
          </w:p>
          <w:p>
            <w:pPr>
              <w:jc w:val="left"/>
              <w:widowControl/>
              <w:rPr>
                <w:color w:val="000000"/>
                <w:sz w:val="22"/>
              </w:rPr>
            </w:pPr>
            <w:r>
              <w:rPr>
                <w:color w:val="000000"/>
                <w:sz w:val="22"/>
              </w:rPr>
              <w:t xml:space="preserve">全体验收小组成员签字：                                            </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color w:val="000000"/>
                <w:sz w:val="22"/>
              </w:rPr>
            </w:pPr>
            <w:r>
              <w:rPr>
                <w:color w:val="000000"/>
                <w:sz w:val="22"/>
              </w:rPr>
              <w:t xml:space="preserve">异议复核</w:t>
            </w:r>
            <w:r/>
          </w:p>
        </w:tc>
        <w:tc>
          <w:tcPr>
            <w:gridSpan w:val="6"/>
            <w:tcBorders>
              <w:top w:val="single" w:color="000000" w:sz="4" w:space="0"/>
              <w:left w:val="single" w:color="000000" w:sz="4" w:space="0"/>
              <w:bottom w:val="single" w:color="000000" w:sz="4" w:space="0"/>
              <w:right w:val="single" w:color="000000" w:sz="4" w:space="0"/>
            </w:tcBorders>
            <w:tcW w:w="4375" w:type="pct"/>
            <w:vAlign w:val="center"/>
            <w:textDirection w:val="lrTb"/>
            <w:noWrap w:val="false"/>
          </w:tcPr>
          <w:p>
            <w:pPr>
              <w:jc w:val="left"/>
              <w:widowControl/>
              <w:rPr>
                <w:color w:val="000000"/>
                <w:sz w:val="22"/>
              </w:rPr>
            </w:pPr>
            <w:r>
              <w:rPr>
                <w:color w:val="000000"/>
                <w:sz w:val="22"/>
              </w:rPr>
              <w:t xml:space="preserve">异议事项：</w:t>
            </w:r>
            <w:r/>
          </w:p>
          <w:p>
            <w:pPr>
              <w:jc w:val="left"/>
              <w:widowControl/>
              <w:rPr>
                <w:color w:val="000000"/>
                <w:sz w:val="22"/>
              </w:rPr>
            </w:pPr>
            <w:r>
              <w:rPr>
                <w:color w:val="000000"/>
                <w:sz w:val="22"/>
              </w:rPr>
            </w:r>
            <w:r/>
          </w:p>
          <w:p>
            <w:pPr>
              <w:jc w:val="left"/>
              <w:widowControl/>
              <w:rPr>
                <w:color w:val="000000"/>
                <w:sz w:val="22"/>
              </w:rPr>
            </w:pPr>
            <w:r>
              <w:rPr>
                <w:color w:val="000000"/>
                <w:sz w:val="22"/>
              </w:rPr>
              <w:t xml:space="preserve">复核意见：</w:t>
            </w:r>
            <w:r/>
          </w:p>
          <w:p>
            <w:pPr>
              <w:jc w:val="left"/>
              <w:widowControl/>
              <w:rPr>
                <w:color w:val="000000"/>
                <w:sz w:val="22"/>
              </w:rPr>
            </w:pPr>
            <w:r>
              <w:rPr>
                <w:color w:val="000000"/>
                <w:sz w:val="22"/>
              </w:rPr>
            </w:r>
            <w:r/>
          </w:p>
          <w:p>
            <w:pPr>
              <w:jc w:val="left"/>
              <w:widowControl/>
              <w:rPr>
                <w:color w:val="000000"/>
                <w:sz w:val="22"/>
              </w:rPr>
            </w:pPr>
            <w:r>
              <w:rPr>
                <w:color w:val="000000"/>
                <w:sz w:val="22"/>
              </w:rPr>
              <w:t xml:space="preserve">签字：</w:t>
            </w:r>
            <w:r/>
          </w:p>
        </w:tc>
      </w:tr>
      <w:tr>
        <w:trPr>
          <w:jc w:val="center"/>
          <w:trHeight w:val="1191"/>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color w:val="000000"/>
                <w:sz w:val="22"/>
              </w:rPr>
            </w:pPr>
            <w:r>
              <w:rPr>
                <w:color w:val="000000"/>
                <w:sz w:val="22"/>
              </w:rPr>
              <w:t xml:space="preserve">验收结论</w:t>
            </w:r>
            <w:r/>
          </w:p>
        </w:tc>
        <w:tc>
          <w:tcPr>
            <w:gridSpan w:val="6"/>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ind w:firstLine="440"/>
              <w:jc w:val="left"/>
              <w:widowControl/>
              <w:rPr>
                <w:color w:val="000000"/>
                <w:sz w:val="22"/>
              </w:rPr>
            </w:pPr>
            <w:r>
              <w:rPr>
                <w:color w:val="000000"/>
                <w:sz w:val="22"/>
              </w:rPr>
              <w:t xml:space="preserve">（采购人签署验收意见并盖章）</w:t>
            </w:r>
            <w:r/>
          </w:p>
        </w:tc>
      </w:tr>
      <w:tr>
        <w:trPr>
          <w:jc w:val="center"/>
          <w:trHeight w:val="1191"/>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color w:val="000000"/>
                <w:sz w:val="22"/>
              </w:rPr>
            </w:pPr>
            <w:r>
              <w:rPr>
                <w:color w:val="000000"/>
                <w:sz w:val="22"/>
              </w:rPr>
              <w:t xml:space="preserve">验收依据和过程（可附件）</w:t>
            </w:r>
            <w:r/>
          </w:p>
        </w:tc>
        <w:tc>
          <w:tcPr>
            <w:gridSpan w:val="6"/>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ind w:firstLine="440"/>
              <w:jc w:val="left"/>
              <w:widowControl/>
              <w:rPr>
                <w:color w:val="000000"/>
                <w:sz w:val="22"/>
              </w:rPr>
            </w:pPr>
            <w:r>
              <w:rPr>
                <w:color w:val="000000"/>
                <w:sz w:val="22"/>
              </w:rPr>
            </w:r>
            <w:r/>
          </w:p>
        </w:tc>
      </w:tr>
    </w:tbl>
    <w:p>
      <w:pPr>
        <w:ind w:firstLine="883"/>
        <w:jc w:val="left"/>
        <w:widowControl/>
        <w:rPr>
          <w:lang w:val="zh-CN"/>
        </w:rPr>
      </w:pPr>
      <w:r>
        <w:rPr>
          <w:lang w:val="zh-CN"/>
        </w:rPr>
      </w:r>
      <w:r/>
    </w:p>
    <w:p>
      <w:pPr>
        <w:ind w:firstLine="420"/>
        <w:jc w:val="left"/>
        <w:spacing w:line="360" w:lineRule="auto"/>
      </w:pPr>
      <w:r/>
      <w:r/>
    </w:p>
    <w:p>
      <w:pPr>
        <w:jc w:val="left"/>
        <w:widowControl/>
        <w:rPr>
          <w:lang w:val="zh-CN"/>
        </w:rPr>
      </w:pPr>
      <w:r>
        <w:rPr>
          <w:b/>
          <w:bCs/>
          <w:color w:val="000000" w:themeColor="text1"/>
          <w:sz w:val="44"/>
          <w:szCs w:val="44"/>
          <w14:textFill>
            <w14:solidFill>
              <w14:schemeClr w14:val="tx1"/>
            </w14:solidFill>
          </w14:textFill>
        </w:rPr>
        <w:br w:type="page" w:clear="all"/>
      </w:r>
      <w:bookmarkEnd w:id="78"/>
      <w:r/>
      <w:bookmarkEnd w:id="79"/>
      <w:r/>
      <w:bookmarkEnd w:id="80"/>
      <w:r/>
      <w:bookmarkStart w:id="81" w:name="OLE_LINK11"/>
      <w:r/>
      <w:r/>
    </w:p>
    <w:p>
      <w:pPr>
        <w:rPr>
          <w:lang w:val="zh-CN"/>
        </w:rPr>
      </w:pPr>
      <w:r>
        <w:rPr>
          <w:lang w:val="zh-CN"/>
        </w:rPr>
      </w:r>
      <w:bookmarkEnd w:id="81"/>
      <w:r/>
      <w:r/>
    </w:p>
    <w:p>
      <w:pPr>
        <w:pStyle w:val="898"/>
        <w:numPr>
          <w:ilvl w:val="0"/>
          <w:numId w:val="5"/>
        </w:numPr>
        <w:ind w:hanging="1276"/>
        <w:jc w:val="center"/>
        <w:spacing w:line="480" w:lineRule="auto"/>
        <w:rPr>
          <w:b/>
          <w:bCs/>
          <w:color w:val="000000" w:themeColor="text1"/>
          <w:sz w:val="44"/>
          <w:szCs w:val="44"/>
          <w14:textFill>
            <w14:solidFill>
              <w14:schemeClr w14:val="tx1"/>
            </w14:solidFill>
          </w14:textFill>
        </w:rPr>
        <w:outlineLvl w:val="0"/>
      </w:pPr>
      <w:r>
        <w:rPr>
          <w:b/>
          <w:bCs/>
          <w:color w:val="000000" w:themeColor="text1"/>
          <w:sz w:val="44"/>
          <w:szCs w:val="44"/>
          <w14:textFill>
            <w14:solidFill>
              <w14:schemeClr w14:val="tx1"/>
            </w14:solidFill>
          </w14:textFill>
        </w:rPr>
        <w:t xml:space="preserve">响应文件格式</w:t>
      </w:r>
      <w:r/>
    </w:p>
    <w:p>
      <w:pPr>
        <w:spacing w:line="42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说明：</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对本章所有的格式，谈判供应商可根据自身情况进行补充和修改，但补充和修改不得造成与本格式内容有实质性的违背。</w:t>
      </w:r>
      <w:r/>
    </w:p>
    <w:p>
      <w:pPr>
        <w:jc w:val="center"/>
        <w:spacing w:line="360" w:lineRule="auto"/>
        <w:rPr>
          <w:b/>
          <w:color w:val="000000" w:themeColor="text1"/>
          <w:sz w:val="36"/>
          <w:szCs w:val="36"/>
          <w14:textFill>
            <w14:solidFill>
              <w14:schemeClr w14:val="tx1"/>
            </w14:solidFill>
          </w14:textFill>
        </w:rPr>
        <w:outlineLvl w:val="1"/>
      </w:pPr>
      <w:r>
        <w:rPr>
          <w:b/>
          <w:color w:val="000000" w:themeColor="text1"/>
          <w:sz w:val="32"/>
          <w:szCs w:val="32"/>
          <w:lang w:val="zh-CN"/>
          <w14:textFill>
            <w14:solidFill>
              <w14:schemeClr w14:val="tx1"/>
            </w14:solidFill>
          </w14:textFill>
        </w:rPr>
        <w:t xml:space="preserve">谈判响应函</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致：</w:t>
      </w:r>
      <w:r>
        <w:rPr>
          <w:color w:val="000000" w:themeColor="text1"/>
          <w:szCs w:val="24"/>
          <w:u w:val="single"/>
          <w14:textFill>
            <w14:solidFill>
              <w14:schemeClr w14:val="tx1"/>
            </w14:solidFill>
          </w14:textFill>
        </w:rPr>
        <w:t xml:space="preserve">苏州工业园区集中采购中心</w:t>
      </w:r>
      <w:r>
        <w:rPr>
          <w:color w:val="000000" w:themeColor="text1"/>
          <w:szCs w:val="24"/>
          <w14:textFill>
            <w14:solidFill>
              <w14:schemeClr w14:val="tx1"/>
            </w14:solidFill>
          </w14:textFill>
        </w:rPr>
        <w:t xml:space="preserve">：</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我方已仔细研究了本项目的</w:t>
      </w:r>
      <w:r>
        <w:rPr>
          <w:color w:val="000000" w:themeColor="text1"/>
          <w:szCs w:val="21"/>
          <w14:textFill>
            <w14:solidFill>
              <w14:schemeClr w14:val="tx1"/>
            </w14:solidFill>
          </w14:textFill>
        </w:rPr>
        <w:t xml:space="preserve">谈判文件</w:t>
      </w:r>
      <w:r>
        <w:rPr>
          <w:color w:val="000000" w:themeColor="text1"/>
          <w:szCs w:val="24"/>
          <w14:textFill>
            <w14:solidFill>
              <w14:schemeClr w14:val="tx1"/>
            </w14:solidFill>
          </w14:textFill>
        </w:rPr>
        <w:t xml:space="preserve">，决定参加本次谈判。</w:t>
      </w:r>
      <w:r/>
    </w:p>
    <w:p>
      <w:pPr>
        <w:pStyle w:val="1069"/>
        <w:numPr>
          <w:ilvl w:val="0"/>
          <w:numId w:val="24"/>
        </w:numPr>
        <w:spacing w:line="400" w:lineRule="exact"/>
        <w:rPr>
          <w:rFonts w:ascii="Times New Roman" w:hAnsi="Times New Roman"/>
          <w:color w:val="000000" w:themeColor="text1"/>
          <w:sz w:val="21"/>
          <w14:textFill>
            <w14:solidFill>
              <w14:schemeClr w14:val="tx1"/>
            </w14:solidFill>
          </w14:textFill>
        </w:rPr>
      </w:pPr>
      <w:r>
        <w:rPr>
          <w:rFonts w:ascii="Times New Roman" w:hAnsi="Times New Roman"/>
          <w:color w:val="000000" w:themeColor="text1"/>
          <w:sz w:val="21"/>
          <w14:textFill>
            <w14:solidFill>
              <w14:schemeClr w14:val="tx1"/>
            </w14:solidFill>
          </w14:textFill>
        </w:rPr>
        <w:t xml:space="preserve">我方愿意按提供满足谈判文件全部要求的货物及服务工作，提供谈判文件要求的所有资料，响应报价包括为提供本合同约定的采购货物及与其相关的所有服务而发生的一切成本、费用、支出及合理利润。。</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2、如果成交，我方将严格履行</w:t>
      </w:r>
      <w:r>
        <w:rPr>
          <w:color w:val="000000" w:themeColor="text1"/>
          <w:szCs w:val="21"/>
          <w14:textFill>
            <w14:solidFill>
              <w14:schemeClr w14:val="tx1"/>
            </w14:solidFill>
          </w14:textFill>
        </w:rPr>
        <w:t xml:space="preserve">谈判文件</w:t>
      </w:r>
      <w:r>
        <w:rPr>
          <w:color w:val="000000" w:themeColor="text1"/>
          <w:szCs w:val="24"/>
          <w14:textFill>
            <w14:solidFill>
              <w14:schemeClr w14:val="tx1"/>
            </w14:solidFill>
          </w14:textFill>
        </w:rPr>
        <w:t xml:space="preserve">中规定的每一项要求，按期、按质、按量履行合同的义务。</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3、我方承诺谈判响应文件在谈判开始后的全过程中保持有效，不作任何更改和变动。</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4、我方保证全部响应文件内容真实有效，若有虚假，愿意承担与此相关的一切责任。</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5、我方承诺谈判活动中不存在以下行为：</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a）提供虚假材料谋取中标、成交；</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b）采取不正当手段诋毁、排挤其他供应商；</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c）与采购人、其它供应商或者采购代理机构恶意串通；</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d）向采购人、采购代理机构行贿或者提供其他不正当利益；</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e）在采购过程中与采购人进行协商谈判；</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f）拒绝有关部门监督检查或提供虚假情况；</w:t>
      </w:r>
      <w:r/>
    </w:p>
    <w:p>
      <w:pPr>
        <w:ind w:firstLine="420"/>
        <w:spacing w:line="400" w:lineRule="exact"/>
        <w:rPr>
          <w:color w:val="000000" w:themeColor="text1"/>
          <w:szCs w:val="24"/>
          <w14:textFill>
            <w14:solidFill>
              <w14:schemeClr w14:val="tx1"/>
            </w14:solidFill>
          </w14:textFill>
        </w:rPr>
      </w:pPr>
      <w:r/>
      <w:bookmarkStart w:id="82" w:name="_Hlk159236533"/>
      <w:r>
        <w:rPr>
          <w:color w:val="000000" w:themeColor="text1"/>
          <w:szCs w:val="24"/>
          <w14:textFill>
            <w14:solidFill>
              <w14:schemeClr w14:val="tx1"/>
            </w14:solidFill>
          </w14:textFill>
        </w:rPr>
        <w:t xml:space="preserve">g）本函填写的电子邮箱为我方此次采购活动中的授权邮箱，该邮箱发至采购人或代理机构的函件无论是否签字或盖章，均视为我方的意思表示，我方均予以承认并承担相应后果。</w:t>
      </w:r>
      <w:r/>
    </w:p>
    <w:p>
      <w:pPr>
        <w:ind w:firstLine="420"/>
        <w:spacing w:line="400" w:lineRule="exact"/>
        <w:rPr>
          <w:color w:val="000000" w:themeColor="text1"/>
          <w:szCs w:val="24"/>
          <w14:textFill>
            <w14:solidFill>
              <w14:schemeClr w14:val="tx1"/>
            </w14:solidFill>
          </w14:textFill>
        </w:rPr>
      </w:pPr>
      <w:r/>
      <w:bookmarkStart w:id="83" w:name="_Hlk205571580"/>
      <w:r/>
      <w:bookmarkStart w:id="84" w:name="_Hlk205570318"/>
      <w:r/>
      <w:bookmarkStart w:id="85" w:name="_Hlk205572555"/>
      <w:r>
        <w:rPr>
          <w:color w:val="000000" w:themeColor="text1"/>
          <w:szCs w:val="24"/>
          <w14:textFill>
            <w14:solidFill>
              <w14:schemeClr w14:val="tx1"/>
            </w14:solidFill>
          </w14:textFill>
        </w:rPr>
        <w:t xml:space="preserve">i）我方承诺本公司及所提供货物的制造商，已取得并持续有效持有与所提供货物相关的所有必须的法定批准、准入、许可、认证、授权或资质证明等文件。本公司所提供的货物已取得并持续有效持有所有必须的法定批准、准入、许可、认证、授权或资质证明等文件。如本公司、制造商及所提供的货物未能满足前述要求而导致采购人遭受任何损失的，本公司承担全部责任，并接受投标（响应）无效的所有结果</w:t>
      </w:r>
      <w:bookmarkEnd w:id="83"/>
      <w:r>
        <w:rPr>
          <w:color w:val="000000" w:themeColor="text1"/>
          <w:szCs w:val="24"/>
          <w14:textFill>
            <w14:solidFill>
              <w14:schemeClr w14:val="tx1"/>
            </w14:solidFill>
          </w14:textFill>
        </w:rPr>
        <w:t xml:space="preserve">。</w:t>
      </w:r>
      <w:bookmarkEnd w:id="84"/>
      <w:r/>
      <w:r/>
    </w:p>
    <w:p>
      <w:pPr>
        <w:pStyle w:val="899"/>
        <w:ind w:firstLine="420"/>
      </w:pPr>
      <w:r/>
      <w:bookmarkEnd w:id="82"/>
      <w:r/>
      <w:bookmarkEnd w:id="85"/>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所有有关响应文件的函电，可按下列地址联系：</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联系人：            联系电话：                   电子邮箱：</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地址：                                           邮政编码：</w:t>
      </w:r>
      <w:r/>
    </w:p>
    <w:p>
      <w:pPr>
        <w:ind w:firstLine="6090"/>
        <w:jc w:val="right"/>
        <w:spacing w:line="360" w:lineRule="auto"/>
        <w:rPr>
          <w:szCs w:val="21"/>
          <w:highlight w:val="yellow"/>
        </w:rPr>
      </w:pPr>
      <w:r>
        <w:rPr>
          <w:szCs w:val="21"/>
          <w:highlight w:val="yellow"/>
        </w:rPr>
      </w:r>
      <w:r/>
    </w:p>
    <w:p>
      <w:pPr>
        <w:ind w:firstLine="6090"/>
        <w:jc w:val="right"/>
        <w:spacing w:line="360" w:lineRule="auto"/>
        <w:rPr>
          <w:szCs w:val="21"/>
        </w:rPr>
      </w:pPr>
      <w:r/>
      <w:bookmarkStart w:id="86" w:name="_Hlk159239564"/>
      <w:r>
        <w:rPr>
          <w:szCs w:val="21"/>
        </w:rPr>
        <w:t xml:space="preserve">单位名称</w:t>
      </w:r>
      <w:r>
        <w:rPr>
          <w:szCs w:val="21"/>
        </w:rPr>
        <w:t xml:space="preserve">：（加盖CA电子公章） </w:t>
      </w:r>
      <w:r/>
    </w:p>
    <w:p>
      <w:pPr>
        <w:ind w:firstLine="420"/>
        <w:jc w:val="right"/>
        <w:spacing w:line="400" w:lineRule="exact"/>
        <w:rPr>
          <w:color w:val="000000" w:themeColor="text1"/>
          <w:szCs w:val="24"/>
          <w14:textFill>
            <w14:solidFill>
              <w14:schemeClr w14:val="tx1"/>
            </w14:solidFill>
          </w14:textFill>
        </w:rPr>
      </w:pPr>
      <w:r>
        <w:rPr>
          <w:szCs w:val="21"/>
        </w:rPr>
        <w:t xml:space="preserve">日期：　　　　年　　  月　　  日</w:t>
      </w:r>
      <w:bookmarkEnd w:id="86"/>
      <w:r/>
      <w:r/>
    </w:p>
    <w:p>
      <w:pPr>
        <w:jc w:val="center"/>
        <w:spacing w:line="360"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br w:type="page" w:clear="all"/>
      </w:r>
      <w:r/>
    </w:p>
    <w:p>
      <w:pPr>
        <w:jc w:val="center"/>
        <w:spacing w:line="360" w:lineRule="auto"/>
        <w:rPr>
          <w:b/>
          <w:color w:val="000000" w:themeColor="text1"/>
          <w:sz w:val="32"/>
          <w:szCs w:val="32"/>
          <w:lang w:val="zh-CN"/>
          <w14:textFill>
            <w14:solidFill>
              <w14:schemeClr w14:val="tx1"/>
            </w14:solidFill>
          </w14:textFill>
        </w:rPr>
        <w:outlineLvl w:val="1"/>
      </w:pPr>
      <w:r/>
      <w:bookmarkStart w:id="87" w:name="_Hlk74244292"/>
      <w:r>
        <w:rPr>
          <w:b/>
          <w:color w:val="000000" w:themeColor="text1"/>
          <w:sz w:val="32"/>
          <w:szCs w:val="32"/>
          <w:lang w:val="zh-CN"/>
          <w14:textFill>
            <w14:solidFill>
              <w14:schemeClr w14:val="tx1"/>
            </w14:solidFill>
          </w14:textFill>
        </w:rPr>
        <w:t xml:space="preserve">法人授权委托书</w:t>
      </w:r>
      <w:r/>
    </w:p>
    <w:p>
      <w:pPr>
        <w:pStyle w:val="889"/>
        <w:ind w:firstLine="0"/>
        <w:jc w:val="center"/>
        <w:rPr>
          <w:rFonts w:eastAsia="宋体"/>
          <w:color w:val="000000" w:themeColor="text1"/>
          <w:sz w:val="21"/>
          <w:szCs w:val="21"/>
          <w14:textFill>
            <w14:solidFill>
              <w14:schemeClr w14:val="tx1"/>
            </w14:solidFill>
          </w14:textFill>
        </w:rPr>
      </w:pPr>
      <w:r>
        <w:rPr>
          <w:rFonts w:eastAsia="宋体"/>
          <w:color w:val="000000" w:themeColor="text1"/>
          <w:sz w:val="21"/>
          <w:szCs w:val="21"/>
          <w14:textFill>
            <w14:solidFill>
              <w14:schemeClr w14:val="tx1"/>
            </w14:solidFill>
          </w14:textFill>
        </w:rPr>
      </w:r>
      <w:r/>
    </w:p>
    <w:p>
      <w:pPr>
        <w:pStyle w:val="889"/>
        <w:ind w:firstLine="0"/>
        <w:jc w:val="center"/>
        <w:rPr>
          <w:rFonts w:eastAsia="宋体"/>
          <w:color w:val="000000" w:themeColor="text1"/>
          <w:sz w:val="21"/>
          <w:szCs w:val="21"/>
          <w14:textFill>
            <w14:solidFill>
              <w14:schemeClr w14:val="tx1"/>
            </w14:solidFill>
          </w14:textFill>
        </w:rPr>
      </w:pPr>
      <w:r>
        <w:rPr>
          <w:rFonts w:eastAsia="宋体"/>
          <w:color w:val="000000" w:themeColor="text1"/>
          <w:sz w:val="21"/>
          <w:szCs w:val="21"/>
          <w14:textFill>
            <w14:solidFill>
              <w14:schemeClr w14:val="tx1"/>
            </w14:solidFill>
          </w14:textFill>
        </w:rPr>
      </w:r>
      <w:r/>
    </w:p>
    <w:p>
      <w:pPr>
        <w:ind w:firstLine="422"/>
        <w:jc w:val="center"/>
        <w:spacing w:line="360" w:lineRule="auto"/>
        <w:rPr>
          <w:b/>
          <w:szCs w:val="21"/>
          <w:lang w:val="zh-CN"/>
        </w:rPr>
      </w:pPr>
      <w:r>
        <w:rPr>
          <w:b/>
          <w:szCs w:val="21"/>
          <w:lang w:val="zh-CN"/>
        </w:rPr>
        <w:t xml:space="preserve">法人授权委托书</w:t>
      </w:r>
      <w:r/>
    </w:p>
    <w:p>
      <w:pPr>
        <w:pStyle w:val="889"/>
        <w:jc w:val="center"/>
        <w:spacing w:line="360" w:lineRule="auto"/>
        <w:rPr>
          <w:rFonts w:eastAsia="宋体"/>
          <w:sz w:val="21"/>
          <w:szCs w:val="21"/>
        </w:rPr>
      </w:pPr>
      <w:r>
        <w:rPr>
          <w:rFonts w:eastAsia="宋体"/>
          <w:sz w:val="21"/>
          <w:szCs w:val="21"/>
        </w:rPr>
      </w:r>
      <w:r/>
    </w:p>
    <w:p>
      <w:pPr>
        <w:ind w:firstLine="420"/>
        <w:spacing w:line="360" w:lineRule="auto"/>
        <w:rPr>
          <w:szCs w:val="21"/>
        </w:rPr>
      </w:pPr>
      <w:r>
        <w:rPr>
          <w:szCs w:val="21"/>
        </w:rPr>
        <w:t xml:space="preserve">本授权书声明： </w:t>
      </w:r>
      <w:r>
        <w:rPr>
          <w:szCs w:val="21"/>
          <w:u w:val="single"/>
        </w:rPr>
        <w:t xml:space="preserve">  （供应商名称）   </w:t>
      </w:r>
      <w:r>
        <w:rPr>
          <w:szCs w:val="21"/>
        </w:rPr>
        <w:t xml:space="preserve">授权 </w:t>
      </w:r>
      <w:r>
        <w:rPr>
          <w:szCs w:val="21"/>
          <w:u w:val="single"/>
        </w:rPr>
        <w:t xml:space="preserve"> （被授权人的姓名）_  </w:t>
      </w:r>
      <w:r>
        <w:rPr>
          <w:szCs w:val="21"/>
        </w:rPr>
        <w:t xml:space="preserve">为我方授权代表（即代理人），参加</w:t>
      </w:r>
      <w:r>
        <w:rPr>
          <w:szCs w:val="21"/>
          <w:u w:val="single"/>
        </w:rPr>
        <w:t xml:space="preserve">苏州工业园区集中采购中心</w:t>
      </w:r>
      <w:r>
        <w:rPr>
          <w:szCs w:val="21"/>
        </w:rPr>
        <w:t xml:space="preserve">组织实施的编号为</w:t>
      </w:r>
      <w:r>
        <w:rPr>
          <w:szCs w:val="21"/>
          <w:u w:val="single"/>
        </w:rPr>
        <w:t xml:space="preserve">   （采购编号）   </w:t>
      </w:r>
      <w:r>
        <w:rPr>
          <w:szCs w:val="21"/>
        </w:rPr>
        <w:t xml:space="preserve">的竞争性谈判采购。代理人在本次谈判活动过程、合同签订及处理有关事宜所作出的全部意思表示（包括签署的全部文件），我司均予以承认并由我司承担相应法律后果。</w:t>
      </w:r>
      <w:r/>
    </w:p>
    <w:p>
      <w:pPr>
        <w:ind w:firstLine="420"/>
        <w:spacing w:line="360" w:lineRule="auto"/>
        <w:rPr>
          <w:szCs w:val="21"/>
        </w:rPr>
      </w:pPr>
      <w:r>
        <w:rPr>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szCs w:val="21"/>
        </w:rPr>
      </w:pPr>
      <w:r>
        <w:rPr>
          <w:szCs w:val="21"/>
        </w:rPr>
        <w:t xml:space="preserve">本授权委托书有效期自委托书作出之日起至本项目合同履行完毕之日止。</w:t>
      </w:r>
      <w:r/>
    </w:p>
    <w:p>
      <w:pPr>
        <w:ind w:firstLine="420"/>
        <w:spacing w:line="360" w:lineRule="auto"/>
        <w:rPr>
          <w:szCs w:val="21"/>
        </w:rPr>
      </w:pPr>
      <w:r>
        <w:rPr>
          <w:szCs w:val="21"/>
        </w:rPr>
        <w:t xml:space="preserve">代理人无转委托权。</w:t>
      </w:r>
      <w:r/>
    </w:p>
    <w:p>
      <w:pPr>
        <w:ind w:firstLine="420"/>
        <w:spacing w:line="360" w:lineRule="auto"/>
        <w:rPr>
          <w:szCs w:val="21"/>
        </w:rPr>
      </w:pPr>
      <w:r>
        <w:rPr>
          <w:szCs w:val="21"/>
        </w:rPr>
        <w:t xml:space="preserve">被授权人身份证号码： </w:t>
      </w:r>
      <w:r>
        <w:rPr>
          <w:szCs w:val="21"/>
          <w:u w:val="single"/>
        </w:rPr>
        <w:t xml:space="preserve">                        </w:t>
      </w:r>
      <w:r>
        <w:rPr>
          <w:szCs w:val="21"/>
        </w:rPr>
        <w:t xml:space="preserve">。    </w:t>
      </w:r>
      <w:r/>
    </w:p>
    <w:p>
      <w:pPr>
        <w:ind w:firstLine="420"/>
        <w:spacing w:line="360" w:lineRule="auto"/>
        <w:rPr>
          <w:szCs w:val="21"/>
        </w:rPr>
      </w:pPr>
      <w:r>
        <w:rPr>
          <w:szCs w:val="21"/>
        </w:rPr>
        <w:t xml:space="preserve">被授权人联系电话：</w:t>
      </w:r>
      <w:r>
        <w:rPr>
          <w:szCs w:val="21"/>
          <w:u w:val="single"/>
        </w:rPr>
        <w:t xml:space="preserve">（手机）                </w:t>
      </w:r>
      <w:r>
        <w:rPr>
          <w:szCs w:val="21"/>
        </w:rPr>
        <w:t xml:space="preserve">。          </w:t>
      </w:r>
      <w:r/>
    </w:p>
    <w:p>
      <w:pPr>
        <w:ind w:firstLine="420"/>
        <w:spacing w:line="360" w:lineRule="auto"/>
        <w:rPr>
          <w:szCs w:val="21"/>
        </w:rPr>
      </w:pPr>
      <w:r>
        <w:rPr>
          <w:szCs w:val="21"/>
        </w:rPr>
      </w:r>
      <w:r/>
    </w:p>
    <w:p>
      <w:pPr>
        <w:ind w:right="630" w:firstLine="6090"/>
        <w:jc w:val="right"/>
        <w:spacing w:line="360" w:lineRule="auto"/>
        <w:rPr>
          <w:szCs w:val="21"/>
        </w:rPr>
      </w:pPr>
      <w:r>
        <w:rPr>
          <w:szCs w:val="21"/>
        </w:rPr>
        <w:t xml:space="preserve">单位名称</w:t>
      </w:r>
      <w:r>
        <w:rPr>
          <w:szCs w:val="21"/>
        </w:rPr>
        <w:t xml:space="preserve">：（加盖CA电子公章） </w:t>
      </w:r>
      <w:r/>
    </w:p>
    <w:p>
      <w:pPr>
        <w:ind w:right="630" w:firstLine="480"/>
        <w:jc w:val="right"/>
        <w:spacing w:line="360" w:lineRule="auto"/>
        <w:rPr>
          <w:szCs w:val="21"/>
        </w:rPr>
      </w:pPr>
      <w:r>
        <w:rPr>
          <w:szCs w:val="21"/>
        </w:rPr>
        <w:t xml:space="preserve">日期：　　　　年　　  月　　  日</w:t>
      </w:r>
      <w:r/>
    </w:p>
    <w:p>
      <w:pPr>
        <w:ind w:right="630" w:firstLine="480"/>
        <w:jc w:val="left"/>
        <w:spacing w:line="360" w:lineRule="auto"/>
        <w:rPr>
          <w:szCs w:val="21"/>
        </w:rPr>
      </w:pPr>
      <w:r>
        <w:rPr>
          <w:szCs w:val="21"/>
        </w:rPr>
      </w:r>
      <w:r/>
    </w:p>
    <w:p>
      <w:pPr>
        <w:ind w:firstLine="425"/>
        <w:jc w:val="left"/>
        <w:spacing w:line="360" w:lineRule="auto"/>
        <w:rPr>
          <w:szCs w:val="21"/>
        </w:rPr>
      </w:pPr>
      <w:r>
        <w:rPr>
          <w:szCs w:val="21"/>
        </w:rPr>
        <w:t xml:space="preserve">后附：代理人身份证扫描件</w:t>
      </w:r>
      <w:r/>
    </w:p>
    <w:p>
      <w:pPr>
        <w:pStyle w:val="941"/>
        <w:ind w:firstLine="420"/>
        <w:rPr>
          <w:rFonts w:ascii="Times New Roman"/>
        </w:rPr>
      </w:pPr>
      <w:r>
        <w:rPr>
          <w:rFonts w:ascii="Times New Roman"/>
        </w:rPr>
      </w:r>
      <w:r/>
    </w:p>
    <w:p>
      <w:r/>
      <w:r/>
    </w:p>
    <w:p>
      <w:pPr>
        <w:pStyle w:val="941"/>
        <w:ind w:firstLine="420"/>
        <w:rPr>
          <w:rFonts w:ascii="Times New Roman"/>
        </w:rPr>
      </w:pPr>
      <w:r>
        <w:rPr>
          <w:rFonts w:ascii="Times New Roman"/>
        </w:rPr>
      </w:r>
      <w:r/>
    </w:p>
    <w:p>
      <w:pPr>
        <w:jc w:val="left"/>
        <w:widowControl/>
        <w:rPr>
          <w:b/>
          <w:szCs w:val="21"/>
        </w:rPr>
      </w:pPr>
      <w:r>
        <w:rPr>
          <w:b/>
          <w:szCs w:val="21"/>
        </w:rPr>
        <w:t xml:space="preserve">备注：供应商如有授权委托，必须提供该法人授权委托书及代理人身份证，否则响应无效；</w:t>
      </w:r>
      <w:r/>
    </w:p>
    <w:p>
      <w:r>
        <w:rPr>
          <w:b/>
          <w:szCs w:val="21"/>
        </w:rPr>
        <w:t xml:space="preserve">      供应商无授权委托的情况下，必须提供法定代表人身份证，否则响应无效。</w:t>
      </w:r>
      <w:r/>
    </w:p>
    <w:p>
      <w:pPr>
        <w:ind w:firstLine="425"/>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425"/>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jc w:val="center"/>
        <w:spacing w:line="360" w:lineRule="auto"/>
        <w:rPr>
          <w:b/>
          <w:color w:val="000000" w:themeColor="text1"/>
          <w:sz w:val="32"/>
          <w:szCs w:val="32"/>
          <w:lang w:val="zh-CN"/>
          <w14:textFill>
            <w14:solidFill>
              <w14:schemeClr w14:val="tx1"/>
            </w14:solidFill>
          </w14:textFill>
        </w:rPr>
        <w:outlineLvl w:val="1"/>
      </w:pPr>
      <w:r>
        <w:rPr>
          <w:b/>
          <w:color w:val="000000" w:themeColor="text1"/>
          <w:sz w:val="32"/>
          <w:szCs w:val="32"/>
          <w:lang w:val="zh-CN"/>
          <w14:textFill>
            <w14:solidFill>
              <w14:schemeClr w14:val="tx1"/>
            </w14:solidFill>
          </w14:textFill>
        </w:rPr>
        <w:br w:type="page" w:clear="all"/>
      </w:r>
      <w:bookmarkEnd w:id="87"/>
      <w:r>
        <w:rPr>
          <w:b/>
          <w:color w:val="000000" w:themeColor="text1"/>
          <w:sz w:val="32"/>
          <w:szCs w:val="32"/>
          <w:lang w:val="zh-CN"/>
          <w14:textFill>
            <w14:solidFill>
              <w14:schemeClr w14:val="tx1"/>
            </w14:solidFill>
          </w14:textFill>
        </w:rPr>
        <w:t xml:space="preserve">谈判响应报价表</w:t>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项目名称：</w:t>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项目编号：</w:t>
      </w:r>
      <w:r/>
    </w:p>
    <w:tbl>
      <w:tblPr>
        <w:tblStyle w:val="888"/>
        <w:tblW w:w="1024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2"/>
        <w:gridCol w:w="998"/>
        <w:gridCol w:w="1696"/>
        <w:gridCol w:w="1276"/>
        <w:gridCol w:w="1984"/>
        <w:gridCol w:w="851"/>
        <w:gridCol w:w="850"/>
        <w:gridCol w:w="930"/>
        <w:gridCol w:w="992"/>
      </w:tblGrid>
      <w:tr>
        <w:trPr>
          <w:jc w:val="center"/>
          <w:trHeight w:val="423"/>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标的物名称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制造商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总价</w:t>
            </w:r>
            <w:r/>
          </w:p>
        </w:tc>
      </w:tr>
      <w:tr>
        <w:trPr>
          <w:jc w:val="center"/>
          <w:trHeight w:val="361"/>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454"/>
        </w:trPr>
        <w:tc>
          <w:tcPr>
            <w:gridSpan w:val="9"/>
            <w:tcBorders>
              <w:top w:val="single" w:color="auto" w:sz="4" w:space="0"/>
              <w:left w:val="single" w:color="auto" w:sz="4" w:space="0"/>
              <w:bottom w:val="single" w:color="auto" w:sz="4" w:space="0"/>
              <w:right w:val="single" w:color="auto" w:sz="4" w:space="0"/>
            </w:tcBorders>
            <w:tcW w:w="10249" w:type="dxa"/>
            <w:textDirection w:val="lrTb"/>
            <w:noWrap w:val="false"/>
          </w:tcPr>
          <w:p>
            <w:pP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谈判响应总报价（人民币大写）：</w:t>
            </w:r>
            <w:r>
              <w:rPr>
                <w:rFonts w:hint="eastAsia"/>
                <w:color w:val="000000" w:themeColor="text1"/>
                <w:spacing w:val="20"/>
                <w:szCs w:val="24"/>
                <w:lang w:val="en-US" w:eastAsia="zh-CN"/>
                <w14:textFill>
                  <w14:solidFill>
                    <w14:schemeClr w14:val="tx1"/>
                  </w14:solidFill>
                </w14:textFill>
              </w:rPr>
              <w:t xml:space="preserve">¥</w:t>
            </w:r>
            <w:r>
              <w:rPr>
                <w:color w:val="000000" w:themeColor="text1"/>
                <w:spacing w:val="20"/>
                <w:szCs w:val="24"/>
                <w14:textFill>
                  <w14:solidFill>
                    <w14:schemeClr w14:val="tx1"/>
                  </w14:solidFill>
                </w14:textFill>
              </w:rPr>
              <w:t xml:space="preserve">：</w:t>
            </w:r>
            <w:r/>
          </w:p>
        </w:tc>
      </w:tr>
      <w:tr>
        <w:trPr>
          <w:jc w:val="center"/>
          <w:trHeight w:val="454"/>
        </w:trPr>
        <w:tc>
          <w:tcPr>
            <w:gridSpan w:val="9"/>
            <w:tcBorders>
              <w:top w:val="single" w:color="auto" w:sz="4" w:space="0"/>
              <w:left w:val="single" w:color="auto" w:sz="4" w:space="0"/>
              <w:bottom w:val="single" w:color="auto" w:sz="4" w:space="0"/>
              <w:right w:val="single" w:color="auto" w:sz="4" w:space="0"/>
            </w:tcBorders>
            <w:tcW w:w="10249" w:type="dxa"/>
            <w:textDirection w:val="lrTb"/>
            <w:noWrap w:val="false"/>
          </w:tcPr>
          <w:p>
            <w:pPr>
              <w:rPr>
                <w:rFonts w:hint="eastAsia" w:eastAsia="宋体"/>
                <w:color w:val="ff0000"/>
                <w:spacing w:val="20"/>
                <w:szCs w:val="24"/>
                <w:lang w:eastAsia="zh-CN"/>
              </w:rPr>
            </w:pPr>
            <w:r>
              <w:rPr>
                <w:rFonts w:hint="eastAsia"/>
                <w:color w:val="ff0000"/>
                <w:spacing w:val="20"/>
                <w:szCs w:val="24"/>
                <w:lang w:eastAsia="zh-CN"/>
              </w:rPr>
              <w:t xml:space="preserve">☑</w:t>
            </w:r>
            <w:r>
              <w:rPr>
                <w:color w:val="ff0000"/>
                <w:spacing w:val="20"/>
                <w:szCs w:val="24"/>
              </w:rPr>
              <w:t xml:space="preserve">本</w:t>
            </w:r>
            <w:r>
              <w:rPr>
                <w:rFonts w:hint="eastAsia"/>
                <w:color w:val="ff0000"/>
                <w:spacing w:val="20"/>
                <w:szCs w:val="24"/>
                <w:lang w:eastAsia="zh-CN"/>
              </w:rPr>
              <w:t xml:space="preserve">采购包为</w:t>
            </w:r>
            <w:r>
              <w:rPr>
                <w:rFonts w:hint="eastAsia"/>
                <w:color w:val="ff0000"/>
                <w:spacing w:val="20"/>
                <w:szCs w:val="24"/>
                <w:u w:val="none"/>
                <w:lang w:eastAsia="zh-CN"/>
              </w:rPr>
              <w:t xml:space="preserve">单一产品采购</w:t>
            </w:r>
            <w:r/>
          </w:p>
          <w:p>
            <w:pPr>
              <w:rPr>
                <w:color w:val="000000" w:themeColor="text1"/>
                <w:spacing w:val="20"/>
                <w:szCs w:val="24"/>
                <w14:textFill>
                  <w14:solidFill>
                    <w14:schemeClr w14:val="tx1"/>
                  </w14:solidFill>
                </w14:textFill>
              </w:rPr>
            </w:pPr>
            <w:r>
              <w:rPr>
                <w:rFonts w:hint="eastAsia"/>
                <w:color w:val="ff0000"/>
                <w:spacing w:val="20"/>
                <w:szCs w:val="24"/>
                <w:lang w:eastAsia="zh-CN"/>
              </w:rPr>
              <w:t xml:space="preserve">□本采购包中含有多种产品，</w:t>
            </w:r>
            <w:r>
              <w:rPr>
                <w:color w:val="ff0000"/>
                <w:spacing w:val="20"/>
                <w:szCs w:val="24"/>
              </w:rPr>
              <w:t xml:space="preserve">本采购包中提供的符合本国产品标准的产品成本之和占该采购包提供的全部产品成本之和的比例为***%。</w:t>
            </w:r>
            <w:r/>
          </w:p>
        </w:tc>
      </w:tr>
    </w:tbl>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905"/>
        <w:spacing w:line="400" w:lineRule="exac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说明：</w:t>
      </w:r>
      <w:r/>
    </w:p>
    <w:p>
      <w:pPr>
        <w:pStyle w:val="905"/>
        <w:spacing w:line="400" w:lineRule="exac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1、上述报价包含一切由供方承担的费用，各响应单位可参照上述格式自制《谈判响应报价表》参加谈判。</w:t>
      </w:r>
      <w:r/>
    </w:p>
    <w:p>
      <w:pPr>
        <w:pStyle w:val="905"/>
        <w:spacing w:line="400" w:lineRule="exact"/>
        <w:rPr>
          <w:rFonts w:ascii="Times New Roman" w:hAnsi="Times New Roman" w:eastAsia="宋体"/>
          <w:b/>
          <w:color w:val="000000" w:themeColor="text1"/>
          <w:sz w:val="21"/>
          <w:szCs w:val="21"/>
          <w14:textFill>
            <w14:solidFill>
              <w14:schemeClr w14:val="tx1"/>
            </w14:solidFill>
          </w14:textFill>
        </w:rPr>
      </w:pPr>
      <w:r>
        <w:rPr>
          <w:rFonts w:ascii="Times New Roman" w:hAnsi="Times New Roman" w:eastAsia="宋体"/>
          <w:b/>
          <w:color w:val="000000" w:themeColor="text1"/>
          <w:sz w:val="21"/>
          <w:szCs w:val="21"/>
          <w14:textFill>
            <w14:solidFill>
              <w14:schemeClr w14:val="tx1"/>
            </w14:solidFill>
          </w14:textFill>
        </w:rPr>
        <w:t xml:space="preserve">2、响应总报价超采购预算，或各标的物单价超该项预算单价的（针对采购文件标明预算单价的），响应无效。</w:t>
      </w:r>
      <w:r/>
    </w:p>
    <w:p>
      <w:pPr>
        <w:pStyle w:val="905"/>
        <w:spacing w:line="400" w:lineRule="exact"/>
        <w:rPr>
          <w:rFonts w:ascii="Times New Roman" w:hAnsi="Times New Roman" w:eastAsia="宋体"/>
          <w:b/>
          <w:color w:val="000000" w:themeColor="text1"/>
          <w:sz w:val="21"/>
          <w:szCs w:val="21"/>
          <w14:textFill>
            <w14:solidFill>
              <w14:schemeClr w14:val="tx1"/>
            </w14:solidFill>
          </w14:textFill>
        </w:rPr>
      </w:pPr>
      <w:r>
        <w:rPr>
          <w:rFonts w:hint="eastAsia" w:ascii="Times New Roman" w:hAnsi="Times New Roman" w:eastAsia="宋体"/>
          <w:b/>
          <w:color w:val="000000" w:themeColor="text1"/>
          <w:sz w:val="21"/>
          <w:szCs w:val="21"/>
          <w14:textFill>
            <w14:solidFill>
              <w14:schemeClr w14:val="tx1"/>
            </w14:solidFill>
          </w14:textFill>
        </w:rPr>
        <w:t xml:space="preserve">3、</w:t>
      </w:r>
      <w:r>
        <w:rPr>
          <w:rFonts w:ascii="Times New Roman" w:hAnsi="Times New Roman" w:eastAsia="宋体"/>
          <w:b/>
          <w:color w:val="000000" w:themeColor="text1"/>
          <w:sz w:val="21"/>
          <w:szCs w:val="21"/>
          <w14:textFill>
            <w14:solidFill>
              <w14:schemeClr w14:val="tx1"/>
            </w14:solidFill>
          </w14:textFill>
        </w:rPr>
        <w:t xml:space="preserve">供应商在“谈判响应报价表”中必须列明</w:t>
      </w:r>
      <w:r>
        <w:rPr>
          <w:rFonts w:hint="eastAsia" w:ascii="Times New Roman" w:hAnsi="Times New Roman" w:eastAsia="宋体"/>
          <w:b/>
          <w:color w:val="000000" w:themeColor="text1"/>
          <w:sz w:val="21"/>
          <w:szCs w:val="21"/>
          <w:lang w:val="en-US" w:eastAsia="zh-CN"/>
          <w14:textFill>
            <w14:solidFill>
              <w14:schemeClr w14:val="tx1"/>
            </w14:solidFill>
          </w14:textFill>
        </w:rPr>
        <w:t xml:space="preserve">响应</w:t>
      </w:r>
      <w:r>
        <w:rPr>
          <w:rFonts w:ascii="Times New Roman" w:hAnsi="Times New Roman" w:eastAsia="宋体"/>
          <w:b/>
          <w:color w:val="000000" w:themeColor="text1"/>
          <w:sz w:val="21"/>
          <w:szCs w:val="21"/>
          <w14:textFill>
            <w14:solidFill>
              <w14:schemeClr w14:val="tx1"/>
            </w14:solidFill>
          </w14:textFill>
        </w:rPr>
        <w:t xml:space="preserve">产品的规格/型号、品牌、制造商和数量，且数量需满足采购需求，否则</w:t>
      </w:r>
      <w:r>
        <w:rPr>
          <w:rFonts w:hint="eastAsia" w:ascii="Times New Roman" w:hAnsi="Times New Roman" w:eastAsia="宋体"/>
          <w:b/>
          <w:color w:val="000000" w:themeColor="text1"/>
          <w:sz w:val="21"/>
          <w:szCs w:val="21"/>
          <w:lang w:val="en-US" w:eastAsia="zh-CN"/>
          <w14:textFill>
            <w14:solidFill>
              <w14:schemeClr w14:val="tx1"/>
            </w14:solidFill>
          </w14:textFill>
        </w:rPr>
        <w:t xml:space="preserve">响应</w:t>
      </w:r>
      <w:r>
        <w:rPr>
          <w:rFonts w:ascii="Times New Roman" w:hAnsi="Times New Roman" w:eastAsia="宋体"/>
          <w:b/>
          <w:color w:val="000000" w:themeColor="text1"/>
          <w:sz w:val="21"/>
          <w:szCs w:val="21"/>
          <w14:textFill>
            <w14:solidFill>
              <w14:schemeClr w14:val="tx1"/>
            </w14:solidFill>
          </w14:textFill>
        </w:rPr>
        <w:t xml:space="preserve">无效。</w:t>
      </w:r>
      <w:r/>
    </w:p>
    <w:p>
      <w:pPr>
        <w:pStyle w:val="905"/>
        <w:spacing w:line="400" w:lineRule="exact"/>
        <w:rPr>
          <w:rFonts w:ascii="Times New Roman" w:hAnsi="Times New Roman" w:eastAsia="宋体"/>
          <w:b/>
          <w:color w:val="ff0000"/>
          <w:sz w:val="21"/>
          <w:szCs w:val="21"/>
          <w:highlight w:val="none"/>
        </w:rPr>
      </w:pPr>
      <w:r>
        <w:rPr>
          <w:rFonts w:hint="eastAsia" w:ascii="Times New Roman" w:hAnsi="Times New Roman" w:eastAsia="宋体"/>
          <w:color w:val="ff0000"/>
          <w:sz w:val="21"/>
          <w:szCs w:val="21"/>
          <w:highlight w:val="none"/>
          <w:lang w:val="en-US" w:eastAsia="zh-CN"/>
        </w:rPr>
        <w:t xml:space="preserve">4、</w:t>
      </w:r>
      <w:r>
        <w:rPr>
          <w:rFonts w:hint="eastAsia" w:ascii="Times New Roman" w:hAnsi="Times New Roman" w:eastAsia="宋体"/>
          <w:color w:val="ff0000"/>
          <w:sz w:val="21"/>
          <w:szCs w:val="21"/>
          <w:highlight w:val="none"/>
          <w:lang w:eastAsia="zh-CN"/>
        </w:rPr>
        <w:t xml:space="preserve">如</w:t>
      </w:r>
      <w:r>
        <w:rPr>
          <w:rFonts w:ascii="Times New Roman" w:hAnsi="Times New Roman" w:eastAsia="宋体"/>
          <w:color w:val="ff0000"/>
          <w:sz w:val="21"/>
          <w:szCs w:val="21"/>
          <w:highlight w:val="none"/>
        </w:rPr>
        <w:t xml:space="preserve">采购包中含有多种产品时，供应商未填写本采购包中提供的符合本国产品标准的产品成本之和占该采购包提供的全部产品成本之和的比例数值的，或比例数值未达到80%的，</w:t>
      </w:r>
      <w:r>
        <w:rPr>
          <w:rFonts w:ascii="Times New Roman" w:hAnsi="Times New Roman" w:eastAsia="宋体"/>
          <w:b/>
          <w:color w:val="ff0000"/>
          <w:sz w:val="21"/>
          <w:szCs w:val="21"/>
          <w:highlight w:val="none"/>
        </w:rPr>
        <w:t xml:space="preserve">将不享受本国产品价格评审优惠。</w:t>
      </w:r>
      <w:r/>
    </w:p>
    <w:p>
      <w:pPr>
        <w:pStyle w:val="905"/>
        <w:spacing w:line="400" w:lineRule="exact"/>
        <w:rPr>
          <w:rFonts w:ascii="Times New Roman" w:hAnsi="Times New Roman" w:eastAsia="宋体"/>
          <w:b/>
          <w:color w:val="000000" w:themeColor="text1"/>
          <w:sz w:val="21"/>
          <w:szCs w:val="21"/>
          <w14:textFill>
            <w14:solidFill>
              <w14:schemeClr w14:val="tx1"/>
            </w14:solidFill>
          </w14:textFill>
        </w:rPr>
      </w:pPr>
      <w:r>
        <w:rPr>
          <w:rFonts w:ascii="Times New Roman" w:hAnsi="Times New Roman" w:eastAsia="宋体"/>
          <w:b/>
          <w:color w:val="000000" w:themeColor="text1"/>
          <w:sz w:val="21"/>
          <w:szCs w:val="21"/>
          <w14:textFill>
            <w14:solidFill>
              <w14:schemeClr w14:val="tx1"/>
            </w14:solidFill>
          </w14:textFill>
        </w:rPr>
      </w:r>
      <w:r/>
    </w:p>
    <w:p>
      <w:pPr>
        <w:ind w:firstLine="420"/>
        <w:jc w:val="right"/>
        <w:spacing w:line="50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889"/>
        <w:ind w:firstLine="0"/>
        <w:spacing w:line="360" w:lineRule="auto"/>
        <w:rPr>
          <w:rFonts w:eastAsia="宋体"/>
          <w:b/>
          <w:color w:val="000000" w:themeColor="text1"/>
          <w:sz w:val="32"/>
          <w:szCs w:val="32"/>
          <w:lang w:val="zh-CN"/>
          <w14:textFill>
            <w14:solidFill>
              <w14:schemeClr w14:val="tx1"/>
            </w14:solidFill>
          </w14:textFill>
        </w:rPr>
      </w:pPr>
      <w:r>
        <w:rPr>
          <w:rFonts w:eastAsia="宋体"/>
          <w:b/>
          <w:color w:val="000000" w:themeColor="text1"/>
          <w:sz w:val="32"/>
          <w:szCs w:val="32"/>
          <w:lang w:val="zh-CN"/>
          <w14:textFill>
            <w14:solidFill>
              <w14:schemeClr w14:val="tx1"/>
            </w14:solidFill>
          </w14:textFill>
        </w:rPr>
      </w:r>
      <w:r/>
    </w:p>
    <w:p>
      <w:pPr>
        <w:rPr>
          <w:b/>
          <w:color w:val="000000" w:themeColor="text1"/>
          <w:sz w:val="24"/>
          <w:szCs w:val="20"/>
          <w14:textFill>
            <w14:solidFill>
              <w14:schemeClr w14:val="tx1"/>
            </w14:solidFill>
          </w14:textFill>
        </w:rPr>
      </w:pPr>
      <w:r>
        <w:rPr>
          <w:b/>
          <w:color w:val="000000" w:themeColor="text1"/>
          <w:sz w:val="24"/>
          <w:szCs w:val="20"/>
          <w14:textFill>
            <w14:solidFill>
              <w14:schemeClr w14:val="tx1"/>
            </w14:solidFill>
          </w14:textFill>
        </w:rPr>
      </w:r>
      <w:r/>
    </w:p>
    <w:p>
      <w:pPr>
        <w:pStyle w:val="889"/>
        <w:ind w:firstLine="0"/>
        <w:jc w:val="center"/>
        <w:spacing w:line="360" w:lineRule="auto"/>
        <w:rPr>
          <w:rFonts w:eastAsia="宋体"/>
          <w:b/>
          <w:color w:val="000000" w:themeColor="text1"/>
          <w:sz w:val="32"/>
          <w:szCs w:val="32"/>
          <w14:textFill>
            <w14:solidFill>
              <w14:schemeClr w14:val="tx1"/>
            </w14:solidFill>
          </w14:textFill>
        </w:rPr>
      </w:pPr>
      <w:r>
        <w:rPr>
          <w:rFonts w:eastAsia="宋体"/>
          <w:b/>
          <w:color w:val="000000" w:themeColor="text1"/>
          <w:sz w:val="32"/>
          <w:szCs w:val="32"/>
          <w14:textFill>
            <w14:solidFill>
              <w14:schemeClr w14:val="tx1"/>
            </w14:solidFill>
          </w14:textFill>
        </w:rPr>
      </w:r>
      <w:r/>
    </w:p>
    <w:p>
      <w:pPr>
        <w:rPr>
          <w:b/>
          <w:color w:val="000000" w:themeColor="text1"/>
          <w:sz w:val="24"/>
          <w:szCs w:val="20"/>
          <w14:textFill>
            <w14:solidFill>
              <w14:schemeClr w14:val="tx1"/>
            </w14:solidFill>
          </w14:textFill>
        </w:rPr>
      </w:pPr>
      <w:r>
        <w:rPr>
          <w:b/>
          <w:color w:val="000000" w:themeColor="text1"/>
          <w:sz w:val="24"/>
          <w:szCs w:val="20"/>
          <w14:textFill>
            <w14:solidFill>
              <w14:schemeClr w14:val="tx1"/>
            </w14:solidFill>
          </w14:textFill>
        </w:rPr>
        <w:br w:type="page" w:clear="all"/>
      </w:r>
      <w:r/>
    </w:p>
    <w:p>
      <w:pPr>
        <w:jc w:val="center"/>
        <w:spacing w:line="360" w:lineRule="auto"/>
        <w:rPr>
          <w:color w:val="000000" w:themeColor="text1"/>
          <w:sz w:val="24"/>
          <w:szCs w:val="20"/>
          <w14:textFill>
            <w14:solidFill>
              <w14:schemeClr w14:val="tx1"/>
            </w14:solidFill>
          </w14:textFill>
        </w:rPr>
        <w:outlineLvl w:val="1"/>
      </w:pPr>
      <w:r>
        <w:rPr>
          <w:b/>
          <w:color w:val="000000" w:themeColor="text1"/>
          <w:sz w:val="24"/>
          <w:szCs w:val="20"/>
          <w14:textFill>
            <w14:solidFill>
              <w14:schemeClr w14:val="tx1"/>
            </w14:solidFill>
          </w14:textFill>
        </w:rPr>
        <w:t xml:space="preserve">参加政府采购活动前三年内，在经营活动中没有重大违法记录声明</w:t>
      </w:r>
      <w:r/>
    </w:p>
    <w:p>
      <w:pPr>
        <w:spacing w:line="360" w:lineRule="auto"/>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致</w:t>
      </w:r>
      <w:r>
        <w:rPr>
          <w:color w:val="000000" w:themeColor="text1"/>
          <w14:textFill>
            <w14:solidFill>
              <w14:schemeClr w14:val="tx1"/>
            </w14:solidFill>
          </w14:textFill>
        </w:rPr>
        <w:t xml:space="preserve">苏州工业园区集中采购中心</w:t>
      </w:r>
      <w:r>
        <w:rPr>
          <w:color w:val="000000" w:themeColor="text1"/>
          <w:szCs w:val="21"/>
          <w14:textFill>
            <w14:solidFill>
              <w14:schemeClr w14:val="tx1"/>
            </w14:solidFill>
          </w14:textFill>
        </w:rPr>
        <w:t xml:space="preserve">：</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我单位</w:t>
      </w:r>
      <w:r>
        <w:rPr>
          <w:color w:val="000000" w:themeColor="text1"/>
          <w:szCs w:val="21"/>
          <w:u w:val="single"/>
          <w14:textFill>
            <w14:solidFill>
              <w14:schemeClr w14:val="tx1"/>
            </w14:solidFill>
          </w14:textFill>
        </w:rPr>
        <w:t xml:space="preserve">（供应商名称）</w:t>
      </w:r>
      <w:r>
        <w:rPr>
          <w:color w:val="000000" w:themeColor="text1"/>
          <w:szCs w:val="21"/>
          <w14:textFill>
            <w14:solidFill>
              <w14:schemeClr w14:val="tx1"/>
            </w14:solidFill>
          </w14:textFill>
        </w:rPr>
        <w:t xml:space="preserve">在参加政府采购活动前三年内，没有重大违法记录，特此声明。</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若采购代理机构在本项目采购过程中发现我单位近三年内在经营活动中有重大违法记录，我单位将无条件退出本项目的谈判，并承担因此引起的一切后果。</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6090"/>
        <w:jc w:val="right"/>
        <w:spacing w:line="360" w:lineRule="auto"/>
        <w:rPr>
          <w:szCs w:val="21"/>
        </w:rPr>
      </w:pPr>
      <w:r/>
      <w:bookmarkStart w:id="88" w:name="_Hlk159239848"/>
      <w:r>
        <w:rPr>
          <w:szCs w:val="21"/>
        </w:rPr>
        <w:t xml:space="preserve">单位名称</w:t>
      </w:r>
      <w:r>
        <w:rPr>
          <w:szCs w:val="21"/>
        </w:rPr>
        <w:t xml:space="preserve">：（加盖CA电子公章）</w:t>
      </w:r>
      <w:r/>
    </w:p>
    <w:p>
      <w:pPr>
        <w:jc w:val="right"/>
        <w:rPr>
          <w:color w:val="000000" w:themeColor="text1"/>
          <w:szCs w:val="21"/>
          <w14:textFill>
            <w14:solidFill>
              <w14:schemeClr w14:val="tx1"/>
            </w14:solidFill>
          </w14:textFill>
        </w:rPr>
      </w:pPr>
      <w:r>
        <w:rPr>
          <w:szCs w:val="21"/>
        </w:rPr>
        <w:t xml:space="preserve">日期：　　　　年　　  月　　  日</w:t>
      </w:r>
      <w:bookmarkEnd w:id="88"/>
      <w:r/>
      <w:r/>
    </w:p>
    <w:p>
      <w:pPr>
        <w:pStyle w:val="889"/>
        <w:spacing w:line="360" w:lineRule="auto"/>
        <w:rPr>
          <w:rFonts w:eastAsia="宋体"/>
          <w:color w:val="000000" w:themeColor="text1"/>
          <w:sz w:val="21"/>
          <w:szCs w:val="21"/>
          <w14:textFill>
            <w14:solidFill>
              <w14:schemeClr w14:val="tx1"/>
            </w14:solidFill>
          </w14:textFill>
        </w:rPr>
      </w:pPr>
      <w:r>
        <w:rPr>
          <w:rFonts w:eastAsia="宋体"/>
          <w:color w:val="000000" w:themeColor="text1"/>
          <w:sz w:val="21"/>
          <w:szCs w:val="21"/>
          <w14:textFill>
            <w14:solidFill>
              <w14:schemeClr w14:val="tx1"/>
            </w14:solidFill>
          </w14:textFill>
        </w:rPr>
      </w:r>
      <w:r/>
    </w:p>
    <w:p>
      <w:pPr>
        <w:pStyle w:val="889"/>
        <w:spacing w:line="360" w:lineRule="auto"/>
        <w:rPr>
          <w:rFonts w:eastAsia="宋体"/>
          <w:color w:val="000000" w:themeColor="text1"/>
          <w:sz w:val="21"/>
          <w:szCs w:val="21"/>
          <w14:textFill>
            <w14:solidFill>
              <w14:schemeClr w14:val="tx1"/>
            </w14:solidFill>
          </w14:textFill>
        </w:rPr>
      </w:pPr>
      <w:r>
        <w:rPr>
          <w:rFonts w:eastAsia="宋体"/>
          <w:color w:val="000000" w:themeColor="text1"/>
          <w:sz w:val="21"/>
          <w:szCs w:val="21"/>
          <w14:textFill>
            <w14:solidFill>
              <w14:schemeClr w14:val="tx1"/>
            </w14:solidFill>
          </w14:textFill>
        </w:rPr>
      </w:r>
      <w:r/>
    </w:p>
    <w:p>
      <w:pPr>
        <w:pStyle w:val="889"/>
        <w:spacing w:line="360" w:lineRule="auto"/>
        <w:rPr>
          <w:rFonts w:eastAsia="宋体"/>
          <w:color w:val="000000" w:themeColor="text1"/>
          <w:sz w:val="21"/>
          <w:szCs w:val="21"/>
          <w14:textFill>
            <w14:solidFill>
              <w14:schemeClr w14:val="tx1"/>
            </w14:solidFill>
          </w14:textFill>
        </w:rPr>
      </w:pPr>
      <w:r>
        <w:rPr>
          <w:rFonts w:eastAsia="宋体"/>
          <w:color w:val="000000" w:themeColor="text1"/>
          <w:sz w:val="21"/>
          <w:szCs w:val="21"/>
          <w14:textFill>
            <w14:solidFill>
              <w14:schemeClr w14:val="tx1"/>
            </w14:solidFill>
          </w14:textFill>
        </w:rPr>
      </w:r>
      <w:r/>
    </w:p>
    <w:p>
      <w:pPr>
        <w:pStyle w:val="889"/>
        <w:ind w:firstLine="0"/>
        <w:spacing w:line="360" w:lineRule="auto"/>
        <w:rPr>
          <w:rFonts w:eastAsia="宋体"/>
          <w:color w:val="000000" w:themeColor="text1"/>
          <w:szCs w:val="21"/>
          <w14:textFill>
            <w14:solidFill>
              <w14:schemeClr w14:val="tx1"/>
            </w14:solidFill>
          </w14:textFill>
        </w:rPr>
      </w:pPr>
      <w:r>
        <w:rPr>
          <w:rFonts w:eastAsia="宋体"/>
          <w:color w:val="000000" w:themeColor="text1"/>
          <w:szCs w:val="21"/>
          <w14:textFill>
            <w14:solidFill>
              <w14:schemeClr w14:val="tx1"/>
            </w14:solidFill>
          </w14:textFill>
        </w:rPr>
      </w:r>
      <w:r/>
    </w:p>
    <w:p>
      <w:pPr>
        <w:spacing w:line="400" w:lineRule="exact"/>
        <w:rPr>
          <w:b/>
          <w:color w:val="000000" w:themeColor="text1"/>
          <w:szCs w:val="21"/>
          <w14:textFill>
            <w14:solidFill>
              <w14:schemeClr w14:val="tx1"/>
            </w14:solidFill>
          </w14:textFill>
        </w:rPr>
        <w:outlineLvl w:val="0"/>
      </w:pPr>
      <w:r>
        <w:rPr>
          <w:b/>
          <w:color w:val="000000" w:themeColor="text1"/>
          <w:szCs w:val="21"/>
          <w14:textFill>
            <w14:solidFill>
              <w14:schemeClr w14:val="tx1"/>
            </w14:solidFill>
          </w14:textFill>
        </w:rPr>
        <w:br w:type="page" w:clear="all"/>
      </w:r>
      <w:r/>
    </w:p>
    <w:p>
      <w:pPr>
        <w:jc w:val="center"/>
        <w:spacing w:line="400" w:lineRule="exact"/>
        <w:rPr>
          <w:b/>
          <w:color w:val="000000" w:themeColor="text1"/>
          <w:szCs w:val="21"/>
          <w:lang w:val="zh-CN"/>
          <w14:textFill>
            <w14:solidFill>
              <w14:schemeClr w14:val="tx1"/>
            </w14:solidFill>
          </w14:textFill>
        </w:rPr>
        <w:outlineLvl w:val="1"/>
      </w:pPr>
      <w:r>
        <w:rPr>
          <w:b/>
          <w:color w:val="000000" w:themeColor="text1"/>
          <w:szCs w:val="21"/>
          <w:lang w:val="zh-CN"/>
          <w14:textFill>
            <w14:solidFill>
              <w14:schemeClr w14:val="tx1"/>
            </w14:solidFill>
          </w14:textFill>
        </w:rPr>
        <w:t xml:space="preserve">中小企业声明函（货物） </w:t>
      </w:r>
      <w:r/>
    </w:p>
    <w:p>
      <w:pPr>
        <w:ind w:firstLine="1575"/>
        <w:spacing w:line="400" w:lineRule="exact"/>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r>
      <w:r/>
    </w:p>
    <w:p>
      <w:pPr>
        <w:ind w:firstLine="630"/>
        <w:spacing w:line="360" w:lineRule="auto"/>
        <w:rPr>
          <w:color w:val="000000" w:themeColor="text1"/>
          <w:szCs w:val="21"/>
          <w14:textFill>
            <w14:solidFill>
              <w14:schemeClr w14:val="tx1"/>
            </w14:solidFill>
          </w14:textFill>
        </w:rPr>
      </w:pPr>
      <w:r>
        <w:rPr>
          <w:color w:val="000000" w:themeColor="text1"/>
          <w:szCs w:val="21"/>
          <w:lang w:val="zh-CN"/>
          <w14:textFill>
            <w14:solidFill>
              <w14:schemeClr w14:val="tx1"/>
            </w14:solidFill>
          </w14:textFill>
        </w:rPr>
        <w:t xml:space="preserve">本公司郑重声明，根据《政府采购促进中小企业发展管理办法》（财库﹝2020﹞46 号）的规定，本公司参加</w:t>
      </w:r>
      <w:r>
        <w:rPr>
          <w:color w:val="000000" w:themeColor="text1"/>
          <w:szCs w:val="21"/>
          <w:u w:val="single"/>
          <w:lang w:val="zh-CN"/>
          <w14:textFill>
            <w14:solidFill>
              <w14:schemeClr w14:val="tx1"/>
            </w14:solidFill>
          </w14:textFill>
        </w:rPr>
        <w:t xml:space="preserve">（单位名称）</w:t>
      </w:r>
      <w:r>
        <w:rPr>
          <w:color w:val="000000" w:themeColor="text1"/>
          <w:szCs w:val="21"/>
          <w:lang w:val="zh-CN"/>
          <w14:textFill>
            <w14:solidFill>
              <w14:schemeClr w14:val="tx1"/>
            </w14:solidFill>
          </w14:textFill>
        </w:rPr>
        <w:t xml:space="preserve">的</w:t>
      </w:r>
      <w:r>
        <w:rPr>
          <w:bCs/>
          <w:color w:val="000000" w:themeColor="text1"/>
          <w:szCs w:val="21"/>
          <w:u w:val="single"/>
          <w14:textFill>
            <w14:solidFill>
              <w14:schemeClr w14:val="tx1"/>
            </w14:solidFill>
          </w14:textFill>
        </w:rPr>
        <w:t xml:space="preserve">（项目名称）</w:t>
      </w:r>
      <w:r>
        <w:rPr>
          <w:color w:val="000000" w:themeColor="text1"/>
          <w:szCs w:val="21"/>
          <w:lang w:val="zh-CN"/>
          <w14:textFill>
            <w14:solidFill>
              <w14:schemeClr w14:val="tx1"/>
            </w14:solidFill>
          </w14:textFill>
        </w:rPr>
        <w:t xml:space="preserve">采购活动，</w:t>
      </w:r>
      <w:r>
        <w:rPr>
          <w:color w:val="000000" w:themeColor="text1"/>
          <w:szCs w:val="21"/>
          <w14:textFill>
            <w14:solidFill>
              <w14:schemeClr w14:val="tx1"/>
            </w14:solidFill>
          </w14:textFill>
        </w:rPr>
        <w:t xml:space="preserve">提供的货物全部由符合政策要求的中小企业制造。</w:t>
      </w:r>
      <w:r>
        <w:rPr>
          <w:color w:val="000000" w:themeColor="text1"/>
          <w:szCs w:val="21"/>
          <w:lang w:val="zh-CN"/>
          <w14:textFill>
            <w14:solidFill>
              <w14:schemeClr w14:val="tx1"/>
            </w14:solidFill>
          </w14:textFill>
        </w:rPr>
        <w:t xml:space="preserve">相关企业（含联合体中的中小企业、签订分包意向协议的中小企业）的具体情况如下：</w:t>
      </w:r>
      <w:r/>
    </w:p>
    <w:p>
      <w:pPr>
        <w:ind w:firstLine="630"/>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1. </w:t>
      </w:r>
      <w:r>
        <w:rPr>
          <w:color w:val="000000" w:themeColor="text1"/>
          <w:szCs w:val="21"/>
          <w:u w:val="single"/>
          <w:lang w:val="zh-CN"/>
          <w14:textFill>
            <w14:solidFill>
              <w14:schemeClr w14:val="tx1"/>
            </w14:solidFill>
          </w14:textFill>
        </w:rPr>
        <w:t xml:space="preserve">（标的名称）</w:t>
      </w:r>
      <w:r>
        <w:rPr>
          <w:color w:val="000000" w:themeColor="text1"/>
          <w:szCs w:val="21"/>
          <w:lang w:val="zh-CN"/>
          <w14:textFill>
            <w14:solidFill>
              <w14:schemeClr w14:val="tx1"/>
            </w14:solidFill>
          </w14:textFill>
        </w:rPr>
        <w:t xml:space="preserve">，属于</w:t>
      </w:r>
      <w:r>
        <w:rPr>
          <w:color w:val="000000" w:themeColor="text1"/>
          <w:szCs w:val="21"/>
          <w:u w:val="single"/>
          <w:lang w:val="zh-CN"/>
          <w14:textFill>
            <w14:solidFill>
              <w14:schemeClr w14:val="tx1"/>
            </w14:solidFill>
          </w14:textFill>
        </w:rPr>
        <w:t xml:space="preserve">工业</w:t>
      </w:r>
      <w:r>
        <w:rPr>
          <w:color w:val="000000" w:themeColor="text1"/>
          <w:szCs w:val="21"/>
          <w:lang w:val="zh-CN"/>
          <w14:textFill>
            <w14:solidFill>
              <w14:schemeClr w14:val="tx1"/>
            </w14:solidFill>
          </w14:textFill>
        </w:rPr>
        <w:t xml:space="preserve">；制造商为</w:t>
      </w:r>
      <w:r>
        <w:rPr>
          <w:color w:val="000000" w:themeColor="text1"/>
          <w:szCs w:val="21"/>
          <w:u w:val="single"/>
          <w:lang w:val="zh-CN"/>
          <w14:textFill>
            <w14:solidFill>
              <w14:schemeClr w14:val="tx1"/>
            </w14:solidFill>
          </w14:textFill>
        </w:rPr>
        <w:t xml:space="preserve">（企业名称）</w:t>
      </w:r>
      <w:r>
        <w:rPr>
          <w:color w:val="000000" w:themeColor="text1"/>
          <w:szCs w:val="21"/>
          <w:lang w:val="zh-CN"/>
          <w14:textFill>
            <w14:solidFill>
              <w14:schemeClr w14:val="tx1"/>
            </w14:solidFill>
          </w14:textFill>
        </w:rPr>
        <w:t xml:space="preserve">，从业人员</w:t>
      </w:r>
      <w:r>
        <w:rPr>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人，营业收入为</w:t>
      </w:r>
      <w:r>
        <w:rPr>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万元，资产总额为</w:t>
      </w:r>
      <w:r>
        <w:rPr>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万元，属于</w:t>
      </w:r>
      <w:r>
        <w:rPr>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（中型企业、小型企业、微型企业，三者选一填写）；</w:t>
      </w:r>
      <w:r/>
    </w:p>
    <w:p>
      <w:pPr>
        <w:ind w:firstLine="630"/>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2. </w:t>
      </w:r>
      <w:r>
        <w:rPr>
          <w:color w:val="000000" w:themeColor="text1"/>
          <w:szCs w:val="21"/>
          <w:u w:val="single"/>
          <w:lang w:val="zh-CN"/>
          <w14:textFill>
            <w14:solidFill>
              <w14:schemeClr w14:val="tx1"/>
            </w14:solidFill>
          </w14:textFill>
        </w:rPr>
        <w:t xml:space="preserve">（标的名称）</w:t>
      </w:r>
      <w:r>
        <w:rPr>
          <w:color w:val="000000" w:themeColor="text1"/>
          <w:szCs w:val="21"/>
          <w:lang w:val="zh-CN"/>
          <w14:textFill>
            <w14:solidFill>
              <w14:schemeClr w14:val="tx1"/>
            </w14:solidFill>
          </w14:textFill>
        </w:rPr>
        <w:t xml:space="preserve">，属于</w:t>
      </w:r>
      <w:r>
        <w:rPr>
          <w:color w:val="000000" w:themeColor="text1"/>
          <w:szCs w:val="21"/>
          <w:u w:val="single"/>
          <w:lang w:val="zh-CN"/>
          <w14:textFill>
            <w14:solidFill>
              <w14:schemeClr w14:val="tx1"/>
            </w14:solidFill>
          </w14:textFill>
        </w:rPr>
        <w:t xml:space="preserve">工业</w:t>
      </w:r>
      <w:r>
        <w:rPr>
          <w:color w:val="000000" w:themeColor="text1"/>
          <w:szCs w:val="21"/>
          <w:lang w:val="zh-CN"/>
          <w14:textFill>
            <w14:solidFill>
              <w14:schemeClr w14:val="tx1"/>
            </w14:solidFill>
          </w14:textFill>
        </w:rPr>
        <w:t xml:space="preserve">；制造商为</w:t>
      </w:r>
      <w:r>
        <w:rPr>
          <w:color w:val="000000" w:themeColor="text1"/>
          <w:szCs w:val="21"/>
          <w:u w:val="single"/>
          <w:lang w:val="zh-CN"/>
          <w14:textFill>
            <w14:solidFill>
              <w14:schemeClr w14:val="tx1"/>
            </w14:solidFill>
          </w14:textFill>
        </w:rPr>
        <w:t xml:space="preserve">（企业名称）</w:t>
      </w:r>
      <w:r>
        <w:rPr>
          <w:color w:val="000000" w:themeColor="text1"/>
          <w:szCs w:val="21"/>
          <w:lang w:val="zh-CN"/>
          <w14:textFill>
            <w14:solidFill>
              <w14:schemeClr w14:val="tx1"/>
            </w14:solidFill>
          </w14:textFill>
        </w:rPr>
        <w:t xml:space="preserve">，从业人员人，营业收入为万元，资产总额为万元，属于</w:t>
      </w:r>
      <w:r>
        <w:rPr>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（中型企业、小型企业、微型企业，三者选一填写）；</w:t>
      </w:r>
      <w:r/>
    </w:p>
    <w:p>
      <w:pPr>
        <w:ind w:firstLine="630"/>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w:t>
      </w:r>
      <w:r/>
    </w:p>
    <w:p>
      <w:pPr>
        <w:ind w:firstLine="630"/>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630"/>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本企业对上述声明内容的真实性负责。如有虚假，将依法承担相应责任。</w:t>
      </w:r>
      <w:r/>
    </w:p>
    <w:p>
      <w:pPr>
        <w:ind w:firstLine="5880"/>
        <w:spacing w:line="360" w:lineRule="auto"/>
        <w:rPr>
          <w:color w:val="000000" w:themeColor="text1"/>
          <w:szCs w:val="24"/>
          <w14:textFill>
            <w14:solidFill>
              <w14:schemeClr w14:val="tx1"/>
            </w14:solidFill>
          </w14:textFill>
        </w:rPr>
      </w:pPr>
      <w:r>
        <w:rPr>
          <w:color w:val="000000" w:themeColor="text1"/>
          <w:szCs w:val="21"/>
          <w:lang w:val="zh-CN"/>
          <w14:textFill>
            <w14:solidFill>
              <w14:schemeClr w14:val="tx1"/>
            </w14:solidFill>
          </w14:textFill>
        </w:rPr>
        <w:t xml:space="preserve">企业名称（盖章）：</w:t>
      </w:r>
      <w:r/>
    </w:p>
    <w:p>
      <w:pPr>
        <w:ind w:firstLine="5880"/>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日期：</w:t>
      </w:r>
      <w:r>
        <w:rPr>
          <w:color w:val="000000" w:themeColor="text1"/>
          <w:szCs w:val="24"/>
          <w14:textFill>
            <w14:solidFill>
              <w14:schemeClr w14:val="tx1"/>
            </w14:solidFill>
          </w14:textFill>
        </w:rPr>
        <w:t xml:space="preserve">（填写）</w:t>
      </w:r>
      <w:r/>
    </w:p>
    <w:p>
      <w:pPr>
        <w:jc w:val="center"/>
        <w:widowControl/>
        <w:rPr>
          <w:color w:val="000000" w:themeColor="text1"/>
          <w14:textFill>
            <w14:solidFill>
              <w14:schemeClr w14:val="tx1"/>
            </w14:solidFill>
          </w14:textFill>
        </w:rPr>
      </w:pPr>
      <w:r>
        <w:rPr>
          <w:color w:val="000000" w:themeColor="text1"/>
          <w14:textFill>
            <w14:solidFill>
              <w14:schemeClr w14:val="tx1"/>
            </w14:solidFill>
          </w14:textFill>
        </w:rPr>
      </w:r>
      <w:r/>
    </w:p>
    <w:p>
      <w:pPr>
        <w:ind w:firstLine="422"/>
        <w:jc w:val="left"/>
        <w:spacing w:line="380" w:lineRule="exact"/>
        <w:rPr>
          <w:b/>
          <w:szCs w:val="21"/>
        </w:rPr>
      </w:pPr>
      <w:r>
        <w:rPr>
          <w:b/>
          <w:szCs w:val="21"/>
        </w:rPr>
        <w:t xml:space="preserve">备注：</w:t>
      </w:r>
      <w:r/>
    </w:p>
    <w:p>
      <w:pPr>
        <w:numPr>
          <w:ilvl w:val="0"/>
          <w:numId w:val="25"/>
        </w:numPr>
        <w:spacing w:line="380" w:lineRule="exact"/>
        <w:rPr>
          <w:szCs w:val="21"/>
          <w:lang w:val="zh-CN"/>
        </w:rPr>
      </w:pPr>
      <w:r>
        <w:rPr>
          <w:szCs w:val="21"/>
          <w:lang w:val="zh-CN"/>
        </w:rPr>
        <w:t xml:space="preserve">从业人员、营业收入、资产总额填报上一年度数据，无上一年度数据的新成立企业可不填报；</w:t>
      </w:r>
      <w:r/>
    </w:p>
    <w:p>
      <w:pPr>
        <w:numPr>
          <w:ilvl w:val="0"/>
          <w:numId w:val="25"/>
        </w:numPr>
        <w:spacing w:line="380" w:lineRule="exact"/>
        <w:rPr>
          <w:color w:val="ff0000"/>
          <w:szCs w:val="21"/>
          <w:lang w:val="zh-CN"/>
        </w:rPr>
      </w:pPr>
      <w:r>
        <w:rPr>
          <w:color w:val="ff0000"/>
          <w:szCs w:val="21"/>
          <w:lang w:val="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p>
    <w:p>
      <w:pPr>
        <w:numPr>
          <w:ilvl w:val="0"/>
          <w:numId w:val="25"/>
        </w:numPr>
        <w:spacing w:line="380" w:lineRule="exact"/>
        <w:rPr>
          <w:szCs w:val="21"/>
          <w:lang w:val="zh-CN"/>
        </w:rPr>
      </w:pPr>
      <w:r>
        <w:rPr>
          <w:szCs w:val="21"/>
          <w:lang w:val="zh-CN"/>
        </w:rPr>
        <w:t xml:space="preserve">若供应商提供的“中小企业声明函”内容不实的，属于提供虚假材料谋取中标、成交，依照《中华人民共和国政府采购法》等国家有关规定追究相应责任；</w:t>
      </w:r>
      <w:r/>
    </w:p>
    <w:p>
      <w:pPr>
        <w:numPr>
          <w:ilvl w:val="0"/>
          <w:numId w:val="25"/>
        </w:numPr>
        <w:spacing w:line="380" w:lineRule="exact"/>
        <w:rPr>
          <w:szCs w:val="21"/>
          <w:lang w:val="zh-CN"/>
        </w:rPr>
      </w:pPr>
      <w:r>
        <w:rPr>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89" w:name="_Hlk72923453"/>
      <w:r>
        <w:rPr>
          <w:szCs w:val="21"/>
          <w:lang w:val="zh-CN"/>
        </w:rPr>
        <w:t xml:space="preserve">符合中小企业划分标准的个体工商户，在政府采购活动中视同中小企业</w:t>
      </w:r>
      <w:bookmarkEnd w:id="89"/>
      <w:r>
        <w:rPr>
          <w:szCs w:val="21"/>
          <w:lang w:val="zh-CN"/>
        </w:rPr>
        <w:t xml:space="preserve">。</w:t>
      </w:r>
      <w:r/>
    </w:p>
    <w:p>
      <w:pPr>
        <w:numPr>
          <w:ilvl w:val="0"/>
          <w:numId w:val="25"/>
        </w:numPr>
        <w:spacing w:line="380" w:lineRule="exact"/>
        <w:rPr>
          <w:szCs w:val="21"/>
          <w:lang w:val="zh-CN"/>
        </w:rPr>
      </w:pPr>
      <w:r/>
      <w:bookmarkStart w:id="90" w:name="_Hlk159239877"/>
      <w:r/>
      <w:bookmarkStart w:id="91" w:name="_Hlk94450593"/>
      <w:r>
        <w:rPr>
          <w:rFonts w:eastAsiaTheme="minorEastAsia"/>
          <w:color w:val="000000" w:themeColor="text1"/>
          <w14:textFill>
            <w14:solidFill>
              <w14:schemeClr w14:val="tx1"/>
            </w14:solidFill>
          </w14:textFill>
        </w:rPr>
        <w:t xml:space="preserve">响应文件中的电子签章视为供应商对本声明进行了签署盖章并承担相应责任。</w:t>
      </w:r>
      <w:bookmarkEnd w:id="90"/>
      <w:r>
        <w:rPr>
          <w:szCs w:val="21"/>
          <w:lang w:val="zh-CN"/>
        </w:rPr>
        <w:t xml:space="preserve"> </w:t>
      </w:r>
      <w:r/>
    </w:p>
    <w:p>
      <w:pPr>
        <w:jc w:val="left"/>
        <w:widowControl/>
        <w:rPr>
          <w:szCs w:val="20"/>
        </w:rPr>
      </w:pPr>
      <w:r>
        <w:br w:type="page" w:clear="all"/>
      </w:r>
      <w:r/>
    </w:p>
    <w:p>
      <w:pPr>
        <w:spacing w:before="156" w:line="240" w:lineRule="exact"/>
        <w:rPr>
          <w:b/>
        </w:rPr>
      </w:pPr>
      <w:r/>
      <w:bookmarkStart w:id="92" w:name="_Hlk110022134"/>
      <w:r/>
      <w:bookmarkStart w:id="93" w:name="_Hlk110020276"/>
      <w:r>
        <w:rPr>
          <w:b/>
        </w:rPr>
        <w:t xml:space="preserve">附：中小企业划型标准规定（工信部联企业〔2011〕300号）</w:t>
      </w:r>
      <w:r/>
    </w:p>
    <w:p>
      <w:pPr>
        <w:pStyle w:val="941"/>
        <w:ind w:firstLine="420"/>
        <w:rPr>
          <w:rFonts w:ascii="Times New Roman"/>
        </w:rPr>
      </w:pPr>
      <w:r>
        <w:rPr>
          <w:rFonts w:ascii="Times New Roman"/>
        </w:rPr>
      </w:r>
      <w:r/>
    </w:p>
    <w:p>
      <w:pPr>
        <w:ind w:firstLine="422"/>
        <w:spacing w:before="156" w:line="240" w:lineRule="exact"/>
      </w:pPr>
      <w:r>
        <w:rPr>
          <w:b/>
        </w:rPr>
        <w:t xml:space="preserve">（一）农、林、牧、渔业。</w:t>
      </w:r>
      <w: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pPr>
      <w:r>
        <w:rPr>
          <w:b/>
        </w:rPr>
        <w:t xml:space="preserve">（二）工业。</w:t>
      </w:r>
      <w: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pPr>
      <w:r>
        <w:rPr>
          <w:b/>
        </w:rPr>
        <w:t xml:space="preserve">（三）建筑业。</w:t>
      </w:r>
      <w: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pPr>
      <w:r>
        <w:rPr>
          <w:b/>
        </w:rPr>
        <w:t xml:space="preserve">（四）批发业。</w:t>
      </w:r>
      <w: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pPr>
      <w:r>
        <w:rPr>
          <w:b/>
        </w:rPr>
        <w:t xml:space="preserve">（五）零售业。</w:t>
      </w:r>
      <w: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pPr>
      <w:r>
        <w:rPr>
          <w:b/>
        </w:rPr>
        <w:t xml:space="preserve">（六）交通运输业。</w:t>
      </w:r>
      <w: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pPr>
      <w:r>
        <w:rPr>
          <w:b/>
        </w:rPr>
        <w:t xml:space="preserve">（七）仓储业。</w:t>
      </w:r>
      <w: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pPr>
      <w:r>
        <w:rPr>
          <w:b/>
        </w:rPr>
        <w:t xml:space="preserve">（八）邮政业。</w:t>
      </w:r>
      <w: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pPr>
      <w:r>
        <w:rPr>
          <w:b/>
        </w:rPr>
        <w:t xml:space="preserve">（九）住宿业。</w:t>
      </w:r>
      <w: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pPr>
      <w:r>
        <w:rPr>
          <w:b/>
        </w:rPr>
        <w:t xml:space="preserve">（十）餐饮业。</w:t>
      </w:r>
      <w: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pPr>
      <w:r>
        <w:rPr>
          <w:b/>
        </w:rPr>
        <w:t xml:space="preserve">（十一）信息传输业。</w:t>
      </w:r>
      <w: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pPr>
      <w:r>
        <w:rPr>
          <w:b/>
        </w:rPr>
        <w:t xml:space="preserve">（十二）软件和信息技术服务业。</w:t>
      </w:r>
      <w: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pPr>
      <w:r>
        <w:rPr>
          <w:b/>
        </w:rPr>
        <w:t xml:space="preserve">（十三）房地产开发经营。</w:t>
      </w:r>
      <w: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pPr>
      <w:r>
        <w:rPr>
          <w:b/>
        </w:rPr>
        <w:t xml:space="preserve">（十四）物业管理。</w:t>
      </w:r>
      <w:r>
        <w:t xml:space="preserve">从业人员1000人以下或营业收入5000万元以下的为中小微型企业。其中，从业人员</w:t>
      </w:r>
      <w:r/>
    </w:p>
    <w:p>
      <w:pPr>
        <w:spacing w:before="156" w:line="240" w:lineRule="exact"/>
      </w:pPr>
      <w: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pPr>
      <w:r>
        <w:rPr>
          <w:b/>
        </w:rPr>
        <w:t xml:space="preserve">（十五）租赁和商务服务业。</w:t>
      </w:r>
      <w: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pPr>
      <w:r>
        <w:rPr>
          <w:b/>
        </w:rPr>
        <w:t xml:space="preserve">（十六）其他未列明行业。</w:t>
      </w:r>
      <w:r>
        <w:t xml:space="preserve">从业人员300人以下的为中小微型企业。其中，从业人员100人及以上的为中型企业；从业人员10人及以上的为小型企业；从业人员10人以下的为微型企业。</w:t>
      </w:r>
      <w:bookmarkEnd w:id="91"/>
      <w:r/>
      <w:bookmarkEnd w:id="92"/>
      <w:r/>
      <w:bookmarkEnd w:id="93"/>
      <w:r/>
      <w:r/>
    </w:p>
    <w:p>
      <w:pPr>
        <w:pStyle w:val="941"/>
        <w:ind w:firstLine="420"/>
        <w:rPr>
          <w:rFonts w:ascii="Times New Roman"/>
        </w:rPr>
      </w:pPr>
      <w:r>
        <w:rPr>
          <w:rFonts w:ascii="Times New Roman"/>
        </w:rPr>
      </w:r>
      <w:r/>
    </w:p>
    <w:p>
      <w:pPr>
        <w:jc w:val="center"/>
        <w:widowControl/>
        <w:rPr>
          <w:b/>
          <w:color w:val="000000" w:themeColor="text1"/>
          <w14:textFill>
            <w14:solidFill>
              <w14:schemeClr w14:val="tx1"/>
            </w14:solidFill>
          </w14:textFill>
        </w:rPr>
        <w:outlineLvl w:val="1"/>
      </w:pPr>
      <w:r>
        <w:rPr>
          <w:b/>
          <w:color w:val="000000" w:themeColor="text1"/>
          <w14:textFill>
            <w14:solidFill>
              <w14:schemeClr w14:val="tx1"/>
            </w14:solidFill>
          </w14:textFill>
        </w:rPr>
        <w:br w:type="page" w:clear="all"/>
      </w:r>
      <w:r>
        <w:rPr>
          <w:b/>
          <w:color w:val="000000" w:themeColor="text1"/>
          <w14:textFill>
            <w14:solidFill>
              <w14:schemeClr w14:val="tx1"/>
            </w14:solidFill>
          </w14:textFill>
        </w:rPr>
        <w:t xml:space="preserve">残疾人福利性单位声明函</w:t>
      </w:r>
      <w:r/>
    </w:p>
    <w:p>
      <w:pPr>
        <w:spacing w:line="400" w:lineRule="exact"/>
        <w:widowControl/>
        <w:rPr>
          <w:color w:val="000000" w:themeColor="text1"/>
          <w14:textFill>
            <w14:solidFill>
              <w14:schemeClr w14:val="tx1"/>
            </w14:solidFill>
          </w14:textFill>
        </w:rPr>
      </w:pPr>
      <w:r>
        <w:rPr>
          <w:color w:val="000000" w:themeColor="text1"/>
          <w14:textFill>
            <w14:solidFill>
              <w14:schemeClr w14:val="tx1"/>
            </w14:solidFill>
          </w14:textFill>
        </w:rPr>
      </w:r>
      <w:r/>
    </w:p>
    <w:p>
      <w:pPr>
        <w:ind w:firstLine="630"/>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400" w:lineRule="exact"/>
        <w:widowControl/>
        <w:rPr>
          <w:color w:val="000000" w:themeColor="text1"/>
          <w14:textFill>
            <w14:solidFill>
              <w14:schemeClr w14:val="tx1"/>
            </w14:solidFill>
          </w14:textFill>
        </w:rPr>
      </w:pPr>
      <w:r>
        <w:rPr>
          <w:color w:val="000000" w:themeColor="text1"/>
          <w14:textFill>
            <w14:solidFill>
              <w14:schemeClr w14:val="tx1"/>
            </w14:solidFill>
          </w14:textFill>
        </w:rPr>
        <w:t xml:space="preserve">本单位对上述声明的真实性负责。如有虚假，将依法承担相应责任。</w:t>
      </w:r>
      <w:r/>
    </w:p>
    <w:p>
      <w:pPr>
        <w:spacing w:line="400" w:lineRule="exact"/>
        <w:widowControl/>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60" w:lineRule="auto"/>
        <w:rPr>
          <w:rFonts w:eastAsiaTheme="minorEastAsia"/>
          <w:color w:val="000000" w:themeColor="text1"/>
          <w:szCs w:val="21"/>
          <w14:textFill>
            <w14:solidFill>
              <w14:schemeClr w14:val="tx1"/>
            </w14:solidFill>
          </w14:textFill>
        </w:rPr>
      </w:pPr>
      <w:r/>
      <w:bookmarkStart w:id="94" w:name="_Hlk132385836"/>
      <w:r>
        <w:rPr>
          <w:rFonts w:eastAsiaTheme="minorEastAsia"/>
          <w:color w:val="000000" w:themeColor="text1"/>
          <w:szCs w:val="21"/>
          <w14:textFill>
            <w14:solidFill>
              <w14:schemeClr w14:val="tx1"/>
            </w14:solidFill>
          </w14:textFill>
        </w:rPr>
        <w:t xml:space="preserve">单位名称（盖章）</w:t>
      </w:r>
      <w:r>
        <w:rPr>
          <w:rFonts w:eastAsiaTheme="minorEastAsia"/>
          <w:color w:val="000000" w:themeColor="text1"/>
          <w:szCs w:val="21"/>
          <w14:textFill>
            <w14:solidFill>
              <w14:schemeClr w14:val="tx1"/>
            </w14:solidFill>
          </w14:textFill>
        </w:rPr>
        <w:t xml:space="preserve">：</w:t>
      </w:r>
      <w:bookmarkEnd w:id="94"/>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日期：</w:t>
      </w:r>
      <w:r>
        <w:rPr>
          <w:color w:val="000000" w:themeColor="text1"/>
          <w:szCs w:val="24"/>
          <w14:textFill>
            <w14:solidFill>
              <w14:schemeClr w14:val="tx1"/>
            </w14:solidFill>
          </w14:textFill>
        </w:rPr>
        <w:t xml:space="preserve">（填写）</w:t>
      </w:r>
      <w:r/>
    </w:p>
    <w:p>
      <w:pPr>
        <w:spacing w:line="400" w:lineRule="exact"/>
        <w:widowControl/>
        <w:rPr>
          <w:color w:val="000000" w:themeColor="text1"/>
          <w14:textFill>
            <w14:solidFill>
              <w14:schemeClr w14:val="tx1"/>
            </w14:solidFill>
          </w14:textFill>
        </w:rPr>
      </w:pPr>
      <w:r>
        <w:rPr>
          <w:color w:val="000000" w:themeColor="text1"/>
          <w14:textFill>
            <w14:solidFill>
              <w14:schemeClr w14:val="tx1"/>
            </w14:solidFill>
          </w14:textFill>
        </w:rPr>
      </w:r>
      <w:r/>
    </w:p>
    <w:p>
      <w:pPr>
        <w:spacing w:line="400" w:lineRule="exact"/>
        <w:widowControl/>
        <w:rPr>
          <w:color w:val="000000" w:themeColor="text1"/>
          <w14:textFill>
            <w14:solidFill>
              <w14:schemeClr w14:val="tx1"/>
            </w14:solidFill>
          </w14:textFill>
        </w:rPr>
      </w:pPr>
      <w:r>
        <w:rPr>
          <w:color w:val="000000" w:themeColor="text1"/>
          <w14:textFill>
            <w14:solidFill>
              <w14:schemeClr w14:val="tx1"/>
            </w14:solidFill>
          </w14:textFill>
        </w:rPr>
      </w:r>
      <w:r/>
    </w:p>
    <w:p>
      <w:pPr>
        <w:spacing w:line="400" w:lineRule="exact"/>
        <w:widowControl/>
        <w:rPr>
          <w:color w:val="000000" w:themeColor="text1"/>
          <w14:textFill>
            <w14:solidFill>
              <w14:schemeClr w14:val="tx1"/>
            </w14:solidFill>
          </w14:textFill>
        </w:rPr>
      </w:pPr>
      <w:r>
        <w:rPr>
          <w:color w:val="000000" w:themeColor="text1"/>
          <w14:textFill>
            <w14:solidFill>
              <w14:schemeClr w14:val="tx1"/>
            </w14:solidFill>
          </w14:textFill>
        </w:rPr>
      </w:r>
      <w:r/>
    </w:p>
    <w:p>
      <w:pPr>
        <w:spacing w:line="400" w:lineRule="exact"/>
        <w:widowControl/>
        <w:rPr>
          <w:color w:val="000000" w:themeColor="text1"/>
          <w14:textFill>
            <w14:solidFill>
              <w14:schemeClr w14:val="tx1"/>
            </w14:solidFill>
          </w14:textFill>
        </w:rPr>
      </w:pPr>
      <w:r>
        <w:rPr>
          <w:color w:val="000000" w:themeColor="text1"/>
          <w14:textFill>
            <w14:solidFill>
              <w14:schemeClr w14:val="tx1"/>
            </w14:solidFill>
          </w14:textFill>
        </w:rPr>
      </w:r>
      <w:r/>
    </w:p>
    <w:p>
      <w:pPr>
        <w:spacing w:line="400" w:lineRule="exact"/>
        <w:widowControl/>
        <w:rPr>
          <w:color w:val="000000" w:themeColor="text1"/>
          <w14:textFill>
            <w14:solidFill>
              <w14:schemeClr w14:val="tx1"/>
            </w14:solidFill>
          </w14:textFill>
        </w:rPr>
      </w:pPr>
      <w:r>
        <w:rPr>
          <w:color w:val="000000" w:themeColor="text1"/>
          <w14:textFill>
            <w14:solidFill>
              <w14:schemeClr w14:val="tx1"/>
            </w14:solidFill>
          </w14:textFill>
        </w:rPr>
      </w:r>
      <w:r/>
    </w:p>
    <w:p>
      <w:pPr>
        <w:spacing w:line="400" w:lineRule="exact"/>
        <w:widowControl/>
        <w:rPr>
          <w:color w:val="000000" w:themeColor="text1"/>
          <w14:textFill>
            <w14:solidFill>
              <w14:schemeClr w14:val="tx1"/>
            </w14:solidFill>
          </w14:textFill>
        </w:rPr>
      </w:pPr>
      <w:r/>
      <w:bookmarkStart w:id="95" w:name="_Hlk94450636"/>
      <w:r/>
      <w:bookmarkStart w:id="96" w:name="_Hlk94448623"/>
      <w:r>
        <w:rPr>
          <w:b/>
          <w:color w:val="000000" w:themeColor="text1"/>
          <w:szCs w:val="21"/>
          <w14:textFill>
            <w14:solidFill>
              <w14:schemeClr w14:val="tx1"/>
            </w14:solidFill>
          </w14:textFill>
        </w:rPr>
        <w:t xml:space="preserve">注：</w:t>
      </w:r>
      <w:bookmarkEnd w:id="95"/>
      <w:r/>
      <w:bookmarkStart w:id="97" w:name="_Hlk159239957"/>
      <w:r>
        <w:rPr>
          <w:rFonts w:eastAsiaTheme="minorEastAsia"/>
          <w:color w:val="000000" w:themeColor="text1"/>
          <w14:textFill>
            <w14:solidFill>
              <w14:schemeClr w14:val="tx1"/>
            </w14:solidFill>
          </w14:textFill>
        </w:rPr>
        <w:t xml:space="preserve">响应文件中的电子签章视为供应商对本声明进行了签署盖章并承担相应责任。</w:t>
      </w:r>
      <w:bookmarkEnd w:id="97"/>
      <w:r/>
      <w:bookmarkEnd w:id="96"/>
      <w:r/>
      <w:r/>
    </w:p>
    <w:p>
      <w:pPr>
        <w:jc w:val="left"/>
        <w:spacing w:line="360" w:lineRule="auto"/>
        <w:tabs>
          <w:tab w:val="center" w:pos="5258" w:leader="none"/>
        </w:tabs>
        <w:rPr>
          <w:b/>
          <w:color w:val="000000" w:themeColor="text1"/>
          <w:sz w:val="32"/>
          <w:szCs w:val="32"/>
          <w:lang w:val="zh-CN"/>
          <w14:textFill>
            <w14:solidFill>
              <w14:schemeClr w14:val="tx1"/>
            </w14:solidFill>
          </w14:textFill>
        </w:rPr>
      </w:pPr>
      <w:r>
        <w:rPr>
          <w:b/>
          <w:color w:val="000000" w:themeColor="text1"/>
          <w:sz w:val="32"/>
          <w:szCs w:val="32"/>
          <w:lang w:val="zh-CN"/>
          <w14:textFill>
            <w14:solidFill>
              <w14:schemeClr w14:val="tx1"/>
            </w14:solidFill>
          </w14:textFill>
        </w:rPr>
        <w:br w:type="page" w:clear="all"/>
      </w:r>
      <w:r/>
    </w:p>
    <w:p>
      <w:pPr>
        <w:jc w:val="center"/>
        <w:widowControl/>
        <w:rPr>
          <w:b/>
          <w:sz w:val="28"/>
          <w:szCs w:val="28"/>
        </w:rPr>
        <w:outlineLvl w:val="1"/>
      </w:pPr>
      <w:r>
        <w:rPr>
          <w:b/>
          <w:sz w:val="28"/>
          <w:szCs w:val="28"/>
          <w:lang w:bidi="ar"/>
        </w:rPr>
        <w:t xml:space="preserve">最后报价合理性澄清说明函</w:t>
      </w:r>
      <w:r/>
    </w:p>
    <w:p>
      <w:pPr>
        <w:jc w:val="left"/>
        <w:spacing w:line="360" w:lineRule="auto"/>
        <w:widowControl/>
        <w:rPr>
          <w:szCs w:val="21"/>
        </w:rPr>
      </w:pPr>
      <w:r>
        <w:rPr>
          <w:szCs w:val="21"/>
        </w:rPr>
      </w:r>
      <w:r/>
    </w:p>
    <w:p>
      <w:pPr>
        <w:pStyle w:val="927"/>
        <w:ind w:left="420" w:right="0" w:firstLine="420"/>
        <w:jc w:val="both"/>
        <w:spacing w:before="0" w:after="120" w:line="360" w:lineRule="auto"/>
        <w:widowControl/>
        <w:rPr>
          <w:sz w:val="21"/>
          <w:szCs w:val="21"/>
        </w:rPr>
      </w:pPr>
      <w:r>
        <w:rPr>
          <w:sz w:val="21"/>
          <w:szCs w:val="21"/>
          <w:lang w:bidi="ar"/>
        </w:rPr>
        <w:t xml:space="preserve">本公司愿就项目编号：</w:t>
      </w:r>
      <w:r>
        <w:rPr>
          <w:sz w:val="21"/>
          <w:szCs w:val="21"/>
          <w:u w:val="single"/>
          <w:lang w:bidi="ar"/>
        </w:rPr>
        <w:t xml:space="preserve">              </w:t>
      </w:r>
      <w:r>
        <w:rPr>
          <w:sz w:val="21"/>
          <w:szCs w:val="21"/>
          <w:lang w:bidi="ar"/>
        </w:rPr>
        <w:t xml:space="preserve">项目名称：</w:t>
      </w:r>
      <w:r>
        <w:rPr>
          <w:sz w:val="21"/>
          <w:szCs w:val="21"/>
          <w:u w:val="single"/>
          <w:lang w:bidi="ar"/>
        </w:rPr>
        <w:t xml:space="preserve">              </w:t>
      </w:r>
      <w:r>
        <w:rPr>
          <w:sz w:val="21"/>
          <w:szCs w:val="21"/>
          <w:lang w:bidi="ar"/>
        </w:rPr>
        <w:t xml:space="preserve">的采购活动进行投标，对于本公司的最后报价合理性作出说明如下：</w:t>
      </w:r>
      <w:r/>
    </w:p>
    <w:tbl>
      <w:tblPr>
        <w:tblStyle w:val="888"/>
        <w:tblW w:w="9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24"/>
      </w:tblGrid>
      <w:tr>
        <w:trPr>
          <w:jc w:val="center"/>
          <w:trHeight w:val="3940"/>
        </w:trPr>
        <w:tc>
          <w:tcPr>
            <w:tcBorders>
              <w:top w:val="single" w:color="auto" w:sz="4" w:space="0"/>
              <w:left w:val="single" w:color="auto" w:sz="4" w:space="0"/>
              <w:bottom w:val="single" w:color="auto" w:sz="4" w:space="0"/>
              <w:right w:val="single" w:color="auto" w:sz="4" w:space="0"/>
            </w:tcBorders>
            <w:tcW w:w="9524" w:type="dxa"/>
            <w:vAlign w:val="center"/>
            <w:textDirection w:val="lrTb"/>
            <w:noWrap w:val="false"/>
          </w:tcPr>
          <w:p>
            <w:pPr>
              <w:spacing w:line="600" w:lineRule="auto"/>
              <w:rPr>
                <w:b/>
                <w:szCs w:val="21"/>
                <w:shd w:val="pct10" w:color="auto" w:fill="ffffff"/>
              </w:rPr>
            </w:pPr>
            <w:r>
              <w:rPr>
                <w:b/>
                <w:szCs w:val="21"/>
                <w:lang w:bidi="ar"/>
              </w:rPr>
              <w:t xml:space="preserve">供应商应根据实际情况自拟澄清说明，并按照谈判小组关于澄清的要求提供相关证明材料作为附件。</w:t>
            </w:r>
            <w:r/>
          </w:p>
        </w:tc>
      </w:tr>
    </w:tbl>
    <w:p>
      <w:pPr>
        <w:pStyle w:val="927"/>
        <w:ind w:left="0" w:right="0" w:firstLine="422"/>
        <w:jc w:val="both"/>
        <w:spacing w:before="0" w:after="0" w:line="360" w:lineRule="auto"/>
        <w:widowControl/>
        <w:rPr>
          <w:b/>
          <w:sz w:val="21"/>
          <w:szCs w:val="21"/>
        </w:rPr>
      </w:pPr>
      <w:r>
        <w:rPr>
          <w:b/>
          <w:sz w:val="21"/>
          <w:szCs w:val="21"/>
          <w:lang w:bidi="ar"/>
        </w:rPr>
        <w:t xml:space="preserve">备注：根据谈判文件第二章“响应须知”第5.7.4条要求，谈判小组认为供应商的报价符合异常低价投标（响应）审查的情形时，应当要求相关供应商在评标现场合理的时间内，提供项目具体成本测算等与报价合理性相关的书面说明及相关证明材料</w:t>
      </w:r>
      <w:r>
        <w:rPr>
          <w:b/>
          <w:sz w:val="21"/>
          <w:szCs w:val="21"/>
          <w:lang w:bidi="ar"/>
        </w:rPr>
        <w:t xml:space="preserve">（包括但不限于原材料成本、人工成本、制造费用等，例如库存清单、进货合同及发票、仓库照片、往期类似项目合同报价清单等，此处仅做举例说明，最终根据项目实际情况以谈判小组具体要求为准），对投标（响应）价格作出解释，由谈判小组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谈判小组应当将其作为无效投标（响应）处理。</w:t>
      </w:r>
      <w:r/>
    </w:p>
    <w:p>
      <w:pPr>
        <w:ind w:left="1024" w:firstLine="4830"/>
        <w:jc w:val="left"/>
        <w:spacing w:line="360" w:lineRule="auto"/>
        <w:widowControl/>
        <w:rPr>
          <w:szCs w:val="21"/>
        </w:rPr>
      </w:pPr>
      <w:r>
        <w:rPr>
          <w:szCs w:val="21"/>
        </w:rPr>
      </w:r>
      <w:r/>
    </w:p>
    <w:p>
      <w:pPr>
        <w:ind w:left="1024" w:firstLine="4830"/>
        <w:jc w:val="left"/>
        <w:spacing w:line="360" w:lineRule="auto"/>
        <w:widowControl/>
        <w:rPr>
          <w:szCs w:val="21"/>
        </w:rPr>
      </w:pPr>
      <w:r>
        <w:rPr>
          <w:szCs w:val="21"/>
        </w:rPr>
      </w:r>
      <w:r/>
    </w:p>
    <w:p>
      <w:pPr>
        <w:jc w:val="right"/>
        <w:spacing w:line="360" w:lineRule="auto"/>
        <w:rPr>
          <w:szCs w:val="21"/>
        </w:rPr>
      </w:pPr>
      <w:r>
        <w:rPr>
          <w:szCs w:val="21"/>
        </w:rPr>
        <w:t xml:space="preserve">单位名称</w:t>
      </w:r>
      <w:r>
        <w:rPr>
          <w:szCs w:val="21"/>
        </w:rPr>
        <w:t xml:space="preserve">：（加盖CA电子公章）                            </w:t>
      </w:r>
      <w:r/>
    </w:p>
    <w:p>
      <w:pPr>
        <w:jc w:val="right"/>
        <w:rPr>
          <w:b/>
          <w:bCs/>
        </w:rPr>
      </w:pPr>
      <w:r>
        <w:rPr>
          <w:szCs w:val="21"/>
        </w:rPr>
        <w:t xml:space="preserve">日期：　　年　　月　　日</w:t>
      </w:r>
      <w:r/>
    </w:p>
    <w:p>
      <w:pPr>
        <w:jc w:val="left"/>
        <w:widowControl/>
        <w:rPr>
          <w:b/>
          <w:bCs/>
        </w:rPr>
      </w:pPr>
      <w:r>
        <w:rPr>
          <w:b/>
          <w:bCs/>
        </w:rPr>
        <w:br w:type="page" w:clear="all"/>
      </w:r>
      <w:r/>
    </w:p>
    <w:p>
      <w:pPr>
        <w:jc w:val="center"/>
        <w:widowControl/>
        <w:rPr>
          <w:b/>
          <w:sz w:val="28"/>
          <w:szCs w:val="28"/>
          <w:lang w:bidi="ar"/>
        </w:rPr>
        <w:outlineLvl w:val="1"/>
      </w:pPr>
      <w:r/>
      <w:bookmarkStart w:id="98" w:name="OLE_LINK18"/>
      <w:r>
        <w:rPr>
          <w:b/>
          <w:sz w:val="28"/>
          <w:szCs w:val="28"/>
          <w:lang w:bidi="ar"/>
        </w:rPr>
        <w:t xml:space="preserve">关于符合本国产品标准的声明函（采购包号：**）</w:t>
      </w:r>
      <w:r/>
    </w:p>
    <w:p>
      <w:pPr>
        <w:pStyle w:val="927"/>
        <w:spacing w:line="360" w:lineRule="auto"/>
        <w:rPr>
          <w:szCs w:val="24"/>
        </w:rPr>
      </w:pPr>
      <w:r>
        <w:t xml:space="preserve"> </w:t>
      </w:r>
      <w:r/>
    </w:p>
    <w:p>
      <w:pPr>
        <w:pStyle w:val="927"/>
        <w:ind w:firstLine="480"/>
        <w:spacing w:line="360" w:lineRule="auto"/>
        <w:rPr>
          <w:szCs w:val="24"/>
        </w:rPr>
      </w:pPr>
      <w: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80"/>
        <w:jc w:val="left"/>
        <w:spacing w:after="40" w:line="360" w:lineRule="auto"/>
        <w:rPr>
          <w:sz w:val="24"/>
          <w:szCs w:val="20"/>
        </w:rPr>
      </w:pPr>
      <w:r>
        <w:rPr>
          <w:sz w:val="24"/>
          <w:szCs w:val="20"/>
        </w:rPr>
        <w:t xml:space="preserve">1.</w:t>
      </w:r>
      <w:r>
        <w:rPr>
          <w:sz w:val="24"/>
          <w:szCs w:val="20"/>
          <w:u w:val="single"/>
        </w:rPr>
        <w:t xml:space="preserve">（产品名称1）</w:t>
      </w:r>
      <w:r>
        <w:rPr>
          <w:sz w:val="24"/>
          <w:szCs w:val="20"/>
          <w:vertAlign w:val="superscript"/>
        </w:rPr>
        <w:t xml:space="preserve">1</w:t>
      </w:r>
      <w:r>
        <w:rPr>
          <w:sz w:val="24"/>
          <w:szCs w:val="20"/>
        </w:rPr>
        <w:t xml:space="preserve">，生产厂为</w:t>
      </w:r>
      <w:r>
        <w:rPr>
          <w:sz w:val="24"/>
          <w:szCs w:val="20"/>
          <w:u w:val="single"/>
        </w:rPr>
        <w:t xml:space="preserve">（厂名）</w:t>
      </w:r>
      <w:r>
        <w:rPr>
          <w:sz w:val="24"/>
          <w:szCs w:val="20"/>
          <w:vertAlign w:val="superscript"/>
        </w:rPr>
        <w:t xml:space="preserve">2</w:t>
      </w:r>
      <w:r>
        <w:rPr>
          <w:sz w:val="24"/>
          <w:szCs w:val="20"/>
        </w:rPr>
        <w:t xml:space="preserve">，厂址为</w:t>
      </w:r>
      <w:r>
        <w:rPr>
          <w:sz w:val="24"/>
          <w:szCs w:val="20"/>
          <w:u w:val="single"/>
        </w:rPr>
        <w:t xml:space="preserve">（生产厂址）</w:t>
      </w:r>
      <w:r>
        <w:rPr>
          <w:sz w:val="24"/>
          <w:szCs w:val="20"/>
        </w:rPr>
        <w:t xml:space="preserve">。</w:t>
      </w:r>
      <w:r>
        <w:rPr>
          <w:sz w:val="24"/>
          <w:szCs w:val="20"/>
          <w:u w:val="single"/>
        </w:rPr>
        <w:t xml:space="preserve"> / </w:t>
      </w:r>
      <w:r>
        <w:rPr>
          <w:sz w:val="24"/>
          <w:szCs w:val="20"/>
        </w:rPr>
        <w:t xml:space="preserve">的中国境内生产的组件成本占比≥</w:t>
      </w:r>
      <w:r>
        <w:rPr>
          <w:sz w:val="24"/>
          <w:szCs w:val="20"/>
          <w:u w:val="single"/>
        </w:rPr>
        <w:t xml:space="preserve">  /  </w:t>
      </w:r>
      <w:r>
        <w:rPr>
          <w:sz w:val="24"/>
          <w:szCs w:val="20"/>
          <w:vertAlign w:val="superscript"/>
        </w:rPr>
        <w:t xml:space="preserve">3</w:t>
      </w:r>
      <w:r>
        <w:rPr>
          <w:sz w:val="24"/>
          <w:szCs w:val="20"/>
        </w:rPr>
        <w:t xml:space="preserve">。</w:t>
      </w:r>
      <w:r>
        <w:rPr>
          <w:sz w:val="24"/>
          <w:szCs w:val="20"/>
          <w:u w:val="single"/>
        </w:rPr>
        <w:t xml:space="preserve">  /  </w:t>
      </w:r>
      <w:r>
        <w:rPr>
          <w:sz w:val="24"/>
          <w:szCs w:val="20"/>
        </w:rPr>
        <w:t xml:space="preserve">的</w:t>
      </w:r>
      <w:r>
        <w:rPr>
          <w:sz w:val="24"/>
          <w:szCs w:val="20"/>
          <w:u w:val="single"/>
        </w:rPr>
        <w:t xml:space="preserve">  /  </w:t>
      </w:r>
      <w:r>
        <w:rPr>
          <w:sz w:val="24"/>
          <w:szCs w:val="20"/>
          <w:vertAlign w:val="superscript"/>
        </w:rPr>
        <w:t xml:space="preserve">4</w:t>
      </w:r>
      <w:r>
        <w:rPr>
          <w:sz w:val="24"/>
          <w:szCs w:val="20"/>
        </w:rPr>
        <w:t xml:space="preserve">在中国境内生产。</w:t>
      </w:r>
      <w:r>
        <w:rPr>
          <w:sz w:val="24"/>
          <w:szCs w:val="20"/>
          <w:u w:val="single"/>
        </w:rPr>
        <w:t xml:space="preserve">  /  </w:t>
      </w:r>
      <w:r>
        <w:rPr>
          <w:sz w:val="24"/>
          <w:szCs w:val="20"/>
        </w:rPr>
        <w:t xml:space="preserve">的</w:t>
      </w:r>
      <w:r>
        <w:rPr>
          <w:sz w:val="24"/>
          <w:szCs w:val="20"/>
          <w:u w:val="single"/>
        </w:rPr>
        <w:t xml:space="preserve">  /  </w:t>
      </w:r>
      <w:r>
        <w:rPr>
          <w:sz w:val="24"/>
          <w:szCs w:val="20"/>
          <w:vertAlign w:val="superscript"/>
        </w:rPr>
        <w:t xml:space="preserve">5</w:t>
      </w:r>
      <w:r>
        <w:rPr>
          <w:sz w:val="24"/>
          <w:szCs w:val="20"/>
        </w:rPr>
        <w:t xml:space="preserve">在中国境内完成。</w:t>
      </w:r>
      <w:r/>
    </w:p>
    <w:p>
      <w:pPr>
        <w:ind w:left="40" w:right="40" w:firstLine="480"/>
        <w:jc w:val="left"/>
        <w:spacing w:after="40" w:line="360" w:lineRule="auto"/>
        <w:rPr>
          <w:sz w:val="24"/>
          <w:szCs w:val="20"/>
        </w:rPr>
      </w:pPr>
      <w:r>
        <w:rPr>
          <w:sz w:val="24"/>
          <w:szCs w:val="20"/>
        </w:rPr>
        <w:t xml:space="preserve">2.</w:t>
      </w:r>
      <w:r>
        <w:rPr>
          <w:sz w:val="24"/>
          <w:szCs w:val="20"/>
          <w:u w:val="single"/>
        </w:rPr>
        <w:t xml:space="preserve">（产品名称2）</w:t>
      </w:r>
      <w:r>
        <w:rPr>
          <w:sz w:val="24"/>
          <w:szCs w:val="20"/>
        </w:rPr>
        <w:t xml:space="preserve">，生产厂为</w:t>
      </w:r>
      <w:r>
        <w:rPr>
          <w:sz w:val="24"/>
          <w:szCs w:val="20"/>
          <w:u w:val="single"/>
        </w:rPr>
        <w:t xml:space="preserve">（厂名）</w:t>
      </w:r>
      <w:r>
        <w:rPr>
          <w:sz w:val="24"/>
          <w:szCs w:val="20"/>
        </w:rPr>
        <w:t xml:space="preserve">，厂址为</w:t>
      </w:r>
      <w:r>
        <w:rPr>
          <w:sz w:val="24"/>
          <w:szCs w:val="20"/>
          <w:u w:val="single"/>
        </w:rPr>
        <w:t xml:space="preserve">（生产厂址）</w:t>
      </w:r>
      <w:r>
        <w:rPr>
          <w:sz w:val="24"/>
          <w:szCs w:val="20"/>
        </w:rPr>
        <w:t xml:space="preserve">。</w:t>
      </w:r>
      <w:r>
        <w:rPr>
          <w:sz w:val="24"/>
          <w:szCs w:val="20"/>
          <w:u w:val="single"/>
        </w:rPr>
        <w:t xml:space="preserve"> /  </w:t>
      </w:r>
      <w:r>
        <w:rPr>
          <w:sz w:val="24"/>
          <w:szCs w:val="20"/>
        </w:rPr>
        <w:t xml:space="preserve">的中国境内生产的组件成本占比≥</w:t>
      </w:r>
      <w:r>
        <w:rPr>
          <w:sz w:val="24"/>
          <w:szCs w:val="20"/>
          <w:u w:val="single"/>
        </w:rPr>
        <w:t xml:space="preserve">  /  </w:t>
      </w:r>
      <w:r>
        <w:rPr>
          <w:sz w:val="24"/>
          <w:szCs w:val="20"/>
        </w:rPr>
        <w:t xml:space="preserve">。</w:t>
      </w:r>
      <w:r>
        <w:rPr>
          <w:sz w:val="24"/>
          <w:szCs w:val="20"/>
          <w:u w:val="single"/>
        </w:rPr>
        <w:t xml:space="preserve">  /  </w:t>
      </w:r>
      <w:r>
        <w:rPr>
          <w:sz w:val="24"/>
          <w:szCs w:val="20"/>
        </w:rPr>
        <w:t xml:space="preserve">的</w:t>
      </w:r>
      <w:r>
        <w:rPr>
          <w:sz w:val="24"/>
          <w:szCs w:val="20"/>
          <w:u w:val="single"/>
        </w:rPr>
        <w:t xml:space="preserve">  /  </w:t>
      </w:r>
      <w:r>
        <w:rPr>
          <w:sz w:val="24"/>
          <w:szCs w:val="20"/>
        </w:rPr>
        <w:t xml:space="preserve">在中国境内生产。</w:t>
      </w:r>
      <w:r>
        <w:rPr>
          <w:sz w:val="24"/>
          <w:szCs w:val="20"/>
          <w:u w:val="single"/>
        </w:rPr>
        <w:t xml:space="preserve">  /  </w:t>
      </w:r>
      <w:r>
        <w:rPr>
          <w:sz w:val="24"/>
          <w:szCs w:val="20"/>
        </w:rPr>
        <w:t xml:space="preserve">的</w:t>
      </w:r>
      <w:r>
        <w:rPr>
          <w:sz w:val="24"/>
          <w:szCs w:val="20"/>
          <w:u w:val="single"/>
        </w:rPr>
        <w:t xml:space="preserve">  /  </w:t>
      </w:r>
      <w:r>
        <w:rPr>
          <w:sz w:val="24"/>
          <w:szCs w:val="20"/>
        </w:rPr>
        <w:t xml:space="preserve">在中国境内完成</w:t>
      </w:r>
      <w:r>
        <w:rPr>
          <w:sz w:val="24"/>
          <w:szCs w:val="20"/>
          <w:shd w:val="clear" w:color="auto" w:fill="ffffff"/>
        </w:rPr>
        <w:t xml:space="preserve">。</w:t>
      </w:r>
      <w:r/>
    </w:p>
    <w:p>
      <w:pPr>
        <w:pStyle w:val="927"/>
        <w:spacing w:line="360" w:lineRule="auto"/>
      </w:pPr>
      <w:r>
        <w:rPr>
          <w:shd w:val="clear" w:color="auto" w:fill="ffffff"/>
        </w:rPr>
        <w:t xml:space="preserve">……</w:t>
      </w:r>
      <w:r/>
    </w:p>
    <w:p>
      <w:pPr>
        <w:pStyle w:val="927"/>
        <w:spacing w:line="360" w:lineRule="auto"/>
      </w:pPr>
      <w:r>
        <w:rPr>
          <w:shd w:val="clear" w:color="auto" w:fill="ffffff"/>
        </w:rPr>
        <w:t xml:space="preserve">本公司（单位）对上述声明内容的真实性负责。如有虚假，愿承担相应法律责任。</w:t>
      </w:r>
      <w:r/>
    </w:p>
    <w:p>
      <w:pPr>
        <w:pStyle w:val="927"/>
        <w:spacing w:line="360" w:lineRule="auto"/>
      </w:pPr>
      <w:r>
        <w:t xml:space="preserve"> </w:t>
      </w:r>
      <w:r/>
    </w:p>
    <w:p>
      <w:pPr>
        <w:pStyle w:val="927"/>
        <w:ind w:right="1000"/>
        <w:jc w:val="right"/>
        <w:spacing w:line="360" w:lineRule="auto"/>
        <w:rPr>
          <w:szCs w:val="24"/>
        </w:rPr>
      </w:pPr>
      <w:r>
        <w:rPr>
          <w:shd w:val="clear" w:color="auto" w:fill="ffffff"/>
        </w:rPr>
        <w:t xml:space="preserve">公司（单位）名称（盖章）：         </w:t>
      </w:r>
      <w:r/>
    </w:p>
    <w:p>
      <w:pPr>
        <w:pStyle w:val="927"/>
        <w:jc w:val="right"/>
        <w:spacing w:line="360" w:lineRule="auto"/>
      </w:pPr>
      <w:r>
        <w:rPr>
          <w:shd w:val="clear" w:color="auto" w:fill="ffffff"/>
        </w:rPr>
        <w:t xml:space="preserve">                       日期：    年   月   日         </w:t>
      </w:r>
      <w:r/>
    </w:p>
    <w:p>
      <w:pPr>
        <w:pStyle w:val="927"/>
        <w:spacing w:line="360" w:lineRule="auto"/>
      </w:pPr>
      <w:r>
        <w:rPr>
          <w:shd w:val="clear" w:color="auto" w:fill="ffffff"/>
        </w:rPr>
        <w:t xml:space="preserve">___________________________________________________________________________________</w:t>
      </w:r>
      <w:r/>
    </w:p>
    <w:p>
      <w:pPr>
        <w:pStyle w:val="927"/>
        <w:spacing w:line="360" w:lineRule="auto"/>
        <w:rPr>
          <w:b/>
        </w:rPr>
      </w:pPr>
      <w:r>
        <w:rPr>
          <w:b/>
          <w:shd w:val="clear" w:color="auto" w:fill="ffffff"/>
        </w:rPr>
        <w:t xml:space="preserve">1.产品如有型号，请在“产品名称”栏一并填写。</w:t>
      </w:r>
      <w:r/>
    </w:p>
    <w:p>
      <w:pPr>
        <w:pStyle w:val="927"/>
        <w:spacing w:line="360" w:lineRule="auto"/>
        <w:rPr>
          <w:b/>
        </w:rPr>
      </w:pPr>
      <w:r>
        <w:rPr>
          <w:b/>
          <w:shd w:val="clear" w:color="auto" w:fill="ffffff"/>
        </w:rPr>
        <w:t xml:space="preserve">2.生产厂名与厂址应与生产厂营业执照载明的相关信息保持一致。</w:t>
      </w:r>
      <w:r/>
    </w:p>
    <w:p>
      <w:pPr>
        <w:pStyle w:val="927"/>
        <w:spacing w:line="360" w:lineRule="auto"/>
        <w:rPr>
          <w:b/>
        </w:rPr>
      </w:pPr>
      <w:r>
        <w:rPr>
          <w:b/>
          <w:shd w:val="clear" w:color="auto" w:fill="ffffff"/>
        </w:rPr>
        <w:t xml:space="preserve">3.该产品的中国境内生产的组件成本占比相关要求实施前，“规定比例”栏可不填，下同。</w:t>
      </w:r>
      <w:r/>
    </w:p>
    <w:p>
      <w:pPr>
        <w:pStyle w:val="927"/>
        <w:spacing w:line="360" w:lineRule="auto"/>
        <w:rPr>
          <w:b/>
        </w:rPr>
      </w:pPr>
      <w:r>
        <w:rPr>
          <w:b/>
          <w:shd w:val="clear" w:color="auto" w:fill="ffffff"/>
        </w:rPr>
        <w:t xml:space="preserve">4.该产品的关键组件要求实施前，“关键组件”栏可不填，下同。</w:t>
      </w:r>
      <w:r/>
    </w:p>
    <w:p>
      <w:pPr>
        <w:pStyle w:val="927"/>
        <w:spacing w:line="360" w:lineRule="auto"/>
        <w:rPr>
          <w:b/>
          <w:shd w:val="clear" w:color="auto" w:fill="ffffff"/>
        </w:rPr>
      </w:pPr>
      <w:r>
        <w:rPr>
          <w:b/>
          <w:shd w:val="clear" w:color="auto" w:fill="ffffff"/>
        </w:rPr>
        <w:t xml:space="preserve">5.该产品的关键工序要求实施前，“关键工序”栏可不填，下同。</w:t>
      </w:r>
      <w:r/>
    </w:p>
    <w:p>
      <w:pPr>
        <w:pStyle w:val="927"/>
        <w:spacing w:line="360" w:lineRule="auto"/>
        <w:rPr>
          <w:b/>
          <w:shd w:val="clear" w:color="auto" w:fill="ffffff"/>
        </w:rPr>
      </w:pPr>
      <w:r>
        <w:rPr>
          <w:b/>
          <w:shd w:val="clear" w:color="auto" w:fill="ffffff"/>
        </w:rPr>
        <w:t xml:space="preserve">6.《声明函》中标注“</w:t>
      </w:r>
      <w:r>
        <w:rPr>
          <w:bCs/>
          <w:u w:val="single"/>
          <w:shd w:val="clear" w:color="auto" w:fill="ffffff"/>
        </w:rPr>
        <w:t xml:space="preserve">  /  </w:t>
      </w:r>
      <w:r>
        <w:rPr>
          <w:b/>
          <w:shd w:val="clear" w:color="auto" w:fill="ffffff"/>
        </w:rPr>
        <w:t xml:space="preserve">”的地方无需填写。</w:t>
      </w:r>
      <w:r/>
    </w:p>
    <w:p>
      <w:pPr>
        <w:rPr>
          <w:b/>
          <w:bCs/>
        </w:rPr>
      </w:pPr>
      <w:r>
        <w:rPr>
          <w:b/>
          <w:bCs/>
        </w:rPr>
      </w:r>
      <w:r/>
    </w:p>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br w:type="page" w:clear="all"/>
      </w:r>
      <w:bookmarkEnd w:id="98"/>
      <w:r/>
      <w:r/>
    </w:p>
    <w:p>
      <w:pPr>
        <w:jc w:val="center"/>
        <w:spacing w:line="400" w:lineRule="exact"/>
        <w:widowControl/>
        <w:rPr>
          <w:b/>
          <w:color w:val="000000" w:themeColor="text1"/>
          <w:spacing w:val="6"/>
          <w:sz w:val="28"/>
          <w:szCs w:val="28"/>
          <w14:textFill>
            <w14:solidFill>
              <w14:schemeClr w14:val="tx1"/>
            </w14:solidFill>
          </w14:textFill>
        </w:rPr>
      </w:pPr>
      <w:r/>
      <w:bookmarkStart w:id="99" w:name="_Hlk94448732"/>
      <w:r/>
      <w:r/>
    </w:p>
    <w:p>
      <w:pPr>
        <w:jc w:val="center"/>
        <w:spacing w:line="400" w:lineRule="exact"/>
        <w:widowControl/>
        <w:rPr>
          <w:color w:val="000000" w:themeColor="text1"/>
          <w14:textFill>
            <w14:solidFill>
              <w14:schemeClr w14:val="tx1"/>
            </w14:solidFill>
          </w14:textFill>
        </w:rPr>
        <w:outlineLvl w:val="1"/>
      </w:pPr>
      <w:r>
        <w:rPr>
          <w:b/>
          <w:color w:val="000000" w:themeColor="text1"/>
          <w:spacing w:val="6"/>
          <w:sz w:val="28"/>
          <w:szCs w:val="28"/>
          <w14:textFill>
            <w14:solidFill>
              <w14:schemeClr w14:val="tx1"/>
            </w14:solidFill>
          </w14:textFill>
        </w:rPr>
        <w:t xml:space="preserve">采购</w:t>
      </w:r>
      <w:r>
        <w:rPr>
          <w:b/>
          <w:color w:val="000000" w:themeColor="text1"/>
          <w:spacing w:val="6"/>
          <w:sz w:val="28"/>
          <w:szCs w:val="28"/>
          <w:lang w:val="zh-CN"/>
          <w14:textFill>
            <w14:solidFill>
              <w14:schemeClr w14:val="tx1"/>
            </w14:solidFill>
          </w14:textFill>
        </w:rPr>
        <w:t xml:space="preserve">需求偏离表</w:t>
      </w:r>
      <w:r/>
    </w:p>
    <w:p>
      <w:pPr>
        <w:ind w:firstLine="514"/>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514"/>
        <w:jc w:val="left"/>
        <w:widowControl/>
        <w:rPr>
          <w:color w:val="000000" w:themeColor="text1"/>
          <w:szCs w:val="21"/>
          <w:u w:val="single"/>
          <w14:textFill>
            <w14:solidFill>
              <w14:schemeClr w14:val="tx1"/>
            </w14:solidFill>
          </w14:textFill>
        </w:rPr>
      </w:pPr>
      <w:r>
        <w:rPr>
          <w:color w:val="000000" w:themeColor="text1"/>
          <w:szCs w:val="21"/>
          <w14:textFill>
            <w14:solidFill>
              <w14:schemeClr w14:val="tx1"/>
            </w14:solidFill>
          </w14:textFill>
        </w:rPr>
        <w:t xml:space="preserve">项目编号：</w:t>
      </w:r>
      <w:r/>
    </w:p>
    <w:tbl>
      <w:tblPr>
        <w:tblStyle w:val="888"/>
        <w:tblW w:w="961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96"/>
        <w:gridCol w:w="1418"/>
        <w:gridCol w:w="1983"/>
        <w:gridCol w:w="2226"/>
        <w:gridCol w:w="3092"/>
      </w:tblGrid>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vAlign w:val="center"/>
            <w:textDirection w:val="lrTb"/>
            <w:noWrap w:val="false"/>
          </w:tcPr>
          <w:p>
            <w:pPr>
              <w:pStyle w:val="1096"/>
              <w:jc w:val="center"/>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096"/>
              <w:jc w:val="center"/>
              <w:spacing w:line="360" w:lineRule="auto"/>
              <w:rPr>
                <w:rFonts w:ascii="Times New Roman" w:hAnsi="Times New Roman" w:eastAsia="宋体"/>
                <w:color w:val="000000" w:themeColor="text1"/>
                <w:sz w:val="21"/>
                <w:szCs w:val="21"/>
                <w:highlight w:val="yellow"/>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标的物名称/合同条款号</w:t>
            </w:r>
            <w:r/>
          </w:p>
        </w:tc>
        <w:tc>
          <w:tcPr>
            <w:tcBorders>
              <w:top w:val="single" w:color="auto" w:sz="6" w:space="0"/>
              <w:left w:val="single" w:color="auto" w:sz="6" w:space="0"/>
              <w:bottom w:val="single" w:color="auto" w:sz="6" w:space="0"/>
              <w:right w:val="single" w:color="auto" w:sz="6" w:space="0"/>
            </w:tcBorders>
            <w:tcW w:w="1983" w:type="dxa"/>
            <w:vAlign w:val="center"/>
            <w:textDirection w:val="lrTb"/>
            <w:noWrap w:val="false"/>
          </w:tcPr>
          <w:p>
            <w:pPr>
              <w:pStyle w:val="1096"/>
              <w:jc w:val="center"/>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采购要求</w:t>
            </w:r>
            <w:r/>
          </w:p>
        </w:tc>
        <w:tc>
          <w:tcPr>
            <w:tcBorders>
              <w:top w:val="single" w:color="auto" w:sz="6" w:space="0"/>
              <w:left w:val="single" w:color="auto" w:sz="6" w:space="0"/>
              <w:bottom w:val="single" w:color="auto" w:sz="4" w:space="0"/>
              <w:right w:val="single" w:color="auto" w:sz="4" w:space="0"/>
            </w:tcBorders>
            <w:tcW w:w="2226" w:type="dxa"/>
            <w:vAlign w:val="center"/>
            <w:textDirection w:val="lrTb"/>
            <w:noWrap w:val="false"/>
          </w:tcPr>
          <w:p>
            <w:pPr>
              <w:pStyle w:val="1096"/>
              <w:jc w:val="center"/>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响应情况</w:t>
            </w:r>
            <w:r/>
          </w:p>
        </w:tc>
        <w:tc>
          <w:tcPr>
            <w:tcBorders>
              <w:top w:val="single" w:color="auto" w:sz="6" w:space="0"/>
              <w:left w:val="single" w:color="auto" w:sz="4" w:space="0"/>
              <w:bottom w:val="single" w:color="auto" w:sz="4" w:space="0"/>
              <w:right w:val="single" w:color="auto" w:sz="6" w:space="0"/>
            </w:tcBorders>
            <w:tcW w:w="3092" w:type="dxa"/>
            <w:vAlign w:val="center"/>
            <w:textDirection w:val="lrTb"/>
            <w:noWrap w:val="false"/>
          </w:tcPr>
          <w:p>
            <w:pPr>
              <w:pStyle w:val="1096"/>
              <w:jc w:val="center"/>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偏离说明</w:t>
            </w:r>
            <w:r/>
          </w:p>
        </w:tc>
      </w:tr>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c>
          <w:tcPr>
            <w:tcBorders>
              <w:top w:val="single" w:color="auto" w:sz="4" w:space="0"/>
              <w:left w:val="single" w:color="auto" w:sz="6" w:space="0"/>
              <w:bottom w:val="single" w:color="auto" w:sz="6" w:space="0"/>
              <w:right w:val="single" w:color="auto" w:sz="4" w:space="0"/>
            </w:tcBorders>
            <w:tcW w:w="2226"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6" w:space="0"/>
              <w:right w:val="single" w:color="auto" w:sz="6" w:space="0"/>
            </w:tcBorders>
            <w:tcW w:w="3092"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r>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226"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3092"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r>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226"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3092"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r>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226"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3092"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r>
    </w:tbl>
    <w:p>
      <w:pPr>
        <w:ind w:left="420" w:firstLine="210"/>
        <w:spacing w:line="360" w:lineRule="auto"/>
      </w:pPr>
      <w:r/>
      <w:bookmarkStart w:id="100" w:name="_Hlk73646957"/>
      <w:r/>
      <w:r/>
    </w:p>
    <w:p>
      <w:pPr>
        <w:ind w:left="420" w:firstLine="211"/>
        <w:spacing w:line="360" w:lineRule="auto"/>
      </w:pPr>
      <w:r/>
      <w:bookmarkStart w:id="101" w:name="_Hlk110020497"/>
      <w:r>
        <w:rPr>
          <w:b/>
        </w:rPr>
        <w:t xml:space="preserve">注：本表针对</w:t>
      </w:r>
      <w:bookmarkEnd w:id="101"/>
      <w:r>
        <w:rPr>
          <w:b/>
          <w:highlight w:val="none"/>
        </w:rPr>
        <w:t xml:space="preserve">第三章</w:t>
      </w:r>
      <w:bookmarkStart w:id="102" w:name="_Hlk110020450"/>
      <w:r>
        <w:rPr>
          <w:rFonts w:hint="eastAsia"/>
          <w:b/>
          <w:highlight w:val="none"/>
          <w:lang w:eastAsia="zh-CN"/>
        </w:rPr>
        <w:t xml:space="preserve">第二条</w:t>
      </w:r>
      <w:r>
        <w:rPr>
          <w:b/>
          <w:highlight w:val="none"/>
        </w:rPr>
        <w:t xml:space="preserve">标的物</w:t>
      </w:r>
      <w:r>
        <w:rPr>
          <w:rFonts w:hint="eastAsia"/>
          <w:b/>
          <w:highlight w:val="none"/>
          <w:lang w:eastAsia="zh-CN"/>
        </w:rPr>
        <w:t xml:space="preserve">清单的基础参数要求、技术参数要求</w:t>
      </w:r>
      <w:r>
        <w:rPr>
          <w:b/>
          <w:highlight w:val="none"/>
        </w:rPr>
        <w:t xml:space="preserve">、</w:t>
      </w:r>
      <w:r>
        <w:rPr>
          <w:rFonts w:hint="eastAsia"/>
          <w:b/>
          <w:highlight w:val="none"/>
        </w:rPr>
        <w:t xml:space="preserve">客梯功能要求</w:t>
      </w:r>
      <w:r>
        <w:rPr>
          <w:b/>
          <w:highlight w:val="none"/>
        </w:rPr>
        <w:t xml:space="preserve">以及第三条</w:t>
      </w:r>
      <w:r>
        <w:rPr>
          <w:rFonts w:hint="eastAsia"/>
          <w:b/>
          <w:highlight w:val="none"/>
          <w:lang w:eastAsia="zh-CN"/>
        </w:rPr>
        <w:t xml:space="preserve">其他要求</w:t>
      </w:r>
      <w:r>
        <w:rPr>
          <w:b/>
          <w:highlight w:val="none"/>
        </w:rPr>
        <w:t xml:space="preserve">的内容填写：</w:t>
      </w:r>
      <w:bookmarkEnd w:id="102"/>
      <w:r>
        <w:rPr>
          <w:highlight w:val="none"/>
        </w:rPr>
        <w:br/>
      </w:r>
      <w:bookmarkStart w:id="103" w:name="_Hlk110020365"/>
      <w:r>
        <w:rPr>
          <w:color w:val="000000" w:themeColor="text1"/>
          <w:highlight w:val="none"/>
          <w14:textFill>
            <w14:solidFill>
              <w14:schemeClr w14:val="tx1"/>
            </w14:solidFill>
          </w14:textFill>
        </w:rPr>
        <w:t xml:space="preserve">（1）</w:t>
      </w:r>
      <w:r>
        <w:rPr>
          <w:color w:val="000000" w:themeColor="text1"/>
          <w14:textFill>
            <w14:solidFill>
              <w14:schemeClr w14:val="tx1"/>
            </w14:solidFill>
          </w14:textFill>
        </w:rPr>
        <w:t xml:space="preserve">供应商应根据第三章第</w:t>
      </w:r>
      <w:r>
        <w:rPr>
          <w:rFonts w:hint="eastAsia"/>
          <w:color w:val="000000" w:themeColor="text1"/>
          <w:lang w:eastAsia="zh-CN"/>
          <w14:textFill>
            <w14:solidFill>
              <w14:schemeClr w14:val="tx1"/>
            </w14:solidFill>
          </w14:textFill>
        </w:rPr>
        <w:t xml:space="preserve">二</w:t>
      </w:r>
      <w:r>
        <w:rPr>
          <w:color w:val="000000" w:themeColor="text1"/>
          <w14:textFill>
            <w14:solidFill>
              <w14:schemeClr w14:val="tx1"/>
            </w14:solidFill>
          </w14:textFill>
        </w:rPr>
        <w:t xml:space="preserve">条标的物清单的</w:t>
      </w:r>
      <w:r>
        <w:rPr>
          <w:rFonts w:hint="eastAsia"/>
          <w:color w:val="000000" w:themeColor="text1"/>
          <w14:textFill>
            <w14:solidFill>
              <w14:schemeClr w14:val="tx1"/>
            </w14:solidFill>
          </w14:textFill>
        </w:rPr>
        <w:t xml:space="preserve">基础参数要求、技术参数要求、客梯功能要求</w:t>
      </w:r>
      <w:r>
        <w:rPr>
          <w:color w:val="000000" w:themeColor="text1"/>
          <w14:textFill>
            <w14:solidFill>
              <w14:schemeClr w14:val="tx1"/>
            </w14:solidFill>
          </w14:textFill>
        </w:rPr>
        <w:t xml:space="preserve">在本表填写所投产品的响应情况：</w:t>
      </w:r>
      <w:r>
        <w:rPr>
          <w:b/>
          <w:bCs/>
          <w:color w:val="000000" w:themeColor="text1"/>
          <w14:textFill>
            <w14:solidFill>
              <w14:schemeClr w14:val="tx1"/>
            </w14:solidFill>
          </w14:textFill>
        </w:rPr>
        <w:t xml:space="preserve">产品符合上表中基础参数要求、技术参数要求、客梯功能要求的为无偏离（即响应），不符合的为有偏离（即不响应）。</w:t>
      </w:r>
      <w:r>
        <w:rPr>
          <w:rFonts w:hint="eastAsia"/>
          <w:b/>
          <w:bCs/>
          <w:color w:val="000000" w:themeColor="text1"/>
          <w14:textFill>
            <w14:solidFill>
              <w14:schemeClr w14:val="tx1"/>
            </w14:solidFill>
          </w14:textFill>
        </w:rPr>
        <w:t xml:space="preserve">内容无偏离的可以不填写，</w:t>
      </w:r>
      <w:r>
        <w:rPr>
          <w:rFonts w:hint="eastAsia"/>
          <w:b/>
          <w:bCs/>
          <w:color w:val="000000" w:themeColor="text1"/>
          <w:lang w:eastAsia="zh-CN"/>
          <w14:textFill>
            <w14:solidFill>
              <w14:schemeClr w14:val="tx1"/>
            </w14:solidFill>
          </w14:textFill>
        </w:rPr>
        <w:t xml:space="preserve">有偏离</w:t>
      </w:r>
      <w:r>
        <w:rPr>
          <w:rFonts w:hint="eastAsia"/>
          <w:b/>
          <w:bCs/>
          <w:color w:val="000000" w:themeColor="text1"/>
          <w14:textFill>
            <w14:solidFill>
              <w14:schemeClr w14:val="tx1"/>
            </w14:solidFill>
          </w14:textFill>
        </w:rPr>
        <w:t xml:space="preserve">的需在表中列出</w:t>
      </w:r>
      <w:r>
        <w:rPr>
          <w:rFonts w:hint="eastAsia"/>
          <w:b/>
          <w:bCs/>
          <w:color w:val="000000" w:themeColor="text1"/>
          <w:lang w:eastAsia="zh-CN"/>
          <w14:textFill>
            <w14:solidFill>
              <w14:schemeClr w14:val="tx1"/>
            </w14:solidFill>
          </w14:textFill>
        </w:rPr>
        <w:t xml:space="preserve">。</w:t>
      </w:r>
      <w:r>
        <w:rPr>
          <w:color w:val="000000" w:themeColor="text1"/>
          <w:highlight w:val="none"/>
          <w14:textFill>
            <w14:solidFill>
              <w14:schemeClr w14:val="tx1"/>
            </w14:solidFill>
          </w14:textFill>
        </w:rPr>
        <w:br/>
      </w:r>
      <w:r>
        <w:rPr>
          <w:color w:val="000000" w:themeColor="text1"/>
          <w:highlight w:val="none"/>
          <w14:textFill>
            <w14:solidFill>
              <w14:schemeClr w14:val="tx1"/>
            </w14:solidFill>
          </w14:textFill>
        </w:rPr>
        <w:t xml:space="preserve">（2）对于第三条其他要求（包括第五章合同文本中约定的所有条款）</w:t>
      </w:r>
      <w:r>
        <w:rPr>
          <w:b w:val="0"/>
          <w:bCs w:val="0"/>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供应商完全同意条款（即无偏离）的可以不填写，供应商提出的不同意的条款（即负偏离）和对采购人更有利的条款（即正偏离）应在此表中说明，</w:t>
      </w:r>
      <w:r>
        <w:rPr>
          <w:b/>
          <w:bCs/>
          <w:color w:val="000000" w:themeColor="text1"/>
          <w14:textFill>
            <w14:solidFill>
              <w14:schemeClr w14:val="tx1"/>
            </w14:solidFill>
          </w14:textFill>
        </w:rPr>
        <w:t xml:space="preserve">正偏离和无偏离为响应，负偏离为不响应</w:t>
      </w:r>
      <w:r>
        <w:rPr>
          <w:color w:val="000000" w:themeColor="text1"/>
          <w14:textFill>
            <w14:solidFill>
              <w14:schemeClr w14:val="tx1"/>
            </w14:solidFill>
          </w14:textFill>
        </w:rPr>
        <w:t xml:space="preserve">。</w:t>
      </w:r>
      <w:r>
        <w:rPr>
          <w:color w:val="000000" w:themeColor="text1"/>
          <w14:textFill>
            <w14:solidFill>
              <w14:schemeClr w14:val="tx1"/>
            </w14:solidFill>
          </w14:textFill>
        </w:rPr>
        <w:br/>
      </w:r>
      <w:r/>
    </w:p>
    <w:p>
      <w:pPr>
        <w:ind w:left="420" w:firstLine="210"/>
        <w:spacing w:line="360" w:lineRule="auto"/>
        <w:rPr>
          <w:b/>
          <w:color w:val="000000" w:themeColor="text1"/>
          <w:sz w:val="22"/>
          <w:szCs w:val="21"/>
          <w14:textFill>
            <w14:solidFill>
              <w14:schemeClr w14:val="tx1"/>
            </w14:solidFill>
          </w14:textFill>
        </w:rPr>
      </w:pPr>
      <w:r>
        <w:br/>
      </w:r>
      <w:r>
        <w:rPr>
          <w:b/>
        </w:rPr>
        <w:t xml:space="preserve">我方（即供应商）保证：除上表中列出的不响应情况外，我方响应谈判文件的第三章第</w:t>
      </w:r>
      <w:r>
        <w:rPr>
          <w:rFonts w:hint="eastAsia"/>
          <w:b/>
          <w:lang w:eastAsia="zh-CN"/>
        </w:rPr>
        <w:t xml:space="preserve">二</w:t>
      </w:r>
      <w:r>
        <w:rPr>
          <w:b/>
        </w:rPr>
        <w:t xml:space="preserve">条</w:t>
      </w:r>
      <w:r>
        <w:rPr>
          <w:b/>
          <w:highlight w:val="none"/>
        </w:rPr>
        <w:t xml:space="preserve">标的物</w:t>
      </w:r>
      <w:r>
        <w:rPr>
          <w:rFonts w:hint="eastAsia"/>
          <w:b/>
          <w:highlight w:val="none"/>
          <w:lang w:eastAsia="zh-CN"/>
        </w:rPr>
        <w:t xml:space="preserve">清单的基础参数要求、技术参数要求</w:t>
      </w:r>
      <w:r>
        <w:rPr>
          <w:b/>
          <w:highlight w:val="none"/>
        </w:rPr>
        <w:t xml:space="preserve">、</w:t>
      </w:r>
      <w:r>
        <w:rPr>
          <w:rFonts w:hint="eastAsia"/>
          <w:b/>
          <w:highlight w:val="none"/>
        </w:rPr>
        <w:t xml:space="preserve">客梯功能要求</w:t>
      </w:r>
      <w:r>
        <w:rPr>
          <w:b/>
        </w:rPr>
        <w:t xml:space="preserve">以及第三条其它要求的全部内容。表中未填写的内容与采购需求内容相同无偏离。对同一事项，响应文件其它地方出现与本表响应情况不一致的，以本表内容为准。</w:t>
      </w:r>
      <w:bookmarkEnd w:id="103"/>
      <w:r/>
      <w:r/>
    </w:p>
    <w:p>
      <w:pPr>
        <w:ind w:firstLine="420"/>
        <w:spacing w:line="360" w:lineRule="auto"/>
        <w:rPr>
          <w:b/>
          <w:color w:val="000000" w:themeColor="text1"/>
          <w:sz w:val="22"/>
          <w:szCs w:val="21"/>
          <w14:textFill>
            <w14:solidFill>
              <w14:schemeClr w14:val="tx1"/>
            </w14:solidFill>
          </w14:textFill>
        </w:rPr>
      </w:pPr>
      <w:r>
        <w:rPr>
          <w:b/>
          <w:color w:val="000000" w:themeColor="text1"/>
          <w:sz w:val="22"/>
          <w:szCs w:val="21"/>
          <w14:textFill>
            <w14:solidFill>
              <w14:schemeClr w14:val="tx1"/>
            </w14:solidFill>
          </w14:textFill>
        </w:rPr>
      </w:r>
      <w:r/>
    </w:p>
    <w:p>
      <w:pPr>
        <w:ind w:firstLine="6090"/>
        <w:jc w:val="right"/>
        <w:spacing w:line="360" w:lineRule="auto"/>
        <w:rPr>
          <w:szCs w:val="21"/>
        </w:rPr>
      </w:pPr>
      <w:r/>
      <w:bookmarkStart w:id="104" w:name="_Hlk159239973"/>
      <w:r>
        <w:rPr>
          <w:szCs w:val="21"/>
        </w:rPr>
        <w:t xml:space="preserve">单位名称</w:t>
      </w:r>
      <w:r>
        <w:rPr>
          <w:szCs w:val="21"/>
        </w:rPr>
        <w:t xml:space="preserve">：（加盖CA电子公章） </w:t>
      </w:r>
      <w:r/>
    </w:p>
    <w:p>
      <w:pPr>
        <w:ind w:firstLine="420"/>
        <w:jc w:val="right"/>
        <w:spacing w:line="360" w:lineRule="auto"/>
        <w:rPr>
          <w:b/>
          <w:color w:val="000000" w:themeColor="text1"/>
          <w:sz w:val="22"/>
          <w:szCs w:val="21"/>
          <w14:textFill>
            <w14:solidFill>
              <w14:schemeClr w14:val="tx1"/>
            </w14:solidFill>
          </w14:textFill>
        </w:rPr>
      </w:pPr>
      <w:r>
        <w:rPr>
          <w:szCs w:val="21"/>
        </w:rPr>
        <w:t xml:space="preserve">日期：　　　　年　　  月　　  日</w:t>
      </w:r>
      <w:bookmarkEnd w:id="104"/>
      <w:r/>
      <w:bookmarkEnd w:id="99"/>
      <w:r/>
      <w:r/>
    </w:p>
    <w:p>
      <w:pPr>
        <w:ind w:firstLine="420"/>
        <w:spacing w:line="360" w:lineRule="auto"/>
        <w:rPr>
          <w:b/>
          <w:color w:val="000000" w:themeColor="text1"/>
          <w:sz w:val="22"/>
          <w:szCs w:val="21"/>
          <w14:textFill>
            <w14:solidFill>
              <w14:schemeClr w14:val="tx1"/>
            </w14:solidFill>
          </w14:textFill>
        </w:rPr>
      </w:pPr>
      <w:r>
        <w:rPr>
          <w:b/>
          <w:color w:val="000000" w:themeColor="text1"/>
          <w:sz w:val="22"/>
          <w:szCs w:val="21"/>
          <w14:textFill>
            <w14:solidFill>
              <w14:schemeClr w14:val="tx1"/>
            </w14:solidFill>
          </w14:textFill>
        </w:rPr>
      </w:r>
      <w:bookmarkEnd w:id="100"/>
      <w:r/>
      <w:r/>
    </w:p>
    <w:p>
      <w:pPr>
        <w:ind w:firstLine="482"/>
        <w:spacing w:line="360" w:lineRule="auto"/>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r>
      <w:r/>
    </w:p>
    <w:p>
      <w:pPr>
        <w:pStyle w:val="941"/>
        <w:ind w:right="240" w:firstLine="480"/>
        <w:jc w:val="right"/>
        <w:rPr>
          <w:rFonts w:ascii="Times New Roman"/>
          <w:color w:val="000000" w:themeColor="text1"/>
          <w14:textFill>
            <w14:solidFill>
              <w14:schemeClr w14:val="tx1"/>
            </w14:solidFill>
          </w14:textFill>
        </w:rPr>
      </w:pPr>
      <w:r>
        <w:rPr>
          <w:rFonts w:ascii="Times New Roman"/>
          <w:color w:val="000000" w:themeColor="text1"/>
          <w:sz w:val="24"/>
          <w14:textFill>
            <w14:solidFill>
              <w14:schemeClr w14:val="tx1"/>
            </w14:solidFill>
          </w14:textFill>
        </w:rPr>
        <w:t xml:space="preserve">（本文完）</w:t>
      </w:r>
      <w:r/>
    </w:p>
    <w:p>
      <w:pPr>
        <w:spacing w:line="42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r>
      <w:r/>
    </w:p>
    <w:p>
      <w:pPr>
        <w:spacing w:line="42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r>
      <w:r/>
    </w:p>
    <w:sectPr>
      <w:headerReference w:type="default" r:id="rId9"/>
      <w:footerReference w:type="default" r:id="rId10"/>
      <w:footerReference w:type="first" r:id="rId11"/>
      <w:footnotePr/>
      <w:endnotePr/>
      <w:type w:val="nextPage"/>
      <w:pgSz w:w="11906" w:h="16838" w:orient="portrait"/>
      <w:pgMar w:top="993" w:right="907" w:bottom="794" w:left="907" w:header="567" w:footer="23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Ubuntu">
    <w:panose1 w:val="020B0504030602030204"/>
  </w:font>
  <w:font w:name="PMingLiU">
    <w:panose1 w:val="02020500000000000000"/>
  </w:font>
  <w:font w:name="Symbol">
    <w:panose1 w:val="05050102010706020507"/>
  </w:font>
  <w:font w:name="Wingdings">
    <w:panose1 w:val="05000000000000000000"/>
  </w:font>
  <w:font w:name="华文楷体">
    <w:panose1 w:val="02010600040101010101"/>
  </w:font>
  <w:font w:name="楷体">
    <w:panose1 w:val="02010609060101010101"/>
  </w:font>
  <w:font w:name="等线">
    <w:panose1 w:val="02010600030101010101"/>
  </w:font>
  <w:font w:name="仿宋">
    <w:panose1 w:val="02010609060101010101"/>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Batang">
    <w:panose1 w:val="02010600040101010101"/>
  </w:font>
  <w:font w:name="微软雅黑">
    <w:panose1 w:val="020B0503020204020204"/>
  </w:font>
  <w:font w:name="Calibri">
    <w:panose1 w:val="020F0502020204030204"/>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pPr>
    <w:r>
      <w:fldChar w:fldCharType="begin"/>
    </w:r>
    <w:r>
      <w:instrText xml:space="preserve"> PAGE   \* MERGEFORMAT </w:instrText>
    </w:r>
    <w:r>
      <w:fldChar w:fldCharType="separate"/>
    </w:r>
    <w:r>
      <w:rPr>
        <w:lang w:val="zh-CN"/>
      </w:rPr>
      <w:t xml:space="preserve">13</w:t>
    </w:r>
    <w:r>
      <w:rPr>
        <w:lang w:val="zh-CN"/>
      </w:rPr>
      <w:fldChar w:fldCharType="end"/>
    </w:r>
    <w:r/>
  </w:p>
  <w:p>
    <w:pPr>
      <w:pStyle w:val="9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pPr>
    <w:r/>
    <w:r/>
  </w:p>
  <w:p>
    <w:pPr>
      <w:pStyle w:val="9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both"/>
    </w:pPr>
    <w:r>
      <w:t xml:space="preserve">苏州</w:t>
    </w:r>
    <w:r>
      <w:rPr>
        <w:rFonts w:hint="eastAsia"/>
      </w:rPr>
      <w:t xml:space="preserve">工业园区集中采购中心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04" w:hanging="600"/>
      </w:pPr>
      <w:rPr>
        <w:rFonts w:hint="default"/>
      </w:rPr>
    </w:lvl>
    <w:lvl w:ilvl="1">
      <w:start w:val="1"/>
      <w:numFmt w:val="lowerLetter"/>
      <w:isLgl w:val="false"/>
      <w:suff w:val="tab"/>
      <w:lvlText w:val="%2)"/>
      <w:lvlJc w:val="left"/>
      <w:pPr>
        <w:ind w:left="844" w:hanging="420"/>
      </w:pPr>
    </w:lvl>
    <w:lvl w:ilvl="2">
      <w:start w:val="1"/>
      <w:numFmt w:val="lowerRoman"/>
      <w:isLgl w:val="false"/>
      <w:suff w:val="tab"/>
      <w:lvlText w:val="%3."/>
      <w:lvlJc w:val="right"/>
      <w:pPr>
        <w:ind w:left="1264" w:hanging="420"/>
      </w:pPr>
    </w:lvl>
    <w:lvl w:ilvl="3">
      <w:start w:val="1"/>
      <w:numFmt w:val="decimal"/>
      <w:isLgl w:val="false"/>
      <w:suff w:val="tab"/>
      <w:lvlText w:val="%4."/>
      <w:lvlJc w:val="left"/>
      <w:pPr>
        <w:ind w:left="1684" w:hanging="420"/>
      </w:pPr>
    </w:lvl>
    <w:lvl w:ilvl="4">
      <w:start w:val="1"/>
      <w:numFmt w:val="lowerLetter"/>
      <w:isLgl w:val="false"/>
      <w:suff w:val="tab"/>
      <w:lvlText w:val="%5)"/>
      <w:lvlJc w:val="left"/>
      <w:pPr>
        <w:ind w:left="2104" w:hanging="420"/>
      </w:pPr>
    </w:lvl>
    <w:lvl w:ilvl="5">
      <w:start w:val="1"/>
      <w:numFmt w:val="lowerRoman"/>
      <w:isLgl w:val="false"/>
      <w:suff w:val="tab"/>
      <w:lvlText w:val="%6."/>
      <w:lvlJc w:val="right"/>
      <w:pPr>
        <w:ind w:left="2524" w:hanging="420"/>
      </w:pPr>
    </w:lvl>
    <w:lvl w:ilvl="6">
      <w:start w:val="1"/>
      <w:numFmt w:val="decimal"/>
      <w:isLgl w:val="false"/>
      <w:suff w:val="tab"/>
      <w:lvlText w:val="%7."/>
      <w:lvlJc w:val="left"/>
      <w:pPr>
        <w:ind w:left="2944" w:hanging="420"/>
      </w:pPr>
    </w:lvl>
    <w:lvl w:ilvl="7">
      <w:start w:val="1"/>
      <w:numFmt w:val="lowerLetter"/>
      <w:isLgl w:val="false"/>
      <w:suff w:val="tab"/>
      <w:lvlText w:val="%8)"/>
      <w:lvlJc w:val="left"/>
      <w:pPr>
        <w:ind w:left="3364" w:hanging="420"/>
      </w:pPr>
    </w:lvl>
    <w:lvl w:ilvl="8">
      <w:start w:val="1"/>
      <w:numFmt w:val="lowerRoman"/>
      <w:isLgl w:val="false"/>
      <w:suff w:val="tab"/>
      <w:lvlText w:val="%9."/>
      <w:lvlJc w:val="right"/>
      <w:pPr>
        <w:ind w:left="3784" w:hanging="420"/>
      </w:pPr>
    </w:lvl>
  </w:abstractNum>
  <w:abstractNum w:abstractNumId="1">
    <w:multiLevelType w:val="hybridMultilevel"/>
    <w:lvl w:ilvl="0">
      <w:start w:val="1"/>
      <w:numFmt w:val="decimal"/>
      <w:isLgl w:val="false"/>
      <w:suff w:val="tab"/>
      <w:lvlText w:val="（%1）"/>
      <w:lvlJc w:val="left"/>
      <w:pPr>
        <w:ind w:left="604" w:hanging="600"/>
      </w:pPr>
      <w:rPr>
        <w:rFonts w:hint="default"/>
      </w:rPr>
    </w:lvl>
    <w:lvl w:ilvl="1">
      <w:start w:val="1"/>
      <w:numFmt w:val="lowerLetter"/>
      <w:isLgl w:val="false"/>
      <w:suff w:val="tab"/>
      <w:lvlText w:val="%2)"/>
      <w:lvlJc w:val="left"/>
      <w:pPr>
        <w:ind w:left="844" w:hanging="420"/>
      </w:pPr>
    </w:lvl>
    <w:lvl w:ilvl="2">
      <w:start w:val="1"/>
      <w:numFmt w:val="lowerRoman"/>
      <w:isLgl w:val="false"/>
      <w:suff w:val="tab"/>
      <w:lvlText w:val="%3."/>
      <w:lvlJc w:val="right"/>
      <w:pPr>
        <w:ind w:left="1264" w:hanging="420"/>
      </w:pPr>
    </w:lvl>
    <w:lvl w:ilvl="3">
      <w:start w:val="1"/>
      <w:numFmt w:val="decimal"/>
      <w:isLgl w:val="false"/>
      <w:suff w:val="tab"/>
      <w:lvlText w:val="%4."/>
      <w:lvlJc w:val="left"/>
      <w:pPr>
        <w:ind w:left="1684" w:hanging="420"/>
      </w:pPr>
    </w:lvl>
    <w:lvl w:ilvl="4">
      <w:start w:val="1"/>
      <w:numFmt w:val="lowerLetter"/>
      <w:isLgl w:val="false"/>
      <w:suff w:val="tab"/>
      <w:lvlText w:val="%5)"/>
      <w:lvlJc w:val="left"/>
      <w:pPr>
        <w:ind w:left="2104" w:hanging="420"/>
      </w:pPr>
    </w:lvl>
    <w:lvl w:ilvl="5">
      <w:start w:val="1"/>
      <w:numFmt w:val="lowerRoman"/>
      <w:isLgl w:val="false"/>
      <w:suff w:val="tab"/>
      <w:lvlText w:val="%6."/>
      <w:lvlJc w:val="right"/>
      <w:pPr>
        <w:ind w:left="2524" w:hanging="420"/>
      </w:pPr>
    </w:lvl>
    <w:lvl w:ilvl="6">
      <w:start w:val="1"/>
      <w:numFmt w:val="decimal"/>
      <w:isLgl w:val="false"/>
      <w:suff w:val="tab"/>
      <w:lvlText w:val="%7."/>
      <w:lvlJc w:val="left"/>
      <w:pPr>
        <w:ind w:left="2944" w:hanging="420"/>
      </w:pPr>
    </w:lvl>
    <w:lvl w:ilvl="7">
      <w:start w:val="1"/>
      <w:numFmt w:val="lowerLetter"/>
      <w:isLgl w:val="false"/>
      <w:suff w:val="tab"/>
      <w:lvlText w:val="%8)"/>
      <w:lvlJc w:val="left"/>
      <w:pPr>
        <w:ind w:left="3364" w:hanging="420"/>
      </w:pPr>
    </w:lvl>
    <w:lvl w:ilvl="8">
      <w:start w:val="1"/>
      <w:numFmt w:val="lowerRoman"/>
      <w:isLgl w:val="false"/>
      <w:suff w:val="tab"/>
      <w:lvlText w:val="%9."/>
      <w:lvlJc w:val="right"/>
      <w:pPr>
        <w:ind w:left="3784" w:hanging="420"/>
      </w:pPr>
    </w:lvl>
  </w:abstractNum>
  <w:abstractNum w:abstractNumId="2">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chineseCounting"/>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0">
    <w:multiLevelType w:val="hybridMultilevel"/>
    <w:lvl w:ilvl="0">
      <w:start w:val="1"/>
      <w:numFmt w:val="chineseCountingThousand"/>
      <w:pStyle w:val="1031"/>
      <w:isLgl w:val="false"/>
      <w:suff w:val="tab"/>
      <w:lvlText w:val="%1、"/>
      <w:lvlJc w:val="left"/>
      <w:pPr>
        <w:ind w:left="0" w:firstLine="0"/>
      </w:pPr>
      <w:rPr>
        <w:rFonts w:hint="eastAsia"/>
      </w:rPr>
    </w:lvl>
    <w:lvl w:ilvl="1">
      <w:start w:val="1"/>
      <w:numFmt w:val="chineseCountingThousand"/>
      <w:pStyle w:val="1030"/>
      <w:isLgl w:val="false"/>
      <w:suff w:val="tab"/>
      <w:lvlText w:val="(%2)"/>
      <w:lvlJc w:val="left"/>
      <w:pPr>
        <w:ind w:left="0" w:firstLine="0"/>
      </w:pPr>
    </w:lvl>
    <w:lvl w:ilvl="2">
      <w:start w:val="1"/>
      <w:numFmt w:val="decimal"/>
      <w:pStyle w:val="1039"/>
      <w:isLgl w:val="false"/>
      <w:suff w:val="tab"/>
      <w:lvlText w:val="%3."/>
      <w:lvlJc w:val="left"/>
      <w:pPr>
        <w:ind w:left="709" w:firstLine="0"/>
      </w:pPr>
      <w:rPr>
        <w:rFonts w:hint="eastAsia"/>
      </w:rPr>
    </w:lvl>
    <w:lvl w:ilvl="3">
      <w:start w:val="1"/>
      <w:numFmt w:val="decimal"/>
      <w:pStyle w:val="1038"/>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11">
    <w:multiLevelType w:val="hybridMultilevel"/>
    <w:lvl w:ilvl="0">
      <w:start w:val="1"/>
      <w:numFmt w:val="chineseCountingThousand"/>
      <w:pStyle w:val="878"/>
      <w:isLgl w:val="false"/>
      <w:suff w:val="tab"/>
      <w:lvlText w:val="%1、"/>
      <w:lvlJc w:val="left"/>
      <w:pPr>
        <w:ind w:left="420" w:hanging="420"/>
      </w:pPr>
      <w:rPr>
        <w:rFonts w:ascii="Times New Roman" w:hAnsi="Times New Roman" w:cs="Times New Roman"/>
        <w:b w:val="0"/>
        <w:bCs w:val="0"/>
        <w:i w:val="0"/>
        <w:iCs w:val="0"/>
        <w:caps w:val="0"/>
        <w:smallCaps w:val="0"/>
        <w:strike w:val="0"/>
        <w:vanish w:val="0"/>
        <w:color w:val="000000"/>
        <w:spacing w:val="0"/>
        <w:position w:val="0"/>
        <w:u w:val="none"/>
        <w:vertAlign w:val="baseline"/>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chineseCountingThousand"/>
      <w:isLgl w:val="false"/>
      <w:suff w:val="tab"/>
      <w:lvlText w:val="%1、"/>
      <w:lvlJc w:val="left"/>
      <w:pPr>
        <w:ind w:left="631" w:hanging="420"/>
      </w:pPr>
    </w:lvl>
    <w:lvl w:ilvl="1">
      <w:start w:val="1"/>
      <w:numFmt w:val="lowerLetter"/>
      <w:isLgl w:val="false"/>
      <w:suff w:val="tab"/>
      <w:lvlText w:val="%2)"/>
      <w:lvlJc w:val="left"/>
      <w:pPr>
        <w:ind w:left="1051" w:hanging="420"/>
      </w:pPr>
    </w:lvl>
    <w:lvl w:ilvl="2">
      <w:start w:val="1"/>
      <w:numFmt w:val="lowerRoman"/>
      <w:isLgl w:val="false"/>
      <w:suff w:val="tab"/>
      <w:lvlText w:val="%3."/>
      <w:lvlJc w:val="right"/>
      <w:pPr>
        <w:ind w:left="1471" w:hanging="420"/>
      </w:pPr>
    </w:lvl>
    <w:lvl w:ilvl="3">
      <w:start w:val="1"/>
      <w:numFmt w:val="decimal"/>
      <w:isLgl w:val="false"/>
      <w:suff w:val="tab"/>
      <w:lvlText w:val="%4."/>
      <w:lvlJc w:val="left"/>
      <w:pPr>
        <w:ind w:left="1891" w:hanging="420"/>
      </w:pPr>
    </w:lvl>
    <w:lvl w:ilvl="4">
      <w:start w:val="1"/>
      <w:numFmt w:val="lowerLetter"/>
      <w:isLgl w:val="false"/>
      <w:suff w:val="tab"/>
      <w:lvlText w:val="%5)"/>
      <w:lvlJc w:val="left"/>
      <w:pPr>
        <w:ind w:left="2311" w:hanging="420"/>
      </w:pPr>
    </w:lvl>
    <w:lvl w:ilvl="5">
      <w:start w:val="1"/>
      <w:numFmt w:val="lowerRoman"/>
      <w:isLgl w:val="false"/>
      <w:suff w:val="tab"/>
      <w:lvlText w:val="%6."/>
      <w:lvlJc w:val="right"/>
      <w:pPr>
        <w:ind w:left="2731" w:hanging="420"/>
      </w:pPr>
    </w:lvl>
    <w:lvl w:ilvl="6">
      <w:start w:val="1"/>
      <w:numFmt w:val="decimal"/>
      <w:isLgl w:val="false"/>
      <w:suff w:val="tab"/>
      <w:lvlText w:val="%7."/>
      <w:lvlJc w:val="left"/>
      <w:pPr>
        <w:ind w:left="3151" w:hanging="420"/>
      </w:pPr>
    </w:lvl>
    <w:lvl w:ilvl="7">
      <w:start w:val="1"/>
      <w:numFmt w:val="lowerLetter"/>
      <w:isLgl w:val="false"/>
      <w:suff w:val="tab"/>
      <w:lvlText w:val="%8)"/>
      <w:lvlJc w:val="left"/>
      <w:pPr>
        <w:ind w:left="3571" w:hanging="420"/>
      </w:pPr>
    </w:lvl>
    <w:lvl w:ilvl="8">
      <w:start w:val="1"/>
      <w:numFmt w:val="lowerRoman"/>
      <w:isLgl w:val="false"/>
      <w:suff w:val="tab"/>
      <w:lvlText w:val="%9."/>
      <w:lvlJc w:val="right"/>
      <w:pPr>
        <w:ind w:left="3991" w:hanging="420"/>
      </w:pPr>
    </w:lvl>
  </w:abstractNum>
  <w:abstractNum w:abstractNumId="13">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567" w:hanging="567"/>
      </w:pPr>
    </w:lvl>
    <w:lvl w:ilvl="2">
      <w:start w:val="1"/>
      <w:numFmt w:val="decimal"/>
      <w:pStyle w:val="1020"/>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604" w:hanging="600"/>
      </w:pPr>
      <w:rPr>
        <w:rFonts w:hint="default"/>
      </w:rPr>
    </w:lvl>
    <w:lvl w:ilvl="1">
      <w:start w:val="1"/>
      <w:numFmt w:val="lowerLetter"/>
      <w:isLgl w:val="false"/>
      <w:suff w:val="tab"/>
      <w:lvlText w:val="%2)"/>
      <w:lvlJc w:val="left"/>
      <w:pPr>
        <w:ind w:left="844" w:hanging="420"/>
      </w:pPr>
    </w:lvl>
    <w:lvl w:ilvl="2">
      <w:start w:val="1"/>
      <w:numFmt w:val="lowerRoman"/>
      <w:isLgl w:val="false"/>
      <w:suff w:val="tab"/>
      <w:lvlText w:val="%3."/>
      <w:lvlJc w:val="right"/>
      <w:pPr>
        <w:ind w:left="1264" w:hanging="420"/>
      </w:pPr>
    </w:lvl>
    <w:lvl w:ilvl="3">
      <w:start w:val="1"/>
      <w:numFmt w:val="decimal"/>
      <w:isLgl w:val="false"/>
      <w:suff w:val="tab"/>
      <w:lvlText w:val="%4."/>
      <w:lvlJc w:val="left"/>
      <w:pPr>
        <w:ind w:left="1684" w:hanging="420"/>
      </w:pPr>
    </w:lvl>
    <w:lvl w:ilvl="4">
      <w:start w:val="1"/>
      <w:numFmt w:val="lowerLetter"/>
      <w:isLgl w:val="false"/>
      <w:suff w:val="tab"/>
      <w:lvlText w:val="%5)"/>
      <w:lvlJc w:val="left"/>
      <w:pPr>
        <w:ind w:left="2104" w:hanging="420"/>
      </w:pPr>
    </w:lvl>
    <w:lvl w:ilvl="5">
      <w:start w:val="1"/>
      <w:numFmt w:val="lowerRoman"/>
      <w:isLgl w:val="false"/>
      <w:suff w:val="tab"/>
      <w:lvlText w:val="%6."/>
      <w:lvlJc w:val="right"/>
      <w:pPr>
        <w:ind w:left="2524" w:hanging="420"/>
      </w:pPr>
    </w:lvl>
    <w:lvl w:ilvl="6">
      <w:start w:val="1"/>
      <w:numFmt w:val="decimal"/>
      <w:isLgl w:val="false"/>
      <w:suff w:val="tab"/>
      <w:lvlText w:val="%7."/>
      <w:lvlJc w:val="left"/>
      <w:pPr>
        <w:ind w:left="2944" w:hanging="420"/>
      </w:pPr>
    </w:lvl>
    <w:lvl w:ilvl="7">
      <w:start w:val="1"/>
      <w:numFmt w:val="lowerLetter"/>
      <w:isLgl w:val="false"/>
      <w:suff w:val="tab"/>
      <w:lvlText w:val="%8)"/>
      <w:lvlJc w:val="left"/>
      <w:pPr>
        <w:ind w:left="3364" w:hanging="420"/>
      </w:pPr>
    </w:lvl>
    <w:lvl w:ilvl="8">
      <w:start w:val="1"/>
      <w:numFmt w:val="lowerRoman"/>
      <w:isLgl w:val="false"/>
      <w:suff w:val="tab"/>
      <w:lvlText w:val="%9."/>
      <w:lvlJc w:val="right"/>
      <w:pPr>
        <w:ind w:left="3784" w:hanging="420"/>
      </w:pPr>
    </w:lvl>
  </w:abstractNum>
  <w:abstractNum w:abstractNumId="16">
    <w:multiLevelType w:val="hybridMultilevel"/>
    <w:lvl w:ilvl="0">
      <w:start w:val="1"/>
      <w:numFmt w:val="decimal"/>
      <w:isLgl w:val="false"/>
      <w:suff w:val="tab"/>
      <w:lvlText w:val="（%1）"/>
      <w:lvlJc w:val="left"/>
      <w:pPr>
        <w:ind w:left="604" w:hanging="600"/>
      </w:pPr>
      <w:rPr>
        <w:rFonts w:hint="default"/>
      </w:rPr>
    </w:lvl>
    <w:lvl w:ilvl="1">
      <w:start w:val="1"/>
      <w:numFmt w:val="lowerLetter"/>
      <w:isLgl w:val="false"/>
      <w:suff w:val="tab"/>
      <w:lvlText w:val="%2)"/>
      <w:lvlJc w:val="left"/>
      <w:pPr>
        <w:ind w:left="844" w:hanging="420"/>
      </w:pPr>
    </w:lvl>
    <w:lvl w:ilvl="2">
      <w:start w:val="1"/>
      <w:numFmt w:val="lowerRoman"/>
      <w:isLgl w:val="false"/>
      <w:suff w:val="tab"/>
      <w:lvlText w:val="%3."/>
      <w:lvlJc w:val="right"/>
      <w:pPr>
        <w:ind w:left="1264" w:hanging="420"/>
      </w:pPr>
    </w:lvl>
    <w:lvl w:ilvl="3">
      <w:start w:val="1"/>
      <w:numFmt w:val="decimal"/>
      <w:isLgl w:val="false"/>
      <w:suff w:val="tab"/>
      <w:lvlText w:val="%4."/>
      <w:lvlJc w:val="left"/>
      <w:pPr>
        <w:ind w:left="1684" w:hanging="420"/>
      </w:pPr>
    </w:lvl>
    <w:lvl w:ilvl="4">
      <w:start w:val="1"/>
      <w:numFmt w:val="lowerLetter"/>
      <w:isLgl w:val="false"/>
      <w:suff w:val="tab"/>
      <w:lvlText w:val="%5)"/>
      <w:lvlJc w:val="left"/>
      <w:pPr>
        <w:ind w:left="2104" w:hanging="420"/>
      </w:pPr>
    </w:lvl>
    <w:lvl w:ilvl="5">
      <w:start w:val="1"/>
      <w:numFmt w:val="lowerRoman"/>
      <w:isLgl w:val="false"/>
      <w:suff w:val="tab"/>
      <w:lvlText w:val="%6."/>
      <w:lvlJc w:val="right"/>
      <w:pPr>
        <w:ind w:left="2524" w:hanging="420"/>
      </w:pPr>
    </w:lvl>
    <w:lvl w:ilvl="6">
      <w:start w:val="1"/>
      <w:numFmt w:val="decimal"/>
      <w:isLgl w:val="false"/>
      <w:suff w:val="tab"/>
      <w:lvlText w:val="%7."/>
      <w:lvlJc w:val="left"/>
      <w:pPr>
        <w:ind w:left="2944" w:hanging="420"/>
      </w:pPr>
    </w:lvl>
    <w:lvl w:ilvl="7">
      <w:start w:val="1"/>
      <w:numFmt w:val="lowerLetter"/>
      <w:isLgl w:val="false"/>
      <w:suff w:val="tab"/>
      <w:lvlText w:val="%8)"/>
      <w:lvlJc w:val="left"/>
      <w:pPr>
        <w:ind w:left="3364" w:hanging="420"/>
      </w:pPr>
    </w:lvl>
    <w:lvl w:ilvl="8">
      <w:start w:val="1"/>
      <w:numFmt w:val="lowerRoman"/>
      <w:isLgl w:val="false"/>
      <w:suff w:val="tab"/>
      <w:lvlText w:val="%9."/>
      <w:lvlJc w:val="right"/>
      <w:pPr>
        <w:ind w:left="3784" w:hanging="420"/>
      </w:pPr>
    </w:lvl>
  </w:abstractNum>
  <w:abstractNum w:abstractNumId="17">
    <w:multiLevelType w:val="hybridMultilevel"/>
    <w:lvl w:ilvl="0">
      <w:start w:val="1"/>
      <w:numFmt w:val="decimal"/>
      <w:isLgl w:val="false"/>
      <w:suff w:val="tab"/>
      <w:lvlText w:val="%1、"/>
      <w:lvlJc w:val="left"/>
      <w:pPr>
        <w:ind w:left="882" w:hanging="315"/>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8">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277" w:hanging="567"/>
      </w:pPr>
      <w:rPr>
        <w:b/>
      </w:rPr>
    </w:lvl>
    <w:lvl w:ilvl="2">
      <w:start w:val="1"/>
      <w:numFmt w:val="decimal"/>
      <w:isLgl w:val="false"/>
      <w:suff w:val="tab"/>
      <w:lvlText w:val="%1.%2.%3"/>
      <w:lvlJc w:val="left"/>
      <w:pPr>
        <w:ind w:left="5246" w:hanging="567"/>
      </w:pPr>
      <w:rPr>
        <w:b w:val="0"/>
      </w:r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9">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993"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0">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1">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abstractNum w:abstractNumId="24">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13"/>
  </w:num>
  <w:num w:numId="3">
    <w:abstractNumId w:val="10"/>
  </w:num>
  <w:num w:numId="4">
    <w:abstractNumId w:val="21"/>
  </w:num>
  <w:num w:numId="5">
    <w:abstractNumId w:val="23"/>
  </w:num>
  <w:num w:numId="6">
    <w:abstractNumId w:val="14"/>
  </w:num>
  <w:num w:numId="7">
    <w:abstractNumId w:val="18"/>
  </w:num>
  <w:num w:numId="8">
    <w:abstractNumId w:val="19"/>
  </w:num>
  <w:num w:numId="9">
    <w:abstractNumId w:val="12"/>
  </w:num>
  <w:num w:numId="10">
    <w:abstractNumId w:val="7"/>
  </w:num>
  <w:num w:numId="11">
    <w:abstractNumId w:val="15"/>
  </w:num>
  <w:num w:numId="12">
    <w:abstractNumId w:val="1"/>
  </w:num>
  <w:num w:numId="13">
    <w:abstractNumId w:val="0"/>
  </w:num>
  <w:num w:numId="14">
    <w:abstractNumId w:val="16"/>
  </w:num>
  <w:num w:numId="15">
    <w:abstractNumId w:val="22"/>
  </w:num>
  <w:num w:numId="16">
    <w:abstractNumId w:val="24"/>
    <w:lvlOverride w:ilvl="0">
      <w:startOverride w:val="1"/>
    </w:lvlOverride>
  </w:num>
  <w:num w:numId="17">
    <w:abstractNumId w:val="3"/>
    <w:lvlOverride w:ilvl="0">
      <w:startOverride w:val="1"/>
    </w:lvlOverride>
  </w:num>
  <w:num w:numId="18">
    <w:abstractNumId w:val="8"/>
    <w:lvlOverride w:ilvl="0">
      <w:startOverride w:val="1"/>
    </w:lvlOverride>
  </w:num>
  <w:num w:numId="19">
    <w:abstractNumId w:val="5"/>
    <w:lvlOverride w:ilvl="0">
      <w:startOverride w:val="2"/>
    </w:lvlOverride>
  </w:num>
  <w:num w:numId="20">
    <w:abstractNumId w:val="4"/>
    <w:lvlOverride w:ilvl="0">
      <w:startOverride w:val="6"/>
    </w:lvlOverride>
  </w:num>
  <w:num w:numId="21">
    <w:abstractNumId w:val="2"/>
    <w:lvlOverride w:ilvl="0">
      <w:startOverride w:val="16"/>
    </w:lvlOverride>
  </w:num>
  <w:num w:numId="22">
    <w:abstractNumId w:val="6"/>
    <w:lvlOverride w:ilvl="0">
      <w:startOverride w:val="23"/>
    </w:lvlOverride>
  </w:num>
  <w:num w:numId="23">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7">
    <w:name w:val="Heading 1 Char"/>
    <w:basedOn w:val="887"/>
    <w:link w:val="878"/>
    <w:uiPriority w:val="9"/>
    <w:rPr>
      <w:rFonts w:ascii="Arial" w:hAnsi="Arial" w:eastAsia="Arial" w:cs="Arial"/>
      <w:sz w:val="40"/>
      <w:szCs w:val="40"/>
    </w:rPr>
  </w:style>
  <w:style w:type="character" w:styleId="728">
    <w:name w:val="Heading 2 Char"/>
    <w:basedOn w:val="887"/>
    <w:link w:val="879"/>
    <w:uiPriority w:val="9"/>
    <w:rPr>
      <w:rFonts w:ascii="Arial" w:hAnsi="Arial" w:eastAsia="Arial" w:cs="Arial"/>
      <w:sz w:val="34"/>
    </w:rPr>
  </w:style>
  <w:style w:type="character" w:styleId="729">
    <w:name w:val="Heading 3 Char"/>
    <w:basedOn w:val="887"/>
    <w:link w:val="880"/>
    <w:uiPriority w:val="9"/>
    <w:rPr>
      <w:rFonts w:ascii="Arial" w:hAnsi="Arial" w:eastAsia="Arial" w:cs="Arial"/>
      <w:sz w:val="30"/>
      <w:szCs w:val="30"/>
    </w:rPr>
  </w:style>
  <w:style w:type="character" w:styleId="730">
    <w:name w:val="Heading 4 Char"/>
    <w:basedOn w:val="887"/>
    <w:link w:val="881"/>
    <w:uiPriority w:val="9"/>
    <w:rPr>
      <w:rFonts w:ascii="Arial" w:hAnsi="Arial" w:eastAsia="Arial" w:cs="Arial"/>
      <w:b/>
      <w:bCs/>
      <w:sz w:val="26"/>
      <w:szCs w:val="26"/>
    </w:rPr>
  </w:style>
  <w:style w:type="character" w:styleId="731">
    <w:name w:val="Heading 5 Char"/>
    <w:basedOn w:val="887"/>
    <w:link w:val="882"/>
    <w:uiPriority w:val="9"/>
    <w:rPr>
      <w:rFonts w:ascii="Arial" w:hAnsi="Arial" w:eastAsia="Arial" w:cs="Arial"/>
      <w:b/>
      <w:bCs/>
      <w:sz w:val="24"/>
      <w:szCs w:val="24"/>
    </w:rPr>
  </w:style>
  <w:style w:type="character" w:styleId="732">
    <w:name w:val="Heading 6 Char"/>
    <w:basedOn w:val="887"/>
    <w:link w:val="883"/>
    <w:uiPriority w:val="9"/>
    <w:rPr>
      <w:rFonts w:ascii="Arial" w:hAnsi="Arial" w:eastAsia="Arial" w:cs="Arial"/>
      <w:b/>
      <w:bCs/>
      <w:sz w:val="22"/>
      <w:szCs w:val="22"/>
    </w:rPr>
  </w:style>
  <w:style w:type="character" w:styleId="733">
    <w:name w:val="Heading 7 Char"/>
    <w:basedOn w:val="887"/>
    <w:link w:val="884"/>
    <w:uiPriority w:val="9"/>
    <w:rPr>
      <w:rFonts w:ascii="Arial" w:hAnsi="Arial" w:eastAsia="Arial" w:cs="Arial"/>
      <w:b/>
      <w:bCs/>
      <w:i/>
      <w:iCs/>
      <w:sz w:val="22"/>
      <w:szCs w:val="22"/>
    </w:rPr>
  </w:style>
  <w:style w:type="character" w:styleId="734">
    <w:name w:val="Heading 8 Char"/>
    <w:basedOn w:val="887"/>
    <w:link w:val="885"/>
    <w:uiPriority w:val="9"/>
    <w:rPr>
      <w:rFonts w:ascii="Arial" w:hAnsi="Arial" w:eastAsia="Arial" w:cs="Arial"/>
      <w:i/>
      <w:iCs/>
      <w:sz w:val="22"/>
      <w:szCs w:val="22"/>
    </w:rPr>
  </w:style>
  <w:style w:type="character" w:styleId="735">
    <w:name w:val="Heading 9 Char"/>
    <w:basedOn w:val="887"/>
    <w:link w:val="886"/>
    <w:uiPriority w:val="9"/>
    <w:rPr>
      <w:rFonts w:ascii="Arial" w:hAnsi="Arial" w:eastAsia="Arial" w:cs="Arial"/>
      <w:i/>
      <w:iCs/>
      <w:sz w:val="21"/>
      <w:szCs w:val="21"/>
    </w:rPr>
  </w:style>
  <w:style w:type="paragraph" w:styleId="736">
    <w:name w:val="Title"/>
    <w:basedOn w:val="877"/>
    <w:next w:val="877"/>
    <w:link w:val="737"/>
    <w:uiPriority w:val="10"/>
    <w:qFormat/>
    <w:pPr>
      <w:contextualSpacing/>
      <w:spacing w:before="300" w:after="200"/>
    </w:pPr>
    <w:rPr>
      <w:sz w:val="48"/>
      <w:szCs w:val="48"/>
    </w:rPr>
  </w:style>
  <w:style w:type="character" w:styleId="737">
    <w:name w:val="Title Char"/>
    <w:basedOn w:val="887"/>
    <w:link w:val="736"/>
    <w:uiPriority w:val="10"/>
    <w:rPr>
      <w:sz w:val="48"/>
      <w:szCs w:val="48"/>
    </w:rPr>
  </w:style>
  <w:style w:type="paragraph" w:styleId="738">
    <w:name w:val="Subtitle"/>
    <w:basedOn w:val="877"/>
    <w:next w:val="877"/>
    <w:link w:val="739"/>
    <w:uiPriority w:val="11"/>
    <w:qFormat/>
    <w:pPr>
      <w:spacing w:before="200" w:after="200"/>
    </w:pPr>
    <w:rPr>
      <w:sz w:val="24"/>
      <w:szCs w:val="24"/>
    </w:rPr>
  </w:style>
  <w:style w:type="character" w:styleId="739">
    <w:name w:val="Subtitle Char"/>
    <w:basedOn w:val="887"/>
    <w:link w:val="738"/>
    <w:uiPriority w:val="11"/>
    <w:rPr>
      <w:sz w:val="24"/>
      <w:szCs w:val="24"/>
    </w:rPr>
  </w:style>
  <w:style w:type="paragraph" w:styleId="740">
    <w:name w:val="Quote"/>
    <w:basedOn w:val="877"/>
    <w:next w:val="877"/>
    <w:link w:val="741"/>
    <w:uiPriority w:val="29"/>
    <w:qFormat/>
    <w:pPr>
      <w:ind w:left="720" w:right="720"/>
    </w:pPr>
    <w:rPr>
      <w:i/>
    </w:rPr>
  </w:style>
  <w:style w:type="character" w:styleId="741">
    <w:name w:val="Quote Char"/>
    <w:link w:val="740"/>
    <w:uiPriority w:val="29"/>
    <w:rPr>
      <w:i/>
    </w:rPr>
  </w:style>
  <w:style w:type="paragraph" w:styleId="742">
    <w:name w:val="Intense Quote"/>
    <w:basedOn w:val="877"/>
    <w:next w:val="877"/>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name w:val="Intense Quote Char"/>
    <w:link w:val="742"/>
    <w:uiPriority w:val="30"/>
    <w:rPr>
      <w:i/>
    </w:rPr>
  </w:style>
  <w:style w:type="character" w:styleId="744">
    <w:name w:val="Header Char"/>
    <w:basedOn w:val="887"/>
    <w:link w:val="912"/>
    <w:uiPriority w:val="99"/>
  </w:style>
  <w:style w:type="character" w:styleId="745">
    <w:name w:val="Footer Char"/>
    <w:basedOn w:val="887"/>
    <w:link w:val="911"/>
    <w:uiPriority w:val="99"/>
  </w:style>
  <w:style w:type="character" w:styleId="746">
    <w:name w:val="Caption Char"/>
    <w:basedOn w:val="893"/>
    <w:link w:val="911"/>
    <w:uiPriority w:val="99"/>
  </w:style>
  <w:style w:type="table" w:styleId="747">
    <w:name w:val="Table Grid Light"/>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basedOn w:val="8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basedOn w:val="8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basedOn w:val="8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basedOn w:val="8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basedOn w:val="8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basedOn w:val="8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basedOn w:val="8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basedOn w:val="8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basedOn w:val="8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3">
    <w:name w:val="Grid Table 5 Dark - Accent 2"/>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4">
    <w:name w:val="Grid Table 5 Dark - Accent 3"/>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5">
    <w:name w:val="Grid Table 5 Dark- Accent 4"/>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6">
    <w:name w:val="Grid Table 5 Dark - Accent 5"/>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7">
    <w:name w:val="Grid Table 5 Dark - Accent 6"/>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8">
    <w:name w:val="Grid Table 6 Colorful"/>
    <w:basedOn w:val="8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basedOn w:val="8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basedOn w:val="8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basedOn w:val="8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6 Colorful - Accent 6"/>
    <w:basedOn w:val="8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7 Colorful"/>
    <w:basedOn w:val="8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basedOn w:val="8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basedOn w:val="8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basedOn w:val="8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basedOn w:val="8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basedOn w:val="8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basedOn w:val="8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basedOn w:val="8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basedOn w:val="88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basedOn w:val="88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basedOn w:val="88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basedOn w:val="88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basedOn w:val="88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basedOn w:val="88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basedOn w:val="8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basedOn w:val="8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basedOn w:val="8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basedOn w:val="8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basedOn w:val="8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basedOn w:val="8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basedOn w:val="8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basedOn w:val="8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3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9">
    <w:name w:val="List Table 3 - Accent 3"/>
    <w:basedOn w:val="8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0">
    <w:name w:val="List Table 3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1">
    <w:name w:val="List Table 3 - Accent 5"/>
    <w:basedOn w:val="8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2">
    <w:name w:val="List Table 3 - Accent 6"/>
    <w:basedOn w:val="8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3">
    <w:name w:val="List Table 4"/>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basedOn w:val="8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4 - Accent 2"/>
    <w:basedOn w:val="8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6">
    <w:name w:val="List Table 4 - Accent 3"/>
    <w:basedOn w:val="8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7">
    <w:name w:val="List Table 4 - Accent 4"/>
    <w:basedOn w:val="8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8">
    <w:name w:val="List Table 4 - Accent 5"/>
    <w:basedOn w:val="8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9">
    <w:name w:val="List Table 4 - Accent 6"/>
    <w:basedOn w:val="8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0">
    <w:name w:val="List Table 5 Dark"/>
    <w:basedOn w:val="8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basedOn w:val="8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basedOn w:val="8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basedOn w:val="8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basedOn w:val="8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basedOn w:val="8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basedOn w:val="8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basedOn w:val="8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basedOn w:val="8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9">
    <w:name w:val="List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0">
    <w:name w:val="List Table 6 Colorful - Accent 3"/>
    <w:basedOn w:val="8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1">
    <w:name w:val="List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2">
    <w:name w:val="List Table 6 Colorful - Accent 5"/>
    <w:basedOn w:val="8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3">
    <w:name w:val="List Table 6 Colorful - Accent 6"/>
    <w:basedOn w:val="8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4">
    <w:name w:val="List Table 7 Colorful"/>
    <w:basedOn w:val="8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basedOn w:val="8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6">
    <w:name w:val="List Table 7 Colorful - Accent 2"/>
    <w:basedOn w:val="8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7">
    <w:name w:val="List Table 7 Colorful - Accent 3"/>
    <w:basedOn w:val="8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8">
    <w:name w:val="List Table 7 Colorful - Accent 4"/>
    <w:basedOn w:val="8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9">
    <w:name w:val="List Table 7 Colorful - Accent 5"/>
    <w:basedOn w:val="8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0">
    <w:name w:val="List Table 7 Colorful - Accent 6"/>
    <w:basedOn w:val="8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1">
    <w:name w:val="Lined - Accent"/>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Lined - Accent 2"/>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Lined - Accent 3"/>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Lined - Accent 4"/>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Lined - Accent 5"/>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Lined - Accent 6"/>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amp; Lined - Accent"/>
    <w:basedOn w:val="8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basedOn w:val="8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Bordered &amp; Lined - Accent 2"/>
    <w:basedOn w:val="8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Bordered &amp; Lined - Accent 3"/>
    <w:basedOn w:val="8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Bordered &amp; Lined - Accent 4"/>
    <w:basedOn w:val="8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Bordered &amp; Lined - Accent 5"/>
    <w:basedOn w:val="8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Bordered &amp; Lined - Accent 6"/>
    <w:basedOn w:val="8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w:basedOn w:val="8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2">
    <w:name w:val="Footnote Text Char"/>
    <w:link w:val="917"/>
    <w:uiPriority w:val="99"/>
    <w:rPr>
      <w:sz w:val="18"/>
    </w:rPr>
  </w:style>
  <w:style w:type="paragraph" w:styleId="873">
    <w:name w:val="endnote text"/>
    <w:basedOn w:val="87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basedOn w:val="887"/>
    <w:uiPriority w:val="99"/>
    <w:semiHidden/>
    <w:unhideWhenUsed/>
    <w:rPr>
      <w:vertAlign w:val="superscript"/>
    </w:rPr>
  </w:style>
  <w:style w:type="paragraph" w:styleId="876">
    <w:name w:val="TOC Heading"/>
    <w:uiPriority w:val="39"/>
    <w:unhideWhenUsed/>
  </w:style>
  <w:style w:type="paragraph" w:styleId="877"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78">
    <w:name w:val="Heading 1"/>
    <w:basedOn w:val="877"/>
    <w:next w:val="877"/>
    <w:link w:val="942"/>
    <w:uiPriority w:val="0"/>
    <w:qFormat/>
    <w:pPr>
      <w:numPr>
        <w:ilvl w:val="0"/>
        <w:numId w:val="1"/>
      </w:numPr>
      <w:keepLines/>
      <w:keepNext/>
      <w:spacing w:before="340" w:after="330" w:line="400" w:lineRule="exact"/>
      <w:outlineLvl w:val="0"/>
    </w:pPr>
    <w:rPr>
      <w:rFonts w:ascii="宋体" w:hAnsi="宋体"/>
      <w:b/>
      <w:bCs/>
      <w:sz w:val="20"/>
      <w:szCs w:val="21"/>
    </w:rPr>
  </w:style>
  <w:style w:type="paragraph" w:styleId="879">
    <w:name w:val="Heading 2"/>
    <w:basedOn w:val="877"/>
    <w:next w:val="889"/>
    <w:link w:val="976"/>
    <w:uiPriority w:val="0"/>
    <w:qFormat/>
    <w:pPr>
      <w:keepLines/>
      <w:keepNext/>
      <w:spacing w:before="260" w:after="260" w:line="416" w:lineRule="auto"/>
      <w:outlineLvl w:val="1"/>
    </w:pPr>
    <w:rPr>
      <w:rFonts w:ascii="Cambria" w:hAnsi="Cambria"/>
      <w:b/>
      <w:bCs/>
      <w:sz w:val="32"/>
      <w:szCs w:val="32"/>
    </w:rPr>
  </w:style>
  <w:style w:type="paragraph" w:styleId="880">
    <w:name w:val="Heading 3"/>
    <w:basedOn w:val="877"/>
    <w:next w:val="877"/>
    <w:link w:val="962"/>
    <w:uiPriority w:val="0"/>
    <w:qFormat/>
    <w:pPr>
      <w:keepLines/>
      <w:keepNext/>
      <w:spacing w:before="260" w:after="260" w:line="416" w:lineRule="auto"/>
      <w:outlineLvl w:val="2"/>
    </w:pPr>
    <w:rPr>
      <w:b/>
      <w:bCs/>
      <w:sz w:val="32"/>
      <w:szCs w:val="32"/>
    </w:rPr>
  </w:style>
  <w:style w:type="paragraph" w:styleId="881">
    <w:name w:val="Heading 4"/>
    <w:basedOn w:val="877"/>
    <w:next w:val="889"/>
    <w:link w:val="973"/>
    <w:uiPriority w:val="0"/>
    <w:qFormat/>
    <w:pPr>
      <w:keepLines/>
      <w:keepNext/>
      <w:spacing w:before="280" w:after="290" w:line="376" w:lineRule="auto"/>
      <w:outlineLvl w:val="3"/>
    </w:pPr>
    <w:rPr>
      <w:rFonts w:ascii="Cambria" w:hAnsi="Cambria"/>
      <w:b/>
      <w:bCs/>
      <w:sz w:val="28"/>
      <w:szCs w:val="28"/>
    </w:rPr>
  </w:style>
  <w:style w:type="paragraph" w:styleId="882">
    <w:name w:val="Heading 5"/>
    <w:basedOn w:val="877"/>
    <w:next w:val="889"/>
    <w:link w:val="963"/>
    <w:uiPriority w:val="0"/>
    <w:qFormat/>
    <w:pPr>
      <w:keepLines/>
      <w:keepNext/>
      <w:spacing w:before="280" w:after="290" w:line="376" w:lineRule="auto"/>
      <w:outlineLvl w:val="4"/>
    </w:pPr>
    <w:rPr>
      <w:rFonts w:ascii="Calibri" w:hAnsi="Calibri"/>
      <w:b/>
      <w:bCs/>
      <w:sz w:val="28"/>
      <w:szCs w:val="28"/>
    </w:rPr>
  </w:style>
  <w:style w:type="paragraph" w:styleId="883">
    <w:name w:val="Heading 6"/>
    <w:basedOn w:val="877"/>
    <w:next w:val="889"/>
    <w:link w:val="977"/>
    <w:uiPriority w:val="0"/>
    <w:qFormat/>
    <w:pPr>
      <w:keepLines/>
      <w:keepNext/>
      <w:spacing w:before="240" w:after="64" w:line="320" w:lineRule="auto"/>
      <w:outlineLvl w:val="5"/>
    </w:pPr>
    <w:rPr>
      <w:rFonts w:ascii="Cambria" w:hAnsi="Cambria"/>
      <w:b/>
      <w:bCs/>
      <w:sz w:val="24"/>
      <w:szCs w:val="24"/>
    </w:rPr>
  </w:style>
  <w:style w:type="paragraph" w:styleId="884">
    <w:name w:val="Heading 7"/>
    <w:basedOn w:val="877"/>
    <w:next w:val="889"/>
    <w:link w:val="960"/>
    <w:uiPriority w:val="0"/>
    <w:qFormat/>
    <w:pPr>
      <w:keepLines/>
      <w:keepNext/>
      <w:spacing w:before="240" w:after="64" w:line="320" w:lineRule="auto"/>
      <w:outlineLvl w:val="6"/>
    </w:pPr>
    <w:rPr>
      <w:rFonts w:ascii="Calibri" w:hAnsi="Calibri"/>
      <w:b/>
      <w:bCs/>
      <w:sz w:val="24"/>
      <w:szCs w:val="24"/>
    </w:rPr>
  </w:style>
  <w:style w:type="paragraph" w:styleId="885">
    <w:name w:val="Heading 8"/>
    <w:basedOn w:val="877"/>
    <w:next w:val="889"/>
    <w:link w:val="975"/>
    <w:uiPriority w:val="0"/>
    <w:qFormat/>
    <w:pPr>
      <w:keepLines/>
      <w:keepNext/>
      <w:spacing w:before="240" w:after="64" w:line="320" w:lineRule="auto"/>
      <w:outlineLvl w:val="7"/>
    </w:pPr>
    <w:rPr>
      <w:rFonts w:ascii="Cambria" w:hAnsi="Cambria"/>
      <w:sz w:val="24"/>
      <w:szCs w:val="24"/>
    </w:rPr>
  </w:style>
  <w:style w:type="paragraph" w:styleId="886">
    <w:name w:val="Heading 9"/>
    <w:basedOn w:val="877"/>
    <w:next w:val="889"/>
    <w:link w:val="959"/>
    <w:uiPriority w:val="0"/>
    <w:qFormat/>
    <w:pPr>
      <w:keepLines/>
      <w:keepNext/>
      <w:spacing w:before="240" w:after="64" w:line="320" w:lineRule="auto"/>
      <w:outlineLvl w:val="8"/>
    </w:pPr>
    <w:rPr>
      <w:rFonts w:ascii="Cambria" w:hAnsi="Cambria"/>
      <w:sz w:val="20"/>
      <w:szCs w:val="21"/>
    </w:rPr>
  </w:style>
  <w:style w:type="character" w:styleId="887" w:default="1">
    <w:name w:val="Default Paragraph Font"/>
    <w:uiPriority w:val="1"/>
    <w:semiHidden/>
    <w:unhideWhenUsed/>
    <w:qFormat/>
  </w:style>
  <w:style w:type="table" w:styleId="888" w:default="1">
    <w:name w:val="Normal Table"/>
    <w:uiPriority w:val="99"/>
    <w:semiHidden/>
    <w:unhideWhenUsed/>
    <w:qFormat/>
    <w:tblPr>
      <w:tblCellMar>
        <w:left w:w="108" w:type="dxa"/>
        <w:top w:w="0" w:type="dxa"/>
        <w:right w:w="108" w:type="dxa"/>
        <w:bottom w:w="0" w:type="dxa"/>
      </w:tblCellMar>
    </w:tblPr>
  </w:style>
  <w:style w:type="paragraph" w:styleId="889">
    <w:name w:val="Normal Indent"/>
    <w:basedOn w:val="877"/>
    <w:link w:val="974"/>
    <w:uiPriority w:val="0"/>
    <w:qFormat/>
    <w:pPr>
      <w:ind w:firstLine="420"/>
      <w:jc w:val="left"/>
    </w:pPr>
    <w:rPr>
      <w:rFonts w:eastAsia="楷体_GB2312"/>
      <w:sz w:val="24"/>
      <w:szCs w:val="20"/>
    </w:rPr>
  </w:style>
  <w:style w:type="paragraph" w:styleId="890">
    <w:name w:val="toc 7"/>
    <w:basedOn w:val="877"/>
    <w:next w:val="877"/>
    <w:uiPriority w:val="0"/>
    <w:semiHidden/>
    <w:unhideWhenUsed/>
    <w:qFormat/>
    <w:pPr>
      <w:ind w:left="2520"/>
    </w:pPr>
  </w:style>
  <w:style w:type="paragraph" w:styleId="891">
    <w:name w:val="index 8"/>
    <w:basedOn w:val="877"/>
    <w:next w:val="877"/>
    <w:uiPriority w:val="0"/>
    <w:qFormat/>
    <w:pPr>
      <w:ind w:left="2940"/>
    </w:pPr>
    <w:rPr>
      <w:rFonts w:eastAsia="楷体_GB2312"/>
      <w:sz w:val="28"/>
      <w:szCs w:val="20"/>
    </w:rPr>
  </w:style>
  <w:style w:type="paragraph" w:styleId="892">
    <w:name w:val="List Number"/>
    <w:basedOn w:val="877"/>
    <w:uiPriority w:val="0"/>
    <w:semiHidden/>
    <w:unhideWhenUsed/>
    <w:qFormat/>
    <w:pPr>
      <w:ind w:left="1125" w:hanging="555"/>
      <w:tabs>
        <w:tab w:val="left" w:pos="1125" w:leader="none"/>
      </w:tabs>
    </w:pPr>
    <w:rPr>
      <w:szCs w:val="24"/>
    </w:rPr>
  </w:style>
  <w:style w:type="paragraph" w:styleId="893">
    <w:name w:val="Caption"/>
    <w:basedOn w:val="877"/>
    <w:next w:val="877"/>
    <w:link w:val="1109"/>
    <w:uiPriority w:val="0"/>
    <w:semiHidden/>
    <w:unhideWhenUsed/>
    <w:qFormat/>
    <w:rPr>
      <w:rFonts w:eastAsia="黑体" w:asciiTheme="majorHAnsi" w:hAnsiTheme="majorHAnsi" w:cstheme="majorBidi"/>
      <w:sz w:val="20"/>
      <w:szCs w:val="20"/>
    </w:rPr>
  </w:style>
  <w:style w:type="paragraph" w:styleId="894">
    <w:name w:val="index 5"/>
    <w:basedOn w:val="877"/>
    <w:next w:val="877"/>
    <w:uiPriority w:val="0"/>
    <w:semiHidden/>
    <w:unhideWhenUsed/>
    <w:qFormat/>
    <w:pPr>
      <w:ind w:left="1680"/>
    </w:pPr>
    <w:rPr>
      <w:rFonts w:eastAsia="楷体_GB2312"/>
      <w:sz w:val="28"/>
      <w:szCs w:val="20"/>
    </w:rPr>
  </w:style>
  <w:style w:type="paragraph" w:styleId="895">
    <w:name w:val="Document Map"/>
    <w:basedOn w:val="877"/>
    <w:link w:val="966"/>
    <w:uiPriority w:val="0"/>
    <w:unhideWhenUsed/>
    <w:qFormat/>
    <w:rPr>
      <w:rFonts w:ascii="宋体"/>
      <w:sz w:val="18"/>
      <w:szCs w:val="18"/>
    </w:rPr>
  </w:style>
  <w:style w:type="paragraph" w:styleId="896">
    <w:name w:val="annotation text"/>
    <w:basedOn w:val="877"/>
    <w:link w:val="983"/>
    <w:uiPriority w:val="0"/>
    <w:unhideWhenUsed/>
    <w:qFormat/>
    <w:pPr>
      <w:jc w:val="left"/>
    </w:pPr>
    <w:rPr>
      <w:sz w:val="20"/>
      <w:szCs w:val="24"/>
    </w:rPr>
  </w:style>
  <w:style w:type="paragraph" w:styleId="897">
    <w:name w:val="index 6"/>
    <w:basedOn w:val="877"/>
    <w:next w:val="877"/>
    <w:uiPriority w:val="0"/>
    <w:semiHidden/>
    <w:unhideWhenUsed/>
    <w:qFormat/>
    <w:pPr>
      <w:ind w:left="2100"/>
    </w:pPr>
    <w:rPr>
      <w:rFonts w:eastAsia="楷体_GB2312"/>
      <w:sz w:val="28"/>
      <w:szCs w:val="20"/>
    </w:rPr>
  </w:style>
  <w:style w:type="paragraph" w:styleId="898">
    <w:name w:val="Body Text"/>
    <w:basedOn w:val="877"/>
    <w:next w:val="889"/>
    <w:link w:val="950"/>
    <w:uiPriority w:val="0"/>
    <w:qFormat/>
    <w:rPr>
      <w:sz w:val="24"/>
      <w:szCs w:val="24"/>
    </w:rPr>
  </w:style>
  <w:style w:type="paragraph" w:styleId="899">
    <w:name w:val="Body Text Indent"/>
    <w:basedOn w:val="877"/>
    <w:link w:val="1098"/>
    <w:uiPriority w:val="0"/>
    <w:unhideWhenUsed/>
    <w:qFormat/>
    <w:pPr>
      <w:ind w:left="420"/>
      <w:spacing w:after="120"/>
    </w:pPr>
  </w:style>
  <w:style w:type="paragraph" w:styleId="900">
    <w:name w:val="List 2"/>
    <w:basedOn w:val="877"/>
    <w:uiPriority w:val="0"/>
    <w:qFormat/>
    <w:pPr>
      <w:ind w:left="100" w:hanging="200"/>
    </w:pPr>
    <w:rPr>
      <w:szCs w:val="24"/>
    </w:rPr>
  </w:style>
  <w:style w:type="paragraph" w:styleId="901">
    <w:name w:val="Block Text"/>
    <w:basedOn w:val="877"/>
    <w:uiPriority w:val="0"/>
    <w:qFormat/>
    <w:pPr>
      <w:ind w:left="630" w:right="-609" w:firstLine="420"/>
      <w:spacing w:line="360" w:lineRule="auto"/>
    </w:pPr>
    <w:rPr>
      <w:rFonts w:hint="eastAsia" w:ascii="仿宋_GB2312" w:eastAsia="仿宋_GB2312"/>
      <w:szCs w:val="20"/>
    </w:rPr>
  </w:style>
  <w:style w:type="paragraph" w:styleId="902">
    <w:name w:val="index 4"/>
    <w:basedOn w:val="877"/>
    <w:next w:val="877"/>
    <w:uiPriority w:val="0"/>
    <w:semiHidden/>
    <w:unhideWhenUsed/>
    <w:qFormat/>
    <w:pPr>
      <w:ind w:left="1260"/>
    </w:pPr>
    <w:rPr>
      <w:rFonts w:eastAsia="楷体_GB2312"/>
      <w:sz w:val="28"/>
      <w:szCs w:val="20"/>
    </w:rPr>
  </w:style>
  <w:style w:type="paragraph" w:styleId="903">
    <w:name w:val="toc 5"/>
    <w:basedOn w:val="877"/>
    <w:next w:val="877"/>
    <w:uiPriority w:val="0"/>
    <w:semiHidden/>
    <w:unhideWhenUsed/>
    <w:qFormat/>
    <w:pPr>
      <w:ind w:left="1680"/>
    </w:pPr>
    <w:rPr>
      <w:rFonts w:eastAsia="楷体_GB2312"/>
      <w:sz w:val="28"/>
      <w:szCs w:val="20"/>
    </w:rPr>
  </w:style>
  <w:style w:type="paragraph" w:styleId="904">
    <w:name w:val="toc 3"/>
    <w:basedOn w:val="877"/>
    <w:next w:val="877"/>
    <w:uiPriority w:val="0"/>
    <w:semiHidden/>
    <w:unhideWhenUsed/>
    <w:qFormat/>
    <w:pPr>
      <w:ind w:left="840"/>
    </w:pPr>
    <w:rPr>
      <w:rFonts w:eastAsia="楷体_GB2312"/>
      <w:sz w:val="28"/>
      <w:szCs w:val="20"/>
    </w:rPr>
  </w:style>
  <w:style w:type="paragraph" w:styleId="905">
    <w:name w:val="Plain Text"/>
    <w:basedOn w:val="877"/>
    <w:link w:val="979"/>
    <w:uiPriority w:val="0"/>
    <w:qFormat/>
    <w:rPr>
      <w:rFonts w:ascii="宋体" w:hAnsi="Courier New" w:eastAsia="楷体_GB2312"/>
      <w:sz w:val="26"/>
      <w:szCs w:val="20"/>
    </w:rPr>
  </w:style>
  <w:style w:type="paragraph" w:styleId="906">
    <w:name w:val="toc 8"/>
    <w:basedOn w:val="877"/>
    <w:next w:val="877"/>
    <w:uiPriority w:val="0"/>
    <w:semiHidden/>
    <w:unhideWhenUsed/>
    <w:qFormat/>
    <w:pPr>
      <w:ind w:left="2940"/>
    </w:pPr>
    <w:rPr>
      <w:rFonts w:eastAsia="楷体_GB2312"/>
      <w:sz w:val="28"/>
      <w:szCs w:val="20"/>
    </w:rPr>
  </w:style>
  <w:style w:type="paragraph" w:styleId="907">
    <w:name w:val="index 3"/>
    <w:basedOn w:val="877"/>
    <w:next w:val="877"/>
    <w:uiPriority w:val="0"/>
    <w:semiHidden/>
    <w:unhideWhenUsed/>
    <w:qFormat/>
    <w:pPr>
      <w:ind w:left="840"/>
    </w:pPr>
    <w:rPr>
      <w:rFonts w:eastAsia="楷体_GB2312"/>
      <w:sz w:val="28"/>
      <w:szCs w:val="20"/>
    </w:rPr>
  </w:style>
  <w:style w:type="paragraph" w:styleId="908">
    <w:name w:val="Date"/>
    <w:basedOn w:val="877"/>
    <w:next w:val="877"/>
    <w:link w:val="953"/>
    <w:uiPriority w:val="0"/>
    <w:qFormat/>
    <w:rPr>
      <w:rFonts w:ascii="宋体" w:hAnsi="宋体" w:eastAsia="楷体_GB2312"/>
      <w:sz w:val="24"/>
      <w:szCs w:val="20"/>
    </w:rPr>
  </w:style>
  <w:style w:type="paragraph" w:styleId="909">
    <w:name w:val="Body Text Indent 2"/>
    <w:basedOn w:val="877"/>
    <w:link w:val="972"/>
    <w:uiPriority w:val="99"/>
    <w:qFormat/>
    <w:pPr>
      <w:ind w:left="1" w:firstLine="480"/>
      <w:spacing w:line="400" w:lineRule="exact"/>
      <w:tabs>
        <w:tab w:val="left" w:pos="360" w:leader="none"/>
      </w:tabs>
    </w:pPr>
    <w:rPr>
      <w:sz w:val="24"/>
      <w:szCs w:val="24"/>
    </w:rPr>
  </w:style>
  <w:style w:type="paragraph" w:styleId="910">
    <w:name w:val="Balloon Text"/>
    <w:basedOn w:val="877"/>
    <w:link w:val="948"/>
    <w:uiPriority w:val="0"/>
    <w:unhideWhenUsed/>
    <w:qFormat/>
    <w:rPr>
      <w:sz w:val="18"/>
      <w:szCs w:val="18"/>
    </w:rPr>
  </w:style>
  <w:style w:type="paragraph" w:styleId="911">
    <w:name w:val="Footer"/>
    <w:basedOn w:val="877"/>
    <w:link w:val="978"/>
    <w:uiPriority w:val="0"/>
    <w:unhideWhenUsed/>
    <w:qFormat/>
    <w:pPr>
      <w:jc w:val="left"/>
      <w:tabs>
        <w:tab w:val="center" w:pos="4153" w:leader="none"/>
        <w:tab w:val="right" w:pos="8306" w:leader="none"/>
      </w:tabs>
    </w:pPr>
    <w:rPr>
      <w:sz w:val="18"/>
      <w:szCs w:val="18"/>
    </w:rPr>
  </w:style>
  <w:style w:type="paragraph" w:styleId="912">
    <w:name w:val="Header"/>
    <w:basedOn w:val="877"/>
    <w:link w:val="95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13">
    <w:name w:val="toc 1"/>
    <w:basedOn w:val="877"/>
    <w:next w:val="877"/>
    <w:uiPriority w:val="0"/>
    <w:semiHidden/>
    <w:qFormat/>
    <w:pPr>
      <w:jc w:val="left"/>
      <w:widowControl/>
    </w:pPr>
    <w:rPr>
      <w:rFonts w:eastAsia="楷体_GB2312"/>
      <w:sz w:val="24"/>
      <w:szCs w:val="20"/>
    </w:rPr>
  </w:style>
  <w:style w:type="paragraph" w:styleId="914">
    <w:name w:val="toc 4"/>
    <w:basedOn w:val="877"/>
    <w:next w:val="877"/>
    <w:uiPriority w:val="0"/>
    <w:semiHidden/>
    <w:unhideWhenUsed/>
    <w:qFormat/>
    <w:pPr>
      <w:ind w:left="1260"/>
    </w:pPr>
    <w:rPr>
      <w:rFonts w:eastAsia="楷体_GB2312"/>
      <w:sz w:val="28"/>
      <w:szCs w:val="20"/>
    </w:rPr>
  </w:style>
  <w:style w:type="paragraph" w:styleId="915">
    <w:name w:val="index heading"/>
    <w:basedOn w:val="877"/>
    <w:next w:val="916"/>
    <w:uiPriority w:val="0"/>
    <w:semiHidden/>
    <w:unhideWhenUsed/>
    <w:qFormat/>
    <w:rPr>
      <w:rFonts w:eastAsia="楷体_GB2312"/>
      <w:sz w:val="28"/>
      <w:szCs w:val="20"/>
    </w:rPr>
  </w:style>
  <w:style w:type="paragraph" w:styleId="916">
    <w:name w:val="index 1"/>
    <w:basedOn w:val="877"/>
    <w:next w:val="877"/>
    <w:uiPriority w:val="0"/>
    <w:semiHidden/>
    <w:unhideWhenUsed/>
    <w:qFormat/>
  </w:style>
  <w:style w:type="paragraph" w:styleId="917">
    <w:name w:val="footnote text"/>
    <w:basedOn w:val="877"/>
    <w:link w:val="1108"/>
    <w:uiPriority w:val="0"/>
    <w:semiHidden/>
    <w:unhideWhenUsed/>
    <w:qFormat/>
    <w:pPr>
      <w:jc w:val="left"/>
    </w:pPr>
    <w:rPr>
      <w:rFonts w:eastAsia="楷体_GB2312"/>
      <w:sz w:val="18"/>
      <w:szCs w:val="20"/>
    </w:rPr>
  </w:style>
  <w:style w:type="paragraph" w:styleId="918">
    <w:name w:val="toc 6"/>
    <w:basedOn w:val="877"/>
    <w:next w:val="877"/>
    <w:uiPriority w:val="0"/>
    <w:semiHidden/>
    <w:unhideWhenUsed/>
    <w:qFormat/>
    <w:pPr>
      <w:ind w:left="2100"/>
    </w:pPr>
    <w:rPr>
      <w:rFonts w:eastAsia="楷体_GB2312"/>
      <w:sz w:val="28"/>
      <w:szCs w:val="20"/>
    </w:rPr>
  </w:style>
  <w:style w:type="paragraph" w:styleId="919">
    <w:name w:val="Body Text Indent 3"/>
    <w:basedOn w:val="877"/>
    <w:link w:val="949"/>
    <w:uiPriority w:val="99"/>
    <w:qFormat/>
    <w:pPr>
      <w:ind w:firstLine="480"/>
      <w:spacing w:line="400" w:lineRule="exact"/>
    </w:pPr>
    <w:rPr>
      <w:sz w:val="24"/>
      <w:szCs w:val="24"/>
    </w:rPr>
  </w:style>
  <w:style w:type="paragraph" w:styleId="920">
    <w:name w:val="index 7"/>
    <w:basedOn w:val="877"/>
    <w:next w:val="877"/>
    <w:uiPriority w:val="0"/>
    <w:semiHidden/>
    <w:unhideWhenUsed/>
    <w:qFormat/>
    <w:pPr>
      <w:ind w:left="2520"/>
    </w:pPr>
    <w:rPr>
      <w:rFonts w:eastAsia="楷体_GB2312"/>
      <w:sz w:val="28"/>
      <w:szCs w:val="20"/>
    </w:rPr>
  </w:style>
  <w:style w:type="paragraph" w:styleId="921">
    <w:name w:val="index 9"/>
    <w:basedOn w:val="877"/>
    <w:next w:val="877"/>
    <w:uiPriority w:val="0"/>
    <w:semiHidden/>
    <w:unhideWhenUsed/>
    <w:qFormat/>
    <w:pPr>
      <w:ind w:left="3360"/>
    </w:pPr>
    <w:rPr>
      <w:rFonts w:eastAsia="楷体_GB2312"/>
      <w:sz w:val="28"/>
      <w:szCs w:val="20"/>
    </w:rPr>
  </w:style>
  <w:style w:type="paragraph" w:styleId="922">
    <w:name w:val="table of figures"/>
    <w:basedOn w:val="877"/>
    <w:next w:val="877"/>
    <w:uiPriority w:val="0"/>
    <w:semiHidden/>
    <w:unhideWhenUsed/>
    <w:qFormat/>
    <w:pPr>
      <w:ind w:left="420" w:hanging="420"/>
      <w:jc w:val="left"/>
    </w:pPr>
    <w:rPr>
      <w:rFonts w:eastAsia="楷体_GB2312"/>
      <w:smallCaps/>
      <w:sz w:val="24"/>
      <w:szCs w:val="20"/>
    </w:rPr>
  </w:style>
  <w:style w:type="paragraph" w:styleId="923">
    <w:name w:val="toc 2"/>
    <w:basedOn w:val="877"/>
    <w:next w:val="877"/>
    <w:uiPriority w:val="0"/>
    <w:semiHidden/>
    <w:unhideWhenUsed/>
    <w:qFormat/>
    <w:pPr>
      <w:ind w:left="420"/>
    </w:pPr>
    <w:rPr>
      <w:rFonts w:eastAsia="楷体_GB2312"/>
      <w:sz w:val="28"/>
      <w:szCs w:val="20"/>
    </w:rPr>
  </w:style>
  <w:style w:type="paragraph" w:styleId="924">
    <w:name w:val="toc 9"/>
    <w:basedOn w:val="877"/>
    <w:next w:val="877"/>
    <w:uiPriority w:val="0"/>
    <w:semiHidden/>
    <w:unhideWhenUsed/>
    <w:qFormat/>
    <w:pPr>
      <w:ind w:left="3360"/>
    </w:pPr>
    <w:rPr>
      <w:rFonts w:eastAsia="楷体_GB2312"/>
      <w:sz w:val="28"/>
      <w:szCs w:val="20"/>
    </w:rPr>
  </w:style>
  <w:style w:type="paragraph" w:styleId="925">
    <w:name w:val="Body Text 2"/>
    <w:basedOn w:val="877"/>
    <w:link w:val="1111"/>
    <w:uiPriority w:val="0"/>
    <w:semiHidden/>
    <w:unhideWhenUsed/>
    <w:qFormat/>
    <w:pPr>
      <w:spacing w:after="120" w:line="480" w:lineRule="auto"/>
    </w:pPr>
    <w:rPr>
      <w:rFonts w:eastAsia="楷体_GB2312"/>
      <w:sz w:val="28"/>
      <w:szCs w:val="20"/>
    </w:rPr>
  </w:style>
  <w:style w:type="paragraph" w:styleId="926">
    <w:name w:val="HTML Preformatted"/>
    <w:basedOn w:val="877"/>
    <w:link w:val="1107"/>
    <w:uiPriority w:val="0"/>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27">
    <w:name w:val="Normal (Web)"/>
    <w:basedOn w:val="877"/>
    <w:uiPriority w:val="99"/>
    <w:unhideWhenUsed/>
    <w:qFormat/>
    <w:pPr>
      <w:ind w:left="40" w:right="40"/>
      <w:jc w:val="left"/>
      <w:spacing w:before="40" w:after="40" w:line="300" w:lineRule="atLeast"/>
    </w:pPr>
    <w:rPr>
      <w:sz w:val="24"/>
      <w:szCs w:val="20"/>
    </w:rPr>
  </w:style>
  <w:style w:type="paragraph" w:styleId="928">
    <w:name w:val="index 2"/>
    <w:basedOn w:val="877"/>
    <w:next w:val="877"/>
    <w:uiPriority w:val="0"/>
    <w:semiHidden/>
    <w:unhideWhenUsed/>
    <w:qFormat/>
    <w:pPr>
      <w:ind w:left="420"/>
    </w:pPr>
    <w:rPr>
      <w:rFonts w:eastAsia="楷体_GB2312"/>
      <w:sz w:val="28"/>
      <w:szCs w:val="20"/>
    </w:rPr>
  </w:style>
  <w:style w:type="paragraph" w:styleId="929">
    <w:name w:val="annotation subject"/>
    <w:basedOn w:val="896"/>
    <w:next w:val="896"/>
    <w:link w:val="986"/>
    <w:uiPriority w:val="0"/>
    <w:unhideWhenUsed/>
    <w:qFormat/>
    <w:rPr>
      <w:b/>
      <w:bCs/>
    </w:rPr>
  </w:style>
  <w:style w:type="paragraph" w:styleId="930">
    <w:name w:val="Body Text First Indent"/>
    <w:basedOn w:val="898"/>
    <w:link w:val="1110"/>
    <w:uiPriority w:val="0"/>
    <w:semiHidden/>
    <w:unhideWhenUsed/>
    <w:qFormat/>
    <w:pPr>
      <w:ind w:firstLine="420"/>
      <w:spacing w:after="120"/>
    </w:pPr>
    <w:rPr>
      <w:rFonts w:eastAsia="楷体_GB2312"/>
      <w:sz w:val="26"/>
      <w:szCs w:val="20"/>
    </w:rPr>
  </w:style>
  <w:style w:type="paragraph" w:styleId="931">
    <w:name w:val="Body Text First Indent 2"/>
    <w:basedOn w:val="899"/>
    <w:link w:val="1105"/>
    <w:uiPriority w:val="99"/>
    <w:semiHidden/>
    <w:unhideWhenUsed/>
    <w:qFormat/>
    <w:pPr>
      <w:ind w:firstLine="420"/>
    </w:pPr>
  </w:style>
  <w:style w:type="table" w:styleId="932">
    <w:name w:val="Table Grid"/>
    <w:basedOn w:val="88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3">
    <w:name w:val="Table Elegant"/>
    <w:basedOn w:val="888"/>
    <w:uiPriority w:val="0"/>
    <w:semiHidden/>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34">
    <w:name w:val="Strong"/>
    <w:uiPriority w:val="0"/>
    <w:qFormat/>
    <w:rPr>
      <w:rFonts w:ascii="Tahoma" w:hAnsi="Tahoma" w:eastAsia="宋体"/>
      <w:b/>
      <w:bCs/>
      <w:sz w:val="24"/>
      <w:lang w:val="en-US" w:eastAsia="zh-CN" w:bidi="ar-SA"/>
    </w:rPr>
  </w:style>
  <w:style w:type="character" w:styleId="935">
    <w:name w:val="page number"/>
    <w:uiPriority w:val="99"/>
    <w:unhideWhenUsed/>
    <w:qFormat/>
  </w:style>
  <w:style w:type="character" w:styleId="936">
    <w:name w:val="FollowedHyperlink"/>
    <w:uiPriority w:val="99"/>
    <w:unhideWhenUsed/>
    <w:qFormat/>
    <w:rPr>
      <w:color w:val="800080"/>
      <w:u w:val="single"/>
    </w:rPr>
  </w:style>
  <w:style w:type="character" w:styleId="937">
    <w:name w:val="Emphasis"/>
    <w:basedOn w:val="887"/>
    <w:uiPriority w:val="20"/>
    <w:qFormat/>
    <w:rPr>
      <w:i/>
    </w:rPr>
  </w:style>
  <w:style w:type="character" w:styleId="938">
    <w:name w:val="Hyperlink"/>
    <w:uiPriority w:val="99"/>
    <w:unhideWhenUsed/>
    <w:qFormat/>
    <w:rPr>
      <w:color w:val="0000ff"/>
      <w:u w:val="single"/>
    </w:rPr>
  </w:style>
  <w:style w:type="character" w:styleId="939">
    <w:name w:val="annotation reference"/>
    <w:uiPriority w:val="0"/>
    <w:unhideWhenUsed/>
    <w:qFormat/>
    <w:rPr>
      <w:sz w:val="21"/>
      <w:szCs w:val="21"/>
    </w:rPr>
  </w:style>
  <w:style w:type="character" w:styleId="940">
    <w:name w:val="footnote reference"/>
    <w:uiPriority w:val="0"/>
    <w:semiHidden/>
    <w:unhideWhenUsed/>
    <w:qFormat/>
    <w:rPr>
      <w:vertAlign w:val="superscript"/>
    </w:rPr>
  </w:style>
  <w:style w:type="paragraph" w:styleId="941" w:customStyle="1">
    <w:name w:val="段"/>
    <w:next w:val="877"/>
    <w:link w:val="1100"/>
    <w:uiPriority w:val="99"/>
    <w:qFormat/>
    <w:pPr>
      <w:ind w:firstLine="200"/>
      <w:jc w:val="both"/>
    </w:pPr>
    <w:rPr>
      <w:rFonts w:ascii="宋体" w:hAnsi="Times New Roman" w:eastAsia="宋体" w:cs="Times New Roman"/>
      <w:sz w:val="21"/>
      <w:lang w:val="en-US" w:eastAsia="zh-CN" w:bidi="ar-SA"/>
    </w:rPr>
  </w:style>
  <w:style w:type="character" w:styleId="942" w:customStyle="1">
    <w:name w:val="标题 1 字符"/>
    <w:link w:val="878"/>
    <w:uiPriority w:val="0"/>
    <w:qFormat/>
    <w:rPr>
      <w:rFonts w:ascii="宋体" w:hAnsi="宋体"/>
      <w:b/>
      <w:bCs/>
      <w:szCs w:val="21"/>
    </w:rPr>
  </w:style>
  <w:style w:type="character" w:styleId="943" w:customStyle="1">
    <w:name w:val="文档结构图 Char1"/>
    <w:uiPriority w:val="99"/>
    <w:qFormat/>
    <w:rPr>
      <w:rFonts w:ascii="宋体"/>
      <w:sz w:val="18"/>
      <w:szCs w:val="18"/>
    </w:rPr>
  </w:style>
  <w:style w:type="character" w:styleId="944" w:customStyle="1">
    <w:name w:val="正文文本 Char1"/>
    <w:uiPriority w:val="99"/>
    <w:semiHidden/>
    <w:qFormat/>
    <w:rPr>
      <w:sz w:val="21"/>
      <w:szCs w:val="22"/>
    </w:rPr>
  </w:style>
  <w:style w:type="character" w:styleId="945" w:customStyle="1">
    <w:name w:val="Plain Text Char Char"/>
    <w:link w:val="946"/>
    <w:uiPriority w:val="0"/>
    <w:qFormat/>
    <w:rPr>
      <w:rFonts w:ascii="宋体" w:hAnsi="Courier New" w:eastAsia="楷体_GB2312" w:cs="Times New Roman"/>
      <w:sz w:val="28"/>
      <w:szCs w:val="20"/>
    </w:rPr>
  </w:style>
  <w:style w:type="paragraph" w:styleId="946" w:customStyle="1">
    <w:name w:val="纯文本1"/>
    <w:basedOn w:val="877"/>
    <w:link w:val="945"/>
    <w:uiPriority w:val="0"/>
    <w:qFormat/>
    <w:rPr>
      <w:rFonts w:ascii="宋体" w:hAnsi="Courier New" w:eastAsia="楷体_GB2312"/>
      <w:sz w:val="28"/>
      <w:szCs w:val="20"/>
    </w:rPr>
  </w:style>
  <w:style w:type="character" w:styleId="947" w:customStyle="1">
    <w:name w:val="纯文本 Char1"/>
    <w:basedOn w:val="887"/>
    <w:uiPriority w:val="0"/>
    <w:semiHidden/>
    <w:qFormat/>
    <w:rPr>
      <w:rFonts w:ascii="宋体" w:hAnsi="Courier New" w:cs="Courier New"/>
      <w:sz w:val="21"/>
      <w:szCs w:val="21"/>
    </w:rPr>
  </w:style>
  <w:style w:type="character" w:styleId="948" w:customStyle="1">
    <w:name w:val="批注框文本 字符"/>
    <w:link w:val="910"/>
    <w:uiPriority w:val="0"/>
    <w:qFormat/>
    <w:rPr>
      <w:rFonts w:ascii="Times New Roman" w:hAnsi="Times New Roman" w:eastAsia="宋体" w:cs="Times New Roman"/>
      <w:sz w:val="18"/>
      <w:szCs w:val="18"/>
    </w:rPr>
  </w:style>
  <w:style w:type="character" w:styleId="949" w:customStyle="1">
    <w:name w:val="正文文本缩进 3 字符"/>
    <w:link w:val="919"/>
    <w:uiPriority w:val="99"/>
    <w:qFormat/>
    <w:rPr>
      <w:rFonts w:ascii="Times New Roman" w:hAnsi="Times New Roman" w:eastAsia="宋体" w:cs="Times New Roman"/>
      <w:sz w:val="24"/>
      <w:szCs w:val="24"/>
    </w:rPr>
  </w:style>
  <w:style w:type="character" w:styleId="950" w:customStyle="1">
    <w:name w:val="正文文本 字符"/>
    <w:link w:val="898"/>
    <w:uiPriority w:val="0"/>
    <w:qFormat/>
    <w:rPr>
      <w:rFonts w:ascii="Times New Roman" w:hAnsi="Times New Roman" w:eastAsia="宋体" w:cs="Times New Roman"/>
      <w:sz w:val="24"/>
      <w:szCs w:val="24"/>
    </w:rPr>
  </w:style>
  <w:style w:type="character" w:styleId="951" w:customStyle="1">
    <w:name w:val="批注文字 字符"/>
    <w:uiPriority w:val="0"/>
    <w:qFormat/>
    <w:rPr>
      <w:sz w:val="21"/>
      <w:szCs w:val="24"/>
    </w:rPr>
  </w:style>
  <w:style w:type="character" w:styleId="952" w:customStyle="1">
    <w:name w:val="页脚 Char1"/>
    <w:uiPriority w:val="99"/>
    <w:semiHidden/>
    <w:qFormat/>
    <w:rPr>
      <w:sz w:val="18"/>
      <w:szCs w:val="18"/>
    </w:rPr>
  </w:style>
  <w:style w:type="character" w:styleId="953" w:customStyle="1">
    <w:name w:val="日期 字符"/>
    <w:link w:val="908"/>
    <w:uiPriority w:val="0"/>
    <w:qFormat/>
    <w:rPr>
      <w:rFonts w:ascii="宋体" w:hAnsi="宋体" w:eastAsia="楷体_GB2312" w:cs="Times New Roman"/>
      <w:sz w:val="24"/>
      <w:szCs w:val="20"/>
    </w:rPr>
  </w:style>
  <w:style w:type="character" w:styleId="954" w:customStyle="1">
    <w:name w:val="No Spacing Char"/>
    <w:link w:val="955"/>
    <w:uiPriority w:val="0"/>
    <w:qFormat/>
    <w:rPr>
      <w:rFonts w:ascii="Cambria" w:hAnsi="Cambria"/>
    </w:rPr>
  </w:style>
  <w:style w:type="paragraph" w:styleId="955" w:customStyle="1">
    <w:name w:val="无间隔1"/>
    <w:basedOn w:val="877"/>
    <w:link w:val="954"/>
    <w:uiPriority w:val="0"/>
    <w:qFormat/>
    <w:pPr>
      <w:jc w:val="left"/>
      <w:widowControl/>
    </w:pPr>
    <w:rPr>
      <w:rFonts w:ascii="Cambria" w:hAnsi="Cambria"/>
      <w:sz w:val="20"/>
      <w:szCs w:val="20"/>
    </w:rPr>
  </w:style>
  <w:style w:type="character" w:styleId="956" w:customStyle="1">
    <w:name w:val="批注框文本 Char1"/>
    <w:uiPriority w:val="99"/>
    <w:qFormat/>
    <w:rPr>
      <w:sz w:val="18"/>
      <w:szCs w:val="18"/>
    </w:rPr>
  </w:style>
  <w:style w:type="character" w:styleId="957" w:customStyle="1">
    <w:name w:val="页眉 Char1"/>
    <w:uiPriority w:val="99"/>
    <w:semiHidden/>
    <w:qFormat/>
    <w:rPr>
      <w:sz w:val="18"/>
      <w:szCs w:val="18"/>
    </w:rPr>
  </w:style>
  <w:style w:type="character" w:styleId="958" w:customStyle="1">
    <w:name w:val="页眉 字符"/>
    <w:link w:val="912"/>
    <w:uiPriority w:val="0"/>
    <w:qFormat/>
    <w:rPr>
      <w:sz w:val="18"/>
      <w:szCs w:val="18"/>
    </w:rPr>
  </w:style>
  <w:style w:type="character" w:styleId="959" w:customStyle="1">
    <w:name w:val="标题 9 字符"/>
    <w:link w:val="886"/>
    <w:uiPriority w:val="0"/>
    <w:qFormat/>
    <w:rPr>
      <w:rFonts w:ascii="Cambria" w:hAnsi="Cambria" w:eastAsia="宋体" w:cs="Times New Roman"/>
      <w:sz w:val="20"/>
      <w:szCs w:val="21"/>
    </w:rPr>
  </w:style>
  <w:style w:type="character" w:styleId="960" w:customStyle="1">
    <w:name w:val="标题 7 字符"/>
    <w:link w:val="884"/>
    <w:uiPriority w:val="0"/>
    <w:qFormat/>
    <w:rPr>
      <w:rFonts w:ascii="Calibri" w:hAnsi="Calibri" w:eastAsia="宋体" w:cs="Times New Roman"/>
      <w:b/>
      <w:bCs/>
      <w:sz w:val="24"/>
      <w:szCs w:val="24"/>
    </w:rPr>
  </w:style>
  <w:style w:type="character" w:styleId="961" w:customStyle="1">
    <w:name w:val="param-name"/>
    <w:basedOn w:val="887"/>
    <w:uiPriority w:val="0"/>
    <w:qFormat/>
  </w:style>
  <w:style w:type="character" w:styleId="962" w:customStyle="1">
    <w:name w:val="标题 3 字符"/>
    <w:link w:val="880"/>
    <w:uiPriority w:val="0"/>
    <w:qFormat/>
    <w:rPr>
      <w:rFonts w:ascii="Times New Roman" w:hAnsi="Times New Roman" w:eastAsia="宋体" w:cs="Times New Roman"/>
      <w:b/>
      <w:bCs/>
      <w:sz w:val="32"/>
      <w:szCs w:val="32"/>
    </w:rPr>
  </w:style>
  <w:style w:type="character" w:styleId="963" w:customStyle="1">
    <w:name w:val="标题 5 字符"/>
    <w:link w:val="882"/>
    <w:uiPriority w:val="0"/>
    <w:qFormat/>
    <w:rPr>
      <w:rFonts w:ascii="Calibri" w:hAnsi="Calibri" w:eastAsia="宋体" w:cs="Times New Roman"/>
      <w:b/>
      <w:bCs/>
      <w:sz w:val="28"/>
      <w:szCs w:val="28"/>
    </w:rPr>
  </w:style>
  <w:style w:type="character" w:styleId="964" w:customStyle="1">
    <w:name w:val="方案 Char"/>
    <w:link w:val="965"/>
    <w:uiPriority w:val="0"/>
    <w:qFormat/>
    <w:rPr>
      <w:rFonts w:ascii="宋体" w:hAnsi="宋体" w:eastAsia="宋体"/>
      <w:sz w:val="24"/>
      <w:szCs w:val="24"/>
    </w:rPr>
  </w:style>
  <w:style w:type="paragraph" w:styleId="965" w:customStyle="1">
    <w:name w:val="方案"/>
    <w:basedOn w:val="877"/>
    <w:link w:val="964"/>
    <w:uiPriority w:val="0"/>
    <w:qFormat/>
    <w:pPr>
      <w:ind w:firstLine="200"/>
      <w:spacing w:line="360" w:lineRule="auto"/>
    </w:pPr>
    <w:rPr>
      <w:rFonts w:ascii="宋体" w:hAnsi="宋体"/>
      <w:sz w:val="24"/>
      <w:szCs w:val="24"/>
    </w:rPr>
  </w:style>
  <w:style w:type="character" w:styleId="966" w:customStyle="1">
    <w:name w:val="文档结构图 字符"/>
    <w:link w:val="895"/>
    <w:uiPriority w:val="0"/>
    <w:qFormat/>
    <w:rPr>
      <w:rFonts w:ascii="宋体" w:eastAsia="宋体"/>
      <w:sz w:val="18"/>
      <w:szCs w:val="18"/>
    </w:rPr>
  </w:style>
  <w:style w:type="character" w:styleId="967" w:customStyle="1">
    <w:name w:val="List Paragraph Char"/>
    <w:link w:val="968"/>
    <w:uiPriority w:val="34"/>
    <w:qFormat/>
    <w:rPr>
      <w:rFonts w:ascii="Calibri" w:hAnsi="Calibri" w:eastAsia="宋体" w:cs="宋体"/>
    </w:rPr>
  </w:style>
  <w:style w:type="paragraph" w:styleId="968" w:customStyle="1">
    <w:name w:val="列出段落1"/>
    <w:basedOn w:val="877"/>
    <w:link w:val="967"/>
    <w:uiPriority w:val="34"/>
    <w:qFormat/>
    <w:pPr>
      <w:ind w:firstLine="200"/>
    </w:pPr>
    <w:rPr>
      <w:rFonts w:ascii="Calibri" w:hAnsi="Calibri"/>
      <w:sz w:val="20"/>
      <w:szCs w:val="20"/>
    </w:rPr>
  </w:style>
  <w:style w:type="character" w:styleId="969" w:customStyle="1">
    <w:name w:val="正文文本缩进 3 Char1"/>
    <w:uiPriority w:val="0"/>
    <w:qFormat/>
    <w:rPr>
      <w:sz w:val="16"/>
      <w:szCs w:val="16"/>
    </w:rPr>
  </w:style>
  <w:style w:type="character" w:styleId="970" w:customStyle="1">
    <w:name w:val="Char Char2"/>
    <w:uiPriority w:val="0"/>
    <w:qFormat/>
    <w:rPr>
      <w:rFonts w:ascii="宋体" w:hAnsi="宋体" w:cs="宋体"/>
      <w:sz w:val="24"/>
      <w:szCs w:val="24"/>
    </w:rPr>
  </w:style>
  <w:style w:type="character" w:styleId="971" w:customStyle="1">
    <w:name w:val="批注文字 Char1"/>
    <w:uiPriority w:val="99"/>
    <w:qFormat/>
    <w:rPr>
      <w:sz w:val="21"/>
      <w:szCs w:val="22"/>
    </w:rPr>
  </w:style>
  <w:style w:type="character" w:styleId="972" w:customStyle="1">
    <w:name w:val="正文文本缩进 2 字符"/>
    <w:link w:val="909"/>
    <w:uiPriority w:val="99"/>
    <w:qFormat/>
    <w:rPr>
      <w:rFonts w:ascii="Times New Roman" w:hAnsi="Times New Roman" w:eastAsia="宋体" w:cs="Times New Roman"/>
      <w:sz w:val="24"/>
      <w:szCs w:val="24"/>
    </w:rPr>
  </w:style>
  <w:style w:type="character" w:styleId="973" w:customStyle="1">
    <w:name w:val="标题 4 字符"/>
    <w:link w:val="881"/>
    <w:uiPriority w:val="0"/>
    <w:qFormat/>
    <w:rPr>
      <w:rFonts w:ascii="Cambria" w:hAnsi="Cambria" w:eastAsia="宋体" w:cs="Times New Roman"/>
      <w:b/>
      <w:bCs/>
      <w:sz w:val="28"/>
      <w:szCs w:val="28"/>
    </w:rPr>
  </w:style>
  <w:style w:type="character" w:styleId="974" w:customStyle="1">
    <w:name w:val="正文缩进 字符"/>
    <w:link w:val="889"/>
    <w:uiPriority w:val="0"/>
    <w:qFormat/>
    <w:rPr>
      <w:rFonts w:ascii="Times New Roman" w:hAnsi="Times New Roman" w:eastAsia="楷体_GB2312" w:cs="Times New Roman"/>
      <w:sz w:val="24"/>
      <w:szCs w:val="20"/>
    </w:rPr>
  </w:style>
  <w:style w:type="character" w:styleId="975" w:customStyle="1">
    <w:name w:val="标题 8 字符"/>
    <w:link w:val="885"/>
    <w:uiPriority w:val="0"/>
    <w:qFormat/>
    <w:rPr>
      <w:rFonts w:ascii="Cambria" w:hAnsi="Cambria" w:eastAsia="宋体" w:cs="Times New Roman"/>
      <w:sz w:val="24"/>
      <w:szCs w:val="24"/>
    </w:rPr>
  </w:style>
  <w:style w:type="character" w:styleId="976" w:customStyle="1">
    <w:name w:val="标题 2 字符"/>
    <w:link w:val="879"/>
    <w:uiPriority w:val="0"/>
    <w:qFormat/>
    <w:rPr>
      <w:rFonts w:ascii="Cambria" w:hAnsi="Cambria" w:eastAsia="宋体" w:cs="Times New Roman"/>
      <w:b/>
      <w:bCs/>
      <w:sz w:val="32"/>
      <w:szCs w:val="32"/>
    </w:rPr>
  </w:style>
  <w:style w:type="character" w:styleId="977" w:customStyle="1">
    <w:name w:val="标题 6 字符"/>
    <w:link w:val="883"/>
    <w:uiPriority w:val="0"/>
    <w:qFormat/>
    <w:rPr>
      <w:rFonts w:ascii="Cambria" w:hAnsi="Cambria" w:eastAsia="宋体" w:cs="Times New Roman"/>
      <w:b/>
      <w:bCs/>
      <w:sz w:val="24"/>
      <w:szCs w:val="24"/>
    </w:rPr>
  </w:style>
  <w:style w:type="character" w:styleId="978" w:customStyle="1">
    <w:name w:val="页脚 字符"/>
    <w:link w:val="911"/>
    <w:uiPriority w:val="0"/>
    <w:qFormat/>
    <w:rPr>
      <w:sz w:val="18"/>
      <w:szCs w:val="18"/>
    </w:rPr>
  </w:style>
  <w:style w:type="character" w:styleId="979" w:customStyle="1">
    <w:name w:val="纯文本 字符"/>
    <w:link w:val="905"/>
    <w:uiPriority w:val="0"/>
    <w:qFormat/>
    <w:rPr>
      <w:rFonts w:ascii="宋体" w:hAnsi="Courier New" w:eastAsia="楷体_GB2312"/>
      <w:sz w:val="26"/>
    </w:rPr>
  </w:style>
  <w:style w:type="character" w:styleId="980" w:customStyle="1">
    <w:name w:val="日期 Char1"/>
    <w:uiPriority w:val="99"/>
    <w:qFormat/>
    <w:rPr>
      <w:sz w:val="21"/>
      <w:szCs w:val="22"/>
    </w:rPr>
  </w:style>
  <w:style w:type="character" w:styleId="981" w:customStyle="1">
    <w:name w:val="正文文本缩进 2 Char1"/>
    <w:uiPriority w:val="99"/>
    <w:qFormat/>
    <w:rPr>
      <w:sz w:val="21"/>
      <w:szCs w:val="22"/>
    </w:rPr>
  </w:style>
  <w:style w:type="character" w:styleId="982" w:customStyle="1">
    <w:name w:val="批注主题 Char1"/>
    <w:uiPriority w:val="99"/>
    <w:qFormat/>
    <w:rPr>
      <w:b/>
      <w:bCs/>
      <w:sz w:val="21"/>
      <w:szCs w:val="22"/>
    </w:rPr>
  </w:style>
  <w:style w:type="character" w:styleId="983" w:customStyle="1">
    <w:name w:val="批注文字 字符1"/>
    <w:link w:val="896"/>
    <w:uiPriority w:val="0"/>
    <w:qFormat/>
    <w:rPr>
      <w:rFonts w:ascii="Times New Roman" w:hAnsi="Times New Roman" w:eastAsia="宋体" w:cs="Times New Roman"/>
      <w:szCs w:val="24"/>
    </w:rPr>
  </w:style>
  <w:style w:type="character" w:styleId="984" w:customStyle="1">
    <w:name w:val="方案正文 Char"/>
    <w:link w:val="985"/>
    <w:uiPriority w:val="0"/>
    <w:qFormat/>
    <w:rPr>
      <w:rFonts w:ascii="宋体" w:hAnsi="宋体" w:eastAsia="宋体" w:cs="Times New Roman"/>
      <w:spacing w:val="2"/>
      <w:szCs w:val="21"/>
    </w:rPr>
  </w:style>
  <w:style w:type="paragraph" w:styleId="985" w:customStyle="1">
    <w:name w:val="方案正文"/>
    <w:basedOn w:val="877"/>
    <w:link w:val="984"/>
    <w:uiPriority w:val="0"/>
    <w:qFormat/>
    <w:pPr>
      <w:ind w:firstLine="428"/>
      <w:spacing w:line="360" w:lineRule="auto"/>
      <w:tabs>
        <w:tab w:val="left" w:pos="540" w:leader="none"/>
      </w:tabs>
    </w:pPr>
    <w:rPr>
      <w:rFonts w:ascii="宋体" w:hAnsi="宋体"/>
      <w:spacing w:val="2"/>
      <w:sz w:val="20"/>
      <w:szCs w:val="21"/>
    </w:rPr>
  </w:style>
  <w:style w:type="character" w:styleId="986" w:customStyle="1">
    <w:name w:val="批注主题 字符"/>
    <w:link w:val="929"/>
    <w:uiPriority w:val="0"/>
    <w:qFormat/>
    <w:rPr>
      <w:rFonts w:ascii="Times New Roman" w:hAnsi="Times New Roman" w:eastAsia="宋体" w:cs="Times New Roman"/>
      <w:b/>
      <w:bCs/>
      <w:szCs w:val="24"/>
    </w:rPr>
  </w:style>
  <w:style w:type="character" w:styleId="987" w:customStyle="1">
    <w:name w:val="正文缩进 Char1"/>
    <w:uiPriority w:val="0"/>
    <w:qFormat/>
    <w:rPr>
      <w:rFonts w:ascii="Times New Roman" w:hAnsi="Times New Roman" w:eastAsia="楷体_GB2312" w:cs="Times New Roman"/>
      <w:sz w:val="24"/>
    </w:rPr>
  </w:style>
  <w:style w:type="paragraph" w:styleId="988" w:customStyle="1">
    <w:name w:val="xl118"/>
    <w:basedOn w:val="877"/>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989" w:customStyle="1">
    <w:name w:val="xl75"/>
    <w:basedOn w:val="877"/>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90" w:customStyle="1">
    <w:name w:val="彩色底纹 - 强调文字颜色 11"/>
    <w:uiPriority w:val="71"/>
    <w:qFormat/>
    <w:rPr>
      <w:rFonts w:ascii="Times New Roman" w:hAnsi="Times New Roman" w:eastAsia="宋体" w:cs="Times New Roman"/>
      <w:sz w:val="21"/>
      <w:szCs w:val="22"/>
      <w:lang w:val="en-US" w:eastAsia="zh-CN" w:bidi="ar-SA"/>
    </w:rPr>
  </w:style>
  <w:style w:type="paragraph" w:styleId="991" w:customStyle="1">
    <w:name w:val="font0"/>
    <w:basedOn w:val="877"/>
    <w:uiPriority w:val="0"/>
    <w:qFormat/>
    <w:pPr>
      <w:jc w:val="left"/>
      <w:spacing w:before="100" w:beforeAutospacing="1" w:after="100" w:afterAutospacing="1"/>
      <w:widowControl/>
    </w:pPr>
    <w:rPr>
      <w:rFonts w:ascii="宋体" w:hAnsi="宋体" w:cs="宋体"/>
      <w:sz w:val="24"/>
      <w:szCs w:val="24"/>
    </w:rPr>
  </w:style>
  <w:style w:type="paragraph" w:styleId="992" w:customStyle="1">
    <w:name w:val="xl116"/>
    <w:basedOn w:val="877"/>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993" w:customStyle="1">
    <w:name w:val="xl112"/>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94" w:customStyle="1">
    <w:name w:val="xl84"/>
    <w:basedOn w:val="877"/>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95" w:customStyle="1">
    <w:name w:val="xl70"/>
    <w:basedOn w:val="877"/>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996" w:customStyle="1">
    <w:name w:val="xl80"/>
    <w:basedOn w:val="877"/>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997" w:customStyle="1">
    <w:name w:val="font7"/>
    <w:basedOn w:val="877"/>
    <w:uiPriority w:val="0"/>
    <w:qFormat/>
    <w:pPr>
      <w:jc w:val="left"/>
      <w:spacing w:before="100" w:beforeAutospacing="1" w:after="100" w:afterAutospacing="1"/>
      <w:widowControl/>
    </w:pPr>
    <w:rPr>
      <w:rFonts w:ascii="宋体" w:hAnsi="宋体" w:cs="宋体"/>
      <w:sz w:val="24"/>
      <w:szCs w:val="24"/>
    </w:rPr>
  </w:style>
  <w:style w:type="paragraph" w:styleId="998" w:customStyle="1">
    <w:name w:val="xl100"/>
    <w:basedOn w:val="877"/>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99" w:customStyle="1">
    <w:name w:val="xl76"/>
    <w:basedOn w:val="877"/>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00" w:customStyle="1">
    <w:name w:val="xl92"/>
    <w:basedOn w:val="877"/>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01" w:customStyle="1">
    <w:name w:val="font23"/>
    <w:basedOn w:val="877"/>
    <w:uiPriority w:val="0"/>
    <w:qFormat/>
    <w:pPr>
      <w:jc w:val="left"/>
      <w:spacing w:before="100" w:beforeAutospacing="1" w:after="100" w:afterAutospacing="1"/>
      <w:widowControl/>
    </w:pPr>
    <w:rPr>
      <w:rFonts w:ascii="宋体" w:hAnsi="宋体" w:cs="宋体"/>
      <w:color w:val="ff0000"/>
      <w:sz w:val="20"/>
      <w:szCs w:val="20"/>
    </w:rPr>
  </w:style>
  <w:style w:type="paragraph" w:styleId="1002" w:customStyle="1">
    <w:name w:val="xl88"/>
    <w:basedOn w:val="877"/>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03" w:customStyle="1">
    <w:name w:val="xl120"/>
    <w:basedOn w:val="877"/>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1004" w:customStyle="1">
    <w:name w:val="ask1"/>
    <w:basedOn w:val="877"/>
    <w:uiPriority w:val="0"/>
    <w:qFormat/>
    <w:pPr>
      <w:ind w:left="173" w:right="173"/>
      <w:spacing w:line="276" w:lineRule="atLeast"/>
      <w:widowControl/>
    </w:pPr>
    <w:rPr>
      <w:rFonts w:ascii="宋体" w:hAnsi="宋体" w:cs="宋体"/>
      <w:b/>
      <w:bCs/>
      <w:color w:val="333333"/>
      <w:sz w:val="24"/>
      <w:szCs w:val="24"/>
    </w:rPr>
  </w:style>
  <w:style w:type="paragraph" w:styleId="1005" w:customStyle="1">
    <w:name w:val="xl109"/>
    <w:basedOn w:val="877"/>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1006" w:customStyle="1">
    <w:name w:val="font18"/>
    <w:basedOn w:val="877"/>
    <w:uiPriority w:val="0"/>
    <w:qFormat/>
    <w:pPr>
      <w:jc w:val="left"/>
      <w:spacing w:before="100" w:beforeAutospacing="1" w:after="100" w:afterAutospacing="1"/>
      <w:widowControl/>
    </w:pPr>
    <w:rPr>
      <w:rFonts w:ascii="宋体" w:hAnsi="宋体" w:cs="宋体"/>
      <w:color w:val="000000"/>
      <w:sz w:val="24"/>
      <w:szCs w:val="24"/>
    </w:rPr>
  </w:style>
  <w:style w:type="paragraph" w:styleId="1007" w:customStyle="1">
    <w:name w:val="xl71"/>
    <w:basedOn w:val="877"/>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08" w:customStyle="1">
    <w:name w:val="正文1"/>
    <w:basedOn w:val="877"/>
    <w:next w:val="877"/>
    <w:uiPriority w:val="0"/>
    <w:qFormat/>
    <w:pPr>
      <w:ind w:left="420" w:firstLine="527"/>
      <w:spacing w:before="120" w:line="360" w:lineRule="auto"/>
    </w:pPr>
    <w:rPr>
      <w:rFonts w:ascii="宋体" w:hAnsi="宋体"/>
      <w:sz w:val="24"/>
      <w:szCs w:val="24"/>
    </w:rPr>
  </w:style>
  <w:style w:type="paragraph" w:styleId="1009" w:customStyle="1">
    <w:name w:val="纯文本11"/>
    <w:basedOn w:val="877"/>
    <w:link w:val="1114"/>
    <w:uiPriority w:val="0"/>
    <w:qFormat/>
    <w:pPr>
      <w:jc w:val="left"/>
      <w:widowControl/>
    </w:pPr>
    <w:rPr>
      <w:rFonts w:ascii="宋体" w:hAnsi="Courier New" w:eastAsia="楷体_GB2312"/>
      <w:sz w:val="26"/>
      <w:szCs w:val="20"/>
    </w:rPr>
  </w:style>
  <w:style w:type="paragraph" w:styleId="1010" w:customStyle="1">
    <w:name w:val="xl89"/>
    <w:basedOn w:val="877"/>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11" w:customStyle="1">
    <w:name w:val="p0"/>
    <w:basedOn w:val="877"/>
    <w:uiPriority w:val="0"/>
    <w:qFormat/>
    <w:pPr>
      <w:widowControl/>
    </w:pPr>
    <w:rPr>
      <w:szCs w:val="21"/>
    </w:rPr>
  </w:style>
  <w:style w:type="paragraph" w:styleId="1012" w:customStyle="1">
    <w:name w:val="修订1"/>
    <w:uiPriority w:val="99"/>
    <w:unhideWhenUsed/>
    <w:qFormat/>
    <w:rPr>
      <w:rFonts w:ascii="Times New Roman" w:hAnsi="Times New Roman" w:eastAsia="宋体" w:cs="Times New Roman"/>
      <w:sz w:val="21"/>
      <w:szCs w:val="22"/>
      <w:lang w:val="en-US" w:eastAsia="zh-CN" w:bidi="ar-SA"/>
    </w:rPr>
  </w:style>
  <w:style w:type="paragraph" w:styleId="1013" w:customStyle="1">
    <w:name w:val="xl96"/>
    <w:basedOn w:val="877"/>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14" w:customStyle="1">
    <w:name w:val="xl115"/>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15" w:customStyle="1">
    <w:name w:val="xl121"/>
    <w:basedOn w:val="877"/>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1016" w:customStyle="1">
    <w:name w:val="xl81"/>
    <w:basedOn w:val="877"/>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17" w:customStyle="1">
    <w:name w:val="xl106"/>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18" w:customStyle="1">
    <w:name w:val="font9"/>
    <w:basedOn w:val="877"/>
    <w:uiPriority w:val="0"/>
    <w:qFormat/>
    <w:pPr>
      <w:jc w:val="left"/>
      <w:spacing w:before="100" w:beforeAutospacing="1" w:after="100" w:afterAutospacing="1"/>
      <w:widowControl/>
    </w:pPr>
    <w:rPr>
      <w:rFonts w:ascii="宋体" w:hAnsi="宋体" w:cs="宋体"/>
      <w:sz w:val="18"/>
      <w:szCs w:val="18"/>
    </w:rPr>
  </w:style>
  <w:style w:type="paragraph" w:styleId="1019" w:customStyle="1">
    <w:name w:val="font19"/>
    <w:basedOn w:val="877"/>
    <w:uiPriority w:val="0"/>
    <w:qFormat/>
    <w:pPr>
      <w:jc w:val="left"/>
      <w:spacing w:before="100" w:beforeAutospacing="1" w:after="100" w:afterAutospacing="1"/>
      <w:widowControl/>
    </w:pPr>
    <w:rPr>
      <w:rFonts w:ascii="宋体" w:hAnsi="宋体" w:cs="宋体"/>
      <w:sz w:val="24"/>
      <w:szCs w:val="24"/>
    </w:rPr>
  </w:style>
  <w:style w:type="paragraph" w:styleId="1020" w:customStyle="1">
    <w:name w:val="样式1"/>
    <w:basedOn w:val="880"/>
    <w:link w:val="1115"/>
    <w:uiPriority w:val="0"/>
    <w:qFormat/>
    <w:pPr>
      <w:numPr>
        <w:ilvl w:val="2"/>
        <w:numId w:val="2"/>
      </w:numPr>
      <w:spacing w:line="240" w:lineRule="auto"/>
    </w:pPr>
    <w:rPr>
      <w:rFonts w:ascii="宋体" w:hAnsi="宋体" w:cs="宋体"/>
      <w:color w:val="000000"/>
      <w:sz w:val="21"/>
      <w:szCs w:val="21"/>
    </w:rPr>
  </w:style>
  <w:style w:type="paragraph" w:styleId="1021" w:customStyle="1">
    <w:name w:val="xl78"/>
    <w:basedOn w:val="877"/>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22" w:customStyle="1">
    <w:name w:val="_Style 125"/>
    <w:next w:val="877"/>
    <w:uiPriority w:val="99"/>
    <w:unhideWhenUsed/>
    <w:qFormat/>
    <w:pPr>
      <w:jc w:val="both"/>
      <w:widowControl w:val="off"/>
    </w:pPr>
    <w:rPr>
      <w:rFonts w:ascii="Times New Roman" w:hAnsi="Times New Roman" w:eastAsia="宋体" w:cs="Times New Roman"/>
      <w:sz w:val="21"/>
      <w:szCs w:val="22"/>
      <w:lang w:val="en-US" w:eastAsia="zh-CN" w:bidi="ar-SA"/>
    </w:rPr>
  </w:style>
  <w:style w:type="paragraph" w:styleId="1023" w:customStyle="1">
    <w:name w:val="xl103"/>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24" w:customStyle="1">
    <w:name w:val="xl98"/>
    <w:basedOn w:val="877"/>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5" w:customStyle="1">
    <w:name w:val="xl97"/>
    <w:basedOn w:val="877"/>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6" w:customStyle="1">
    <w:name w:val="font5"/>
    <w:basedOn w:val="877"/>
    <w:uiPriority w:val="0"/>
    <w:qFormat/>
    <w:pPr>
      <w:jc w:val="left"/>
      <w:spacing w:before="100" w:beforeAutospacing="1" w:after="100" w:afterAutospacing="1"/>
      <w:widowControl/>
    </w:pPr>
    <w:rPr>
      <w:rFonts w:ascii="宋体" w:hAnsi="宋体" w:cs="宋体"/>
      <w:color w:val="000000"/>
      <w:szCs w:val="21"/>
    </w:rPr>
  </w:style>
  <w:style w:type="paragraph" w:styleId="1027" w:customStyle="1">
    <w:name w:val="纯文本3"/>
    <w:basedOn w:val="877"/>
    <w:uiPriority w:val="0"/>
    <w:qFormat/>
    <w:pPr>
      <w:jc w:val="left"/>
      <w:widowControl/>
    </w:pPr>
    <w:rPr>
      <w:rFonts w:ascii="宋体" w:hAnsi="Courier New" w:eastAsia="楷体_GB2312"/>
      <w:sz w:val="26"/>
      <w:szCs w:val="20"/>
    </w:rPr>
  </w:style>
  <w:style w:type="paragraph" w:styleId="1028" w:customStyle="1">
    <w:name w:val="xl101"/>
    <w:basedOn w:val="877"/>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9" w:customStyle="1">
    <w:name w:val="xl74"/>
    <w:basedOn w:val="877"/>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30" w:customStyle="1">
    <w:name w:val="财政-标题二"/>
    <w:basedOn w:val="1031"/>
    <w:uiPriority w:val="0"/>
    <w:qFormat/>
    <w:pPr>
      <w:numPr>
        <w:ilvl w:val="1"/>
      </w:numPr>
      <w:outlineLvl w:val="1"/>
    </w:pPr>
    <w:rPr>
      <w:sz w:val="36"/>
    </w:rPr>
  </w:style>
  <w:style w:type="paragraph" w:styleId="1031" w:customStyle="1">
    <w:name w:val="财政-标题一"/>
    <w:basedOn w:val="877"/>
    <w:uiPriority w:val="0"/>
    <w:qFormat/>
    <w:pPr>
      <w:numPr>
        <w:ilvl w:val="0"/>
        <w:numId w:val="3"/>
      </w:numPr>
      <w:outlineLvl w:val="0"/>
    </w:pPr>
    <w:rPr>
      <w:rFonts w:ascii="Calibri" w:hAnsi="Calibri" w:eastAsia="华文中宋"/>
      <w:b/>
      <w:sz w:val="44"/>
      <w:szCs w:val="21"/>
    </w:rPr>
  </w:style>
  <w:style w:type="paragraph" w:styleId="1032" w:customStyle="1">
    <w:name w:val="xl94"/>
    <w:basedOn w:val="877"/>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33" w:customStyle="1">
    <w:name w:val="xl65"/>
    <w:basedOn w:val="877"/>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1034" w:customStyle="1">
    <w:name w:val="font12"/>
    <w:basedOn w:val="877"/>
    <w:uiPriority w:val="0"/>
    <w:qFormat/>
    <w:pPr>
      <w:jc w:val="left"/>
      <w:spacing w:before="100" w:beforeAutospacing="1" w:after="100" w:afterAutospacing="1"/>
      <w:widowControl/>
    </w:pPr>
    <w:rPr>
      <w:rFonts w:ascii="宋体" w:hAnsi="宋体" w:cs="宋体"/>
      <w:sz w:val="24"/>
      <w:szCs w:val="24"/>
    </w:rPr>
  </w:style>
  <w:style w:type="paragraph" w:styleId="1035" w:customStyle="1">
    <w:name w:val="xl104"/>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36" w:customStyle="1">
    <w:name w:val="xl124"/>
    <w:basedOn w:val="87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37" w:customStyle="1">
    <w:name w:val="font14"/>
    <w:basedOn w:val="877"/>
    <w:uiPriority w:val="0"/>
    <w:qFormat/>
    <w:pPr>
      <w:jc w:val="left"/>
      <w:spacing w:before="100" w:beforeAutospacing="1" w:after="100" w:afterAutospacing="1"/>
      <w:widowControl/>
    </w:pPr>
    <w:rPr>
      <w:rFonts w:ascii="宋体" w:hAnsi="宋体" w:cs="宋体"/>
      <w:sz w:val="24"/>
      <w:szCs w:val="24"/>
    </w:rPr>
  </w:style>
  <w:style w:type="paragraph" w:styleId="1038" w:customStyle="1">
    <w:name w:val="财政-标题四"/>
    <w:basedOn w:val="1039"/>
    <w:uiPriority w:val="0"/>
    <w:qFormat/>
    <w:pPr>
      <w:numPr>
        <w:ilvl w:val="3"/>
      </w:numPr>
      <w:outlineLvl w:val="3"/>
    </w:pPr>
    <w:rPr>
      <w:sz w:val="30"/>
    </w:rPr>
  </w:style>
  <w:style w:type="paragraph" w:styleId="1039" w:customStyle="1">
    <w:name w:val="财政-标题三"/>
    <w:basedOn w:val="1030"/>
    <w:uiPriority w:val="0"/>
    <w:qFormat/>
    <w:pPr>
      <w:numPr>
        <w:ilvl w:val="2"/>
      </w:numPr>
      <w:outlineLvl w:val="2"/>
    </w:pPr>
    <w:rPr>
      <w:sz w:val="32"/>
    </w:rPr>
  </w:style>
  <w:style w:type="paragraph" w:styleId="1040" w:customStyle="1">
    <w:name w:val="xl119"/>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1" w:customStyle="1">
    <w:name w:val="xl87"/>
    <w:basedOn w:val="877"/>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42" w:customStyle="1">
    <w:name w:val="xl72"/>
    <w:basedOn w:val="877"/>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43" w:customStyle="1">
    <w:name w:val="font11"/>
    <w:basedOn w:val="877"/>
    <w:uiPriority w:val="0"/>
    <w:qFormat/>
    <w:pPr>
      <w:jc w:val="left"/>
      <w:spacing w:before="100" w:beforeAutospacing="1" w:after="100" w:afterAutospacing="1"/>
      <w:widowControl/>
    </w:pPr>
    <w:rPr>
      <w:rFonts w:ascii="宋体" w:hAnsi="宋体" w:cs="宋体"/>
      <w:sz w:val="24"/>
      <w:szCs w:val="24"/>
    </w:rPr>
  </w:style>
  <w:style w:type="paragraph" w:styleId="1044" w:customStyle="1">
    <w:name w:val="font13"/>
    <w:basedOn w:val="877"/>
    <w:uiPriority w:val="0"/>
    <w:qFormat/>
    <w:pPr>
      <w:jc w:val="left"/>
      <w:spacing w:before="100" w:beforeAutospacing="1" w:after="100" w:afterAutospacing="1"/>
      <w:widowControl/>
    </w:pPr>
    <w:rPr>
      <w:rFonts w:ascii="宋体" w:hAnsi="宋体" w:cs="宋体"/>
      <w:color w:val="000000"/>
      <w:sz w:val="20"/>
      <w:szCs w:val="20"/>
    </w:rPr>
  </w:style>
  <w:style w:type="paragraph" w:styleId="1045" w:customStyle="1">
    <w:name w:val="font6"/>
    <w:basedOn w:val="877"/>
    <w:uiPriority w:val="0"/>
    <w:qFormat/>
    <w:pPr>
      <w:jc w:val="left"/>
      <w:spacing w:before="100" w:beforeAutospacing="1" w:after="100" w:afterAutospacing="1"/>
      <w:widowControl/>
    </w:pPr>
    <w:rPr>
      <w:rFonts w:ascii="宋体" w:hAnsi="宋体" w:cs="宋体"/>
      <w:sz w:val="20"/>
      <w:szCs w:val="20"/>
    </w:rPr>
  </w:style>
  <w:style w:type="paragraph" w:styleId="1046" w:customStyle="1">
    <w:name w:val="font8"/>
    <w:basedOn w:val="877"/>
    <w:uiPriority w:val="0"/>
    <w:qFormat/>
    <w:pPr>
      <w:jc w:val="left"/>
      <w:spacing w:before="100" w:beforeAutospacing="1" w:after="100" w:afterAutospacing="1"/>
      <w:widowControl/>
    </w:pPr>
    <w:rPr>
      <w:rFonts w:ascii="宋体" w:hAnsi="宋体" w:cs="宋体"/>
      <w:color w:val="000000"/>
      <w:sz w:val="20"/>
      <w:szCs w:val="20"/>
    </w:rPr>
  </w:style>
  <w:style w:type="paragraph" w:styleId="1047" w:customStyle="1">
    <w:name w:val="xl93"/>
    <w:basedOn w:val="877"/>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48" w:customStyle="1">
    <w:name w:val="xl73"/>
    <w:basedOn w:val="877"/>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1049" w:customStyle="1">
    <w:name w:val="xl67"/>
    <w:basedOn w:val="877"/>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50" w:customStyle="1">
    <w:name w:val="answer1"/>
    <w:basedOn w:val="877"/>
    <w:uiPriority w:val="0"/>
    <w:qFormat/>
    <w:pPr>
      <w:ind w:left="173" w:right="173"/>
      <w:spacing w:line="276" w:lineRule="atLeast"/>
      <w:widowControl/>
    </w:pPr>
    <w:rPr>
      <w:rFonts w:ascii="宋体" w:hAnsi="宋体" w:cs="宋体"/>
      <w:color w:val="005496"/>
      <w:sz w:val="24"/>
      <w:szCs w:val="24"/>
    </w:rPr>
  </w:style>
  <w:style w:type="paragraph" w:styleId="1051" w:customStyle="1">
    <w:name w:val="xl114"/>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52" w:customStyle="1">
    <w:name w:val="xl90"/>
    <w:basedOn w:val="877"/>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53" w:customStyle="1">
    <w:name w:val="TableNote"/>
    <w:uiPriority w:val="1"/>
    <w:qFormat/>
    <w:pPr>
      <w:ind w:left="1587" w:hanging="340"/>
      <w:spacing w:before="480" w:after="120"/>
    </w:pPr>
    <w:rPr>
      <w:rFonts w:ascii="Arial" w:hAnsi="Arial" w:eastAsia="宋体" w:cs="Times New Roman"/>
      <w:sz w:val="18"/>
      <w:szCs w:val="44"/>
      <w:lang w:val="en-US" w:eastAsia="zh-CN" w:bidi="ar-SA"/>
    </w:rPr>
  </w:style>
  <w:style w:type="paragraph" w:styleId="1054" w:customStyle="1">
    <w:name w:val="font20"/>
    <w:basedOn w:val="877"/>
    <w:uiPriority w:val="0"/>
    <w:qFormat/>
    <w:pPr>
      <w:jc w:val="left"/>
      <w:spacing w:before="100" w:beforeAutospacing="1" w:after="100" w:afterAutospacing="1"/>
      <w:widowControl/>
    </w:pPr>
    <w:rPr>
      <w:rFonts w:ascii="宋体" w:hAnsi="宋体" w:cs="宋体"/>
      <w:color w:val="000000"/>
      <w:sz w:val="20"/>
      <w:szCs w:val="20"/>
    </w:rPr>
  </w:style>
  <w:style w:type="paragraph" w:styleId="1055" w:customStyle="1">
    <w:name w:val="font25"/>
    <w:basedOn w:val="877"/>
    <w:uiPriority w:val="0"/>
    <w:qFormat/>
    <w:pPr>
      <w:jc w:val="left"/>
      <w:spacing w:before="100" w:beforeAutospacing="1" w:after="100" w:afterAutospacing="1"/>
      <w:widowControl/>
    </w:pPr>
    <w:rPr>
      <w:rFonts w:ascii="宋体" w:hAnsi="宋体" w:cs="宋体"/>
      <w:sz w:val="20"/>
      <w:szCs w:val="20"/>
    </w:rPr>
  </w:style>
  <w:style w:type="paragraph" w:styleId="1056" w:customStyle="1">
    <w:name w:val="xl107"/>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57" w:customStyle="1">
    <w:name w:val="xl66"/>
    <w:basedOn w:val="877"/>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58" w:customStyle="1">
    <w:name w:val="font24"/>
    <w:basedOn w:val="877"/>
    <w:uiPriority w:val="0"/>
    <w:qFormat/>
    <w:pPr>
      <w:jc w:val="left"/>
      <w:spacing w:before="100" w:beforeAutospacing="1" w:after="100" w:afterAutospacing="1"/>
      <w:widowControl/>
    </w:pPr>
    <w:rPr>
      <w:rFonts w:ascii="宋体" w:hAnsi="宋体" w:cs="宋体"/>
      <w:sz w:val="24"/>
      <w:szCs w:val="24"/>
    </w:rPr>
  </w:style>
  <w:style w:type="paragraph" w:styleId="1059" w:customStyle="1">
    <w:name w:val="xl86"/>
    <w:basedOn w:val="877"/>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60" w:customStyle="1">
    <w:name w:val="font26"/>
    <w:basedOn w:val="877"/>
    <w:uiPriority w:val="0"/>
    <w:qFormat/>
    <w:pPr>
      <w:jc w:val="left"/>
      <w:spacing w:before="100" w:beforeAutospacing="1" w:after="100" w:afterAutospacing="1"/>
      <w:widowControl/>
    </w:pPr>
    <w:rPr>
      <w:rFonts w:ascii="宋体" w:hAnsi="宋体" w:cs="宋体"/>
      <w:sz w:val="18"/>
      <w:szCs w:val="18"/>
    </w:rPr>
  </w:style>
  <w:style w:type="paragraph" w:styleId="1061" w:customStyle="1">
    <w:name w:val="font10"/>
    <w:basedOn w:val="877"/>
    <w:uiPriority w:val="0"/>
    <w:qFormat/>
    <w:pPr>
      <w:jc w:val="left"/>
      <w:spacing w:before="100" w:beforeAutospacing="1" w:after="100" w:afterAutospacing="1"/>
      <w:widowControl/>
    </w:pPr>
    <w:rPr>
      <w:rFonts w:ascii="宋体" w:hAnsi="宋体" w:cs="宋体"/>
      <w:color w:val="000000"/>
      <w:sz w:val="24"/>
      <w:szCs w:val="24"/>
    </w:rPr>
  </w:style>
  <w:style w:type="paragraph" w:styleId="1062" w:customStyle="1">
    <w:name w:val="xl79"/>
    <w:basedOn w:val="877"/>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63" w:customStyle="1">
    <w:name w:val="xl123"/>
    <w:basedOn w:val="87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64" w:customStyle="1">
    <w:name w:val="xl64"/>
    <w:basedOn w:val="877"/>
    <w:uiPriority w:val="0"/>
    <w:qFormat/>
    <w:pPr>
      <w:jc w:val="center"/>
      <w:spacing w:before="100" w:beforeAutospacing="1" w:after="100" w:afterAutospacing="1"/>
      <w:widowControl/>
    </w:pPr>
    <w:rPr>
      <w:rFonts w:ascii="宋体" w:hAnsi="宋体" w:cs="宋体"/>
      <w:sz w:val="24"/>
      <w:szCs w:val="24"/>
    </w:rPr>
  </w:style>
  <w:style w:type="paragraph" w:styleId="1065" w:customStyle="1">
    <w:name w:val="纯文本2"/>
    <w:basedOn w:val="877"/>
    <w:uiPriority w:val="0"/>
    <w:qFormat/>
    <w:pPr>
      <w:jc w:val="left"/>
      <w:widowControl/>
    </w:pPr>
    <w:rPr>
      <w:rFonts w:ascii="宋体" w:hAnsi="Courier New" w:eastAsia="楷体_GB2312"/>
      <w:sz w:val="26"/>
      <w:szCs w:val="20"/>
    </w:rPr>
  </w:style>
  <w:style w:type="paragraph" w:styleId="1066" w:customStyle="1">
    <w:name w:val="xl95"/>
    <w:basedOn w:val="877"/>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67" w:customStyle="1">
    <w:name w:val="font17"/>
    <w:basedOn w:val="877"/>
    <w:uiPriority w:val="0"/>
    <w:qFormat/>
    <w:pPr>
      <w:jc w:val="left"/>
      <w:spacing w:before="100" w:beforeAutospacing="1" w:after="100" w:afterAutospacing="1"/>
      <w:widowControl/>
    </w:pPr>
    <w:rPr>
      <w:rFonts w:ascii="宋体" w:hAnsi="宋体" w:cs="宋体"/>
      <w:sz w:val="18"/>
      <w:szCs w:val="18"/>
    </w:rPr>
  </w:style>
  <w:style w:type="paragraph" w:styleId="1068" w:customStyle="1">
    <w:name w:val="xl85"/>
    <w:basedOn w:val="877"/>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69">
    <w:name w:val="List Paragraph"/>
    <w:basedOn w:val="877"/>
    <w:link w:val="1106"/>
    <w:uiPriority w:val="99"/>
    <w:qFormat/>
    <w:pPr>
      <w:ind w:firstLine="420"/>
    </w:pPr>
    <w:rPr>
      <w:rFonts w:ascii="宋体" w:hAnsi="宋体"/>
      <w:sz w:val="24"/>
      <w:szCs w:val="24"/>
    </w:rPr>
  </w:style>
  <w:style w:type="paragraph" w:styleId="1070" w:customStyle="1">
    <w:name w:val="xl111"/>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71" w:customStyle="1">
    <w:name w:val="xl127"/>
    <w:basedOn w:val="87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72" w:customStyle="1">
    <w:name w:val="xl77"/>
    <w:basedOn w:val="877"/>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73" w:customStyle="1">
    <w:name w:val="xl99"/>
    <w:basedOn w:val="877"/>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4" w:customStyle="1">
    <w:name w:val="font22"/>
    <w:basedOn w:val="877"/>
    <w:uiPriority w:val="0"/>
    <w:qFormat/>
    <w:pPr>
      <w:jc w:val="left"/>
      <w:spacing w:before="100" w:beforeAutospacing="1" w:after="100" w:afterAutospacing="1"/>
      <w:widowControl/>
    </w:pPr>
    <w:rPr>
      <w:rFonts w:ascii="宋体" w:hAnsi="宋体" w:cs="宋体"/>
      <w:color w:val="ff0000"/>
      <w:sz w:val="20"/>
      <w:szCs w:val="20"/>
    </w:rPr>
  </w:style>
  <w:style w:type="paragraph" w:styleId="1075" w:customStyle="1">
    <w:name w:val="xl117"/>
    <w:basedOn w:val="877"/>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76" w:customStyle="1">
    <w:name w:val="xl83"/>
    <w:basedOn w:val="877"/>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77" w:customStyle="1">
    <w:name w:val="xl108"/>
    <w:basedOn w:val="877"/>
    <w:uiPriority w:val="0"/>
    <w:qFormat/>
    <w:pPr>
      <w:jc w:val="center"/>
      <w:spacing w:before="100" w:beforeAutospacing="1" w:after="100" w:afterAutospacing="1"/>
      <w:widowControl/>
    </w:pPr>
    <w:rPr>
      <w:rFonts w:ascii="宋体" w:hAnsi="宋体" w:cs="宋体"/>
      <w:color w:val="ff0000"/>
      <w:sz w:val="24"/>
      <w:szCs w:val="24"/>
    </w:rPr>
  </w:style>
  <w:style w:type="paragraph" w:styleId="1078" w:customStyle="1">
    <w:name w:val="font15"/>
    <w:basedOn w:val="877"/>
    <w:uiPriority w:val="0"/>
    <w:qFormat/>
    <w:pPr>
      <w:jc w:val="left"/>
      <w:spacing w:before="100" w:beforeAutospacing="1" w:after="100" w:afterAutospacing="1"/>
      <w:widowControl/>
    </w:pPr>
    <w:rPr>
      <w:rFonts w:ascii="宋体" w:hAnsi="宋体" w:cs="宋体"/>
      <w:sz w:val="24"/>
      <w:szCs w:val="24"/>
    </w:rPr>
  </w:style>
  <w:style w:type="paragraph" w:styleId="1079" w:customStyle="1">
    <w:name w:val="xl113"/>
    <w:basedOn w:val="877"/>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80" w:customStyle="1">
    <w:name w:val="xl110"/>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81" w:customStyle="1">
    <w:name w:val="彩色列表 - 强调文字颜色 11"/>
    <w:basedOn w:val="877"/>
    <w:uiPriority w:val="0"/>
    <w:qFormat/>
    <w:pPr>
      <w:ind w:firstLine="420"/>
    </w:pPr>
    <w:rPr>
      <w:rFonts w:ascii="宋体" w:hAnsi="宋体"/>
      <w:sz w:val="24"/>
      <w:szCs w:val="24"/>
    </w:rPr>
  </w:style>
  <w:style w:type="paragraph" w:styleId="1082" w:customStyle="1">
    <w:name w:val="xl102"/>
    <w:basedOn w:val="877"/>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3" w:customStyle="1">
    <w:name w:val="xl125"/>
    <w:basedOn w:val="877"/>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84" w:customStyle="1">
    <w:name w:val="xl91"/>
    <w:basedOn w:val="877"/>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85" w:customStyle="1">
    <w:name w:val="xl68"/>
    <w:basedOn w:val="877"/>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86" w:customStyle="1">
    <w:name w:val="xl122"/>
    <w:basedOn w:val="87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087" w:customStyle="1">
    <w:name w:val="font21"/>
    <w:basedOn w:val="877"/>
    <w:uiPriority w:val="0"/>
    <w:qFormat/>
    <w:pPr>
      <w:jc w:val="left"/>
      <w:spacing w:before="100" w:beforeAutospacing="1" w:after="100" w:afterAutospacing="1"/>
      <w:widowControl/>
    </w:pPr>
    <w:rPr>
      <w:rFonts w:ascii="宋体" w:hAnsi="宋体" w:cs="宋体"/>
      <w:color w:val="000000"/>
      <w:sz w:val="24"/>
      <w:szCs w:val="24"/>
    </w:rPr>
  </w:style>
  <w:style w:type="paragraph" w:styleId="1088" w:customStyle="1">
    <w:name w:val="xl69"/>
    <w:basedOn w:val="877"/>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089" w:customStyle="1">
    <w:name w:val="xl126"/>
    <w:basedOn w:val="87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90" w:customStyle="1">
    <w:name w:val="xl82"/>
    <w:basedOn w:val="877"/>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91" w:customStyle="1">
    <w:name w:val="font16"/>
    <w:basedOn w:val="877"/>
    <w:uiPriority w:val="0"/>
    <w:qFormat/>
    <w:pPr>
      <w:jc w:val="left"/>
      <w:spacing w:before="100" w:beforeAutospacing="1" w:after="100" w:afterAutospacing="1"/>
      <w:widowControl/>
    </w:pPr>
    <w:rPr>
      <w:rFonts w:ascii="宋体" w:hAnsi="宋体" w:cs="宋体"/>
      <w:color w:val="000000"/>
      <w:sz w:val="20"/>
      <w:szCs w:val="20"/>
    </w:rPr>
  </w:style>
  <w:style w:type="paragraph" w:styleId="1092" w:customStyle="1">
    <w:name w:val="xl105"/>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093" w:customStyle="1">
    <w:name w:val="网格型1"/>
    <w:basedOn w:val="8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94" w:customStyle="1">
    <w:name w:val="纯文本4"/>
    <w:basedOn w:val="877"/>
    <w:uiPriority w:val="0"/>
    <w:qFormat/>
    <w:rPr>
      <w:rFonts w:ascii="宋体" w:hAnsi="Courier New" w:eastAsia="楷体_GB2312"/>
      <w:sz w:val="26"/>
      <w:szCs w:val="20"/>
    </w:rPr>
  </w:style>
  <w:style w:type="paragraph" w:styleId="1095" w:customStyle="1">
    <w:name w:val="修订2"/>
    <w:hidden/>
    <w:uiPriority w:val="99"/>
    <w:qFormat/>
    <w:rPr>
      <w:rFonts w:ascii="Times New Roman" w:hAnsi="Times New Roman" w:eastAsia="宋体" w:cs="Times New Roman"/>
      <w:sz w:val="21"/>
      <w:szCs w:val="22"/>
      <w:lang w:val="en-US" w:eastAsia="zh-CN" w:bidi="ar-SA"/>
    </w:rPr>
  </w:style>
  <w:style w:type="paragraph" w:styleId="1096" w:customStyle="1">
    <w:name w:val="纯文本5"/>
    <w:basedOn w:val="877"/>
    <w:uiPriority w:val="0"/>
    <w:qFormat/>
    <w:rPr>
      <w:rFonts w:ascii="宋体" w:hAnsi="Courier New" w:eastAsia="楷体_GB2312"/>
      <w:sz w:val="26"/>
      <w:szCs w:val="20"/>
    </w:rPr>
  </w:style>
  <w:style w:type="paragraph" w:styleId="1097" w:customStyle="1">
    <w:name w:val="正文首行缩进4字符"/>
    <w:basedOn w:val="877"/>
    <w:uiPriority w:val="99"/>
    <w:qFormat/>
    <w:pPr>
      <w:ind w:left="482" w:firstLine="482"/>
      <w:spacing w:line="360" w:lineRule="auto"/>
    </w:pPr>
    <w:rPr>
      <w:rFonts w:eastAsia="仿宋"/>
      <w:sz w:val="28"/>
      <w:szCs w:val="20"/>
    </w:rPr>
  </w:style>
  <w:style w:type="character" w:styleId="1098" w:customStyle="1">
    <w:name w:val="正文文本缩进 字符"/>
    <w:basedOn w:val="887"/>
    <w:link w:val="899"/>
    <w:uiPriority w:val="0"/>
    <w:qFormat/>
    <w:rPr>
      <w:rFonts w:ascii="Times New Roman" w:hAnsi="Times New Roman" w:eastAsia="宋体" w:cs="Times New Roman"/>
      <w:sz w:val="21"/>
      <w:szCs w:val="22"/>
    </w:rPr>
  </w:style>
  <w:style w:type="paragraph" w:styleId="1099" w:customStyle="1">
    <w:name w:val="修订3"/>
    <w:hidden/>
    <w:uiPriority w:val="99"/>
    <w:qFormat/>
    <w:rPr>
      <w:rFonts w:ascii="Times New Roman" w:hAnsi="Times New Roman" w:eastAsia="宋体" w:cs="Times New Roman"/>
      <w:sz w:val="21"/>
      <w:szCs w:val="22"/>
      <w:lang w:val="en-US" w:eastAsia="zh-CN" w:bidi="ar-SA"/>
    </w:rPr>
  </w:style>
  <w:style w:type="character" w:styleId="1100" w:customStyle="1">
    <w:name w:val="段 Char"/>
    <w:link w:val="941"/>
    <w:uiPriority w:val="99"/>
    <w:qFormat/>
    <w:rPr>
      <w:rFonts w:ascii="宋体" w:hAnsi="Times New Roman" w:eastAsia="宋体" w:cs="Times New Roman"/>
      <w:sz w:val="21"/>
      <w:lang w:val="en-US" w:eastAsia="zh-CN" w:bidi="ar-SA"/>
    </w:rPr>
  </w:style>
  <w:style w:type="table" w:styleId="1101" w:customStyle="1">
    <w:name w:val="网格型2"/>
    <w:basedOn w:val="888"/>
    <w:uiPriority w:val="5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02"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103" w:customStyle="1">
    <w:name w:val="修订4"/>
    <w:hidden/>
    <w:uiPriority w:val="99"/>
    <w:semiHidden/>
    <w:qFormat/>
    <w:rPr>
      <w:rFonts w:ascii="Times New Roman" w:hAnsi="Times New Roman" w:eastAsia="宋体" w:cs="Times New Roman"/>
      <w:sz w:val="21"/>
      <w:szCs w:val="22"/>
      <w:lang w:val="en-US" w:eastAsia="zh-CN" w:bidi="ar-SA"/>
    </w:rPr>
  </w:style>
  <w:style w:type="paragraph" w:styleId="1104" w:customStyle="1">
    <w:name w:val="列出段落2"/>
    <w:basedOn w:val="877"/>
    <w:uiPriority w:val="34"/>
    <w:qFormat/>
    <w:pPr>
      <w:ind w:firstLine="420"/>
    </w:pPr>
    <w:rPr>
      <w:rFonts w:ascii="宋体" w:hAnsi="宋体"/>
      <w:sz w:val="24"/>
      <w:szCs w:val="24"/>
    </w:rPr>
  </w:style>
  <w:style w:type="character" w:styleId="1105" w:customStyle="1">
    <w:name w:val="正文文本首行缩进 2 字符"/>
    <w:basedOn w:val="1098"/>
    <w:link w:val="931"/>
    <w:uiPriority w:val="99"/>
    <w:semiHidden/>
    <w:qFormat/>
    <w:rPr>
      <w:rFonts w:ascii="Times New Roman" w:hAnsi="Times New Roman" w:eastAsia="宋体" w:cs="Times New Roman"/>
      <w:sz w:val="21"/>
      <w:szCs w:val="22"/>
    </w:rPr>
  </w:style>
  <w:style w:type="character" w:styleId="1106" w:customStyle="1">
    <w:name w:val="列表段落 字符"/>
    <w:link w:val="1069"/>
    <w:uiPriority w:val="99"/>
    <w:qFormat/>
    <w:rPr>
      <w:rFonts w:ascii="宋体" w:hAnsi="宋体"/>
      <w:sz w:val="24"/>
      <w:szCs w:val="24"/>
    </w:rPr>
  </w:style>
  <w:style w:type="character" w:styleId="1107" w:customStyle="1">
    <w:name w:val="HTML 预设格式 字符"/>
    <w:basedOn w:val="887"/>
    <w:link w:val="926"/>
    <w:uiPriority w:val="0"/>
    <w:semiHidden/>
    <w:qFormat/>
    <w:rPr>
      <w:rFonts w:ascii="黑体" w:hAnsi="Courier New" w:eastAsia="黑体"/>
    </w:rPr>
  </w:style>
  <w:style w:type="character" w:styleId="1108" w:customStyle="1">
    <w:name w:val="脚注文本 字符"/>
    <w:basedOn w:val="887"/>
    <w:link w:val="917"/>
    <w:uiPriority w:val="0"/>
    <w:semiHidden/>
    <w:qFormat/>
    <w:rPr>
      <w:rFonts w:eastAsia="楷体_GB2312"/>
      <w:sz w:val="18"/>
    </w:rPr>
  </w:style>
  <w:style w:type="character" w:styleId="1109" w:customStyle="1">
    <w:name w:val="题注 字符"/>
    <w:link w:val="893"/>
    <w:uiPriority w:val="0"/>
    <w:semiHidden/>
    <w:qFormat/>
    <w:rPr>
      <w:rFonts w:eastAsia="黑体" w:asciiTheme="majorHAnsi" w:hAnsiTheme="majorHAnsi" w:cstheme="majorBidi"/>
    </w:rPr>
  </w:style>
  <w:style w:type="character" w:styleId="1110" w:customStyle="1">
    <w:name w:val="正文文本首行缩进 字符"/>
    <w:basedOn w:val="950"/>
    <w:link w:val="930"/>
    <w:uiPriority w:val="0"/>
    <w:semiHidden/>
    <w:qFormat/>
    <w:rPr>
      <w:rFonts w:ascii="Times New Roman" w:hAnsi="Times New Roman" w:eastAsia="楷体_GB2312" w:cs="Times New Roman"/>
      <w:sz w:val="26"/>
      <w:szCs w:val="24"/>
    </w:rPr>
  </w:style>
  <w:style w:type="character" w:styleId="1111" w:customStyle="1">
    <w:name w:val="正文文本 2 字符"/>
    <w:basedOn w:val="887"/>
    <w:link w:val="925"/>
    <w:uiPriority w:val="0"/>
    <w:semiHidden/>
    <w:qFormat/>
    <w:rPr>
      <w:rFonts w:eastAsia="楷体_GB2312"/>
      <w:sz w:val="28"/>
    </w:rPr>
  </w:style>
  <w:style w:type="character" w:styleId="1112" w:customStyle="1">
    <w:name w:val="无间隔 字符"/>
    <w:link w:val="1113"/>
    <w:uiPriority w:val="0"/>
    <w:qFormat/>
    <w:rPr>
      <w:rFonts w:ascii="Calibri" w:hAnsi="Calibri" w:cs="Calibri"/>
    </w:rPr>
  </w:style>
  <w:style w:type="paragraph" w:styleId="1113">
    <w:name w:val="No Spacing"/>
    <w:link w:val="1112"/>
    <w:uiPriority w:val="0"/>
    <w:qFormat/>
    <w:pPr>
      <w:jc w:val="both"/>
      <w:widowControl w:val="off"/>
    </w:pPr>
    <w:rPr>
      <w:rFonts w:ascii="Calibri" w:hAnsi="Calibri" w:eastAsia="宋体" w:cs="Calibri"/>
      <w:lang w:val="en-US" w:eastAsia="zh-CN" w:bidi="ar-SA"/>
    </w:rPr>
  </w:style>
  <w:style w:type="character" w:styleId="1114" w:customStyle="1">
    <w:name w:val="纯文本 Char Char"/>
    <w:link w:val="1009"/>
    <w:uiPriority w:val="0"/>
    <w:qFormat/>
    <w:rPr>
      <w:rFonts w:ascii="宋体" w:hAnsi="Courier New" w:eastAsia="楷体_GB2312"/>
      <w:sz w:val="26"/>
    </w:rPr>
  </w:style>
  <w:style w:type="character" w:styleId="1115" w:customStyle="1">
    <w:name w:val="样式1 Char"/>
    <w:link w:val="1020"/>
    <w:uiPriority w:val="0"/>
    <w:qFormat/>
    <w:rPr>
      <w:rFonts w:ascii="宋体" w:hAnsi="宋体" w:cs="宋体"/>
      <w:b/>
      <w:bCs/>
      <w:color w:val="000000"/>
      <w:sz w:val="21"/>
      <w:szCs w:val="21"/>
    </w:rPr>
  </w:style>
  <w:style w:type="character" w:styleId="1116" w:customStyle="1">
    <w:name w:val="Body text|1_"/>
    <w:basedOn w:val="887"/>
    <w:link w:val="1117"/>
    <w:uiPriority w:val="0"/>
    <w:qFormat/>
    <w:rPr>
      <w:rFonts w:ascii="宋体" w:hAnsi="宋体" w:cs="宋体"/>
      <w:sz w:val="22"/>
      <w:szCs w:val="22"/>
      <w:lang w:val="zh-TW" w:eastAsia="zh-TW" w:bidi="zh-TW"/>
    </w:rPr>
  </w:style>
  <w:style w:type="paragraph" w:styleId="1117" w:customStyle="1">
    <w:name w:val="Body text|1"/>
    <w:basedOn w:val="877"/>
    <w:link w:val="1116"/>
    <w:uiPriority w:val="0"/>
    <w:qFormat/>
    <w:pPr>
      <w:ind w:firstLine="380"/>
      <w:jc w:val="left"/>
      <w:spacing w:line="405" w:lineRule="auto"/>
    </w:pPr>
    <w:rPr>
      <w:rFonts w:ascii="宋体" w:hAnsi="宋体" w:cs="宋体"/>
      <w:sz w:val="22"/>
      <w:lang w:val="zh-TW" w:eastAsia="zh-TW" w:bidi="zh-TW"/>
    </w:rPr>
  </w:style>
  <w:style w:type="character" w:styleId="1118" w:customStyle="1">
    <w:name w:val="样式2 Char"/>
    <w:link w:val="1119"/>
    <w:uiPriority w:val="0"/>
    <w:qFormat/>
    <w:rPr>
      <w:szCs w:val="21"/>
    </w:rPr>
  </w:style>
  <w:style w:type="paragraph" w:styleId="1119" w:customStyle="1">
    <w:name w:val="样式2"/>
    <w:basedOn w:val="1020"/>
    <w:link w:val="1118"/>
    <w:uiPriority w:val="0"/>
    <w:qFormat/>
    <w:pPr>
      <w:numPr>
        <w:ilvl w:val="0"/>
        <w:numId w:val="0"/>
      </w:numPr>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1120" w:customStyle="1">
    <w:name w:val="2级标题 Char"/>
    <w:link w:val="1121"/>
    <w:uiPriority w:val="0"/>
    <w:qFormat/>
    <w:rPr>
      <w:rFonts w:ascii="华文中宋" w:hAnsi="华文中宋" w:eastAsia="华文中宋"/>
      <w:b/>
      <w:bCs/>
      <w:sz w:val="28"/>
      <w:szCs w:val="32"/>
    </w:rPr>
  </w:style>
  <w:style w:type="paragraph" w:styleId="1121" w:customStyle="1">
    <w:name w:val="2级标题"/>
    <w:basedOn w:val="879"/>
    <w:link w:val="1120"/>
    <w:uiPriority w:val="0"/>
    <w:qFormat/>
    <w:pPr>
      <w:ind w:left="40" w:right="40"/>
      <w:spacing w:before="0" w:after="0" w:line="360" w:lineRule="auto"/>
      <w:tabs>
        <w:tab w:val="left" w:pos="851" w:leader="none"/>
      </w:tabs>
    </w:pPr>
    <w:rPr>
      <w:rFonts w:ascii="华文中宋" w:hAnsi="华文中宋" w:eastAsia="华文中宋"/>
      <w:sz w:val="28"/>
    </w:rPr>
  </w:style>
  <w:style w:type="character" w:styleId="1122" w:customStyle="1">
    <w:name w:val="样式4 Char"/>
    <w:link w:val="1123"/>
    <w:uiPriority w:val="0"/>
    <w:qFormat/>
    <w:rPr>
      <w:sz w:val="18"/>
      <w:szCs w:val="18"/>
    </w:rPr>
  </w:style>
  <w:style w:type="paragraph" w:styleId="1123" w:customStyle="1">
    <w:name w:val="样式4"/>
    <w:basedOn w:val="912"/>
    <w:link w:val="1122"/>
    <w:uiPriority w:val="0"/>
    <w:qFormat/>
    <w:pPr>
      <w:ind w:left="40" w:right="40" w:firstLine="425"/>
      <w:pBdr>
        <w:bottom w:val="none" w:color="auto" w:sz="0" w:space="0"/>
      </w:pBdr>
    </w:pPr>
  </w:style>
  <w:style w:type="character" w:styleId="1124" w:customStyle="1">
    <w:name w:val="样式6 Char"/>
    <w:link w:val="1125"/>
    <w:uiPriority w:val="0"/>
    <w:qFormat/>
    <w:rPr>
      <w:sz w:val="18"/>
      <w:szCs w:val="18"/>
    </w:rPr>
  </w:style>
  <w:style w:type="paragraph" w:styleId="1125" w:customStyle="1">
    <w:name w:val="样式6"/>
    <w:basedOn w:val="912"/>
    <w:link w:val="1124"/>
    <w:uiPriority w:val="0"/>
    <w:qFormat/>
    <w:pPr>
      <w:ind w:left="40" w:right="40" w:firstLine="425"/>
      <w:pBdr>
        <w:bottom w:val="none" w:color="auto" w:sz="0" w:space="0"/>
      </w:pBdr>
    </w:pPr>
  </w:style>
  <w:style w:type="paragraph" w:styleId="1126" w:customStyle="1">
    <w:name w:val="纯文本111"/>
    <w:basedOn w:val="877"/>
    <w:link w:val="1237"/>
    <w:uiPriority w:val="0"/>
    <w:qFormat/>
    <w:rPr>
      <w:rFonts w:ascii="宋体" w:hAnsi="Courier New" w:cs="Courier New"/>
      <w:szCs w:val="21"/>
    </w:rPr>
  </w:style>
  <w:style w:type="character" w:styleId="1127" w:customStyle="1">
    <w:name w:val="样式3 Char"/>
    <w:link w:val="1128"/>
    <w:uiPriority w:val="0"/>
    <w:qFormat/>
    <w:rPr>
      <w:sz w:val="18"/>
      <w:szCs w:val="18"/>
    </w:rPr>
  </w:style>
  <w:style w:type="paragraph" w:styleId="1128" w:customStyle="1">
    <w:name w:val="样式3"/>
    <w:basedOn w:val="912"/>
    <w:link w:val="1127"/>
    <w:uiPriority w:val="0"/>
    <w:qFormat/>
    <w:pPr>
      <w:ind w:left="40" w:right="40"/>
      <w:jc w:val="both"/>
      <w:pBdr>
        <w:bottom w:val="none" w:color="auto" w:sz="0" w:space="0"/>
      </w:pBdr>
    </w:pPr>
  </w:style>
  <w:style w:type="character" w:styleId="1129" w:customStyle="1">
    <w:name w:val="3级标题 Char"/>
    <w:link w:val="1130"/>
    <w:uiPriority w:val="0"/>
    <w:qFormat/>
    <w:rPr>
      <w:rFonts w:ascii="华文中宋" w:hAnsi="华文中宋" w:eastAsia="华文中宋"/>
      <w:b/>
      <w:bCs/>
      <w:sz w:val="28"/>
      <w:szCs w:val="32"/>
    </w:rPr>
  </w:style>
  <w:style w:type="paragraph" w:styleId="1130" w:customStyle="1">
    <w:name w:val="3级标题"/>
    <w:basedOn w:val="879"/>
    <w:link w:val="1129"/>
    <w:uiPriority w:val="0"/>
    <w:qFormat/>
    <w:pPr>
      <w:ind w:left="40" w:right="40"/>
      <w:spacing w:before="0" w:after="0" w:line="360" w:lineRule="auto"/>
      <w:tabs>
        <w:tab w:val="left" w:pos="1080" w:leader="none"/>
      </w:tabs>
    </w:pPr>
    <w:rPr>
      <w:rFonts w:ascii="华文中宋" w:hAnsi="华文中宋" w:eastAsia="华文中宋"/>
      <w:sz w:val="28"/>
    </w:rPr>
  </w:style>
  <w:style w:type="character" w:styleId="1131" w:customStyle="1">
    <w:name w:val="5级 Char"/>
    <w:link w:val="1132"/>
    <w:uiPriority w:val="0"/>
    <w:qFormat/>
    <w:rPr>
      <w:rFonts w:ascii="华文中宋" w:hAnsi="华文中宋" w:eastAsia="华文中宋"/>
      <w:b/>
      <w:sz w:val="24"/>
      <w:szCs w:val="28"/>
    </w:rPr>
  </w:style>
  <w:style w:type="paragraph" w:styleId="1132" w:customStyle="1">
    <w:name w:val="5级"/>
    <w:basedOn w:val="881"/>
    <w:link w:val="1131"/>
    <w:uiPriority w:val="0"/>
    <w:qFormat/>
    <w:pPr>
      <w:ind w:left="40" w:right="40"/>
      <w:jc w:val="left"/>
      <w:spacing w:before="0" w:after="0" w:line="360" w:lineRule="auto"/>
      <w:tabs>
        <w:tab w:val="left" w:pos="1276" w:leader="none"/>
      </w:tabs>
    </w:pPr>
    <w:rPr>
      <w:rFonts w:ascii="华文中宋" w:hAnsi="华文中宋" w:eastAsia="华文中宋"/>
      <w:bCs w:val="0"/>
      <w:sz w:val="24"/>
    </w:rPr>
  </w:style>
  <w:style w:type="character" w:styleId="1133" w:customStyle="1">
    <w:name w:val="样式5 Char"/>
    <w:link w:val="1134"/>
    <w:uiPriority w:val="0"/>
    <w:qFormat/>
    <w:rPr>
      <w:sz w:val="24"/>
    </w:rPr>
  </w:style>
  <w:style w:type="paragraph" w:styleId="1134" w:customStyle="1">
    <w:name w:val="样式5"/>
    <w:basedOn w:val="877"/>
    <w:link w:val="1133"/>
    <w:uiPriority w:val="0"/>
    <w:qFormat/>
    <w:pPr>
      <w:jc w:val="left"/>
      <w:pBdr>
        <w:bottom w:val="single" w:color="C0504D" w:sz="6" w:space="1"/>
      </w:pBdr>
    </w:pPr>
    <w:rPr>
      <w:sz w:val="24"/>
      <w:szCs w:val="20"/>
    </w:rPr>
  </w:style>
  <w:style w:type="character" w:styleId="1135" w:customStyle="1">
    <w:name w:val="*正文 Char"/>
    <w:link w:val="1136"/>
    <w:uiPriority w:val="0"/>
    <w:qFormat/>
    <w:rPr>
      <w:rFonts w:ascii="宋体" w:hAnsi="宋体"/>
      <w:sz w:val="21"/>
      <w:szCs w:val="21"/>
    </w:rPr>
  </w:style>
  <w:style w:type="paragraph" w:styleId="1136" w:customStyle="1">
    <w:name w:val="*正文"/>
    <w:basedOn w:val="877"/>
    <w:link w:val="1135"/>
    <w:uiPriority w:val="0"/>
    <w:qFormat/>
    <w:pPr>
      <w:ind w:firstLine="420"/>
      <w:spacing w:line="360" w:lineRule="auto"/>
    </w:pPr>
    <w:rPr>
      <w:rFonts w:ascii="宋体" w:hAnsi="宋体"/>
      <w:szCs w:val="21"/>
    </w:rPr>
  </w:style>
  <w:style w:type="paragraph" w:styleId="1137" w:customStyle="1">
    <w:name w:val="Blockquote"/>
    <w:basedOn w:val="877"/>
    <w:uiPriority w:val="0"/>
    <w:qFormat/>
    <w:pPr>
      <w:ind w:left="360" w:right="360"/>
      <w:jc w:val="left"/>
      <w:spacing w:before="100" w:after="100"/>
    </w:pPr>
    <w:rPr>
      <w:sz w:val="24"/>
      <w:szCs w:val="20"/>
    </w:rPr>
  </w:style>
  <w:style w:type="paragraph" w:styleId="1138" w:customStyle="1">
    <w:name w:val="reader-word-layer reader-word-s7-11"/>
    <w:basedOn w:val="877"/>
    <w:uiPriority w:val="0"/>
    <w:qFormat/>
    <w:pPr>
      <w:jc w:val="left"/>
      <w:spacing w:before="100" w:beforeAutospacing="1" w:after="100" w:afterAutospacing="1"/>
      <w:widowControl/>
    </w:pPr>
    <w:rPr>
      <w:rFonts w:ascii="Courier New" w:hAnsi="Courier New" w:eastAsia="Courier New" w:cs="Courier New"/>
      <w:sz w:val="24"/>
      <w:szCs w:val="24"/>
    </w:rPr>
  </w:style>
  <w:style w:type="paragraph" w:styleId="1139" w:customStyle="1">
    <w:name w:val="题注1"/>
    <w:basedOn w:val="877"/>
    <w:next w:val="877"/>
    <w:uiPriority w:val="0"/>
    <w:qFormat/>
    <w:pPr>
      <w:ind w:left="40" w:right="40" w:firstLine="425"/>
      <w:jc w:val="center"/>
      <w:spacing w:line="360" w:lineRule="auto"/>
    </w:pPr>
    <w:rPr>
      <w:rFonts w:ascii="Calibri" w:hAnsi="Calibri"/>
    </w:rPr>
  </w:style>
  <w:style w:type="paragraph" w:styleId="1140" w:customStyle="1">
    <w:name w:val="xl26"/>
    <w:basedOn w:val="877"/>
    <w:uiPriority w:val="0"/>
    <w:qFormat/>
    <w:pPr>
      <w:jc w:val="center"/>
      <w:spacing w:before="100" w:beforeAutospacing="1" w:after="100" w:afterAutospacing="1"/>
      <w:widowControl/>
    </w:pPr>
    <w:rPr>
      <w:rFonts w:ascii="宋体" w:hAnsi="宋体"/>
      <w:sz w:val="24"/>
      <w:szCs w:val="24"/>
    </w:rPr>
  </w:style>
  <w:style w:type="paragraph" w:styleId="1141" w:customStyle="1">
    <w:name w:val="默认段落字体 Para Char Char Char Char Char Char Char"/>
    <w:basedOn w:val="877"/>
    <w:uiPriority w:val="0"/>
    <w:qFormat/>
    <w:pPr>
      <w:spacing w:line="360" w:lineRule="auto"/>
    </w:pPr>
    <w:rPr>
      <w:rFonts w:ascii="Tahoma" w:hAnsi="Tahoma"/>
      <w:sz w:val="24"/>
      <w:szCs w:val="20"/>
    </w:rPr>
  </w:style>
  <w:style w:type="paragraph" w:styleId="1142" w:customStyle="1">
    <w:name w:val="Plain Text1"/>
    <w:basedOn w:val="877"/>
    <w:uiPriority w:val="0"/>
    <w:qFormat/>
    <w:rPr>
      <w:rFonts w:ascii="宋体" w:hAnsi="Courier New" w:eastAsia="楷体_GB2312"/>
      <w:sz w:val="28"/>
      <w:szCs w:val="20"/>
    </w:rPr>
  </w:style>
  <w:style w:type="paragraph" w:styleId="1143" w:customStyle="1">
    <w:name w:val="Char Char Char Char"/>
    <w:basedOn w:val="877"/>
    <w:uiPriority w:val="0"/>
    <w:qFormat/>
    <w:pPr>
      <w:ind w:firstLine="200"/>
      <w:spacing w:line="360" w:lineRule="auto"/>
    </w:pPr>
    <w:rPr>
      <w:rFonts w:ascii="Tahoma" w:hAnsi="Tahoma"/>
      <w:sz w:val="24"/>
      <w:szCs w:val="20"/>
    </w:rPr>
  </w:style>
  <w:style w:type="paragraph" w:styleId="1144" w:customStyle="1">
    <w:name w:val="默认段落字体 Para Char Char Char Char Char Char Char Char Char1 Char Char Char Char"/>
    <w:basedOn w:val="877"/>
    <w:uiPriority w:val="0"/>
    <w:qFormat/>
    <w:pPr>
      <w:jc w:val="left"/>
      <w:widowControl/>
    </w:pPr>
    <w:rPr>
      <w:rFonts w:ascii="Tahoma" w:hAnsi="Tahoma"/>
      <w:sz w:val="24"/>
      <w:szCs w:val="20"/>
    </w:rPr>
  </w:style>
  <w:style w:type="paragraph" w:styleId="1145" w:customStyle="1">
    <w:name w:val="Char"/>
    <w:basedOn w:val="895"/>
    <w:uiPriority w:val="0"/>
    <w:qFormat/>
    <w:pPr>
      <w:spacing w:line="360" w:lineRule="auto"/>
      <w:shd w:val="clear" w:color="auto" w:fill="000080"/>
    </w:pPr>
    <w:rPr>
      <w:rFonts w:ascii="Tahoma" w:hAnsi="Tahoma"/>
      <w:sz w:val="24"/>
      <w:szCs w:val="24"/>
    </w:rPr>
  </w:style>
  <w:style w:type="paragraph" w:styleId="1146" w:customStyle="1">
    <w:name w:val="Char Char Char"/>
    <w:basedOn w:val="895"/>
    <w:uiPriority w:val="0"/>
    <w:qFormat/>
    <w:pPr>
      <w:spacing w:line="360" w:lineRule="auto"/>
      <w:shd w:val="clear" w:color="auto" w:fill="000080"/>
    </w:pPr>
    <w:rPr>
      <w:rFonts w:ascii="Tahoma" w:hAnsi="Tahoma"/>
      <w:sz w:val="24"/>
      <w:szCs w:val="24"/>
    </w:rPr>
  </w:style>
  <w:style w:type="paragraph" w:styleId="1147" w:customStyle="1">
    <w:name w:val="Char Char"/>
    <w:basedOn w:val="877"/>
    <w:uiPriority w:val="0"/>
    <w:qFormat/>
    <w:pPr>
      <w:ind w:firstLine="200"/>
      <w:spacing w:line="360" w:lineRule="auto"/>
    </w:pPr>
    <w:rPr>
      <w:rFonts w:eastAsia="楷体_GB2312"/>
      <w:sz w:val="28"/>
      <w:szCs w:val="20"/>
    </w:rPr>
  </w:style>
  <w:style w:type="paragraph" w:styleId="1148" w:customStyle="1">
    <w:name w:val="Char2 Char Char Char Char Char Char Char Char Char"/>
    <w:basedOn w:val="877"/>
    <w:uiPriority w:val="0"/>
    <w:qFormat/>
    <w:pPr>
      <w:ind w:firstLine="200"/>
      <w:spacing w:line="360" w:lineRule="auto"/>
    </w:pPr>
    <w:rPr>
      <w:rFonts w:ascii="Tahoma" w:hAnsi="Tahoma"/>
      <w:sz w:val="24"/>
      <w:szCs w:val="20"/>
    </w:rPr>
  </w:style>
  <w:style w:type="paragraph" w:styleId="1149" w:customStyle="1">
    <w:name w:val="Char Char Char1 Char Char Char Char"/>
    <w:basedOn w:val="877"/>
    <w:uiPriority w:val="0"/>
    <w:qFormat/>
    <w:pPr>
      <w:jc w:val="left"/>
      <w:spacing w:after="160" w:line="240" w:lineRule="exact"/>
      <w:widowControl/>
    </w:pPr>
    <w:rPr>
      <w:sz w:val="24"/>
      <w:szCs w:val="24"/>
    </w:rPr>
  </w:style>
  <w:style w:type="paragraph" w:styleId="1150" w:customStyle="1">
    <w:name w:val="HTML 预设格式1"/>
    <w:basedOn w:val="87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51" w:customStyle="1">
    <w:name w:val="p16"/>
    <w:basedOn w:val="877"/>
    <w:uiPriority w:val="0"/>
    <w:qFormat/>
    <w:pPr>
      <w:ind w:left="420"/>
      <w:spacing w:after="120" w:line="480" w:lineRule="auto"/>
      <w:widowControl/>
    </w:pPr>
    <w:rPr>
      <w:szCs w:val="21"/>
    </w:rPr>
  </w:style>
  <w:style w:type="paragraph" w:styleId="1152" w:customStyle="1">
    <w:name w:val="1.1.1.1.1"/>
    <w:basedOn w:val="881"/>
    <w:uiPriority w:val="0"/>
    <w:qFormat/>
    <w:pPr>
      <w:ind w:left="1032" w:right="40"/>
      <w:jc w:val="left"/>
      <w:spacing w:before="0" w:after="0" w:line="360" w:lineRule="auto"/>
      <w:tabs>
        <w:tab w:val="left" w:pos="992" w:leader="none"/>
        <w:tab w:val="left" w:pos="1080" w:leader="none"/>
      </w:tabs>
    </w:pPr>
    <w:rPr>
      <w:rFonts w:ascii="Times New Roman" w:hAnsi="Times New Roman" w:eastAsia="华文中宋"/>
      <w:sz w:val="24"/>
    </w:rPr>
  </w:style>
  <w:style w:type="paragraph" w:styleId="1153" w:customStyle="1">
    <w:name w:val="TOC 标题1"/>
    <w:basedOn w:val="878"/>
    <w:next w:val="877"/>
    <w:uiPriority w:val="39"/>
    <w:qFormat/>
    <w:pPr>
      <w:numPr>
        <w:numId w:val="0"/>
      </w:numPr>
      <w:jc w:val="left"/>
      <w:spacing w:before="0" w:after="0" w:line="276" w:lineRule="auto"/>
      <w:widowControl/>
      <w:tabs>
        <w:tab w:val="left" w:pos="993" w:leader="none"/>
      </w:tabs>
      <w:outlineLvl w:val="9"/>
    </w:pPr>
    <w:rPr>
      <w:rFonts w:ascii="Cambria" w:hAnsi="Cambria"/>
      <w:color w:val="365f91"/>
      <w:sz w:val="28"/>
      <w:szCs w:val="28"/>
    </w:rPr>
  </w:style>
  <w:style w:type="paragraph" w:styleId="1154" w:customStyle="1">
    <w:name w:val="标题2"/>
    <w:basedOn w:val="879"/>
    <w:uiPriority w:val="0"/>
    <w:qFormat/>
    <w:pPr>
      <w:spacing w:before="0" w:after="0" w:line="412" w:lineRule="auto"/>
    </w:pPr>
  </w:style>
  <w:style w:type="paragraph" w:styleId="1155" w:customStyle="1">
    <w:name w:val="Char Char Char Char Char Char Char Char Char1 Char"/>
    <w:basedOn w:val="895"/>
    <w:uiPriority w:val="0"/>
    <w:qFormat/>
    <w:pPr>
      <w:spacing w:line="360" w:lineRule="auto"/>
      <w:shd w:val="clear" w:color="auto" w:fill="000080"/>
    </w:pPr>
    <w:rPr>
      <w:rFonts w:ascii="Tahoma" w:hAnsi="Tahoma"/>
      <w:sz w:val="24"/>
      <w:szCs w:val="24"/>
    </w:rPr>
  </w:style>
  <w:style w:type="paragraph" w:styleId="1156" w:customStyle="1">
    <w:name w:val="xl61"/>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57" w:customStyle="1">
    <w:name w:val="xl47"/>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58" w:customStyle="1">
    <w:name w:val="xl55"/>
    <w:basedOn w:val="87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9" w:customStyle="1">
    <w:name w:val="Char Char1 Char Char Char Char Char Char Char Char Char Char Char Char Char Char Char Char"/>
    <w:basedOn w:val="877"/>
    <w:uiPriority w:val="0"/>
    <w:qFormat/>
    <w:pPr>
      <w:jc w:val="left"/>
      <w:spacing w:after="160" w:line="240" w:lineRule="exact"/>
      <w:widowControl/>
    </w:pPr>
    <w:rPr>
      <w:rFonts w:ascii="Verdana" w:hAnsi="Verdana"/>
      <w:sz w:val="20"/>
      <w:szCs w:val="20"/>
      <w:lang w:eastAsia="en-US"/>
    </w:rPr>
  </w:style>
  <w:style w:type="paragraph" w:styleId="1160" w:customStyle="1">
    <w:name w:val="xl59"/>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1" w:customStyle="1">
    <w:name w:val="xl62"/>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62" w:customStyle="1">
    <w:name w:val="节标题"/>
    <w:basedOn w:val="877"/>
    <w:next w:val="889"/>
    <w:uiPriority w:val="0"/>
    <w:qFormat/>
    <w:pPr>
      <w:ind w:left="420" w:hanging="420"/>
      <w:spacing w:before="120" w:after="120" w:line="360" w:lineRule="exact"/>
      <w:tabs>
        <w:tab w:val="left" w:pos="420" w:leader="none"/>
      </w:tabs>
      <w:outlineLvl w:val="1"/>
    </w:pPr>
    <w:rPr>
      <w:b/>
      <w:bCs/>
      <w:sz w:val="28"/>
      <w:szCs w:val="20"/>
    </w:rPr>
  </w:style>
  <w:style w:type="paragraph" w:styleId="1163" w:customStyle="1">
    <w:name w:val="xl63"/>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64" w:customStyle="1">
    <w:name w:val="000左齐平"/>
    <w:basedOn w:val="877"/>
    <w:uiPriority w:val="0"/>
    <w:qFormat/>
    <w:pPr>
      <w:jc w:val="left"/>
    </w:pPr>
    <w:rPr>
      <w:rFonts w:eastAsia="楷体_GB2312"/>
      <w:color w:val="000000"/>
      <w:sz w:val="26"/>
      <w:szCs w:val="20"/>
    </w:rPr>
  </w:style>
  <w:style w:type="paragraph" w:styleId="1165" w:customStyle="1">
    <w:name w:val="分层标题"/>
    <w:basedOn w:val="877"/>
    <w:next w:val="889"/>
    <w:uiPriority w:val="0"/>
    <w:qFormat/>
    <w:pPr>
      <w:ind w:left="709" w:hanging="709"/>
      <w:spacing w:before="120" w:after="120" w:line="360" w:lineRule="exact"/>
      <w:tabs>
        <w:tab w:val="left" w:pos="1080" w:leader="none"/>
      </w:tabs>
      <w:outlineLvl w:val="4"/>
    </w:pPr>
    <w:rPr>
      <w:b/>
      <w:sz w:val="24"/>
      <w:szCs w:val="24"/>
    </w:rPr>
  </w:style>
  <w:style w:type="paragraph" w:styleId="1166" w:customStyle="1">
    <w:name w:val="xl50"/>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67" w:customStyle="1">
    <w:name w:val="xl52"/>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8" w:customStyle="1">
    <w:name w:val="分标题"/>
    <w:basedOn w:val="877"/>
    <w:next w:val="889"/>
    <w:uiPriority w:val="0"/>
    <w:qFormat/>
    <w:pPr>
      <w:ind w:left="567" w:hanging="567"/>
      <w:spacing w:before="120" w:after="120" w:line="360" w:lineRule="exact"/>
      <w:tabs>
        <w:tab w:val="left" w:pos="567" w:leader="none"/>
      </w:tabs>
      <w:outlineLvl w:val="3"/>
    </w:pPr>
    <w:rPr>
      <w:rFonts w:ascii="宋体" w:hAnsi="宋体"/>
      <w:b/>
      <w:sz w:val="24"/>
      <w:szCs w:val="24"/>
    </w:rPr>
  </w:style>
  <w:style w:type="paragraph" w:styleId="1169" w:customStyle="1">
    <w:name w:val="xl45"/>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0" w:customStyle="1">
    <w:name w:val="xl46"/>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1" w:customStyle="1">
    <w:name w:val="+正文"/>
    <w:basedOn w:val="877"/>
    <w:uiPriority w:val="0"/>
    <w:qFormat/>
    <w:pPr>
      <w:ind w:firstLine="200"/>
      <w:spacing w:line="360" w:lineRule="auto"/>
    </w:pPr>
    <w:rPr>
      <w:sz w:val="24"/>
      <w:szCs w:val="28"/>
    </w:rPr>
  </w:style>
  <w:style w:type="paragraph" w:styleId="1172" w:customStyle="1">
    <w:name w:val="xl54"/>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3" w:customStyle="1">
    <w:name w:val="小四 段落 宋体 Char"/>
    <w:basedOn w:val="892"/>
    <w:uiPriority w:val="0"/>
    <w:qFormat/>
    <w:pPr>
      <w:ind w:left="0" w:right="-33" w:firstLine="480"/>
      <w:jc w:val="left"/>
      <w:spacing w:line="360" w:lineRule="auto"/>
      <w:tabs>
        <w:tab w:val="clear" w:pos="1125" w:leader="none"/>
      </w:tabs>
    </w:pPr>
    <w:rPr>
      <w:sz w:val="24"/>
    </w:rPr>
  </w:style>
  <w:style w:type="paragraph" w:styleId="1174" w:customStyle="1">
    <w:name w:val="纯文本21"/>
    <w:basedOn w:val="877"/>
    <w:uiPriority w:val="0"/>
    <w:qFormat/>
    <w:rPr>
      <w:rFonts w:ascii="宋体" w:hAnsi="Courier New" w:eastAsia="楷体_GB2312"/>
      <w:sz w:val="28"/>
      <w:szCs w:val="20"/>
    </w:rPr>
  </w:style>
  <w:style w:type="paragraph" w:styleId="1175" w:customStyle="1">
    <w:name w:val="_Style 1"/>
    <w:basedOn w:val="877"/>
    <w:uiPriority w:val="34"/>
    <w:qFormat/>
    <w:pPr>
      <w:ind w:firstLine="420"/>
    </w:pPr>
    <w:rPr>
      <w:rFonts w:ascii="Calibri" w:hAnsi="Calibri" w:eastAsia="楷体_GB2312"/>
      <w:sz w:val="26"/>
    </w:rPr>
  </w:style>
  <w:style w:type="paragraph" w:styleId="1176" w:customStyle="1">
    <w:name w:val="xl49"/>
    <w:basedOn w:val="877"/>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77" w:customStyle="1">
    <w:name w:val="xl60"/>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8" w:customStyle="1">
    <w:name w:val="Char Char1 Char Char Char Char Char Char Char"/>
    <w:basedOn w:val="877"/>
    <w:uiPriority w:val="0"/>
    <w:qFormat/>
    <w:rPr>
      <w:rFonts w:eastAsia="楷体_GB2312"/>
      <w:sz w:val="26"/>
      <w:szCs w:val="20"/>
    </w:rPr>
  </w:style>
  <w:style w:type="paragraph" w:styleId="1179"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180" w:customStyle="1">
    <w:name w:val="xl53"/>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1" w:customStyle="1">
    <w:name w:val="Char Char Char Char Char Char Char"/>
    <w:basedOn w:val="877"/>
    <w:uiPriority w:val="0"/>
    <w:qFormat/>
    <w:pPr>
      <w:ind w:left="432" w:hanging="432"/>
      <w:tabs>
        <w:tab w:val="left" w:pos="432" w:leader="none"/>
      </w:tabs>
    </w:pPr>
    <w:rPr>
      <w:rFonts w:ascii="Tahoma" w:hAnsi="Tahoma"/>
      <w:sz w:val="24"/>
      <w:szCs w:val="20"/>
    </w:rPr>
  </w:style>
  <w:style w:type="paragraph" w:styleId="1182" w:customStyle="1">
    <w:name w:val="xl57"/>
    <w:basedOn w:val="87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3" w:customStyle="1">
    <w:name w:val="并列样式"/>
    <w:basedOn w:val="877"/>
    <w:next w:val="877"/>
    <w:uiPriority w:val="0"/>
    <w:qFormat/>
    <w:pPr>
      <w:ind w:left="839" w:hanging="419"/>
      <w:spacing w:before="120" w:after="120" w:line="360" w:lineRule="exact"/>
      <w:tabs>
        <w:tab w:val="left" w:pos="839" w:leader="none"/>
      </w:tabs>
    </w:pPr>
    <w:rPr>
      <w:sz w:val="24"/>
      <w:szCs w:val="20"/>
    </w:rPr>
  </w:style>
  <w:style w:type="paragraph" w:styleId="1184" w:customStyle="1">
    <w:name w:val="_Style 12"/>
    <w:basedOn w:val="895"/>
    <w:uiPriority w:val="0"/>
    <w:qFormat/>
    <w:pPr>
      <w:jc w:val="left"/>
      <w:spacing w:line="360" w:lineRule="auto"/>
      <w:shd w:val="clear" w:color="auto" w:fill="000080"/>
      <w:widowControl/>
    </w:pPr>
    <w:rPr>
      <w:rFonts w:ascii="Times New Roman"/>
      <w:sz w:val="24"/>
      <w:szCs w:val="20"/>
    </w:rPr>
  </w:style>
  <w:style w:type="paragraph" w:styleId="1185" w:customStyle="1">
    <w:name w:val="xl56"/>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6" w:customStyle="1">
    <w:name w:val="xl48"/>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87" w:customStyle="1">
    <w:name w:val="小四 段落 宋体 Char Char Char Char Char Char"/>
    <w:uiPriority w:val="0"/>
    <w:qFormat/>
    <w:pPr>
      <w:ind w:firstLine="480"/>
    </w:pPr>
    <w:rPr>
      <w:rFonts w:ascii="宋体" w:hAnsi="宋体" w:eastAsia="宋体" w:cs="Times New Roman"/>
      <w:lang w:val="en-US" w:eastAsia="zh-CN" w:bidi="ar-SA"/>
    </w:rPr>
  </w:style>
  <w:style w:type="paragraph" w:styleId="1188" w:customStyle="1">
    <w:name w:val="xl58"/>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9" w:customStyle="1">
    <w:name w:val="xl51"/>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90" w:customStyle="1">
    <w:name w:val="Table Text Char1"/>
    <w:link w:val="1191"/>
    <w:uiPriority w:val="0"/>
    <w:qFormat/>
    <w:rPr>
      <w:rFonts w:ascii="Arial" w:hAnsi="Arial" w:cs="Arial"/>
      <w:sz w:val="21"/>
      <w:szCs w:val="21"/>
    </w:rPr>
  </w:style>
  <w:style w:type="paragraph" w:styleId="1191" w:customStyle="1">
    <w:name w:val="Table Text"/>
    <w:link w:val="1190"/>
    <w:uiPriority w:val="0"/>
    <w:qFormat/>
    <w:pPr>
      <w:tabs>
        <w:tab w:val="decimal" w:pos="0" w:leader="none"/>
      </w:tabs>
    </w:pPr>
    <w:rPr>
      <w:rFonts w:ascii="Arial" w:hAnsi="Arial" w:eastAsia="宋体" w:cs="Arial"/>
      <w:sz w:val="21"/>
      <w:szCs w:val="21"/>
      <w:lang w:val="en-US" w:eastAsia="zh-CN" w:bidi="ar-SA"/>
    </w:rPr>
  </w:style>
  <w:style w:type="paragraph" w:styleId="1192"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193" w:customStyle="1">
    <w:name w:val="标题 1GM"/>
    <w:basedOn w:val="878"/>
    <w:uiPriority w:val="0"/>
    <w:qFormat/>
    <w:pPr>
      <w:numPr>
        <w:numId w:val="0"/>
      </w:numPr>
      <w:spacing w:before="0" w:after="0" w:line="360" w:lineRule="auto"/>
      <w:outlineLvl w:val="1"/>
    </w:pPr>
    <w:rPr>
      <w:rFonts w:ascii="楷体" w:hAnsi="Calibri" w:eastAsia="楷体"/>
      <w:color w:val="000000"/>
      <w:sz w:val="30"/>
      <w:szCs w:val="30"/>
    </w:rPr>
  </w:style>
  <w:style w:type="paragraph" w:styleId="1194" w:customStyle="1">
    <w:name w:val="默认段落字体 Para Char Char Char Char"/>
    <w:basedOn w:val="877"/>
    <w:uiPriority w:val="0"/>
    <w:qFormat/>
    <w:rPr>
      <w:szCs w:val="24"/>
    </w:rPr>
  </w:style>
  <w:style w:type="paragraph" w:styleId="1195" w:customStyle="1">
    <w:name w:val="p17"/>
    <w:uiPriority w:val="0"/>
    <w:qFormat/>
    <w:pPr>
      <w:ind w:firstLine="420"/>
    </w:pPr>
    <w:rPr>
      <w:rFonts w:ascii="宋体" w:hAnsi="Times New Roman" w:eastAsia="宋体" w:cs="宋体"/>
      <w:lang w:val="en-US" w:eastAsia="zh-CN" w:bidi="ar-SA"/>
    </w:rPr>
  </w:style>
  <w:style w:type="paragraph" w:styleId="1196" w:customStyle="1">
    <w:name w:val="Char1"/>
    <w:basedOn w:val="877"/>
    <w:uiPriority w:val="0"/>
    <w:qFormat/>
    <w:rPr>
      <w:szCs w:val="24"/>
    </w:rPr>
  </w:style>
  <w:style w:type="paragraph" w:styleId="1197" w:customStyle="1">
    <w:name w:val="reader-word-layer reader-word-s1-1"/>
    <w:basedOn w:val="877"/>
    <w:uiPriority w:val="0"/>
    <w:qFormat/>
    <w:pPr>
      <w:jc w:val="left"/>
      <w:spacing w:before="100" w:beforeAutospacing="1" w:after="100" w:afterAutospacing="1"/>
      <w:widowControl/>
    </w:pPr>
    <w:rPr>
      <w:rFonts w:ascii="宋体" w:hAnsi="Calibri" w:cs="宋体"/>
      <w:sz w:val="24"/>
    </w:rPr>
  </w:style>
  <w:style w:type="paragraph" w:styleId="1198" w:customStyle="1">
    <w:name w:val="1"/>
    <w:basedOn w:val="877"/>
    <w:next w:val="1104"/>
    <w:uiPriority w:val="0"/>
    <w:qFormat/>
    <w:pPr>
      <w:ind w:firstLine="200"/>
    </w:pPr>
    <w:rPr>
      <w:szCs w:val="24"/>
    </w:rPr>
  </w:style>
  <w:style w:type="paragraph" w:styleId="1199" w:customStyle="1">
    <w:name w:val="msonormal"/>
    <w:basedOn w:val="877"/>
    <w:uiPriority w:val="0"/>
    <w:qFormat/>
    <w:pPr>
      <w:jc w:val="left"/>
      <w:spacing w:before="100" w:beforeAutospacing="1" w:after="100" w:afterAutospacing="1"/>
      <w:widowControl/>
    </w:pPr>
    <w:rPr>
      <w:rFonts w:ascii="宋体" w:hAnsi="宋体" w:cs="宋体"/>
      <w:sz w:val="24"/>
      <w:szCs w:val="24"/>
    </w:rPr>
  </w:style>
  <w:style w:type="character" w:styleId="1200" w:customStyle="1">
    <w:name w:val="新正文 Char"/>
    <w:basedOn w:val="887"/>
    <w:link w:val="1201"/>
    <w:uiPriority w:val="0"/>
    <w:qFormat/>
    <w:rPr>
      <w:rFonts w:ascii="宋体" w:hAnsi="宋体" w:eastAsiaTheme="minorEastAsia" w:cstheme="minorBidi"/>
      <w:sz w:val="28"/>
      <w:szCs w:val="22"/>
    </w:rPr>
  </w:style>
  <w:style w:type="paragraph" w:styleId="1201" w:customStyle="1">
    <w:name w:val="新正文"/>
    <w:basedOn w:val="877"/>
    <w:link w:val="1200"/>
    <w:uiPriority w:val="0"/>
    <w:qFormat/>
    <w:pPr>
      <w:ind w:firstLine="200"/>
      <w:spacing w:line="360" w:lineRule="auto"/>
      <w:widowControl/>
    </w:pPr>
    <w:rPr>
      <w:rFonts w:ascii="宋体" w:hAnsi="宋体" w:eastAsiaTheme="minorEastAsia" w:cstheme="minorBidi"/>
      <w:sz w:val="28"/>
    </w:rPr>
  </w:style>
  <w:style w:type="paragraph" w:styleId="120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03" w:customStyle="1">
    <w:name w:val="目录 53"/>
    <w:next w:val="877"/>
    <w:uiPriority w:val="0"/>
    <w:qFormat/>
    <w:pPr>
      <w:ind w:left="1275"/>
      <w:jc w:val="both"/>
    </w:pPr>
    <w:rPr>
      <w:rFonts w:ascii="Times New Roman" w:hAnsi="Times New Roman" w:eastAsia="宋体" w:cs="Times New Roman"/>
      <w:sz w:val="21"/>
      <w:lang w:val="en-US" w:eastAsia="zh-CN" w:bidi="ar-SA"/>
    </w:rPr>
  </w:style>
  <w:style w:type="character" w:styleId="1204" w:customStyle="1">
    <w:name w:val="mini-outputtext1"/>
    <w:basedOn w:val="887"/>
    <w:uiPriority w:val="0"/>
    <w:qFormat/>
  </w:style>
  <w:style w:type="character" w:styleId="1205" w:customStyle="1">
    <w:name w:val="HTML 打字机1"/>
    <w:uiPriority w:val="0"/>
    <w:qFormat/>
    <w:rPr>
      <w:rFonts w:hint="eastAsia" w:ascii="黑体" w:hAnsi="Courier New" w:eastAsia="黑体"/>
      <w:sz w:val="14"/>
    </w:rPr>
  </w:style>
  <w:style w:type="character" w:styleId="1206" w:customStyle="1">
    <w:name w:val="正文缩进1 Char1"/>
    <w:uiPriority w:val="0"/>
    <w:qFormat/>
    <w:rPr>
      <w:rFonts w:hint="default" w:ascii="Wingdings" w:hAnsi="Wingdings" w:eastAsia="Wingdings"/>
      <w:sz w:val="24"/>
      <w:lang w:val="en-US" w:eastAsia="zh-CN" w:bidi="ar-SA"/>
    </w:rPr>
  </w:style>
  <w:style w:type="character" w:styleId="1207" w:customStyle="1">
    <w:name w:val="正文文本缩进 3 Char2"/>
    <w:basedOn w:val="887"/>
    <w:uiPriority w:val="99"/>
    <w:semiHidden/>
    <w:qFormat/>
    <w:rPr>
      <w:rFonts w:hint="default" w:ascii="Times New Roman" w:hAnsi="Times New Roman" w:eastAsia="楷体_GB2312" w:cs="Times New Roman"/>
      <w:sz w:val="16"/>
      <w:szCs w:val="16"/>
    </w:rPr>
  </w:style>
  <w:style w:type="character" w:styleId="1208" w:customStyle="1">
    <w:name w:val="op-map-singlepoint-info-right"/>
    <w:uiPriority w:val="0"/>
    <w:qFormat/>
  </w:style>
  <w:style w:type="character" w:styleId="1209" w:customStyle="1">
    <w:name w:val="Plain Text Char"/>
    <w:uiPriority w:val="0"/>
    <w:qFormat/>
    <w:rPr>
      <w:rFonts w:hint="eastAsia" w:ascii="宋体" w:hAnsi="Courier New" w:eastAsia="楷体_GB2312"/>
      <w:sz w:val="26"/>
    </w:rPr>
  </w:style>
  <w:style w:type="character" w:styleId="1210" w:customStyle="1">
    <w:name w:val="正文缩进 Char2"/>
    <w:uiPriority w:val="0"/>
    <w:qFormat/>
    <w:rPr>
      <w:rFonts w:hint="eastAsia" w:ascii="楷体_GB2312" w:eastAsia="楷体_GB2312"/>
      <w:sz w:val="24"/>
    </w:rPr>
  </w:style>
  <w:style w:type="character" w:styleId="1211" w:customStyle="1">
    <w:name w:val="font151"/>
    <w:uiPriority w:val="0"/>
    <w:qFormat/>
    <w:rPr>
      <w:rFonts w:hint="default" w:ascii="Times New Roman" w:hAnsi="Times New Roman" w:eastAsia="宋体" w:cs="Times New Roman"/>
      <w:color w:val="dd0806"/>
      <w:sz w:val="21"/>
      <w:szCs w:val="21"/>
      <w:u w:val="none"/>
    </w:rPr>
  </w:style>
  <w:style w:type="character" w:styleId="1212" w:customStyle="1">
    <w:name w:val="font41"/>
    <w:uiPriority w:val="0"/>
    <w:qFormat/>
    <w:rPr>
      <w:rFonts w:hint="eastAsia" w:ascii="宋体" w:hAnsi="宋体" w:eastAsia="宋体" w:cs="宋体"/>
      <w:color w:val="000000"/>
      <w:sz w:val="18"/>
      <w:szCs w:val="18"/>
      <w:u w:val="none"/>
    </w:rPr>
  </w:style>
  <w:style w:type="character" w:styleId="1213" w:customStyle="1">
    <w:name w:val="font31"/>
    <w:uiPriority w:val="0"/>
    <w:qFormat/>
    <w:rPr>
      <w:rFonts w:hint="eastAsia" w:ascii="微软雅黑" w:hAnsi="微软雅黑" w:eastAsia="微软雅黑" w:cs="微软雅黑"/>
      <w:color w:val="000000"/>
      <w:sz w:val="21"/>
      <w:szCs w:val="21"/>
      <w:u w:val="none"/>
    </w:rPr>
  </w:style>
  <w:style w:type="character" w:styleId="1214" w:customStyle="1">
    <w:name w:val="font51"/>
    <w:uiPriority w:val="0"/>
    <w:qFormat/>
    <w:rPr>
      <w:rFonts w:hint="default" w:ascii="Times New Roman" w:hAnsi="Times New Roman" w:eastAsia="宋体" w:cs="Times New Roman"/>
      <w:color w:val="000000"/>
      <w:sz w:val="21"/>
      <w:szCs w:val="21"/>
      <w:u w:val="none"/>
    </w:rPr>
  </w:style>
  <w:style w:type="character" w:styleId="1215" w:customStyle="1">
    <w:name w:val="apple-style-span"/>
    <w:uiPriority w:val="0"/>
    <w:qFormat/>
  </w:style>
  <w:style w:type="character" w:styleId="1216" w:customStyle="1">
    <w:name w:val="font131"/>
    <w:uiPriority w:val="0"/>
    <w:qFormat/>
    <w:rPr>
      <w:rFonts w:hint="default" w:ascii="Times New Roman" w:hAnsi="Times New Roman" w:eastAsia="宋体" w:cs="Times New Roman"/>
      <w:color w:val="333333"/>
      <w:sz w:val="20"/>
      <w:szCs w:val="20"/>
      <w:u w:val="none"/>
    </w:rPr>
  </w:style>
  <w:style w:type="character" w:styleId="1217" w:customStyle="1">
    <w:name w:val="font171"/>
    <w:uiPriority w:val="0"/>
    <w:qFormat/>
    <w:rPr>
      <w:rFonts w:hint="eastAsia" w:ascii="微软雅黑" w:hAnsi="微软雅黑" w:eastAsia="微软雅黑" w:cs="微软雅黑"/>
      <w:color w:val="000000"/>
      <w:sz w:val="21"/>
      <w:szCs w:val="21"/>
      <w:u w:val="none"/>
    </w:rPr>
  </w:style>
  <w:style w:type="character" w:styleId="1218" w:customStyle="1">
    <w:name w:val="font101"/>
    <w:uiPriority w:val="0"/>
    <w:qFormat/>
    <w:rPr>
      <w:rFonts w:hint="eastAsia" w:ascii="宋体" w:hAnsi="宋体" w:eastAsia="宋体" w:cs="宋体"/>
      <w:color w:val="000000"/>
      <w:sz w:val="21"/>
      <w:szCs w:val="21"/>
      <w:u w:val="none"/>
    </w:rPr>
  </w:style>
  <w:style w:type="character" w:styleId="1219" w:customStyle="1">
    <w:name w:val="font61"/>
    <w:uiPriority w:val="0"/>
    <w:qFormat/>
    <w:rPr>
      <w:rFonts w:hint="eastAsia" w:ascii="Batang" w:hAnsi="Batang" w:eastAsia="Batang" w:cs="Batang"/>
      <w:color w:val="000000"/>
      <w:sz w:val="21"/>
      <w:szCs w:val="21"/>
      <w:u w:val="none"/>
    </w:rPr>
  </w:style>
  <w:style w:type="character" w:styleId="1220" w:customStyle="1">
    <w:name w:val="font161"/>
    <w:uiPriority w:val="0"/>
    <w:qFormat/>
    <w:rPr>
      <w:rFonts w:hint="eastAsia" w:ascii="宋体" w:hAnsi="宋体" w:eastAsia="宋体" w:cs="宋体"/>
      <w:color w:val="333333"/>
      <w:sz w:val="20"/>
      <w:szCs w:val="20"/>
      <w:u w:val="none"/>
    </w:rPr>
  </w:style>
  <w:style w:type="character" w:styleId="1221" w:customStyle="1">
    <w:name w:val="font191"/>
    <w:uiPriority w:val="0"/>
    <w:qFormat/>
    <w:rPr>
      <w:rFonts w:hint="eastAsia" w:ascii="宋体" w:hAnsi="宋体" w:eastAsia="宋体" w:cs="宋体"/>
      <w:color w:val="000000"/>
      <w:sz w:val="21"/>
      <w:szCs w:val="21"/>
      <w:u w:val="none"/>
    </w:rPr>
  </w:style>
  <w:style w:type="character" w:styleId="1222"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1223" w:customStyle="1">
    <w:name w:val="font91"/>
    <w:uiPriority w:val="0"/>
    <w:qFormat/>
    <w:rPr>
      <w:rFonts w:hint="eastAsia" w:ascii="微软雅黑" w:hAnsi="微软雅黑" w:eastAsia="微软雅黑" w:cs="微软雅黑"/>
      <w:color w:val="ff0000"/>
      <w:sz w:val="21"/>
      <w:szCs w:val="21"/>
      <w:u w:val="none"/>
    </w:rPr>
  </w:style>
  <w:style w:type="character" w:styleId="1224" w:customStyle="1">
    <w:name w:val="font01"/>
    <w:uiPriority w:val="0"/>
    <w:qFormat/>
    <w:rPr>
      <w:rFonts w:hint="eastAsia" w:ascii="宋体" w:hAnsi="宋体" w:eastAsia="宋体" w:cs="宋体"/>
      <w:color w:val="333333"/>
      <w:sz w:val="24"/>
      <w:szCs w:val="24"/>
      <w:u w:val="none"/>
    </w:rPr>
  </w:style>
  <w:style w:type="character" w:styleId="1225" w:customStyle="1">
    <w:name w:val="font81"/>
    <w:uiPriority w:val="0"/>
    <w:qFormat/>
    <w:rPr>
      <w:rFonts w:hint="eastAsia" w:ascii="微软雅黑" w:hAnsi="微软雅黑" w:eastAsia="微软雅黑" w:cs="微软雅黑"/>
      <w:color w:val="000000"/>
      <w:sz w:val="21"/>
      <w:szCs w:val="21"/>
      <w:u w:val="none"/>
    </w:rPr>
  </w:style>
  <w:style w:type="character" w:styleId="1226"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1227" w:customStyle="1">
    <w:name w:val="font71"/>
    <w:uiPriority w:val="0"/>
    <w:qFormat/>
    <w:rPr>
      <w:rFonts w:hint="default" w:ascii="Times New Roman" w:hAnsi="Times New Roman" w:eastAsia="宋体" w:cs="Times New Roman"/>
      <w:color w:val="000000"/>
      <w:sz w:val="21"/>
      <w:szCs w:val="21"/>
      <w:u w:val="none"/>
    </w:rPr>
  </w:style>
  <w:style w:type="character" w:styleId="1228"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1229" w:customStyle="1">
    <w:name w:val="font121"/>
    <w:uiPriority w:val="0"/>
    <w:qFormat/>
    <w:rPr>
      <w:rFonts w:hint="eastAsia" w:ascii="微软雅黑" w:hAnsi="微软雅黑" w:eastAsia="微软雅黑" w:cs="微软雅黑"/>
      <w:color w:val="000000"/>
      <w:sz w:val="21"/>
      <w:szCs w:val="21"/>
      <w:u w:val="none"/>
    </w:rPr>
  </w:style>
  <w:style w:type="character" w:styleId="1230" w:customStyle="1">
    <w:name w:val="font112"/>
    <w:uiPriority w:val="0"/>
    <w:qFormat/>
    <w:rPr>
      <w:rFonts w:hint="eastAsia" w:ascii="宋体" w:hAnsi="宋体" w:eastAsia="宋体" w:cs="宋体"/>
      <w:color w:val="000000"/>
      <w:sz w:val="18"/>
      <w:szCs w:val="18"/>
      <w:u w:val="none"/>
    </w:rPr>
  </w:style>
  <w:style w:type="character" w:styleId="1231" w:customStyle="1">
    <w:name w:val="正文缩进 字符1"/>
    <w:uiPriority w:val="0"/>
    <w:qFormat/>
    <w:rPr>
      <w:rFonts w:hint="default" w:ascii="Times New Roman" w:hAnsi="Times New Roman" w:eastAsia="宋体" w:cs="Times New Roman"/>
      <w:szCs w:val="24"/>
    </w:rPr>
  </w:style>
  <w:style w:type="character" w:styleId="1232" w:customStyle="1">
    <w:name w:val="Plain Text Char1"/>
    <w:uiPriority w:val="0"/>
    <w:qFormat/>
    <w:rPr>
      <w:rFonts w:hint="eastAsia" w:ascii="宋体" w:hAnsi="Calibri" w:eastAsia="宋体"/>
      <w:sz w:val="21"/>
      <w:szCs w:val="22"/>
    </w:rPr>
  </w:style>
  <w:style w:type="table" w:styleId="1233" w:customStyle="1">
    <w:name w:val="网格型3"/>
    <w:basedOn w:val="8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34" w:customStyle="1">
    <w:name w:val="网格型4"/>
    <w:basedOn w:val="888"/>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35" w:customStyle="1">
    <w:name w:val="网格型5"/>
    <w:basedOn w:val="888"/>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36" w:customStyle="1">
    <w:name w:val="网格型6"/>
    <w:basedOn w:val="888"/>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37" w:customStyle="1">
    <w:name w:val="纯文本 Char"/>
    <w:link w:val="1126"/>
    <w:uiPriority w:val="0"/>
    <w:qFormat/>
    <w:rPr>
      <w:rFonts w:ascii="宋体" w:hAnsi="Courier New" w:cs="Courier New"/>
      <w:sz w:val="21"/>
      <w:szCs w:val="21"/>
    </w:rPr>
  </w:style>
  <w:style w:type="paragraph" w:styleId="1238" w:customStyle="1">
    <w:name w:val="修订5"/>
    <w:hidden/>
    <w:uiPriority w:val="99"/>
    <w:semiHidden/>
    <w:qFormat/>
    <w:rPr>
      <w:rFonts w:ascii="Times New Roman" w:hAnsi="Times New Roman" w:eastAsia="宋体" w:cs="Times New Roman"/>
      <w:sz w:val="21"/>
      <w:szCs w:val="22"/>
      <w:lang w:val="en-US" w:eastAsia="zh-CN" w:bidi="ar-SA"/>
    </w:rPr>
  </w:style>
  <w:style w:type="character" w:styleId="1239" w:customStyle="1">
    <w:name w:val="16"/>
    <w:basedOn w:val="887"/>
    <w:uiPriority w:val="0"/>
    <w:qFormat/>
    <w:rPr>
      <w:rFonts w:hint="default" w:ascii="Times New Roman" w:hAnsi="Times New Roman" w:cs="Times New Roman"/>
      <w:i/>
    </w:rPr>
  </w:style>
  <w:style w:type="paragraph" w:styleId="1240" w:customStyle="1">
    <w:name w:val="Table Paragraph"/>
    <w:basedOn w:val="877"/>
    <w:uiPriority w:val="1"/>
    <w:qFormat/>
    <w:pPr>
      <w:jc w:val="left"/>
    </w:pPr>
    <w:rPr>
      <w:rFonts w:ascii="宋体" w:hAnsi="宋体" w:cs="宋体"/>
      <w:sz w:val="22"/>
      <w:lang w:val="zh-CN" w:bidi="zh-CN"/>
    </w:rPr>
  </w:style>
  <w:style w:type="paragraph" w:styleId="1241"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12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柳涵</cp:lastModifiedBy>
  <cp:revision>63</cp:revision>
  <dcterms:created xsi:type="dcterms:W3CDTF">2026-03-16T23:50:00Z</dcterms:created>
  <dcterms:modified xsi:type="dcterms:W3CDTF">2026-06-18T09:11:19Z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CF1394338E0A3710B524326A3716D037_43</vt:lpwstr>
  </property>
  <property fmtid="{D5CDD505-2E9C-101B-9397-08002B2CF9AE}" pid="4" name="KSOTemplateDocerSaveRecord">
    <vt:lpwstr>eyJoZGlkIjoiZmQ4OTU3OTY5ZmRhN2Y5YzFlNDJlMmE1YWVmZjMwODciLCJ1c2VySWQiOiIyODI4MDA5NzYifQ==</vt:lpwstr>
  </property>
</Properties>
</file>