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2026年度别桥镇环卫服务采购项目</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rPr>
        <w:tab/>
      </w:r>
      <w:r>
        <w:rPr>
          <w:rFonts w:hint="eastAsia"/>
          <w:bCs/>
          <w:sz w:val="36"/>
          <w:szCs w:val="36"/>
          <w:highlight w:val="none"/>
        </w:rPr>
        <w:t xml:space="preserve">JSZC-320481-LTZB-G2026-0018</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lang w:val="en-US" w:eastAsia="zh-CN"/>
        </w:rPr>
        <w:t xml:space="preserve">溧阳市别桥镇人民政府  </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96"/>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9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220"/>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9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220"/>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9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220"/>
          <w:rFonts w:ascii="Times New Roman" w:hAnsi="Times New Roman"/>
          <w:color w:val="000000"/>
          <w:highlight w:val="none"/>
        </w:rPr>
        <w:t xml:space="preserve">第三章   资</w:t>
      </w:r>
      <w:bookmarkStart w:id="1" w:name="_Hlt100754117"/>
      <w:r>
        <w:rPr>
          <w:rStyle w:val="1220"/>
          <w:rFonts w:ascii="Times New Roman" w:hAnsi="Times New Roman"/>
          <w:color w:val="000000"/>
          <w:highlight w:val="none"/>
        </w:rPr>
        <w:t xml:space="preserve">格</w:t>
      </w:r>
      <w:bookmarkEnd w:id="1"/>
      <w:r>
        <w:rPr>
          <w:rStyle w:val="1220"/>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119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220"/>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1196"/>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220"/>
          <w:rFonts w:ascii="Times New Roman" w:hAnsi="Times New Roman"/>
          <w:color w:val="000000"/>
          <w:highlight w:val="none"/>
        </w:rPr>
        <w:t xml:space="preserve">第五章   采购</w:t>
      </w:r>
      <w:bookmarkStart w:id="2" w:name="_Hlt100754103"/>
      <w:r/>
      <w:bookmarkStart w:id="3" w:name="_Hlt100754102"/>
      <w:r>
        <w:rPr>
          <w:rStyle w:val="1220"/>
          <w:rFonts w:ascii="Times New Roman" w:hAnsi="Times New Roman"/>
          <w:color w:val="000000"/>
          <w:highlight w:val="none"/>
        </w:rPr>
        <w:t xml:space="preserve">需</w:t>
      </w:r>
      <w:bookmarkEnd w:id="2"/>
      <w:r/>
      <w:bookmarkEnd w:id="3"/>
      <w:r>
        <w:rPr>
          <w:rStyle w:val="1220"/>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38</w:t>
      </w:r>
      <w:r>
        <w:rPr>
          <w:rFonts w:ascii="Times New Roman" w:hAnsi="Times New Roman"/>
          <w:highlight w:val="none"/>
        </w:rPr>
        <w:fldChar w:fldCharType="end"/>
      </w:r>
      <w:r>
        <w:rPr>
          <w:rFonts w:ascii="Times New Roman" w:hAnsi="Times New Roman"/>
          <w:highlight w:val="none"/>
        </w:rPr>
        <w:fldChar w:fldCharType="end"/>
      </w:r>
      <w:r/>
    </w:p>
    <w:p>
      <w:pPr>
        <w:pStyle w:val="1196"/>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220"/>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96"/>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220"/>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96"/>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color w:val="auto"/>
          <w:sz w:val="36"/>
          <w:szCs w:val="36"/>
          <w:highlight w:val="none"/>
        </w:rPr>
        <w:outlineLvl w:val="0"/>
      </w:pPr>
      <w:r>
        <w:rPr>
          <w:b/>
          <w:color w:val="auto"/>
          <w:sz w:val="36"/>
          <w:szCs w:val="36"/>
          <w:highlight w:val="none"/>
        </w:rPr>
        <w:t xml:space="preserve">第一章   投标邀请</w:t>
      </w:r>
      <w:bookmarkEnd w:id="4"/>
      <w:r/>
      <w:r/>
    </w:p>
    <w:p>
      <w:pPr>
        <w:pStyle w:val="1144"/>
        <w:ind w:left="0"/>
        <w:jc w:val="left"/>
        <w:pageBreakBefore w:val="0"/>
        <w:spacing w:before="0" w:line="360" w:lineRule="auto"/>
        <w:widowControl w:val="off"/>
        <w:rPr>
          <w:rFonts w:ascii="Times New Roman" w:hAnsi="Times New Roman" w:eastAsia="宋体"/>
          <w:color w:val="auto"/>
          <w:sz w:val="24"/>
          <w:szCs w:val="24"/>
          <w:highlight w:val="none"/>
        </w:rPr>
      </w:pPr>
      <w:r/>
      <w:bookmarkStart w:id="5" w:name="_Toc35393621"/>
      <w:r/>
      <w:bookmarkStart w:id="6" w:name="_Toc35393790"/>
      <w:r/>
      <w:bookmarkStart w:id="7" w:name="_Toc28359002"/>
      <w:r/>
      <w:bookmarkStart w:id="8" w:name="_Toc28359079"/>
      <w:r/>
      <w:bookmarkStart w:id="9" w:name="_Hlk24379207"/>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1.项目编号：</w:t>
      </w:r>
      <w:r>
        <w:rPr>
          <w:rFonts w:hint="eastAsia"/>
          <w:color w:val="auto"/>
          <w:sz w:val="24"/>
          <w:highlight w:val="none"/>
          <w:u w:val="single"/>
          <w:lang w:val="en-US" w:eastAsia="zh-CN"/>
        </w:rPr>
        <w:tab/>
      </w:r>
      <w:r>
        <w:rPr>
          <w:rFonts w:hint="eastAsia"/>
          <w:color w:val="auto"/>
          <w:sz w:val="24"/>
          <w:highlight w:val="none"/>
          <w:u w:val="single"/>
          <w:lang w:val="en-US" w:eastAsia="zh-CN"/>
        </w:rPr>
        <w:t xml:space="preserve">JSZC-320481-LTZB-G2026-0018</w:t>
      </w:r>
      <w:r/>
    </w:p>
    <w:p>
      <w:pPr>
        <w:ind w:left="0" w:firstLine="480"/>
        <w:pageBreakBefore w:val="0"/>
        <w:spacing w:line="360" w:lineRule="auto"/>
        <w:widowControl w:val="off"/>
        <w:rPr>
          <w:rFonts w:hint="default" w:eastAsia="宋体"/>
          <w:color w:val="auto"/>
          <w:sz w:val="24"/>
          <w:highlight w:val="none"/>
          <w:lang w:val="en-US" w:eastAsia="zh-CN"/>
        </w:rPr>
      </w:pPr>
      <w:r>
        <w:rPr>
          <w:color w:val="auto"/>
          <w:sz w:val="24"/>
          <w:highlight w:val="none"/>
        </w:rPr>
        <w:t xml:space="preserve">2.项目名称：</w:t>
      </w:r>
      <w:r>
        <w:rPr>
          <w:rFonts w:hint="eastAsia"/>
          <w:color w:val="auto"/>
          <w:sz w:val="24"/>
          <w:highlight w:val="none"/>
          <w:u w:val="single"/>
          <w:lang w:val="en-US" w:eastAsia="zh-CN"/>
        </w:rPr>
        <w:t xml:space="preserve"> 2026年度别桥镇环卫服务采购项目 </w:t>
      </w:r>
      <w:bookmarkEnd w:id="9"/>
      <w:r/>
      <w:r/>
    </w:p>
    <w:p>
      <w:pPr>
        <w:ind w:left="0" w:firstLine="480"/>
        <w:pageBreakBefore w:val="0"/>
        <w:spacing w:line="360" w:lineRule="auto"/>
        <w:widowControl w:val="off"/>
        <w:rPr>
          <w:rFonts w:hint="eastAsia" w:eastAsia="宋体"/>
          <w:color w:val="auto"/>
          <w:sz w:val="24"/>
          <w:highlight w:val="none"/>
          <w:lang w:val="en-US" w:eastAsia="zh-CN"/>
        </w:rPr>
      </w:pPr>
      <w:r>
        <w:rPr>
          <w:color w:val="auto"/>
          <w:sz w:val="24"/>
          <w:highlight w:val="none"/>
        </w:rPr>
        <w:t xml:space="preserve">3.</w:t>
      </w:r>
      <w:r>
        <w:rPr>
          <w:rFonts w:hint="eastAsia"/>
          <w:color w:val="auto"/>
          <w:sz w:val="24"/>
          <w:highlight w:val="none"/>
        </w:rPr>
        <w:t xml:space="preserve">项目预算金额：</w:t>
      </w:r>
      <w:r>
        <w:rPr>
          <w:rFonts w:hint="eastAsia" w:ascii="宋体" w:hAnsi="宋体" w:cs="宋体"/>
          <w:color w:val="auto"/>
          <w:sz w:val="24"/>
          <w:u w:val="single"/>
          <w:lang w:val="en-US" w:eastAsia="zh-CN"/>
        </w:rPr>
        <w:t xml:space="preserve">947.5</w:t>
      </w:r>
      <w:r>
        <w:rPr>
          <w:rFonts w:hint="eastAsia" w:ascii="宋体" w:hAnsi="宋体" w:cs="宋体"/>
          <w:color w:val="auto"/>
          <w:sz w:val="24"/>
          <w:u w:val="single"/>
        </w:rPr>
        <w:t xml:space="preserve">万元</w:t>
      </w:r>
      <w:r>
        <w:rPr>
          <w:rFonts w:hint="eastAsia" w:ascii="宋体" w:hAnsi="宋体" w:cs="宋体"/>
          <w:color w:val="auto"/>
          <w:sz w:val="24"/>
          <w:u w:val="single"/>
          <w:lang w:eastAsia="zh-CN"/>
        </w:rPr>
        <w:t xml:space="preserve">（</w:t>
      </w:r>
      <w:r>
        <w:rPr>
          <w:rFonts w:hint="eastAsia" w:ascii="宋体" w:hAnsi="宋体" w:cs="宋体"/>
          <w:color w:val="auto"/>
          <w:sz w:val="24"/>
          <w:u w:val="single"/>
          <w:lang w:val="en-US" w:eastAsia="zh-CN"/>
        </w:rPr>
        <w:t xml:space="preserve">01包：549.384189万元，02包：398.115811万元</w:t>
      </w:r>
      <w:r>
        <w:rPr>
          <w:rFonts w:hint="eastAsia" w:ascii="宋体" w:hAnsi="宋体" w:cs="宋体"/>
          <w:color w:val="auto"/>
          <w:sz w:val="24"/>
          <w:u w:val="single"/>
          <w:lang w:eastAsia="zh-CN"/>
        </w:rPr>
        <w:t xml:space="preserve">）</w:t>
      </w:r>
      <w:r>
        <w:rPr>
          <w:rFonts w:hint="eastAsia"/>
          <w:color w:val="auto"/>
          <w:sz w:val="24"/>
          <w:highlight w:val="none"/>
          <w:u w:val="none"/>
          <w:lang w:val="en-US" w:eastAsia="zh-CN"/>
        </w:rPr>
        <w:t xml:space="preserve">；</w:t>
      </w:r>
      <w:r>
        <w:rPr>
          <w:rFonts w:hint="eastAsia"/>
          <w:color w:val="auto"/>
          <w:sz w:val="24"/>
          <w:highlight w:val="none"/>
        </w:rPr>
        <w:t xml:space="preserve">项目最高限价：</w:t>
      </w:r>
      <w:r>
        <w:rPr>
          <w:rFonts w:hint="eastAsia" w:ascii="宋体" w:hAnsi="宋体" w:eastAsia="宋体" w:cs="宋体"/>
          <w:color w:val="auto"/>
          <w:sz w:val="24"/>
          <w:highlight w:val="none"/>
          <w:u w:val="single"/>
          <w:lang w:val="en-US" w:eastAsia="zh-CN"/>
        </w:rPr>
        <w:t xml:space="preserve">916.35216</w:t>
      </w:r>
      <w:r>
        <w:rPr>
          <w:rFonts w:hint="eastAsia" w:ascii="宋体" w:hAnsi="宋体" w:eastAsia="宋体" w:cs="宋体"/>
          <w:color w:val="auto"/>
          <w:sz w:val="24"/>
          <w:highlight w:val="none"/>
          <w:u w:val="single"/>
        </w:rPr>
        <w:t xml:space="preserve">万元</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01包：545.5592万元 02包：370.79296万元 </w:t>
      </w:r>
      <w:r>
        <w:rPr>
          <w:rFonts w:hint="eastAsia" w:ascii="宋体" w:hAnsi="宋体" w:cs="宋体"/>
          <w:color w:val="auto"/>
          <w:sz w:val="24"/>
          <w:highlight w:val="none"/>
          <w:u w:val="single"/>
          <w:lang w:eastAsia="zh-CN"/>
        </w:rPr>
        <w:t xml:space="preserve">）</w:t>
      </w:r>
      <w:r/>
    </w:p>
    <w:p>
      <w:pPr>
        <w:ind w:left="0" w:firstLine="480"/>
        <w:pageBreakBefore w:val="0"/>
        <w:spacing w:line="360" w:lineRule="auto"/>
        <w:widowControl w:val="off"/>
        <w:rPr>
          <w:color w:val="auto"/>
          <w:sz w:val="24"/>
          <w:highlight w:val="none"/>
        </w:rPr>
      </w:pPr>
      <w:r>
        <w:rPr>
          <w:color w:val="auto"/>
          <w:sz w:val="24"/>
          <w:highlight w:val="none"/>
        </w:rPr>
        <w:t xml:space="preserve">4.采购需求：</w:t>
      </w:r>
      <w:r/>
    </w:p>
    <w:tbl>
      <w:tblPr>
        <w:tblStyle w:val="967"/>
        <w:tblW w:w="52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3"/>
        <w:gridCol w:w="2887"/>
        <w:gridCol w:w="1822"/>
        <w:gridCol w:w="752"/>
        <w:gridCol w:w="3358"/>
      </w:tblGrid>
      <w:tr>
        <w:trPr>
          <w:jc w:val="center"/>
          <w:trHeight w:val="297"/>
        </w:trPr>
        <w:tc>
          <w:tcPr>
            <w:tcW w:w="713"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包号</w:t>
            </w:r>
            <w:r/>
          </w:p>
        </w:tc>
        <w:tc>
          <w:tcPr>
            <w:tcW w:w="2884"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标的名称</w:t>
            </w:r>
            <w:r/>
          </w:p>
        </w:tc>
        <w:tc>
          <w:tcPr>
            <w:tcW w:w="1820"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采购包预算金额（万元）</w:t>
            </w:r>
            <w:r/>
          </w:p>
        </w:tc>
        <w:tc>
          <w:tcPr>
            <w:tcW w:w="751" w:type="dxa"/>
            <w:vAlign w:val="top"/>
            <w:textDirection w:val="lrTb"/>
            <w:noWrap w:val="false"/>
          </w:tcPr>
          <w:p>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 xml:space="preserve">数量</w:t>
            </w:r>
            <w:r/>
          </w:p>
        </w:tc>
        <w:tc>
          <w:tcPr>
            <w:tcW w:w="3354" w:type="dxa"/>
            <w:vAlign w:val="top"/>
            <w:textDirection w:val="lrTb"/>
            <w:noWrap w:val="false"/>
          </w:tcPr>
          <w:p>
            <w:pPr>
              <w:jc w:val="center"/>
              <w:rPr>
                <w:rFonts w:hint="eastAsia" w:ascii="宋体" w:hAnsi="宋体" w:cs="宋体"/>
                <w:color w:val="auto"/>
                <w:sz w:val="24"/>
              </w:rPr>
            </w:pPr>
            <w:r>
              <w:rPr>
                <w:rFonts w:hint="eastAsia" w:ascii="宋体" w:hAnsi="宋体" w:eastAsia="宋体" w:cs="宋体"/>
                <w:color w:val="auto"/>
                <w:sz w:val="24"/>
                <w:szCs w:val="24"/>
                <w:highlight w:val="none"/>
              </w:rPr>
              <w:t xml:space="preserve">简要技术需求或服务要求</w:t>
            </w:r>
            <w:r/>
          </w:p>
        </w:tc>
      </w:tr>
      <w:tr>
        <w:trPr>
          <w:jc w:val="center"/>
          <w:trHeight w:val="297"/>
        </w:trPr>
        <w:tc>
          <w:tcPr>
            <w:tcW w:w="713" w:type="dxa"/>
            <w:vAlign w:val="center"/>
            <w:textDirection w:val="lrTb"/>
            <w:noWrap w:val="false"/>
          </w:tcPr>
          <w:p>
            <w:pPr>
              <w:jc w:val="center"/>
              <w:rPr>
                <w:rFonts w:hint="eastAsia" w:ascii="宋体" w:hAnsi="宋体" w:eastAsia="宋体" w:cs="宋体"/>
                <w:color w:val="auto"/>
                <w:sz w:val="24"/>
                <w:szCs w:val="24"/>
                <w:highlight w:val="none"/>
              </w:rPr>
            </w:pPr>
            <w:r/>
            <w:bookmarkStart w:id="909" w:name="_GoBack"/>
            <w:r>
              <w:rPr>
                <w:rFonts w:hint="eastAsia" w:ascii="宋体" w:hAnsi="宋体" w:cs="宋体"/>
                <w:color w:val="auto"/>
                <w:sz w:val="24"/>
              </w:rPr>
              <w:t xml:space="preserve">01</w:t>
            </w:r>
            <w:r/>
          </w:p>
        </w:tc>
        <w:tc>
          <w:tcPr>
            <w:tcW w:w="28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vertAlign w:val="baseline"/>
                <w:lang w:val="en-US" w:eastAsia="zh-CN"/>
              </w:rPr>
              <w:t xml:space="preserve"> 2026年度别桥镇环卫服务采购项目（别桥片）</w:t>
            </w:r>
            <w:r/>
          </w:p>
        </w:tc>
        <w:tc>
          <w:tcPr>
            <w:tcW w:w="1820" w:type="dxa"/>
            <w:vAlign w:val="center"/>
            <w:textDirection w:val="lrTb"/>
            <w:noWrap w:val="false"/>
          </w:tcPr>
          <w:p>
            <w:pPr>
              <w:contextualSpacing/>
              <w:jc w:val="center"/>
              <w:rPr>
                <w:rFonts w:hint="default" w:ascii="宋体" w:hAnsi="宋体" w:eastAsia="宋体" w:cs="宋体"/>
                <w:color w:val="auto"/>
                <w:sz w:val="24"/>
                <w:szCs w:val="24"/>
                <w:highlight w:val="none"/>
                <w:u w:val="none"/>
                <w:lang w:val="en-US"/>
              </w:rPr>
            </w:pPr>
            <w:r>
              <w:rPr>
                <w:rFonts w:hint="eastAsia" w:ascii="宋体" w:hAnsi="宋体" w:cs="宋体"/>
                <w:color w:val="auto"/>
                <w:sz w:val="24"/>
                <w:u w:val="none"/>
                <w:lang w:val="en-US" w:eastAsia="zh-CN"/>
              </w:rPr>
              <w:t xml:space="preserve">549.384189</w:t>
            </w:r>
            <w:r/>
          </w:p>
        </w:tc>
        <w:tc>
          <w:tcPr>
            <w:tcW w:w="751" w:type="dxa"/>
            <w:vAlign w:val="center"/>
            <w:textDirection w:val="lrTb"/>
            <w:noWrap w:val="false"/>
          </w:tcPr>
          <w:p>
            <w:pPr>
              <w:contextualSpacing/>
              <w:jc w:val="center"/>
              <w:rPr>
                <w:rFonts w:hint="eastAsia" w:ascii="宋体" w:hAnsi="宋体" w:eastAsia="宋体" w:cs="宋体"/>
                <w:color w:val="auto"/>
                <w:sz w:val="24"/>
                <w:szCs w:val="24"/>
                <w:highlight w:val="none"/>
              </w:rPr>
            </w:pPr>
            <w:r>
              <w:rPr>
                <w:rFonts w:hint="eastAsia" w:ascii="宋体" w:hAnsi="宋体" w:cs="宋体"/>
                <w:color w:val="auto"/>
                <w:sz w:val="24"/>
                <w:lang w:val="en-US" w:eastAsia="zh-CN"/>
              </w:rPr>
              <w:t xml:space="preserve">1</w:t>
            </w:r>
            <w:r/>
          </w:p>
        </w:tc>
        <w:tc>
          <w:tcPr>
            <w:tcW w:w="3354" w:type="dxa"/>
            <w:vAlign w:val="center"/>
            <w:textDirection w:val="lrTb"/>
            <w:noWrap w:val="false"/>
          </w:tcPr>
          <w:p>
            <w:pPr>
              <w:contextualSpacing/>
              <w:jc w:val="center"/>
              <w:rPr>
                <w:rFonts w:hint="eastAsia" w:ascii="宋体" w:hAnsi="宋体" w:eastAsia="宋体" w:cs="宋体"/>
                <w:color w:val="auto"/>
                <w:sz w:val="24"/>
                <w:szCs w:val="24"/>
                <w:highlight w:val="none"/>
              </w:rPr>
            </w:pPr>
            <w:r>
              <w:rPr>
                <w:rFonts w:hint="default" w:ascii="宋体" w:hAnsi="宋体" w:eastAsia="宋体" w:cs="宋体"/>
                <w:color w:val="auto"/>
                <w:sz w:val="24"/>
                <w:szCs w:val="24"/>
                <w:vertAlign w:val="baseline"/>
                <w:lang w:val="en-US" w:eastAsia="zh-CN"/>
              </w:rPr>
              <w:t xml:space="preserve">主要包括：清扫保洁、垃圾收运、环卫设施清洗、中转站作业及垃圾转运、公厕保洁</w:t>
            </w:r>
            <w:r/>
          </w:p>
        </w:tc>
      </w:tr>
      <w:tr>
        <w:trPr>
          <w:jc w:val="center"/>
          <w:trHeight w:val="297"/>
        </w:trPr>
        <w:tc>
          <w:tcPr>
            <w:tcW w:w="713" w:type="dxa"/>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02</w:t>
            </w:r>
            <w:r/>
          </w:p>
        </w:tc>
        <w:tc>
          <w:tcPr>
            <w:tcW w:w="2884" w:type="dxa"/>
            <w:vAlign w:val="center"/>
            <w:textDirection w:val="lrTb"/>
            <w:noWrap w:val="false"/>
          </w:tcPr>
          <w:p>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 xml:space="preserve">2026年度别桥镇环卫服务采购项目（后周、绸缪片）</w:t>
            </w:r>
            <w:r/>
          </w:p>
        </w:tc>
        <w:tc>
          <w:tcPr>
            <w:tcW w:w="1820" w:type="dxa"/>
            <w:vAlign w:val="center"/>
            <w:textDirection w:val="lrTb"/>
            <w:noWrap w:val="false"/>
          </w:tcPr>
          <w:p>
            <w:pPr>
              <w:contextualSpacing/>
              <w:jc w:val="center"/>
              <w:rPr>
                <w:rFonts w:hint="eastAsia" w:ascii="宋体" w:hAnsi="宋体" w:cs="宋体"/>
                <w:color w:val="auto"/>
                <w:sz w:val="24"/>
                <w:u w:val="none"/>
                <w:lang w:val="en-US" w:eastAsia="zh-CN"/>
              </w:rPr>
            </w:pPr>
            <w:r>
              <w:rPr>
                <w:rFonts w:hint="eastAsia" w:ascii="宋体" w:hAnsi="宋体" w:cs="宋体"/>
                <w:color w:val="auto"/>
                <w:sz w:val="24"/>
                <w:u w:val="none"/>
                <w:lang w:val="en-US" w:eastAsia="zh-CN"/>
              </w:rPr>
              <w:t xml:space="preserve">398.115811</w:t>
            </w:r>
            <w:r/>
          </w:p>
        </w:tc>
        <w:tc>
          <w:tcPr>
            <w:tcW w:w="751" w:type="dxa"/>
            <w:vAlign w:val="center"/>
            <w:textDirection w:val="lrTb"/>
            <w:noWrap w:val="false"/>
          </w:tcPr>
          <w:p>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 xml:space="preserve">1</w:t>
            </w:r>
            <w:r/>
          </w:p>
        </w:tc>
        <w:tc>
          <w:tcPr>
            <w:tcW w:w="3354" w:type="dxa"/>
            <w:vAlign w:val="center"/>
            <w:textDirection w:val="lrTb"/>
            <w:noWrap w:val="false"/>
          </w:tcPr>
          <w:p>
            <w:pPr>
              <w:contextualSpacing/>
              <w:jc w:val="center"/>
              <w:rPr>
                <w:rFonts w:hint="default" w:ascii="宋体" w:hAnsi="宋体" w:eastAsia="宋体" w:cs="宋体"/>
                <w:color w:val="auto"/>
                <w:sz w:val="24"/>
                <w:szCs w:val="24"/>
                <w:vertAlign w:val="baseline"/>
                <w:lang w:val="en-US" w:eastAsia="zh-CN"/>
              </w:rPr>
            </w:pPr>
            <w:r>
              <w:rPr>
                <w:rFonts w:hint="default" w:ascii="宋体" w:hAnsi="宋体" w:eastAsia="宋体" w:cs="宋体"/>
                <w:color w:val="auto"/>
                <w:sz w:val="24"/>
                <w:szCs w:val="24"/>
                <w:u w:val="none"/>
                <w:vertAlign w:val="baseline"/>
                <w:lang w:val="en-US" w:eastAsia="zh-CN"/>
              </w:rPr>
              <w:t xml:space="preserve">主要包括：</w:t>
            </w:r>
            <w:r>
              <w:rPr>
                <w:rFonts w:hint="eastAsia" w:ascii="宋体" w:hAnsi="宋体" w:eastAsia="宋体" w:cs="宋体"/>
                <w:color w:val="000000"/>
                <w:sz w:val="24"/>
                <w:szCs w:val="24"/>
                <w:u w:val="none"/>
                <w:lang w:val="en-US" w:eastAsia="zh-CN"/>
              </w:rPr>
              <w:t xml:space="preserve">清扫保洁、垃圾收运、环卫设施清洗、公厕保洁等</w:t>
            </w:r>
            <w:bookmarkEnd w:id="909"/>
            <w:r/>
          </w:p>
        </w:tc>
      </w:tr>
    </w:tbl>
    <w:p>
      <w:pPr>
        <w:ind w:firstLine="480"/>
        <w:pageBreakBefore w:val="0"/>
        <w:spacing w:line="360" w:lineRule="auto"/>
        <w:widowControl w:val="off"/>
        <w:rPr>
          <w:rFonts w:hint="eastAsia" w:ascii="Times New Roman" w:hAnsi="Times New Roman" w:eastAsia="宋体" w:cs="Times New Roman"/>
          <w:color w:val="c00000"/>
          <w:sz w:val="24"/>
          <w:highlight w:val="none"/>
          <w:lang w:val="en-US" w:eastAsia="zh-CN"/>
        </w:rPr>
      </w:pPr>
      <w:r>
        <w:rPr>
          <w:rFonts w:hint="eastAsia" w:cs="Times New Roman"/>
          <w:b/>
          <w:bCs/>
          <w:color w:val="auto"/>
          <w:sz w:val="24"/>
          <w:highlight w:val="none"/>
          <w:lang w:val="en-US" w:eastAsia="zh-CN"/>
        </w:rPr>
        <w:t xml:space="preserve">注：01包中转站垃圾转运费最高限价2.2元/吨/公里（根据往年垃圾量预估中转站平均每月垃圾量为：984.11吨，垃圾量按实际垃圾量计算）</w:t>
      </w:r>
      <w:r/>
    </w:p>
    <w:p>
      <w:pPr>
        <w:ind w:firstLine="480"/>
        <w:pageBreakBefore w:val="0"/>
        <w:spacing w:line="360" w:lineRule="auto"/>
        <w:widowControl w:val="off"/>
        <w:rPr>
          <w:rFonts w:ascii="Times New Roman" w:hAnsi="Times New Roman" w:eastAsia="宋体" w:cs="Times New Roman"/>
          <w:color w:val="auto"/>
          <w:sz w:val="24"/>
          <w:highlight w:val="none"/>
          <w:u w:val="single"/>
          <w:lang w:val="en-US" w:eastAsia="zh-CN"/>
        </w:rPr>
      </w:pPr>
      <w:r>
        <w:rPr>
          <w:rFonts w:hint="eastAsia" w:ascii="Times New Roman" w:hAnsi="Times New Roman" w:eastAsia="宋体" w:cs="Times New Roman"/>
          <w:color w:val="auto"/>
          <w:sz w:val="24"/>
          <w:highlight w:val="none"/>
        </w:rPr>
        <w:t xml:space="preserve">5.</w:t>
      </w:r>
      <w:r>
        <w:rPr>
          <w:rFonts w:hint="eastAsia" w:ascii="Times New Roman" w:hAnsi="Times New Roman" w:eastAsia="宋体" w:cs="Times New Roman"/>
          <w:color w:val="auto"/>
          <w:sz w:val="24"/>
          <w:highlight w:val="none"/>
          <w:lang w:eastAsia="zh-CN"/>
        </w:rPr>
        <w:t xml:space="preserve">合同履行期限：</w:t>
      </w:r>
      <w:r>
        <w:rPr>
          <w:rFonts w:hint="eastAsia" w:ascii="Times New Roman" w:hAnsi="Times New Roman" w:eastAsia="宋体" w:cs="Times New Roman"/>
          <w:color w:val="auto"/>
          <w:sz w:val="24"/>
          <w:highlight w:val="none"/>
          <w:u w:val="single"/>
          <w:lang w:eastAsia="zh-CN"/>
        </w:rPr>
        <w:t xml:space="preserve">一年，其中前</w:t>
      </w:r>
      <w:r>
        <w:rPr>
          <w:rFonts w:hint="eastAsia" w:ascii="Times New Roman" w:hAnsi="Times New Roman" w:eastAsia="宋体" w:cs="Times New Roman"/>
          <w:color w:val="auto"/>
          <w:sz w:val="24"/>
          <w:highlight w:val="none"/>
          <w:u w:val="single"/>
          <w:lang w:val="en-US" w:eastAsia="zh-CN"/>
        </w:rPr>
        <w:t xml:space="preserve">3</w:t>
      </w:r>
      <w:r>
        <w:rPr>
          <w:rFonts w:hint="eastAsia" w:ascii="Times New Roman" w:hAnsi="Times New Roman" w:eastAsia="宋体" w:cs="Times New Roman"/>
          <w:color w:val="auto"/>
          <w:sz w:val="24"/>
          <w:highlight w:val="none"/>
          <w:u w:val="single"/>
          <w:lang w:eastAsia="zh-CN"/>
        </w:rPr>
        <w:t xml:space="preserve">个月为试用期；试用期满且考核合格后签订正式合同。</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6.本项目是否接受联合体投标：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7.本项目是否接受进口产品投标：</w:t>
      </w:r>
      <w:r>
        <w:rPr>
          <w:rFonts w:hint="eastAsia" w:ascii="Times New Roman" w:hAnsi="Times New Roman" w:eastAsia="宋体"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 xml:space="preserve">☑</w:t>
      </w:r>
      <w:r>
        <w:rPr>
          <w:rFonts w:hint="eastAsia" w:ascii="Times New Roman" w:hAnsi="Times New Roman" w:eastAsia="宋体" w:cs="Times New Roman"/>
          <w:color w:val="auto"/>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本项目招标分为01包、02包，采取兼投不兼中原则，评标顺序为01包、02包，在01包中被推荐为第一中标候选人的单位不得成为02包的推荐中标候选人。</w:t>
      </w:r>
      <w:r/>
    </w:p>
    <w:p>
      <w:pPr>
        <w:pStyle w:val="1144"/>
        <w:ind w:left="0"/>
        <w:jc w:val="left"/>
        <w:pageBreakBefore w:val="0"/>
        <w:spacing w:before="0" w:line="360" w:lineRule="auto"/>
        <w:widowControl w:val="off"/>
        <w:rPr>
          <w:rFonts w:ascii="Times New Roman" w:hAnsi="Times New Roman" w:eastAsia="宋体"/>
          <w:color w:val="auto"/>
          <w:sz w:val="24"/>
          <w:szCs w:val="24"/>
          <w:highlight w:val="none"/>
        </w:rPr>
      </w:pPr>
      <w:r/>
      <w:bookmarkStart w:id="10" w:name="_Toc28359080"/>
      <w:r/>
      <w:bookmarkStart w:id="11" w:name="_Toc35393791"/>
      <w:r/>
      <w:bookmarkStart w:id="12" w:name="_Toc35393622"/>
      <w:r/>
      <w:bookmarkStart w:id="13" w:name="_Toc28359003"/>
      <w:r>
        <w:rPr>
          <w:rFonts w:ascii="Times New Roman" w:hAnsi="Times New Roman" w:eastAsia="宋体"/>
          <w:color w:val="auto"/>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color w:val="auto"/>
          <w:sz w:val="24"/>
          <w:highlight w:val="none"/>
        </w:rPr>
      </w:pPr>
      <w:r/>
      <w:bookmarkStart w:id="14" w:name="_Toc28359004"/>
      <w:r/>
      <w:bookmarkStart w:id="15" w:name="_Toc28359081"/>
      <w:r>
        <w:rPr>
          <w:color w:val="auto"/>
          <w:sz w:val="24"/>
          <w:highlight w:val="none"/>
        </w:rPr>
        <w:t xml:space="preserve">2.落实政府采购政策需满足的资格要求：</w:t>
      </w:r>
      <w:r/>
    </w:p>
    <w:p>
      <w:pPr>
        <w:ind w:left="0" w:firstLine="480"/>
        <w:pageBreakBefore w:val="0"/>
        <w:spacing w:line="360" w:lineRule="auto"/>
        <w:widowControl w:val="off"/>
        <w:rPr>
          <w:color w:val="auto"/>
          <w:sz w:val="24"/>
          <w:highlight w:val="none"/>
        </w:rPr>
      </w:pPr>
      <w:r>
        <w:rPr>
          <w:color w:val="auto"/>
          <w:sz w:val="24"/>
          <w:highlight w:val="none"/>
        </w:rPr>
        <w:t xml:space="preserve">2.1 中小企业政策</w:t>
      </w:r>
      <w:r/>
    </w:p>
    <w:p>
      <w:pPr>
        <w:ind w:left="0" w:firstLine="480"/>
        <w:pageBreakBefore w:val="0"/>
        <w:spacing w:line="360" w:lineRule="auto"/>
        <w:widowControl w:val="off"/>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本项目不专门面向中小企业预留采购份额。</w:t>
      </w:r>
      <w:r/>
    </w:p>
    <w:p>
      <w:pPr>
        <w:ind w:left="0" w:firstLine="480"/>
        <w:pageBreakBefore w:val="0"/>
        <w:spacing w:line="360" w:lineRule="auto"/>
        <w:widowControl w:val="off"/>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本项目专门面向 </w:t>
      </w:r>
      <w:r>
        <w:rPr>
          <w:rFonts w:hint="eastAsia"/>
          <w:color w:val="auto"/>
          <w:sz w:val="24"/>
          <w:highlight w:val="none"/>
          <w:lang w:val="en-US" w:eastAsia="zh-CN"/>
        </w:rPr>
        <w:t xml:space="preserve"> </w:t>
      </w:r>
      <w:r>
        <w:rPr>
          <w:rFonts w:hint="eastAsia"/>
          <w:b w:val="0"/>
          <w:bCs w:val="0"/>
          <w:color w:val="auto"/>
          <w:sz w:val="24"/>
          <w:highlight w:val="none"/>
          <w:lang w:eastAsia="zh-CN"/>
        </w:rPr>
        <w:t xml:space="preserve">☑</w:t>
      </w:r>
      <w:r>
        <w:rPr>
          <w:color w:val="auto"/>
          <w:sz w:val="24"/>
          <w:highlight w:val="none"/>
        </w:rPr>
        <w:t xml:space="preserve">中小 </w:t>
      </w:r>
      <w:r>
        <w:rPr>
          <w:rFonts w:hint="eastAsia"/>
          <w:color w:val="auto"/>
          <w:sz w:val="24"/>
          <w:highlight w:val="none"/>
          <w:lang w:eastAsia="zh-CN"/>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color w:val="auto"/>
          <w:sz w:val="24"/>
          <w:highlight w:val="none"/>
        </w:rPr>
      </w:pPr>
      <w:r>
        <w:rPr>
          <w:rFonts w:hint="eastAsia" w:eastAsia="宋体"/>
          <w:b w:val="0"/>
          <w:bCs w:val="0"/>
          <w:color w:val="auto"/>
          <w:sz w:val="24"/>
          <w:highlight w:val="none"/>
          <w:lang w:eastAsia="zh-CN"/>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color w:val="auto"/>
          <w:sz w:val="24"/>
          <w:highlight w:val="none"/>
        </w:rPr>
      </w:pPr>
      <w:r>
        <w:rPr>
          <w:color w:val="auto"/>
          <w:sz w:val="24"/>
          <w:highlight w:val="none"/>
        </w:rPr>
        <w:t xml:space="preserve">2.2 </w:t>
      </w:r>
      <w:r>
        <w:rPr>
          <w:rFonts w:hint="eastAsia"/>
          <w:color w:val="auto"/>
          <w:sz w:val="24"/>
          <w:highlight w:val="none"/>
        </w:rPr>
        <w:t xml:space="preserve">其他</w:t>
      </w:r>
      <w:r>
        <w:rPr>
          <w:color w:val="auto"/>
          <w:sz w:val="24"/>
          <w:highlight w:val="none"/>
        </w:rPr>
        <w:t xml:space="preserve">落实政府采购政策的资格要求（如有）：</w:t>
      </w:r>
      <w:r>
        <w:rPr>
          <w:rFonts w:hint="eastAsia"/>
          <w:color w:val="auto"/>
          <w:sz w:val="24"/>
          <w:highlight w:val="none"/>
          <w:u w:val="single"/>
        </w:rPr>
        <w:t xml:space="preserve">     /     </w:t>
      </w:r>
      <w:r>
        <w:rPr>
          <w:rFonts w:hint="eastAsia"/>
          <w:color w:val="auto"/>
          <w:sz w:val="24"/>
          <w:highlight w:val="none"/>
        </w:rPr>
        <w:t xml:space="preserve">。</w:t>
      </w:r>
      <w:r/>
    </w:p>
    <w:p>
      <w:pPr>
        <w:ind w:left="0" w:firstLine="480"/>
        <w:pageBreakBefore w:val="0"/>
        <w:spacing w:line="360" w:lineRule="auto"/>
        <w:widowControl w:val="off"/>
        <w:rPr>
          <w:i/>
          <w:iCs/>
          <w:color w:val="auto"/>
          <w:sz w:val="24"/>
          <w:highlight w:val="none"/>
          <w:u w:val="single"/>
        </w:rPr>
      </w:pPr>
      <w:r>
        <w:rPr>
          <w:color w:val="auto"/>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b w:val="0"/>
          <w:bCs w:val="0"/>
          <w:color w:val="auto"/>
          <w:sz w:val="24"/>
          <w:highlight w:val="none"/>
        </w:rPr>
        <w:t xml:space="preserve">3.1本项目是否接受分支机构参与投标：</w:t>
      </w:r>
      <w:r>
        <w:rPr>
          <w:rFonts w:hint="eastAsia" w:eastAsia="宋体"/>
          <w:b w:val="0"/>
          <w:bCs w:val="0"/>
          <w:color w:val="auto"/>
          <w:sz w:val="24"/>
          <w:highlight w:val="none"/>
          <w:lang w:eastAsia="zh-CN"/>
        </w:rPr>
        <w:t xml:space="preserve">□</w:t>
      </w:r>
      <w:r>
        <w:rPr>
          <w:b w:val="0"/>
          <w:bCs w:val="0"/>
          <w:color w:val="auto"/>
          <w:sz w:val="24"/>
          <w:highlight w:val="none"/>
        </w:rPr>
        <w:t xml:space="preserve">是   </w:t>
      </w:r>
      <w:r>
        <w:rPr>
          <w:rFonts w:hint="eastAsia"/>
          <w:b w:val="0"/>
          <w:bCs w:val="0"/>
          <w:color w:val="auto"/>
          <w:sz w:val="24"/>
          <w:highlight w:val="none"/>
          <w:lang w:eastAsia="zh-CN"/>
        </w:rPr>
        <w:t xml:space="preserve">☑</w:t>
      </w:r>
      <w:r>
        <w:rPr>
          <w:b w:val="0"/>
          <w:bCs w:val="0"/>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color w:val="auto"/>
          <w:sz w:val="24"/>
          <w:highlight w:val="none"/>
        </w:rPr>
      </w:pPr>
      <w:r>
        <w:rPr>
          <w:rFonts w:hint="eastAsia"/>
          <w:b w:val="0"/>
          <w:bCs w:val="0"/>
          <w:color w:val="auto"/>
          <w:sz w:val="24"/>
          <w:highlight w:val="none"/>
          <w:lang w:eastAsia="zh-CN"/>
        </w:rPr>
        <w:t xml:space="preserve">□</w:t>
      </w:r>
      <w:r>
        <w:rPr>
          <w:color w:val="auto"/>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color w:val="auto"/>
          <w:sz w:val="24"/>
          <w:highlight w:val="none"/>
        </w:rPr>
      </w:pPr>
      <w:r>
        <w:rPr>
          <w:rFonts w:hint="eastAsia"/>
          <w:b w:val="0"/>
          <w:bCs w:val="0"/>
          <w:color w:val="auto"/>
          <w:sz w:val="24"/>
          <w:highlight w:val="none"/>
          <w:lang w:eastAsia="zh-CN"/>
        </w:rPr>
        <w:t xml:space="preserve">☑</w:t>
      </w:r>
      <w:r>
        <w:rPr>
          <w:b w:val="0"/>
          <w:bCs w:val="0"/>
          <w:color w:val="auto"/>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color w:val="auto"/>
          <w:sz w:val="24"/>
          <w:highlight w:val="none"/>
          <w:u w:val="single"/>
          <w:lang w:val="en-US" w:eastAsia="zh-CN"/>
        </w:rPr>
      </w:pPr>
      <w:r>
        <w:rPr>
          <w:b w:val="0"/>
          <w:bCs w:val="0"/>
          <w:color w:val="auto"/>
          <w:sz w:val="24"/>
          <w:highlight w:val="none"/>
        </w:rPr>
        <w:t xml:space="preserve">3.3其他特定资格要求：</w:t>
      </w:r>
      <w:r>
        <w:rPr>
          <w:rFonts w:hint="eastAsia"/>
          <w:b w:val="0"/>
          <w:bCs w:val="0"/>
          <w:color w:val="auto"/>
          <w:sz w:val="24"/>
          <w:highlight w:val="none"/>
          <w:u w:val="single"/>
          <w:lang w:val="en-US" w:eastAsia="zh-CN"/>
        </w:rPr>
        <w:t xml:space="preserve">       /      </w:t>
      </w:r>
      <w:r>
        <w:rPr>
          <w:rFonts w:hint="eastAsia"/>
          <w:b w:val="0"/>
          <w:bCs w:val="0"/>
          <w:color w:val="auto"/>
          <w:sz w:val="24"/>
          <w:highlight w:val="none"/>
          <w:lang w:eastAsia="zh-CN"/>
        </w:rPr>
        <w:t xml:space="preserve">。</w:t>
      </w:r>
      <w:bookmarkEnd w:id="14"/>
      <w:r/>
      <w:bookmarkEnd w:id="15"/>
      <w:r/>
      <w:r/>
    </w:p>
    <w:p>
      <w:pPr>
        <w:pStyle w:val="1144"/>
        <w:jc w:val="left"/>
        <w:spacing w:before="0" w:line="360" w:lineRule="auto"/>
        <w:widowControl/>
        <w:rPr>
          <w:rFonts w:ascii="Times New Roman" w:hAnsi="Times New Roman" w:eastAsia="宋体"/>
          <w:color w:val="auto"/>
          <w:sz w:val="24"/>
          <w:szCs w:val="24"/>
          <w:highlight w:val="none"/>
        </w:rPr>
      </w:pPr>
      <w:r/>
      <w:bookmarkStart w:id="16" w:name="_Toc35393623"/>
      <w:r/>
      <w:bookmarkStart w:id="17" w:name="_Toc35393792"/>
      <w:r>
        <w:rPr>
          <w:rFonts w:ascii="Times New Roman" w:hAnsi="Times New Roman" w:eastAsia="宋体"/>
          <w:color w:val="auto"/>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color w:val="auto"/>
          <w:sz w:val="24"/>
          <w:highlight w:val="none"/>
          <w:lang w:val="en-US" w:eastAsia="zh-CN" w:bidi="ar"/>
        </w:rPr>
      </w:pPr>
      <w:r>
        <w:rPr>
          <w:rFonts w:hint="eastAsia" w:ascii="Times New Roman" w:hAnsi="Times New Roman" w:eastAsia="宋体" w:cs="Times New Roman"/>
          <w:color w:val="auto"/>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bidi="ar"/>
        </w:rPr>
        <w:t xml:space="preserve">2.地点：政府采购一体化平台“苏采云”</w:t>
      </w:r>
      <w:r/>
    </w:p>
    <w:p>
      <w:pPr>
        <w:ind w:firstLine="480"/>
        <w:jc w:val="left"/>
        <w:spacing w:line="360" w:lineRule="auto"/>
        <w:widowControl/>
        <w:rPr>
          <w:color w:val="auto"/>
          <w:sz w:val="24"/>
          <w:highlight w:val="none"/>
          <w:lang w:bidi="ar"/>
        </w:rPr>
      </w:pPr>
      <w:r>
        <w:rPr>
          <w:color w:val="auto"/>
          <w:sz w:val="24"/>
          <w:highlight w:val="none"/>
          <w:lang w:bidi="ar"/>
        </w:rPr>
        <w:t xml:space="preserve">3.方式：</w:t>
      </w:r>
      <w:r>
        <w:rPr>
          <w:rFonts w:hint="eastAsia"/>
          <w:color w:val="auto"/>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color w:val="auto"/>
          <w:sz w:val="24"/>
          <w:highlight w:val="none"/>
        </w:rPr>
      </w:pPr>
      <w:r>
        <w:rPr>
          <w:color w:val="auto"/>
          <w:sz w:val="24"/>
          <w:highlight w:val="none"/>
          <w:lang w:bidi="ar"/>
        </w:rPr>
        <w:t xml:space="preserve">4.售价：</w:t>
      </w:r>
      <w:r>
        <w:rPr>
          <w:rFonts w:hint="eastAsia"/>
          <w:color w:val="auto"/>
          <w:sz w:val="24"/>
          <w:highlight w:val="none"/>
          <w:u w:val="single"/>
          <w:lang w:bidi="ar"/>
        </w:rPr>
        <w:t xml:space="preserve"> 0 </w:t>
      </w:r>
      <w:r>
        <w:rPr>
          <w:rFonts w:hint="eastAsia"/>
          <w:color w:val="auto"/>
          <w:sz w:val="24"/>
          <w:highlight w:val="none"/>
          <w:lang w:bidi="ar"/>
        </w:rPr>
        <w:t xml:space="preserve">元</w:t>
      </w:r>
      <w:r>
        <w:rPr>
          <w:color w:val="auto"/>
          <w:sz w:val="24"/>
          <w:highlight w:val="none"/>
          <w:lang w:bidi="ar"/>
        </w:rPr>
        <w:t xml:space="preserve">。</w:t>
      </w:r>
      <w:r/>
    </w:p>
    <w:p>
      <w:pPr>
        <w:pStyle w:val="1144"/>
        <w:jc w:val="left"/>
        <w:spacing w:before="0" w:line="360" w:lineRule="auto"/>
        <w:widowControl/>
        <w:rPr>
          <w:rFonts w:ascii="Times New Roman" w:hAnsi="Times New Roman" w:eastAsia="宋体"/>
          <w:color w:val="auto"/>
          <w:sz w:val="24"/>
          <w:szCs w:val="24"/>
          <w:highlight w:val="none"/>
        </w:rPr>
      </w:pPr>
      <w:r/>
      <w:bookmarkStart w:id="18" w:name="_Toc28359082"/>
      <w:r/>
      <w:bookmarkStart w:id="19" w:name="_Toc28359005"/>
      <w:r/>
      <w:bookmarkStart w:id="20" w:name="_Toc35393793"/>
      <w:r/>
      <w:bookmarkStart w:id="21" w:name="_Toc35393624"/>
      <w:r>
        <w:rPr>
          <w:rFonts w:ascii="Times New Roman" w:hAnsi="Times New Roman" w:eastAsia="宋体"/>
          <w:color w:val="auto"/>
          <w:sz w:val="24"/>
          <w:szCs w:val="24"/>
          <w:highlight w:val="none"/>
        </w:rPr>
        <w:t xml:space="preserve">四、提交投标文件</w:t>
      </w:r>
      <w:bookmarkEnd w:id="18"/>
      <w:r/>
      <w:bookmarkEnd w:id="19"/>
      <w:r>
        <w:rPr>
          <w:rFonts w:ascii="Times New Roman" w:hAnsi="Times New Roman" w:eastAsia="宋体"/>
          <w:color w:val="auto"/>
          <w:sz w:val="24"/>
          <w:szCs w:val="24"/>
          <w:highlight w:val="none"/>
        </w:rPr>
        <w:t xml:space="preserve">截止时间、开标时间和地点</w:t>
      </w:r>
      <w:bookmarkEnd w:id="20"/>
      <w:r/>
      <w:bookmarkEnd w:id="21"/>
      <w:r/>
      <w:r/>
    </w:p>
    <w:p>
      <w:pPr>
        <w:ind w:firstLine="480"/>
        <w:spacing w:line="360" w:lineRule="auto"/>
        <w:rPr>
          <w:bCs/>
          <w:color w:val="auto"/>
          <w:sz w:val="24"/>
          <w:highlight w:val="none"/>
          <w:u w:val="single"/>
        </w:rPr>
      </w:pPr>
      <w:r>
        <w:rPr>
          <w:color w:val="auto"/>
          <w:sz w:val="24"/>
          <w:highlight w:val="none"/>
          <w:lang w:bidi="ar"/>
        </w:rPr>
        <w:t xml:space="preserve">投标截止时间、开标时间：</w:t>
      </w:r>
      <w:r>
        <w:rPr>
          <w:rFonts w:hint="eastAsia"/>
          <w:color w:val="auto"/>
          <w:sz w:val="24"/>
          <w:highlight w:val="none"/>
          <w:u w:val="single"/>
          <w:lang w:val="en-US" w:eastAsia="zh-CN"/>
        </w:rPr>
        <w:t xml:space="preserve">2026年 06月25日13点30分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lang w:val="zh-TW" w:bidi="ar"/>
        </w:rPr>
      </w:pPr>
      <w:r>
        <w:rPr>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color w:val="auto"/>
          <w:sz w:val="24"/>
          <w:highlight w:val="none"/>
          <w:u w:val="single"/>
          <w:lang w:val="zh-TW"/>
        </w:rPr>
        <w:t xml:space="preserve">。</w:t>
      </w:r>
      <w:r/>
    </w:p>
    <w:p>
      <w:pPr>
        <w:pStyle w:val="1144"/>
        <w:jc w:val="left"/>
        <w:spacing w:before="0" w:line="360" w:lineRule="auto"/>
        <w:rPr>
          <w:rFonts w:ascii="Times New Roman" w:hAnsi="Times New Roman" w:eastAsia="宋体"/>
          <w:color w:val="auto"/>
          <w:sz w:val="24"/>
          <w:szCs w:val="24"/>
          <w:highlight w:val="none"/>
        </w:rPr>
      </w:pPr>
      <w:r/>
      <w:bookmarkStart w:id="22" w:name="_Toc28359007"/>
      <w:r/>
      <w:bookmarkStart w:id="23" w:name="_Toc28359084"/>
      <w:r/>
      <w:bookmarkStart w:id="24" w:name="_Toc35393625"/>
      <w:r/>
      <w:bookmarkStart w:id="25" w:name="_Toc35393794"/>
      <w:r>
        <w:rPr>
          <w:rFonts w:ascii="Times New Roman" w:hAnsi="Times New Roman" w:eastAsia="宋体"/>
          <w:color w:val="auto"/>
          <w:sz w:val="24"/>
          <w:szCs w:val="24"/>
          <w:highlight w:val="none"/>
        </w:rPr>
        <w:t xml:space="preserve">五、公告期限</w:t>
      </w:r>
      <w:bookmarkEnd w:id="22"/>
      <w:r/>
      <w:bookmarkEnd w:id="23"/>
      <w:r/>
      <w:bookmarkEnd w:id="24"/>
      <w:r/>
      <w:bookmarkEnd w:id="25"/>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144"/>
        <w:jc w:val="left"/>
        <w:spacing w:before="0" w:line="360" w:lineRule="auto"/>
        <w:rPr>
          <w:rFonts w:ascii="Times New Roman" w:hAnsi="Times New Roman" w:eastAsia="宋体"/>
          <w:color w:val="auto"/>
          <w:sz w:val="24"/>
          <w:szCs w:val="24"/>
          <w:highlight w:val="none"/>
        </w:rPr>
      </w:pPr>
      <w:r/>
      <w:bookmarkStart w:id="26" w:name="_Toc35393626"/>
      <w:r/>
      <w:bookmarkStart w:id="27" w:name="_Toc35393795"/>
      <w:r>
        <w:rPr>
          <w:rFonts w:ascii="Times New Roman" w:hAnsi="Times New Roman" w:eastAsia="宋体"/>
          <w:color w:val="auto"/>
          <w:sz w:val="24"/>
          <w:szCs w:val="24"/>
          <w:highlight w:val="none"/>
        </w:rPr>
        <w:t xml:space="preserve">六、其他补充事宜</w:t>
      </w:r>
      <w:bookmarkEnd w:id="26"/>
      <w:r/>
      <w:bookmarkEnd w:id="27"/>
      <w:r/>
      <w:r/>
    </w:p>
    <w:p>
      <w:pPr>
        <w:ind w:firstLine="480"/>
        <w:jc w:val="left"/>
        <w:spacing w:line="360" w:lineRule="auto"/>
        <w:rPr>
          <w:rFonts w:hint="eastAsia"/>
          <w:color w:val="auto"/>
          <w:sz w:val="24"/>
          <w:highlight w:val="none"/>
          <w:lang w:bidi="ar"/>
        </w:rPr>
      </w:pPr>
      <w:r>
        <w:rPr>
          <w:color w:val="auto"/>
          <w:sz w:val="24"/>
          <w:highlight w:val="none"/>
        </w:rPr>
        <w:t xml:space="preserve">1.本项目需要落实的政府采购政策：</w:t>
      </w:r>
      <w:r>
        <w:rPr>
          <w:rFonts w:hint="eastAsia"/>
          <w:color w:val="auto"/>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2.1办理CA认证证书</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2.2注册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2.3控件、客户端下载</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2.4 获取电子招标文件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2.5编制电子投标文件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.6</w:t>
      </w:r>
      <w:r>
        <w:rPr>
          <w:rFonts w:hint="eastAsia" w:ascii="宋体" w:hAnsi="宋体" w:eastAsia="宋体" w:cs="宋体"/>
          <w:b w:val="0"/>
          <w:bCs/>
          <w:color w:val="auto"/>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w:t>
      </w:r>
      <w:r>
        <w:rPr>
          <w:rFonts w:hint="eastAsia" w:ascii="宋体" w:hAnsi="宋体" w:eastAsia="宋体" w:cs="宋体"/>
          <w:b w:val="0"/>
          <w:bCs/>
          <w:color w:val="auto"/>
          <w:sz w:val="24"/>
          <w:highlight w:val="none"/>
          <w:lang w:val="zh-TW" w:eastAsia="zh-TW" w:bidi="ar"/>
        </w:rPr>
        <w:t xml:space="preserve">7</w:t>
      </w:r>
      <w:r>
        <w:rPr>
          <w:rFonts w:hint="eastAsia" w:ascii="宋体" w:hAnsi="宋体" w:eastAsia="宋体" w:cs="宋体"/>
          <w:b w:val="0"/>
          <w:bCs/>
          <w:color w:val="auto"/>
          <w:sz w:val="24"/>
          <w:highlight w:val="none"/>
          <w:lang w:val="zh-TW" w:bidi="ar"/>
        </w:rPr>
        <w:t xml:space="preserve">电子开标</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投标人使用</w:t>
      </w:r>
      <w:r>
        <w:rPr>
          <w:rFonts w:hint="eastAsia" w:ascii="宋体" w:hAnsi="宋体" w:eastAsia="宋体" w:cs="宋体"/>
          <w:b w:val="0"/>
          <w:bCs/>
          <w:color w:val="auto"/>
          <w:sz w:val="24"/>
          <w:highlight w:val="none"/>
          <w:lang w:bidi="ar"/>
        </w:rPr>
        <w:t xml:space="preserve">CA认证证书</w:t>
      </w:r>
      <w:r>
        <w:rPr>
          <w:rFonts w:hint="eastAsia" w:ascii="宋体" w:hAnsi="宋体" w:eastAsia="宋体" w:cs="宋体"/>
          <w:b w:val="0"/>
          <w:bCs/>
          <w:color w:val="auto"/>
          <w:sz w:val="24"/>
          <w:highlight w:val="none"/>
          <w:lang w:val="zh-TW" w:bidi="ar"/>
        </w:rPr>
        <w:t xml:space="preserve">登录</w:t>
      </w:r>
      <w:r>
        <w:rPr>
          <w:rFonts w:hint="eastAsia" w:ascii="宋体" w:hAnsi="宋体" w:eastAsia="宋体" w:cs="宋体"/>
          <w:b w:val="0"/>
          <w:bCs/>
          <w:color w:val="auto"/>
          <w:sz w:val="24"/>
          <w:highlight w:val="none"/>
          <w:lang w:bidi="ar"/>
        </w:rPr>
        <w:t xml:space="preserve">政府采购一体化平台“苏采云”进行电子化不见面开标</w:t>
      </w:r>
      <w:r>
        <w:rPr>
          <w:rFonts w:hint="eastAsia" w:ascii="宋体" w:hAnsi="宋体" w:eastAsia="宋体" w:cs="宋体"/>
          <w:b w:val="0"/>
          <w:bCs/>
          <w:color w:val="auto"/>
          <w:sz w:val="24"/>
          <w:highlight w:val="none"/>
          <w:lang w:val="zh-TW" w:bidi="ar"/>
        </w:rPr>
        <w:t xml:space="preserve">。</w:t>
      </w:r>
      <w:r/>
    </w:p>
    <w:p>
      <w:p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2.8注意事项</w:t>
      </w:r>
      <w:r/>
    </w:p>
    <w:p>
      <w:pPr>
        <w:ind w:firstLine="480"/>
        <w:jc w:val="left"/>
        <w:spacing w:line="36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zh-TW" w:bidi="ar"/>
        </w:rPr>
        <w:t xml:space="preserve">投标人在开标前应当</w:t>
      </w:r>
      <w:r>
        <w:rPr>
          <w:rFonts w:hint="eastAsia" w:ascii="宋体" w:hAnsi="宋体" w:eastAsia="宋体" w:cs="宋体"/>
          <w:b w:val="0"/>
          <w:bCs/>
          <w:color w:val="auto"/>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szCs w:val="24"/>
          <w:highlight w:val="none"/>
          <w:lang w:val="zh-TW" w:eastAsia="zh-CN" w:bidi="ar"/>
        </w:rPr>
        <w:t xml:space="preserve">3.</w:t>
      </w:r>
      <w:r>
        <w:rPr>
          <w:rFonts w:hint="eastAsia" w:ascii="宋体" w:hAnsi="宋体" w:eastAsia="宋体" w:cs="宋体"/>
          <w:b w:val="0"/>
          <w:bCs/>
          <w:color w:val="auto"/>
          <w:sz w:val="24"/>
          <w:highlight w:val="none"/>
          <w:lang w:val="zh-TW" w:bidi="ar"/>
        </w:rPr>
        <w:t xml:space="preserve">关于常州市中小企业政府采购信用融资：</w:t>
      </w:r>
      <w:r/>
    </w:p>
    <w:p>
      <w:pPr>
        <w:numPr>
          <w:ilvl w:val="0"/>
          <w:numId w:val="0"/>
        </w:numPr>
        <w:ind w:firstLine="480"/>
        <w:jc w:val="left"/>
        <w:spacing w:line="360" w:lineRule="auto"/>
        <w:rPr>
          <w:b w:val="0"/>
          <w:bCs/>
          <w:color w:val="auto"/>
          <w:sz w:val="24"/>
          <w:highlight w:val="none"/>
          <w:lang w:val="zh-TW" w:bidi="ar"/>
        </w:rPr>
      </w:pPr>
      <w:r>
        <w:rPr>
          <w:rFonts w:hint="eastAsia" w:ascii="宋体" w:hAnsi="宋体" w:eastAsia="宋体" w:cs="宋体"/>
          <w:b w:val="0"/>
          <w:bCs/>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color w:val="auto"/>
          <w:sz w:val="24"/>
          <w:highlight w:val="none"/>
          <w:lang w:val="zh-TW" w:bidi="ar"/>
        </w:rPr>
        <w:t xml:space="preserve">。</w:t>
      </w:r>
      <w:r/>
    </w:p>
    <w:p>
      <w:pPr>
        <w:pStyle w:val="1144"/>
        <w:jc w:val="left"/>
        <w:spacing w:before="0" w:line="360" w:lineRule="auto"/>
        <w:rPr>
          <w:rFonts w:hint="eastAsia" w:ascii="宋体" w:hAnsi="宋体" w:eastAsia="宋体" w:cs="宋体"/>
          <w:color w:val="auto"/>
          <w:sz w:val="24"/>
          <w:szCs w:val="24"/>
          <w:highlight w:val="none"/>
        </w:rPr>
      </w:pPr>
      <w:r/>
      <w:bookmarkStart w:id="28" w:name="_Toc35393796"/>
      <w:r/>
      <w:bookmarkStart w:id="29" w:name="_Toc28359008"/>
      <w:r/>
      <w:bookmarkStart w:id="30" w:name="_Toc28359085"/>
      <w:r/>
      <w:bookmarkStart w:id="31" w:name="_Toc35393627"/>
      <w:r>
        <w:rPr>
          <w:rFonts w:hint="eastAsia" w:ascii="宋体" w:hAnsi="宋体" w:eastAsia="宋体" w:cs="宋体"/>
          <w:color w:val="auto"/>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1.采购人信息</w:t>
      </w:r>
      <w:r/>
    </w:p>
    <w:p>
      <w:pPr>
        <w:ind w:left="1079" w:hanging="300"/>
        <w:jc w:val="left"/>
        <w:spacing w:line="360" w:lineRule="auto"/>
        <w:rPr>
          <w:rFonts w:hint="default" w:ascii="宋体" w:hAnsi="宋体" w:cs="宋体"/>
          <w:color w:val="auto"/>
          <w:sz w:val="24"/>
          <w:highlight w:val="none"/>
          <w:u w:val="single"/>
          <w:lang w:val="en-US" w:eastAsia="zh-CN"/>
        </w:rPr>
      </w:pPr>
      <w:r/>
      <w:bookmarkStart w:id="32" w:name="_Toc28359086"/>
      <w:r/>
      <w:bookmarkStart w:id="33" w:name="_Toc28359009"/>
      <w:r>
        <w:rPr>
          <w:rFonts w:hint="eastAsia" w:ascii="宋体" w:hAnsi="宋体" w:cs="宋体"/>
          <w:color w:val="auto"/>
          <w:sz w:val="24"/>
          <w:highlight w:val="none"/>
        </w:rPr>
        <w:t xml:space="preserve">名    称：</w:t>
      </w:r>
      <w:r>
        <w:rPr>
          <w:rFonts w:hint="eastAsia" w:ascii="宋体" w:hAnsi="宋体" w:cs="宋体"/>
          <w:color w:val="auto"/>
          <w:sz w:val="24"/>
          <w:highlight w:val="none"/>
          <w:u w:val="single"/>
          <w:lang w:val="en-US" w:eastAsia="zh-CN"/>
        </w:rPr>
        <w:t xml:space="preserve"> 溧阳市别桥镇人民政府 </w:t>
      </w:r>
      <w:r/>
    </w:p>
    <w:p>
      <w:pPr>
        <w:ind w:left="1079" w:hanging="30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lang w:val="en-US" w:eastAsia="zh-CN"/>
        </w:rPr>
        <w:t xml:space="preserve"> 江苏省常州市溧阳市别桥集镇 </w:t>
      </w:r>
      <w:r/>
    </w:p>
    <w:p>
      <w:pPr>
        <w:ind w:left="1079" w:hanging="300"/>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lang w:val="en-US" w:eastAsia="zh-CN"/>
        </w:rPr>
        <w:t xml:space="preserve"> 0519-87801020  </w:t>
      </w:r>
      <w:r/>
    </w:p>
    <w:p>
      <w:pPr>
        <w:ind w:left="1078" w:hanging="299"/>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color w:val="auto"/>
          <w:sz w:val="24"/>
          <w:highlight w:val="none"/>
        </w:rPr>
      </w:pPr>
      <w:r/>
      <w:bookmarkStart w:id="34" w:name="_Toc28359087"/>
      <w:r/>
      <w:bookmarkStart w:id="35" w:name="_Toc28359010"/>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江苏溧投招标服务有限公司</w:t>
      </w:r>
      <w:r/>
    </w:p>
    <w:p>
      <w:pPr>
        <w:ind w:left="1079" w:hanging="3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江苏省溧阳市溧城街道永定路108号嘉源广场2幢1单元5楼</w:t>
      </w:r>
      <w:r/>
    </w:p>
    <w:p>
      <w:pPr>
        <w:ind w:left="1076" w:hanging="297"/>
        <w:jc w:val="left"/>
        <w:spacing w:line="360" w:lineRule="auto"/>
        <w:rPr>
          <w:color w:val="auto"/>
          <w:sz w:val="24"/>
          <w:highlight w:val="none"/>
          <w:u w:val="singl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0519-87968552</w:t>
      </w:r>
      <w:r/>
    </w:p>
    <w:p>
      <w:pPr>
        <w:ind w:left="1078" w:hanging="299"/>
        <w:spacing w:line="360" w:lineRule="auto"/>
        <w:rPr>
          <w:b/>
          <w:color w:val="auto"/>
          <w:sz w:val="24"/>
          <w:highlight w:val="none"/>
          <w:u w:val="single"/>
        </w:rPr>
      </w:pPr>
      <w:r>
        <w:rPr>
          <w:b/>
          <w:color w:val="auto"/>
          <w:sz w:val="24"/>
          <w:highlight w:val="none"/>
        </w:rPr>
        <w:t xml:space="preserve">3.项目联系方式</w:t>
      </w:r>
      <w:r/>
    </w:p>
    <w:p>
      <w:pPr>
        <w:pStyle w:val="1182"/>
        <w:ind w:left="1076" w:hanging="297"/>
        <w:spacing w:line="360" w:lineRule="auto"/>
        <w:rPr>
          <w:rFonts w:hint="default" w:ascii="Times New Roman" w:hAnsi="Times New Roman"/>
          <w:color w:val="auto"/>
          <w:sz w:val="24"/>
          <w:highlight w:val="none"/>
          <w:u w:val="single"/>
          <w:lang w:val="en-US" w:bidi="ar"/>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u w:val="single"/>
          <w:lang w:val="en-US" w:eastAsia="zh-CN"/>
        </w:rPr>
        <w:t xml:space="preserve">缪工 </w:t>
      </w:r>
      <w:r>
        <w:rPr>
          <w:rFonts w:hint="eastAsia" w:ascii="Times New Roman" w:hAnsi="Times New Roman"/>
          <w:color w:val="auto"/>
          <w:sz w:val="24"/>
          <w:szCs w:val="24"/>
          <w:highlight w:val="none"/>
          <w:u w:val="single"/>
          <w:lang w:val="en-US" w:eastAsia="zh-CN"/>
        </w:rPr>
        <w:t xml:space="preserve"> </w:t>
      </w:r>
      <w:r/>
    </w:p>
    <w:p>
      <w:pPr>
        <w:pStyle w:val="1182"/>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u w:val="single"/>
        </w:rPr>
        <w:t xml:space="preserve">0519-87968552</w:t>
      </w:r>
      <w:bookmarkEnd w:id="34"/>
      <w:bookmarkEnd w:id="35"/>
      <w:r/>
    </w:p>
    <w:p>
      <w:pPr>
        <w:ind w:left="1076" w:hanging="297"/>
        <w:jc w:val="left"/>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rPr>
          <w:color w:val="auto"/>
          <w:sz w:val="24"/>
          <w:highlight w:val="none"/>
        </w:rPr>
        <w:br w:type="page" w:clear="all"/>
      </w:r>
      <w:bookmarkStart w:id="36" w:name="_Toc127161488"/>
      <w:r/>
      <w:bookmarkStart w:id="37" w:name="_Toc99301420"/>
      <w:r/>
      <w:bookmarkStart w:id="38" w:name="_Toc512937850"/>
      <w:r/>
      <w:bookmarkStart w:id="39" w:name="_Toc127151777"/>
      <w:r/>
      <w:bookmarkStart w:id="40" w:name="_Toc226965856"/>
      <w:r/>
      <w:bookmarkStart w:id="41" w:name="_Toc353825548"/>
      <w:r/>
      <w:bookmarkStart w:id="42" w:name="_Toc195842950"/>
      <w:r/>
      <w:bookmarkStart w:id="43" w:name="_Toc305158928"/>
      <w:r/>
      <w:bookmarkStart w:id="44" w:name="_Toc353873938"/>
      <w:r/>
      <w:bookmarkStart w:id="45" w:name="_Toc264969275"/>
      <w:r/>
      <w:bookmarkStart w:id="46" w:name="_Toc265228423"/>
      <w:r/>
      <w:bookmarkStart w:id="47" w:name="_Toc150774783"/>
      <w:r/>
      <w:bookmarkStart w:id="48" w:name="_Toc305158854"/>
      <w:r>
        <w:rPr>
          <w:rFonts w:ascii="Times New Roman" w:hAnsi="Times New Roman" w:eastAsia="宋体" w:cs="Times New Roman"/>
          <w:b/>
          <w:color w:val="auto"/>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144"/>
        <w:spacing w:before="0" w:line="360" w:lineRule="auto"/>
        <w:tabs>
          <w:tab w:val="center" w:pos="4592" w:leader="none"/>
          <w:tab w:val="left" w:pos="7860" w:leader="none"/>
        </w:tabs>
        <w:rPr>
          <w:rFonts w:ascii="Times New Roman" w:hAnsi="Times New Roman" w:eastAsia="宋体"/>
          <w:color w:val="auto"/>
          <w:sz w:val="28"/>
          <w:highlight w:val="none"/>
        </w:rPr>
      </w:pPr>
      <w:r/>
      <w:bookmarkStart w:id="49" w:name="_Toc150480757"/>
      <w:r/>
      <w:bookmarkStart w:id="50" w:name="_Toc127151720"/>
      <w:r/>
      <w:bookmarkStart w:id="51" w:name="_Toc149720812"/>
      <w:r/>
      <w:bookmarkStart w:id="52" w:name="_Toc164229360"/>
      <w:r/>
      <w:bookmarkStart w:id="53" w:name="_Toc164608788"/>
      <w:r/>
      <w:bookmarkStart w:id="54" w:name="_Toc150509270"/>
      <w:r/>
      <w:bookmarkStart w:id="55" w:name="_Toc150774724"/>
      <w:r/>
      <w:bookmarkStart w:id="56" w:name="_Toc226965709"/>
      <w:r/>
      <w:bookmarkStart w:id="57" w:name="_Toc151193907"/>
      <w:r/>
      <w:bookmarkStart w:id="58" w:name="_Toc127151519"/>
      <w:r/>
      <w:bookmarkStart w:id="59" w:name="_Toc226965792"/>
      <w:r/>
      <w:bookmarkStart w:id="60" w:name="_Toc150774619"/>
      <w:r/>
      <w:bookmarkStart w:id="61" w:name="_Toc164229214"/>
      <w:r/>
      <w:bookmarkStart w:id="62" w:name="_Toc195842884"/>
      <w:r/>
      <w:bookmarkStart w:id="63" w:name="_Toc151193617"/>
      <w:r/>
      <w:bookmarkStart w:id="64" w:name="_Toc151193833"/>
      <w:r/>
      <w:bookmarkStart w:id="65" w:name="_Toc520356144"/>
      <w:r/>
      <w:bookmarkStart w:id="66" w:name="_Toc226337215"/>
      <w:r/>
      <w:bookmarkStart w:id="67" w:name="_Toc142311021"/>
      <w:r/>
      <w:bookmarkStart w:id="68" w:name="_Toc151193689"/>
      <w:r/>
      <w:bookmarkStart w:id="69" w:name="_Toc151190146"/>
      <w:r/>
      <w:bookmarkStart w:id="70" w:name="_Toc151193761"/>
      <w:r/>
      <w:bookmarkStart w:id="71" w:name="_Toc127161433"/>
      <w:r/>
      <w:bookmarkStart w:id="72" w:name="_Toc164351613"/>
      <w:r/>
      <w:bookmarkStart w:id="73" w:name="_Toc226309763"/>
      <w:r/>
      <w:bookmarkStart w:id="74" w:name="_Toc164608633"/>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rFonts w:hint="eastAsia"/>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6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540"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cantSplit/>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540"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b/>
                <w:color w:val="auto"/>
                <w:sz w:val="24"/>
              </w:rPr>
              <w:t xml:space="preserve">■</w:t>
            </w:r>
            <w:r>
              <w:rPr>
                <w:color w:val="auto"/>
                <w:sz w:val="24"/>
                <w:highlight w:val="none"/>
              </w:rPr>
              <w:t xml:space="preserve">服务</w:t>
            </w:r>
            <w:r/>
          </w:p>
          <w:p>
            <w:pPr>
              <w:jc w:val="left"/>
              <w:rPr>
                <w:color w:val="auto"/>
                <w:sz w:val="24"/>
                <w:highlight w:val="none"/>
                <w:u w:val="single"/>
              </w:rPr>
            </w:pPr>
            <w:r>
              <w:rPr>
                <w:rFonts w:hint="eastAsia" w:ascii="宋体" w:hAnsi="宋体" w:eastAsia="宋体" w:cs="宋体"/>
                <w:color w:val="auto"/>
                <w:sz w:val="24"/>
                <w:highlight w:val="none"/>
                <w:lang w:eastAsia="zh-CN"/>
              </w:rPr>
              <w:t xml:space="preserve">□</w:t>
            </w:r>
            <w:r>
              <w:rPr>
                <w:color w:val="auto"/>
                <w:sz w:val="24"/>
                <w:highlight w:val="none"/>
              </w:rPr>
              <w:t xml:space="preserve">货物</w:t>
            </w:r>
            <w:r/>
          </w:p>
        </w:tc>
      </w:tr>
      <w:tr>
        <w:trPr>
          <w:cantSplit/>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540"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w:t>
            </w:r>
            <w:r/>
          </w:p>
          <w:p>
            <w:pPr>
              <w:jc w:val="left"/>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是</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否</w:t>
            </w:r>
            <w:r/>
          </w:p>
        </w:tc>
      </w:tr>
      <w:tr>
        <w:trPr>
          <w:cantSplit/>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7540" w:type="dxa"/>
            <w:vAlign w:val="center"/>
            <w:textDirection w:val="lrTb"/>
            <w:noWrap w:val="false"/>
          </w:tcPr>
          <w:p>
            <w:pPr>
              <w:pStyle w:val="1182"/>
              <w:rPr>
                <w:rFonts w:ascii="Times New Roman" w:hAnsi="Times New Roman"/>
                <w:color w:val="auto"/>
                <w:sz w:val="24"/>
                <w:szCs w:val="24"/>
                <w:highlight w:val="none"/>
              </w:rPr>
            </w:pPr>
            <w:r>
              <w:rPr>
                <w:rFonts w:hint="eastAsia" w:ascii="宋体" w:hAnsi="宋体" w:cs="宋体"/>
                <w:b/>
                <w:color w:val="auto"/>
                <w:sz w:val="24"/>
                <w:highlight w:val="none"/>
              </w:rPr>
              <w:t xml:space="preserve">■</w:t>
            </w:r>
            <w:r>
              <w:rPr>
                <w:rFonts w:ascii="Times New Roman" w:hAnsi="Times New Roman"/>
                <w:color w:val="auto"/>
                <w:sz w:val="24"/>
                <w:szCs w:val="24"/>
                <w:highlight w:val="none"/>
              </w:rPr>
              <w:t xml:space="preserve">关于核心产品本项目不适用。</w:t>
            </w:r>
            <w:r/>
          </w:p>
          <w:p>
            <w:pPr>
              <w:pStyle w:val="1182"/>
              <w:rPr>
                <w:rFonts w:ascii="Times New Roman" w:hAnsi="Times New Roman"/>
                <w:color w:val="auto"/>
                <w:sz w:val="24"/>
                <w:szCs w:val="24"/>
                <w:highlight w:val="none"/>
              </w:rPr>
            </w:pPr>
            <w:r>
              <w:rPr>
                <w:rFonts w:hint="eastAsia" w:ascii="宋体" w:hAnsi="宋体" w:eastAsia="宋体" w:cs="宋体"/>
                <w:color w:val="auto"/>
                <w:sz w:val="24"/>
                <w:highlight w:val="none"/>
                <w:lang w:eastAsia="zh-CN"/>
              </w:rPr>
              <w:t xml:space="preserve">□</w:t>
            </w:r>
            <w:r>
              <w:rPr>
                <w:rFonts w:ascii="Times New Roman" w:hAnsi="Times New Roman"/>
                <w:color w:val="auto"/>
                <w:sz w:val="24"/>
                <w:szCs w:val="24"/>
                <w:highlight w:val="none"/>
              </w:rPr>
              <w:t xml:space="preserve">本项目__包为单一产品采购项目。</w:t>
            </w:r>
            <w:r/>
          </w:p>
          <w:p>
            <w:pPr>
              <w:spacing w:line="240" w:lineRule="auto"/>
              <w:rPr>
                <w:color w:val="auto"/>
                <w:sz w:val="24"/>
                <w:highlight w:val="none"/>
              </w:rPr>
            </w:pPr>
            <w:r>
              <w:rPr>
                <w:rFonts w:hint="eastAsia" w:ascii="宋体" w:hAnsi="宋体" w:eastAsia="宋体" w:cs="宋体"/>
                <w:color w:val="auto"/>
                <w:sz w:val="24"/>
                <w:highlight w:val="none"/>
                <w:lang w:eastAsia="zh-CN"/>
              </w:rPr>
              <w:t xml:space="preserve">□</w:t>
            </w:r>
            <w:r>
              <w:rPr>
                <w:color w:val="auto"/>
                <w:sz w:val="24"/>
                <w:highlight w:val="none"/>
              </w:rPr>
              <w:t xml:space="preserve">本项目为非单一产品采购项目，核心产品为：</w:t>
            </w:r>
            <w:r>
              <w:rPr>
                <w:rFonts w:hint="eastAsia" w:ascii="宋体" w:hAnsi="宋体" w:eastAsia="宋体" w:cs="宋体"/>
                <w:b/>
                <w:bCs/>
                <w:color w:val="auto"/>
                <w:sz w:val="24"/>
                <w:szCs w:val="24"/>
                <w:highlight w:val="none"/>
                <w:u w:val="single"/>
                <w:lang w:val="en-US" w:eastAsia="zh-CN"/>
              </w:rPr>
              <w:t xml:space="preserve">  </w:t>
            </w:r>
            <w:r/>
          </w:p>
        </w:tc>
      </w:tr>
      <w:tr>
        <w:trPr>
          <w:cantSplit/>
          <w:jc w:val="center"/>
          <w:trHeight w:val="20"/>
        </w:trPr>
        <w:tc>
          <w:tcPr>
            <w:tcW w:w="988" w:type="dxa"/>
            <w:vAlign w:val="center"/>
            <w:vMerge w:val="restart"/>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540" w:type="dxa"/>
            <w:vAlign w:val="center"/>
            <w:textDirection w:val="lrTb"/>
            <w:noWrap w:val="false"/>
          </w:tcPr>
          <w:p>
            <w:pPr>
              <w:jc w:val="left"/>
              <w:rPr>
                <w:rFonts w:hint="eastAsia" w:eastAsia="宋体"/>
                <w:color w:val="auto"/>
                <w:sz w:val="24"/>
                <w:highlight w:val="none"/>
                <w:lang w:eastAsia="zh-CN"/>
              </w:rPr>
            </w:pPr>
            <w:r>
              <w:rPr>
                <w:rFonts w:hint="eastAsia" w:ascii="宋体" w:hAnsi="宋体" w:cs="宋体"/>
                <w:b/>
                <w:color w:val="auto"/>
                <w:sz w:val="24"/>
                <w:highlight w:val="none"/>
              </w:rPr>
              <w:t xml:space="preserve">■</w:t>
            </w:r>
            <w:r>
              <w:rPr>
                <w:color w:val="auto"/>
                <w:sz w:val="24"/>
                <w:highlight w:val="none"/>
              </w:rPr>
              <w:t xml:space="preserve">不组织</w:t>
            </w:r>
            <w:r>
              <w:rPr>
                <w:rFonts w:hint="eastAsia"/>
                <w:color w:val="auto"/>
                <w:sz w:val="24"/>
                <w:highlight w:val="none"/>
                <w:lang w:eastAsia="zh-CN"/>
              </w:rPr>
              <w:t xml:space="preserve">。</w:t>
            </w:r>
            <w:r/>
          </w:p>
          <w:p>
            <w:pPr>
              <w:jc w:val="left"/>
              <w:rPr>
                <w:bCs/>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rFonts w:hint="eastAsia"/>
                <w:bCs/>
                <w:color w:val="auto"/>
                <w:sz w:val="24"/>
                <w:highlight w:val="none"/>
              </w:rPr>
            </w:pPr>
            <w:r>
              <w:rPr>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7540" w:type="dxa"/>
            <w:vAlign w:val="center"/>
            <w:textDirection w:val="lrTb"/>
            <w:noWrap w:val="false"/>
          </w:tcPr>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不召开</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召开，召开时间：__年_月_日_</w:t>
            </w:r>
            <w:r>
              <w:rPr>
                <w:bCs/>
                <w:color w:val="auto"/>
                <w:sz w:val="24"/>
                <w:highlight w:val="none"/>
              </w:rPr>
              <w:t xml:space="preserve">点</w:t>
            </w:r>
            <w:r>
              <w:rPr>
                <w:color w:val="auto"/>
                <w:sz w:val="24"/>
                <w:highlight w:val="none"/>
              </w:rPr>
              <w:t xml:space="preserve">_</w:t>
            </w:r>
            <w:r>
              <w:rPr>
                <w:bCs/>
                <w:color w:val="auto"/>
                <w:sz w:val="24"/>
                <w:highlight w:val="none"/>
              </w:rPr>
              <w:t xml:space="preserve">分</w:t>
            </w:r>
            <w:r/>
          </w:p>
          <w:p>
            <w:pPr>
              <w:jc w:val="left"/>
              <w:rPr>
                <w:color w:val="auto"/>
                <w:sz w:val="24"/>
                <w:highlight w:val="none"/>
              </w:rPr>
            </w:pPr>
            <w:r>
              <w:rPr>
                <w:color w:val="auto"/>
                <w:sz w:val="24"/>
                <w:highlight w:val="none"/>
              </w:rPr>
              <w:t xml:space="preserve">召开地点：____________</w:t>
            </w:r>
            <w:r>
              <w:rPr>
                <w:rFonts w:hint="eastAsia"/>
                <w:color w:val="auto"/>
                <w:sz w:val="24"/>
                <w:highlight w:val="none"/>
              </w:rPr>
              <w:t xml:space="preserve">。</w:t>
            </w:r>
            <w:r/>
          </w:p>
        </w:tc>
      </w:tr>
      <w:tr>
        <w:trPr>
          <w:cantSplit/>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样品</w:t>
            </w:r>
            <w:r/>
          </w:p>
        </w:tc>
        <w:tc>
          <w:tcPr>
            <w:tcW w:w="7540"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投标样品递交：</w:t>
            </w:r>
            <w:r/>
          </w:p>
          <w:p>
            <w:pPr>
              <w:jc w:val="left"/>
              <w:rPr>
                <w:rFonts w:hint="eastAsia" w:ascii="宋体" w:hAnsi="宋体" w:eastAsia="宋体" w:cs="宋体"/>
                <w:color w:val="auto"/>
                <w:sz w:val="24"/>
                <w:highlight w:val="none"/>
              </w:rPr>
            </w:pPr>
            <w:r>
              <w:rPr>
                <w:rFonts w:hint="eastAsia" w:ascii="宋体" w:hAnsi="宋体" w:cs="宋体"/>
                <w:b/>
                <w:color w:val="auto"/>
                <w:sz w:val="24"/>
                <w:highlight w:val="none"/>
              </w:rPr>
              <w:t xml:space="preserve">■</w:t>
            </w:r>
            <w:r>
              <w:rPr>
                <w:rFonts w:hint="eastAsia" w:ascii="宋体" w:hAnsi="宋体" w:eastAsia="宋体" w:cs="宋体"/>
                <w:color w:val="auto"/>
                <w:sz w:val="24"/>
                <w:highlight w:val="none"/>
              </w:rPr>
              <w:t xml:space="preserve">不需要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□需要，具体要求如下：</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（1）样品制作的标准和要求：_________；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（2）是否需要随样品提交相关检测报告：</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□不需要</w:t>
            </w:r>
            <w:r/>
          </w:p>
          <w:p>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（3）样品递交要求：_________；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（4）未中标人样品退还：_________；</w:t>
            </w:r>
            <w:r/>
          </w:p>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（5）中标人样品保管、封存及退还：_________；</w:t>
            </w:r>
            <w:r/>
          </w:p>
          <w:p>
            <w:pPr>
              <w:jc w:val="left"/>
              <w:rPr>
                <w:color w:val="auto"/>
                <w:sz w:val="24"/>
                <w:highlight w:val="none"/>
              </w:rPr>
            </w:pPr>
            <w:r>
              <w:rPr>
                <w:rFonts w:hint="eastAsia" w:ascii="宋体" w:hAnsi="宋体" w:eastAsia="宋体" w:cs="宋体"/>
                <w:color w:val="auto"/>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rPr>
                <w:rFonts w:hint="default" w:eastAsia="宋体"/>
                <w:color w:val="auto"/>
                <w:sz w:val="24"/>
                <w:highlight w:val="none"/>
                <w:lang w:val="en-US" w:eastAsia="zh-CN"/>
              </w:rPr>
            </w:pPr>
            <w:r>
              <w:rPr>
                <w:color w:val="auto"/>
                <w:sz w:val="24"/>
                <w:highlight w:val="none"/>
              </w:rPr>
              <w:t xml:space="preserve">本项目采购标的对应的中小企业划分标准所属行业：</w:t>
            </w:r>
            <w:r>
              <w:rPr>
                <w:rFonts w:hint="eastAsia"/>
                <w:color w:val="auto"/>
                <w:sz w:val="24"/>
                <w:highlight w:val="none"/>
                <w:u w:val="single"/>
                <w:lang w:val="en-US" w:eastAsia="zh-CN"/>
              </w:rPr>
              <w:t xml:space="preserve"> 其他未列明行业  </w:t>
            </w:r>
            <w:r/>
          </w:p>
        </w:tc>
      </w:tr>
    </w:tbl>
    <w:p>
      <w:pPr>
        <w:rPr>
          <w:color w:val="auto"/>
          <w:highlight w:val="none"/>
        </w:rPr>
      </w:pPr>
      <w:r>
        <w:rPr>
          <w:color w:val="auto"/>
          <w:highlight w:val="none"/>
        </w:rPr>
        <w:br w:type="page" w:clear="all"/>
      </w:r>
      <w:r/>
    </w:p>
    <w:tbl>
      <w:tblPr>
        <w:tblStyle w:val="96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7540" w:type="dxa"/>
            <w:vAlign w:val="center"/>
            <w:textDirection w:val="lrTb"/>
            <w:noWrap w:val="false"/>
          </w:tcPr>
          <w:p>
            <w:pPr>
              <w:jc w:val="left"/>
              <w:spacing w:line="240" w:lineRule="auto"/>
              <w:rPr>
                <w:color w:val="auto"/>
                <w:sz w:val="24"/>
                <w:highlight w:val="none"/>
              </w:rPr>
            </w:pPr>
            <w:r>
              <w:rPr>
                <w:rFonts w:hint="eastAsia"/>
                <w:color w:val="auto"/>
                <w:sz w:val="24"/>
                <w:highlight w:val="none"/>
              </w:rPr>
              <w:t xml:space="preserve">投标报价的特殊规定：</w:t>
            </w:r>
            <w:r/>
          </w:p>
          <w:p>
            <w:pPr>
              <w:jc w:val="left"/>
              <w:spacing w:line="240" w:lineRule="auto"/>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无</w:t>
            </w:r>
            <w:r/>
          </w:p>
          <w:p>
            <w:pPr>
              <w:jc w:val="left"/>
              <w:spacing w:line="240" w:lineRule="auto"/>
              <w:rPr>
                <w:color w:val="auto"/>
                <w:highlight w:val="none"/>
              </w:rPr>
            </w:pPr>
            <w:r>
              <w:rPr>
                <w:rFonts w:hint="eastAsia" w:ascii="宋体" w:hAnsi="宋体" w:eastAsia="宋体" w:cs="宋体"/>
                <w:color w:val="auto"/>
                <w:sz w:val="24"/>
                <w:highlight w:val="none"/>
              </w:rPr>
              <w:t xml:space="preserve">□</w:t>
            </w:r>
            <w:r>
              <w:rPr>
                <w:color w:val="auto"/>
                <w:sz w:val="24"/>
                <w:highlight w:val="none"/>
              </w:rPr>
              <w:t xml:space="preserve">有，具体情形：_____。</w:t>
            </w:r>
            <w:r/>
          </w:p>
        </w:tc>
      </w:tr>
      <w:tr>
        <w:trPr>
          <w:jc w:val="center"/>
          <w:trHeight w:val="20"/>
        </w:trPr>
        <w:tc>
          <w:tcPr>
            <w:tcW w:w="988" w:type="dxa"/>
            <w:vAlign w:val="center"/>
            <w:textDirection w:val="lrTb"/>
            <w:noWrap w:val="false"/>
          </w:tcPr>
          <w:p>
            <w:pPr>
              <w:pStyle w:val="1182"/>
              <w:jc w:val="center"/>
              <w:rPr>
                <w:rFonts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540"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color w:val="auto"/>
                <w:sz w:val="24"/>
                <w:highlight w:val="none"/>
                <w:u w:val="singl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540"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color w:val="auto"/>
                <w:sz w:val="24"/>
                <w:highlight w:val="none"/>
              </w:rPr>
            </w:pPr>
            <w:r>
              <w:rPr>
                <w:rFonts w:hint="eastAsia" w:ascii="宋体" w:hAnsi="宋体" w:cs="宋体"/>
                <w:b/>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ascii="宋体" w:hAnsi="宋体" w:eastAsia="宋体" w:cs="宋体"/>
                <w:color w:val="auto"/>
                <w:sz w:val="24"/>
                <w:highlight w:val="none"/>
              </w:rPr>
              <w:t xml:space="preserve">□</w:t>
            </w:r>
            <w:r>
              <w:rPr>
                <w:color w:val="auto"/>
                <w:sz w:val="24"/>
                <w:highlight w:val="none"/>
              </w:rPr>
              <w:t xml:space="preserve">允许，具体要求：</w:t>
            </w:r>
            <w:r/>
          </w:p>
          <w:p>
            <w:pPr>
              <w:jc w:val="left"/>
              <w:rPr>
                <w:color w:val="auto"/>
                <w:sz w:val="24"/>
                <w:highlight w:val="none"/>
              </w:rPr>
            </w:pPr>
            <w:r>
              <w:rPr>
                <w:color w:val="auto"/>
                <w:sz w:val="24"/>
                <w:highlight w:val="none"/>
              </w:rPr>
              <w:t xml:space="preserve">（1）可以分包履行的具体内容：_____；</w:t>
            </w:r>
            <w:r/>
          </w:p>
          <w:p>
            <w:pPr>
              <w:jc w:val="left"/>
              <w:rPr>
                <w:color w:val="auto"/>
                <w:sz w:val="24"/>
                <w:highlight w:val="none"/>
              </w:rPr>
            </w:pPr>
            <w:r>
              <w:rPr>
                <w:color w:val="auto"/>
                <w:sz w:val="24"/>
                <w:highlight w:val="none"/>
              </w:rPr>
              <w:t xml:space="preserve">（2）允许分包的金额或者比例：_____；</w:t>
            </w:r>
            <w:r/>
          </w:p>
          <w:p>
            <w:pPr>
              <w:jc w:val="left"/>
              <w:rPr>
                <w:color w:val="auto"/>
                <w:sz w:val="24"/>
                <w:highlight w:val="none"/>
                <w:u w:val="single"/>
              </w:rPr>
            </w:pPr>
            <w:r>
              <w:rPr>
                <w:color w:val="auto"/>
                <w:sz w:val="24"/>
                <w:highlight w:val="none"/>
              </w:rPr>
              <w:t xml:space="preserve">（3）其他要求：_____。</w:t>
            </w:r>
            <w:r/>
          </w:p>
        </w:tc>
      </w:tr>
      <w:tr>
        <w:trPr>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540" w:type="dxa"/>
            <w:vAlign w:val="center"/>
            <w:textDirection w:val="lrTb"/>
            <w:noWrap w:val="false"/>
          </w:tcPr>
          <w:p>
            <w:pPr>
              <w:jc w:val="left"/>
              <w:rPr>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江苏溧投招标服务有限公司综合办</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0519-87968552</w:t>
            </w:r>
            <w:r>
              <w:rPr>
                <w:rFonts w:hint="eastAsia" w:ascii="宋体" w:hAnsi="宋体" w:cs="宋体"/>
                <w:color w:val="auto"/>
                <w:sz w:val="24"/>
                <w:highlight w:val="none"/>
              </w:rPr>
              <w:t xml:space="preserve">；</w:t>
            </w:r>
            <w:r/>
          </w:p>
          <w:p>
            <w:pPr>
              <w:jc w:val="left"/>
              <w:rPr>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江苏省溧阳市溧城街道南环西路（永定路）108号嘉源广场2幢1单元5楼</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1182"/>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27</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540"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收费对象：</w:t>
            </w:r>
            <w:r/>
          </w:p>
          <w:p>
            <w:pPr>
              <w:jc w:val="left"/>
              <w:rPr>
                <w:rFonts w:hint="eastAsia"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采购人</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中标人</w:t>
            </w:r>
            <w:r/>
          </w:p>
          <w:p>
            <w:pPr>
              <w:jc w:val="left"/>
              <w:rPr>
                <w:rFonts w:hint="eastAsia" w:eastAsia="宋体"/>
                <w:color w:val="auto"/>
                <w:sz w:val="24"/>
                <w:u w:val="single"/>
                <w:lang w:eastAsia="zh-CN"/>
              </w:rPr>
            </w:pPr>
            <w:r>
              <w:rPr>
                <w:rFonts w:hint="eastAsia" w:ascii="宋体" w:hAnsi="宋体" w:cs="宋体"/>
                <w:color w:val="auto"/>
                <w:sz w:val="24"/>
                <w:highlight w:val="none"/>
              </w:rPr>
              <w:t xml:space="preserve">收费标准：</w:t>
            </w:r>
            <w:r>
              <w:rPr>
                <w:rFonts w:hint="eastAsia"/>
                <w:color w:val="auto"/>
                <w:sz w:val="24"/>
                <w:u w:val="single"/>
                <w:lang w:eastAsia="zh-CN"/>
              </w:rPr>
              <w:t xml:space="preserve">按照《别桥镇委托中介机构招标代理服务计费标准》（</w:t>
            </w:r>
            <w:r>
              <w:rPr>
                <w:rFonts w:hint="eastAsia"/>
                <w:color w:val="auto"/>
                <w:sz w:val="24"/>
                <w:u w:val="single"/>
                <w:lang w:val="en-US" w:eastAsia="zh-CN"/>
              </w:rPr>
              <w:t xml:space="preserve">2024年）</w:t>
            </w:r>
            <w:r>
              <w:rPr>
                <w:rFonts w:hint="eastAsia"/>
                <w:color w:val="auto"/>
                <w:sz w:val="24"/>
                <w:u w:val="single"/>
                <w:lang w:eastAsia="zh-CN"/>
              </w:rPr>
              <w:t xml:space="preserve">计取执行；</w:t>
            </w:r>
            <w:r/>
          </w:p>
          <w:p>
            <w:pPr>
              <w:jc w:val="left"/>
              <w:rPr>
                <w:color w:val="auto"/>
                <w:sz w:val="24"/>
                <w:highlight w:val="none"/>
              </w:rPr>
            </w:pPr>
            <w:r>
              <w:rPr>
                <w:rFonts w:hint="eastAsia" w:ascii="宋体" w:hAnsi="宋体" w:cs="宋体"/>
                <w:color w:val="auto"/>
                <w:sz w:val="24"/>
                <w:highlight w:val="none"/>
              </w:rPr>
              <w:t xml:space="preserve">缴纳时间：</w:t>
            </w:r>
            <w:r>
              <w:rPr>
                <w:rFonts w:hint="eastAsia" w:ascii="宋体" w:hAnsi="宋体" w:cs="宋体"/>
                <w:color w:val="auto"/>
                <w:sz w:val="24"/>
                <w:highlight w:val="none"/>
                <w:u w:val="single"/>
              </w:rPr>
              <w:t xml:space="preserve">领取中标通知书前</w:t>
            </w:r>
            <w:r>
              <w:rPr>
                <w:rFonts w:hint="eastAsia" w:ascii="宋体" w:hAnsi="宋体" w:cs="宋体"/>
                <w:color w:val="auto"/>
                <w:sz w:val="24"/>
                <w:highlight w:val="none"/>
              </w:rPr>
              <w:t xml:space="preserve">。</w:t>
            </w:r>
            <w:r/>
          </w:p>
        </w:tc>
      </w:tr>
    </w:tbl>
    <w:p>
      <w:pPr>
        <w:jc w:val="both"/>
        <w:spacing w:line="360" w:lineRule="auto"/>
        <w:tabs>
          <w:tab w:val="left" w:pos="5580" w:leader="none"/>
        </w:tabs>
        <w:rPr>
          <w:color w:val="auto"/>
          <w:sz w:val="24"/>
          <w:highlight w:val="none"/>
        </w:rPr>
        <w:sectPr>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auto"/>
          <w:sz w:val="24"/>
          <w:highlight w:val="none"/>
        </w:rPr>
      </w:r>
      <w:r/>
    </w:p>
    <w:p>
      <w:pPr>
        <w:jc w:val="center"/>
        <w:spacing w:before="240" w:after="240"/>
        <w:rPr>
          <w:b/>
          <w:color w:val="auto"/>
          <w:sz w:val="28"/>
          <w:szCs w:val="28"/>
          <w:highlight w:val="none"/>
        </w:rPr>
      </w:pPr>
      <w:r/>
      <w:bookmarkStart w:id="75" w:name="_Toc142311019"/>
      <w:r/>
      <w:bookmarkStart w:id="76" w:name="_Toc127151517"/>
      <w:r/>
      <w:bookmarkStart w:id="77" w:name="_Toc264969207"/>
      <w:r/>
      <w:bookmarkStart w:id="78" w:name="_Toc195842882"/>
      <w:r/>
      <w:bookmarkStart w:id="79" w:name="_Toc353873662"/>
      <w:r/>
      <w:bookmarkStart w:id="80" w:name="_Toc226337213"/>
      <w:r/>
      <w:bookmarkStart w:id="81" w:name="_Toc305158859"/>
      <w:r/>
      <w:bookmarkStart w:id="82" w:name="_Toc150480755"/>
      <w:r/>
      <w:bookmarkStart w:id="83" w:name="_Toc226965790"/>
      <w:r/>
      <w:bookmarkStart w:id="84" w:name="_Toc305158785"/>
      <w:r/>
      <w:bookmarkStart w:id="85" w:name="_Toc353873932"/>
      <w:r/>
      <w:bookmarkStart w:id="86" w:name="_Toc353825542"/>
      <w:r/>
      <w:bookmarkStart w:id="87" w:name="_Toc265228355"/>
      <w:r/>
      <w:bookmarkStart w:id="88" w:name="_Toc150774722"/>
      <w:r>
        <w:rPr>
          <w:b/>
          <w:color w:val="auto"/>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144"/>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89" w:name="_Toc520356143"/>
      <w:r/>
      <w:bookmarkStart w:id="90" w:name="_Toc127151518"/>
      <w:r>
        <w:rPr>
          <w:rFonts w:ascii="Times New Roman" w:hAnsi="Times New Roman" w:eastAsia="宋体"/>
          <w:color w:val="auto"/>
          <w:sz w:val="28"/>
          <w:highlight w:val="none"/>
        </w:rPr>
        <w:tab/>
      </w:r>
      <w:bookmarkStart w:id="91" w:name="_Toc226337214"/>
      <w:r/>
      <w:bookmarkStart w:id="92" w:name="_Toc150774723"/>
      <w:r/>
      <w:bookmarkStart w:id="93" w:name="_Toc151193760"/>
      <w:r/>
      <w:bookmarkStart w:id="94" w:name="_Toc151193906"/>
      <w:r/>
      <w:bookmarkStart w:id="95" w:name="_Toc142311020"/>
      <w:r/>
      <w:bookmarkStart w:id="96" w:name="_Toc305158786"/>
      <w:r/>
      <w:bookmarkStart w:id="97" w:name="_Toc264969208"/>
      <w:r/>
      <w:bookmarkStart w:id="98" w:name="_Toc226965708"/>
      <w:r/>
      <w:bookmarkStart w:id="99" w:name="_Toc265228356"/>
      <w:r/>
      <w:bookmarkStart w:id="100" w:name="_Toc150774618"/>
      <w:r/>
      <w:bookmarkStart w:id="101" w:name="_Toc195842883"/>
      <w:r/>
      <w:bookmarkStart w:id="102" w:name="_Toc150509269"/>
      <w:r/>
      <w:bookmarkStart w:id="103" w:name="_Toc150480756"/>
      <w:r/>
      <w:bookmarkStart w:id="104" w:name="_Toc151193832"/>
      <w:r/>
      <w:bookmarkStart w:id="105" w:name="_Toc151193688"/>
      <w:r/>
      <w:bookmarkStart w:id="106" w:name="_Toc226965791"/>
      <w:r/>
      <w:bookmarkStart w:id="107" w:name="_Toc151193616"/>
      <w:r/>
      <w:bookmarkStart w:id="108" w:name="_Toc305158860"/>
      <w:r/>
      <w:bookmarkStart w:id="109" w:name="_Toc226309762"/>
      <w:r/>
      <w:bookmarkStart w:id="110" w:name="_Toc151190145"/>
      <w:r>
        <w:rPr>
          <w:rFonts w:ascii="Times New Roman" w:hAnsi="Times New Roman" w:eastAsia="宋体"/>
          <w:color w:val="auto"/>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111" w:name="_Toc305158787"/>
      <w:r/>
      <w:bookmarkStart w:id="112" w:name="_Toc305158861"/>
      <w:r/>
      <w:bookmarkStart w:id="113" w:name="_Toc264969209"/>
      <w:r/>
      <w:bookmarkStart w:id="114" w:name="_Toc265228357"/>
      <w:r>
        <w:rPr>
          <w:color w:val="auto"/>
          <w:sz w:val="24"/>
          <w:highlight w:val="none"/>
        </w:rPr>
        <w:t xml:space="preserve">采购人、采购代理机构、投标人</w:t>
      </w:r>
      <w:bookmarkEnd w:id="111"/>
      <w:r/>
      <w:bookmarkEnd w:id="112"/>
      <w:r/>
      <w:bookmarkEnd w:id="113"/>
      <w:r/>
      <w:bookmarkEnd w:id="114"/>
      <w:r>
        <w:rPr>
          <w:rFonts w:hint="eastAsia"/>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115" w:name="_Toc151190147"/>
      <w:r/>
      <w:bookmarkStart w:id="116" w:name="_Toc127161434"/>
      <w:r/>
      <w:bookmarkStart w:id="117" w:name="_Toc150774725"/>
      <w:r/>
      <w:bookmarkStart w:id="118" w:name="_Toc226965793"/>
      <w:r/>
      <w:bookmarkStart w:id="119" w:name="_Toc151193834"/>
      <w:r/>
      <w:bookmarkStart w:id="120" w:name="_Toc195842885"/>
      <w:r/>
      <w:bookmarkStart w:id="121" w:name="_Toc164351614"/>
      <w:r/>
      <w:bookmarkStart w:id="122" w:name="_Toc164608634"/>
      <w:r/>
      <w:bookmarkStart w:id="123" w:name="_Toc226337216"/>
      <w:r/>
      <w:bookmarkStart w:id="124" w:name="_Toc164229215"/>
      <w:r/>
      <w:bookmarkStart w:id="125" w:name="_Toc149720813"/>
      <w:r/>
      <w:bookmarkStart w:id="126" w:name="_Toc150480758"/>
      <w:r/>
      <w:bookmarkStart w:id="127" w:name="_Toc226309764"/>
      <w:r/>
      <w:bookmarkStart w:id="128" w:name="_Toc142311022"/>
      <w:r/>
      <w:bookmarkStart w:id="129" w:name="_Toc265228358"/>
      <w:r/>
      <w:bookmarkStart w:id="130" w:name="_Toc305158788"/>
      <w:r/>
      <w:bookmarkStart w:id="131" w:name="_Toc305158862"/>
      <w:r/>
      <w:bookmarkStart w:id="132" w:name="_Toc264969210"/>
      <w:r/>
      <w:bookmarkStart w:id="133" w:name="_Toc151193690"/>
      <w:r/>
      <w:bookmarkStart w:id="134" w:name="_Toc164229361"/>
      <w:r/>
      <w:bookmarkStart w:id="135" w:name="_Toc150774620"/>
      <w:r/>
      <w:bookmarkStart w:id="136" w:name="_Toc151193762"/>
      <w:r/>
      <w:bookmarkStart w:id="137" w:name="_Toc226965710"/>
      <w:r/>
      <w:bookmarkStart w:id="138" w:name="_Toc127151721"/>
      <w:r/>
      <w:bookmarkStart w:id="139" w:name="_Toc127151520"/>
      <w:r/>
      <w:bookmarkStart w:id="140" w:name="_Toc164608789"/>
      <w:r/>
      <w:bookmarkStart w:id="141" w:name="_Toc151193908"/>
      <w:r/>
      <w:bookmarkStart w:id="142" w:name="_Toc151193618"/>
      <w:r/>
      <w:bookmarkStart w:id="143" w:name="_Toc150509271"/>
      <w:r>
        <w:rPr>
          <w:color w:val="auto"/>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44" w:name="_Toc226309766"/>
      <w:r/>
      <w:bookmarkStart w:id="145" w:name="_Toc305158790"/>
      <w:r/>
      <w:bookmarkStart w:id="146" w:name="_Toc151193764"/>
      <w:r/>
      <w:bookmarkStart w:id="147" w:name="_Toc226965712"/>
      <w:r/>
      <w:bookmarkStart w:id="148" w:name="_Toc150509273"/>
      <w:r/>
      <w:bookmarkStart w:id="149" w:name="_Toc226965795"/>
      <w:r/>
      <w:bookmarkStart w:id="150" w:name="_Toc520356146"/>
      <w:r/>
      <w:bookmarkStart w:id="151" w:name="_Toc151193692"/>
      <w:r/>
      <w:bookmarkStart w:id="152" w:name="_Toc265228360"/>
      <w:r/>
      <w:bookmarkStart w:id="153" w:name="_Toc151190149"/>
      <w:r/>
      <w:bookmarkStart w:id="154" w:name="_Toc151193620"/>
      <w:r/>
      <w:bookmarkStart w:id="155" w:name="_Toc142311024"/>
      <w:r/>
      <w:bookmarkStart w:id="156" w:name="_Toc305158864"/>
      <w:r/>
      <w:bookmarkStart w:id="157" w:name="_Toc151193836"/>
      <w:r/>
      <w:bookmarkStart w:id="158" w:name="_Toc264969212"/>
      <w:r/>
      <w:bookmarkStart w:id="159" w:name="_Toc150480760"/>
      <w:r/>
      <w:bookmarkStart w:id="160" w:name="_Toc151193910"/>
      <w:r/>
      <w:bookmarkStart w:id="161" w:name="_Toc150774727"/>
      <w:r/>
      <w:bookmarkStart w:id="162" w:name="_Toc226337218"/>
      <w:r/>
      <w:bookmarkStart w:id="163" w:name="_Toc195842887"/>
      <w:r/>
      <w:bookmarkStart w:id="164" w:name="_Toc150774622"/>
      <w:r/>
      <w:bookmarkStart w:id="165" w:name="_Toc127151522"/>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8"/>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color w:val="auto"/>
          <w:sz w:val="24"/>
          <w:highlight w:val="none"/>
        </w:rPr>
      </w:pPr>
      <w:r>
        <w:rPr>
          <w:color w:val="auto"/>
          <w:sz w:val="24"/>
          <w:highlight w:val="none"/>
        </w:rPr>
        <w:t xml:space="preserve">中小企业定义：</w:t>
      </w:r>
      <w:r/>
    </w:p>
    <w:p>
      <w:pPr>
        <w:pStyle w:val="124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0"/>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1"/>
          <w:numId w:val="9"/>
        </w:numPr>
        <w:spacing w:line="360" w:lineRule="auto"/>
        <w:tabs>
          <w:tab w:val="left" w:pos="1980" w:leader="none"/>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highlight w:val="none"/>
        </w:rPr>
        <w:t xml:space="preserve">》《</w:t>
      </w:r>
      <w:r>
        <w:rPr>
          <w:color w:val="auto"/>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pStyle w:val="124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pStyle w:val="1241"/>
        <w:numPr>
          <w:ilvl w:val="2"/>
          <w:numId w:val="9"/>
        </w:numPr>
        <w:spacing w:line="360" w:lineRule="auto"/>
        <w:tabs>
          <w:tab w:val="left" w:pos="2035" w:leader="none"/>
          <w:tab w:val="left" w:pos="2977" w:leader="none"/>
        </w:tabs>
        <w:rPr>
          <w:rFonts w:ascii="Times New Roman" w:hAnsi="Times New Roman"/>
          <w:vanish/>
          <w:color w:val="auto"/>
          <w:sz w:val="24"/>
          <w:szCs w:val="24"/>
          <w:highlight w:val="none"/>
        </w:rPr>
      </w:pPr>
      <w:r>
        <w:rPr>
          <w:rFonts w:ascii="Times New Roman" w:hAnsi="Times New Roman"/>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8"/>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8"/>
        </w:numPr>
        <w:spacing w:line="360" w:lineRule="auto"/>
        <w:rPr>
          <w:rFonts w:hint="eastAsia"/>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auto"/>
          <w:sz w:val="24"/>
          <w:highlight w:val="none"/>
          <w:lang w:eastAsia="zh-CN"/>
        </w:rPr>
        <w:t xml:space="preserve">中标供应商</w:t>
      </w:r>
      <w:r>
        <w:rPr>
          <w:rFonts w:hint="eastAsia"/>
          <w:color w:val="auto"/>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8"/>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8"/>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8"/>
        </w:numPr>
        <w:spacing w:line="360" w:lineRule="auto"/>
        <w:tabs>
          <w:tab w:val="left" w:pos="2014" w:leader="none"/>
        </w:tabs>
        <w:rPr>
          <w:rFonts w:hint="eastAsia"/>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政府采购创新产品政策</w:t>
      </w:r>
      <w:r/>
    </w:p>
    <w:p>
      <w:pPr>
        <w:numPr>
          <w:ilvl w:val="2"/>
          <w:numId w:val="8"/>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6" w:name="_1.8_计量单位"/>
      <w:r/>
      <w:bookmarkEnd w:id="166"/>
      <w:r/>
      <w:r/>
    </w:p>
    <w:p>
      <w:pPr>
        <w:pStyle w:val="114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color w:val="auto"/>
          <w:sz w:val="24"/>
          <w:highlight w:val="none"/>
        </w:rPr>
        <w:outlineLvl w:val="1"/>
      </w:pPr>
      <w:r/>
      <w:bookmarkStart w:id="167" w:name="_Toc151193693"/>
      <w:r/>
      <w:bookmarkStart w:id="168" w:name="_Toc305158791"/>
      <w:r/>
      <w:bookmarkStart w:id="169" w:name="_Toc127161437"/>
      <w:r/>
      <w:bookmarkStart w:id="170" w:name="_Toc150480761"/>
      <w:r/>
      <w:bookmarkStart w:id="171" w:name="_Toc151193621"/>
      <w:r/>
      <w:bookmarkStart w:id="172" w:name="_Toc305158865"/>
      <w:r/>
      <w:bookmarkStart w:id="173" w:name="_Toc150774728"/>
      <w:r/>
      <w:bookmarkStart w:id="174" w:name="_Toc150509274"/>
      <w:r/>
      <w:bookmarkStart w:id="175" w:name="_Toc226309767"/>
      <w:r/>
      <w:bookmarkStart w:id="176" w:name="_Toc226337219"/>
      <w:r/>
      <w:bookmarkStart w:id="177" w:name="_Toc164351617"/>
      <w:r/>
      <w:bookmarkStart w:id="178" w:name="_Toc151193837"/>
      <w:r/>
      <w:bookmarkStart w:id="179" w:name="_Toc142311025"/>
      <w:r/>
      <w:bookmarkStart w:id="180" w:name="_Toc265228361"/>
      <w:r/>
      <w:bookmarkStart w:id="181" w:name="_Toc164608792"/>
      <w:r/>
      <w:bookmarkStart w:id="182" w:name="_Toc520356147"/>
      <w:r/>
      <w:bookmarkStart w:id="183" w:name="_Toc127151523"/>
      <w:r/>
      <w:bookmarkStart w:id="184" w:name="_Toc164608637"/>
      <w:r/>
      <w:bookmarkStart w:id="185" w:name="_Toc150774623"/>
      <w:r/>
      <w:bookmarkStart w:id="186" w:name="_Toc151193911"/>
      <w:r/>
      <w:bookmarkStart w:id="187" w:name="_Toc226965713"/>
      <w:r/>
      <w:bookmarkStart w:id="188" w:name="_Toc164229218"/>
      <w:r/>
      <w:bookmarkStart w:id="189" w:name="_Toc127151724"/>
      <w:r/>
      <w:bookmarkStart w:id="190" w:name="_Toc195842888"/>
      <w:r/>
      <w:bookmarkStart w:id="191" w:name="_Toc164229364"/>
      <w:r/>
      <w:bookmarkStart w:id="192" w:name="_Toc264969213"/>
      <w:r/>
      <w:bookmarkStart w:id="193" w:name="_Toc151190150"/>
      <w:r/>
      <w:bookmarkStart w:id="194" w:name="_Toc149720816"/>
      <w:r/>
      <w:bookmarkStart w:id="195" w:name="_Toc151193765"/>
      <w:r/>
      <w:bookmarkStart w:id="196" w:name="_Toc226965796"/>
      <w:r>
        <w:rPr>
          <w:color w:val="auto"/>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color w:val="auto"/>
          <w:sz w:val="24"/>
          <w:highlight w:val="none"/>
        </w:rPr>
      </w:pPr>
      <w:r>
        <w:rPr>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w:t>
      </w:r>
      <w:r>
        <w:rPr>
          <w:rFonts w:hint="eastAsia"/>
          <w:color w:val="auto"/>
          <w:sz w:val="24"/>
          <w:highlight w:val="none"/>
        </w:rPr>
        <w:t xml:space="preserve">作出</w:t>
      </w:r>
      <w:r>
        <w:rPr>
          <w:color w:val="auto"/>
          <w:sz w:val="24"/>
          <w:highlight w:val="none"/>
        </w:rPr>
        <w:t xml:space="preserve">实质性响应，否则</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color w:val="auto"/>
          <w:sz w:val="24"/>
          <w:highlight w:val="none"/>
        </w:rPr>
        <w:t xml:space="preserve">在采购公告发布媒体</w:t>
      </w:r>
      <w:r>
        <w:rPr>
          <w:b/>
          <w:bCs/>
          <w:color w:val="auto"/>
          <w:sz w:val="24"/>
          <w:highlight w:val="none"/>
        </w:rPr>
        <w:t xml:space="preserve">以更正公告形式通知所有获取招标文件的潜在投标人</w:t>
      </w:r>
      <w:r>
        <w:rPr>
          <w:rFonts w:hint="eastAsia"/>
          <w:b/>
          <w:bCs/>
          <w:color w:val="auto"/>
          <w:sz w:val="24"/>
          <w:highlight w:val="none"/>
        </w:rPr>
        <w:t xml:space="preserve">，请潜在投标人及时关注更正公告</w:t>
      </w:r>
      <w:r>
        <w:rPr>
          <w:color w:val="auto"/>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color w:val="auto"/>
          <w:sz w:val="28"/>
          <w:highlight w:val="none"/>
        </w:rPr>
      </w:pPr>
      <w:r/>
      <w:bookmarkStart w:id="197" w:name="_Toc516367020"/>
      <w:r/>
      <w:bookmarkStart w:id="198" w:name="_Toc305158868"/>
      <w:r/>
      <w:bookmarkStart w:id="199" w:name="_Toc150774626"/>
      <w:r/>
      <w:bookmarkStart w:id="200" w:name="_Toc226965716"/>
      <w:r/>
      <w:bookmarkStart w:id="201" w:name="_Toc226965799"/>
      <w:r/>
      <w:bookmarkStart w:id="202" w:name="_Toc150480764"/>
      <w:r/>
      <w:bookmarkStart w:id="203" w:name="_Toc264969216"/>
      <w:r/>
      <w:bookmarkStart w:id="204" w:name="_Toc151190153"/>
      <w:r/>
      <w:bookmarkStart w:id="205" w:name="_Toc127151526"/>
      <w:r/>
      <w:bookmarkStart w:id="206" w:name="_Toc265228364"/>
      <w:r/>
      <w:bookmarkStart w:id="207" w:name="_Toc151193696"/>
      <w:r/>
      <w:bookmarkStart w:id="208" w:name="_Toc150774731"/>
      <w:r/>
      <w:bookmarkStart w:id="209" w:name="_Toc151193914"/>
      <w:r/>
      <w:bookmarkStart w:id="210" w:name="_Toc151193624"/>
      <w:r/>
      <w:bookmarkStart w:id="211" w:name="_Toc226337222"/>
      <w:r/>
      <w:bookmarkStart w:id="212" w:name="_Toc151193840"/>
      <w:r/>
      <w:bookmarkStart w:id="213" w:name="_Toc520356150"/>
      <w:r/>
      <w:bookmarkStart w:id="214" w:name="_Toc226309770"/>
      <w:r/>
      <w:bookmarkStart w:id="215" w:name="_Toc305158794"/>
      <w:r/>
      <w:bookmarkStart w:id="216" w:name="_Toc150509277"/>
      <w:r/>
      <w:bookmarkStart w:id="217" w:name="_Toc151193768"/>
      <w:r/>
      <w:bookmarkStart w:id="218" w:name="_Toc195842891"/>
      <w:r/>
      <w:bookmarkStart w:id="219" w:name="_Toc142311028"/>
      <w:r/>
      <w:r/>
    </w:p>
    <w:p>
      <w:pPr>
        <w:pStyle w:val="114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197"/>
      <w:r>
        <w:rPr>
          <w:rFonts w:ascii="Times New Roman" w:hAnsi="Times New Roman" w:eastAsia="宋体"/>
          <w:color w:val="auto"/>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color w:val="auto"/>
          <w:sz w:val="24"/>
          <w:highlight w:val="none"/>
        </w:rPr>
        <w:outlineLvl w:val="1"/>
      </w:pPr>
      <w:r/>
      <w:bookmarkStart w:id="220" w:name="_Toc226309771"/>
      <w:r/>
      <w:bookmarkStart w:id="221" w:name="_Toc264969217"/>
      <w:r/>
      <w:bookmarkStart w:id="222" w:name="_Toc164608641"/>
      <w:r/>
      <w:bookmarkStart w:id="223" w:name="_Toc164229222"/>
      <w:r/>
      <w:bookmarkStart w:id="224" w:name="_Toc127151728"/>
      <w:r/>
      <w:bookmarkStart w:id="225" w:name="_Toc164608796"/>
      <w:r/>
      <w:bookmarkStart w:id="226" w:name="_Toc151190154"/>
      <w:r/>
      <w:bookmarkStart w:id="227" w:name="_Toc151193841"/>
      <w:r/>
      <w:bookmarkStart w:id="228" w:name="_Toc195842892"/>
      <w:r/>
      <w:bookmarkStart w:id="229" w:name="_Toc151193769"/>
      <w:r/>
      <w:bookmarkStart w:id="230" w:name="_Toc151193697"/>
      <w:r/>
      <w:bookmarkStart w:id="231" w:name="_Toc127151527"/>
      <w:r/>
      <w:bookmarkStart w:id="232" w:name="_Toc226965800"/>
      <w:r/>
      <w:bookmarkStart w:id="233" w:name="_Toc520356151"/>
      <w:r/>
      <w:bookmarkStart w:id="234" w:name="_Toc164351621"/>
      <w:r/>
      <w:bookmarkStart w:id="235" w:name="_Toc516367021"/>
      <w:r/>
      <w:bookmarkStart w:id="236" w:name="_Toc150774732"/>
      <w:r/>
      <w:bookmarkStart w:id="237" w:name="_Toc164229368"/>
      <w:r/>
      <w:bookmarkStart w:id="238" w:name="_Toc127161441"/>
      <w:r/>
      <w:bookmarkStart w:id="239" w:name="_Toc149720820"/>
      <w:r/>
      <w:bookmarkStart w:id="240" w:name="_Toc151193915"/>
      <w:r/>
      <w:bookmarkStart w:id="241" w:name="_Toc265228365"/>
      <w:r/>
      <w:bookmarkStart w:id="242" w:name="_Toc150509278"/>
      <w:r/>
      <w:bookmarkStart w:id="243" w:name="_Toc142311029"/>
      <w:r/>
      <w:bookmarkStart w:id="244" w:name="_Toc226337223"/>
      <w:r/>
      <w:bookmarkStart w:id="245" w:name="_Toc150480765"/>
      <w:r/>
      <w:bookmarkStart w:id="246" w:name="_Toc305158795"/>
      <w:r/>
      <w:bookmarkStart w:id="247" w:name="_Toc151193625"/>
      <w:r/>
      <w:bookmarkStart w:id="248" w:name="_Toc305158869"/>
      <w:r/>
      <w:bookmarkStart w:id="249" w:name="_Toc150774627"/>
      <w:r/>
      <w:bookmarkStart w:id="250" w:name="_Toc226965717"/>
      <w:r>
        <w:rPr>
          <w:color w:val="auto"/>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color w:val="auto"/>
          <w:sz w:val="24"/>
          <w:highlight w:val="none"/>
        </w:rPr>
        <w:outlineLvl w:val="1"/>
      </w:pPr>
      <w:r/>
      <w:bookmarkStart w:id="251" w:name="_Ref467306195"/>
      <w:r/>
      <w:bookmarkStart w:id="252" w:name="_Toc516367022"/>
      <w:r/>
      <w:bookmarkStart w:id="253" w:name="_Ref467306676"/>
      <w:r/>
      <w:bookmarkStart w:id="254" w:name="_Toc151193770"/>
      <w:r/>
      <w:bookmarkStart w:id="255" w:name="_Toc164608797"/>
      <w:r/>
      <w:bookmarkStart w:id="256" w:name="_Toc151193842"/>
      <w:r/>
      <w:bookmarkStart w:id="257" w:name="_Toc127161442"/>
      <w:r/>
      <w:bookmarkStart w:id="258" w:name="_Toc305158796"/>
      <w:r/>
      <w:bookmarkStart w:id="259" w:name="_Toc150480766"/>
      <w:r/>
      <w:bookmarkStart w:id="260" w:name="_Toc151190155"/>
      <w:r/>
      <w:bookmarkStart w:id="261" w:name="_Toc264969218"/>
      <w:r/>
      <w:bookmarkStart w:id="262" w:name="_Toc226337224"/>
      <w:r/>
      <w:bookmarkStart w:id="263" w:name="_Toc164229369"/>
      <w:r/>
      <w:bookmarkStart w:id="264" w:name="_Toc164351622"/>
      <w:r/>
      <w:bookmarkStart w:id="265" w:name="_Toc149720821"/>
      <w:r/>
      <w:bookmarkStart w:id="266" w:name="_Toc142311030"/>
      <w:r/>
      <w:bookmarkStart w:id="267" w:name="_Toc150774628"/>
      <w:r/>
      <w:bookmarkStart w:id="268" w:name="_Toc520356152"/>
      <w:r/>
      <w:bookmarkStart w:id="269" w:name="_Toc226965718"/>
      <w:r/>
      <w:bookmarkStart w:id="270" w:name="_Toc226965801"/>
      <w:r/>
      <w:bookmarkStart w:id="271" w:name="_Toc151193626"/>
      <w:r/>
      <w:bookmarkStart w:id="272" w:name="_Toc195842893"/>
      <w:r/>
      <w:bookmarkStart w:id="273" w:name="_Toc151193916"/>
      <w:r/>
      <w:bookmarkStart w:id="274" w:name="_Toc127151729"/>
      <w:r/>
      <w:bookmarkStart w:id="275" w:name="_Toc164229223"/>
      <w:r/>
      <w:bookmarkStart w:id="276" w:name="_Toc151193698"/>
      <w:r/>
      <w:bookmarkStart w:id="277" w:name="_Toc305158870"/>
      <w:r/>
      <w:bookmarkStart w:id="278" w:name="_Toc164608642"/>
      <w:r/>
      <w:bookmarkStart w:id="279" w:name="_Toc150509279"/>
      <w:r/>
      <w:bookmarkStart w:id="280" w:name="_Toc226309772"/>
      <w:r/>
      <w:bookmarkStart w:id="281" w:name="_Toc265228366"/>
      <w:r/>
      <w:bookmarkStart w:id="282" w:name="_Toc150774733"/>
      <w:r/>
      <w:bookmarkStart w:id="283" w:name="_Toc127151528"/>
      <w:r>
        <w:rPr>
          <w:color w:val="auto"/>
          <w:sz w:val="24"/>
          <w:highlight w:val="none"/>
        </w:rPr>
        <w:t xml:space="preserve">投标文件</w:t>
      </w:r>
      <w:bookmarkEnd w:id="251"/>
      <w:r/>
      <w:bookmarkEnd w:id="252"/>
      <w:r/>
      <w:bookmarkEnd w:id="253"/>
      <w:r>
        <w:rPr>
          <w:color w:val="auto"/>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84"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color w:val="auto"/>
          <w:sz w:val="24"/>
          <w:highlight w:val="none"/>
        </w:rPr>
        <w:outlineLvl w:val="1"/>
      </w:pPr>
      <w:r/>
      <w:bookmarkStart w:id="285" w:name="_Toc151190157"/>
      <w:r/>
      <w:bookmarkStart w:id="286" w:name="_Toc150774630"/>
      <w:r/>
      <w:bookmarkStart w:id="287" w:name="_Toc520356155"/>
      <w:r/>
      <w:bookmarkStart w:id="288" w:name="_Toc151193844"/>
      <w:r/>
      <w:bookmarkStart w:id="289" w:name="_Toc150480768"/>
      <w:r/>
      <w:bookmarkStart w:id="290" w:name="_Toc127161444"/>
      <w:r/>
      <w:bookmarkStart w:id="291" w:name="_Toc149720823"/>
      <w:r/>
      <w:bookmarkStart w:id="292" w:name="_Toc142311032"/>
      <w:r/>
      <w:bookmarkStart w:id="293" w:name="_Toc195842895"/>
      <w:r/>
      <w:bookmarkStart w:id="294" w:name="_Toc127151530"/>
      <w:r/>
      <w:bookmarkStart w:id="295" w:name="_Toc164608799"/>
      <w:r/>
      <w:bookmarkStart w:id="296" w:name="_Toc164351624"/>
      <w:r/>
      <w:bookmarkStart w:id="297" w:name="_Toc164229225"/>
      <w:r/>
      <w:bookmarkStart w:id="298" w:name="_Toc151193918"/>
      <w:r/>
      <w:bookmarkStart w:id="299" w:name="_Toc150509281"/>
      <w:r/>
      <w:bookmarkStart w:id="300" w:name="_Toc164229371"/>
      <w:r/>
      <w:bookmarkStart w:id="301" w:name="_Toc127151731"/>
      <w:r/>
      <w:bookmarkStart w:id="302" w:name="_Toc151193772"/>
      <w:r/>
      <w:bookmarkStart w:id="303" w:name="_Toc150774735"/>
      <w:r/>
      <w:bookmarkStart w:id="304" w:name="_Toc151193628"/>
      <w:r/>
      <w:bookmarkStart w:id="305" w:name="_Toc164608644"/>
      <w:r/>
      <w:bookmarkStart w:id="306" w:name="_Toc151193700"/>
      <w:r>
        <w:rPr>
          <w:color w:val="auto"/>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color w:val="auto"/>
          <w:sz w:val="24"/>
          <w:highlight w:val="none"/>
        </w:rPr>
      </w:pPr>
      <w:r>
        <w:rPr>
          <w:color w:val="auto"/>
          <w:sz w:val="24"/>
          <w:highlight w:val="none"/>
        </w:rPr>
        <w:t xml:space="preserve">按照招标文件要求完成本项目的全部相关服务费用。</w:t>
      </w:r>
      <w:r/>
    </w:p>
    <w:p>
      <w:pPr>
        <w:numPr>
          <w:ilvl w:val="2"/>
          <w:numId w:val="8"/>
        </w:numPr>
        <w:spacing w:line="360" w:lineRule="auto"/>
        <w:rPr>
          <w:b/>
          <w:bCs/>
          <w:color w:val="auto"/>
          <w:sz w:val="24"/>
          <w:highlight w:val="none"/>
        </w:rPr>
      </w:pPr>
      <w:r>
        <w:rPr>
          <w:rFonts w:hint="eastAsia"/>
          <w:b/>
          <w:bCs/>
          <w:color w:val="auto"/>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rFonts w:hint="eastAsia"/>
          <w:color w:val="auto"/>
          <w:sz w:val="24"/>
          <w:highlight w:val="none"/>
        </w:rPr>
        <w:outlineLvl w:val="1"/>
      </w:pPr>
      <w:r/>
      <w:bookmarkStart w:id="307" w:name="_Toc127161445"/>
      <w:r/>
      <w:bookmarkStart w:id="308" w:name="_Toc264969221"/>
      <w:r/>
      <w:bookmarkStart w:id="309" w:name="_Toc226965721"/>
      <w:r/>
      <w:bookmarkStart w:id="310" w:name="_Toc150509282"/>
      <w:r/>
      <w:bookmarkStart w:id="311" w:name="_Toc150774631"/>
      <w:r/>
      <w:bookmarkStart w:id="312" w:name="_Toc127151531"/>
      <w:r/>
      <w:bookmarkStart w:id="313" w:name="_Toc142311033"/>
      <w:r/>
      <w:bookmarkStart w:id="314" w:name="_Toc127151732"/>
      <w:r/>
      <w:bookmarkStart w:id="315" w:name="_Ref467306513"/>
      <w:r/>
      <w:bookmarkStart w:id="316" w:name="_Toc164608645"/>
      <w:r/>
      <w:bookmarkStart w:id="317" w:name="_Toc164229372"/>
      <w:r/>
      <w:bookmarkStart w:id="318" w:name="_Toc226965804"/>
      <w:r/>
      <w:bookmarkStart w:id="319" w:name="_Toc150480769"/>
      <w:r/>
      <w:bookmarkStart w:id="320" w:name="_Toc149720824"/>
      <w:r/>
      <w:bookmarkStart w:id="321" w:name="_Toc151193919"/>
      <w:r/>
      <w:bookmarkStart w:id="322" w:name="_Toc151193629"/>
      <w:r/>
      <w:bookmarkStart w:id="323" w:name="_Toc151193845"/>
      <w:r/>
      <w:bookmarkStart w:id="324" w:name="_Toc164351625"/>
      <w:r/>
      <w:bookmarkStart w:id="325" w:name="_Toc265228369"/>
      <w:r/>
      <w:bookmarkStart w:id="326" w:name="_Toc520356156"/>
      <w:r/>
      <w:bookmarkStart w:id="327" w:name="_Toc195842896"/>
      <w:r/>
      <w:bookmarkStart w:id="328" w:name="_Toc305158873"/>
      <w:r/>
      <w:bookmarkStart w:id="329" w:name="_Toc164229226"/>
      <w:r/>
      <w:bookmarkStart w:id="330" w:name="_Toc164608800"/>
      <w:r/>
      <w:bookmarkStart w:id="331" w:name="_Toc226337227"/>
      <w:r/>
      <w:bookmarkStart w:id="332" w:name="_Toc305158799"/>
      <w:r/>
      <w:bookmarkStart w:id="333" w:name="_Toc150774736"/>
      <w:r/>
      <w:bookmarkStart w:id="334" w:name="_Toc151193701"/>
      <w:r/>
      <w:bookmarkStart w:id="335" w:name="_Toc226309775"/>
      <w:r/>
      <w:bookmarkStart w:id="336" w:name="_Toc151193773"/>
      <w:r/>
      <w:bookmarkStart w:id="337" w:name="_Toc151190158"/>
      <w:r>
        <w:rPr>
          <w:color w:val="auto"/>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 xml:space="preserve">投标保证金：</w:t>
      </w:r>
      <w:r>
        <w:rPr>
          <w:rFonts w:hint="eastAsia" w:ascii="Times New Roman" w:hAnsi="Times New Roman" w:eastAsia="宋体" w:cs="Times New Roman"/>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color w:val="auto"/>
          <w:sz w:val="24"/>
          <w:highlight w:val="none"/>
        </w:rPr>
        <w:outlineLvl w:val="1"/>
      </w:pPr>
      <w:r/>
      <w:bookmarkStart w:id="338" w:name="_Toc226965805"/>
      <w:r/>
      <w:bookmarkStart w:id="339" w:name="_Toc305158874"/>
      <w:r/>
      <w:bookmarkStart w:id="340" w:name="_Toc164229373"/>
      <w:r/>
      <w:bookmarkStart w:id="341" w:name="_Toc226337228"/>
      <w:r/>
      <w:bookmarkStart w:id="342" w:name="_Toc142311034"/>
      <w:r/>
      <w:bookmarkStart w:id="343" w:name="_Toc150774632"/>
      <w:r/>
      <w:bookmarkStart w:id="344" w:name="_Toc226965722"/>
      <w:r/>
      <w:bookmarkStart w:id="345" w:name="_Toc164351626"/>
      <w:r/>
      <w:bookmarkStart w:id="346" w:name="_Toc127161446"/>
      <w:r/>
      <w:bookmarkStart w:id="347" w:name="_Toc164229227"/>
      <w:r/>
      <w:bookmarkStart w:id="348" w:name="_Toc150480770"/>
      <w:r/>
      <w:bookmarkStart w:id="349" w:name="_Toc127151733"/>
      <w:r/>
      <w:bookmarkStart w:id="350" w:name="_Toc149720825"/>
      <w:r/>
      <w:bookmarkStart w:id="351" w:name="_Toc151193920"/>
      <w:r/>
      <w:bookmarkStart w:id="352" w:name="_Toc305158800"/>
      <w:r/>
      <w:bookmarkStart w:id="353" w:name="_Toc151193774"/>
      <w:r/>
      <w:bookmarkStart w:id="354" w:name="_Toc226309776"/>
      <w:r/>
      <w:bookmarkStart w:id="355" w:name="_Toc151190159"/>
      <w:r/>
      <w:bookmarkStart w:id="356" w:name="_Toc150509283"/>
      <w:r/>
      <w:bookmarkStart w:id="357" w:name="_Toc195842897"/>
      <w:r/>
      <w:bookmarkStart w:id="358" w:name="_Toc265228370"/>
      <w:r/>
      <w:bookmarkStart w:id="359" w:name="_Toc520356157"/>
      <w:r/>
      <w:bookmarkStart w:id="360" w:name="_Toc150774737"/>
      <w:r/>
      <w:bookmarkStart w:id="361" w:name="_Toc151193630"/>
      <w:r/>
      <w:bookmarkStart w:id="362" w:name="_Toc264969222"/>
      <w:r/>
      <w:bookmarkStart w:id="363" w:name="_Toc151193846"/>
      <w:r/>
      <w:bookmarkStart w:id="364" w:name="_Toc164608801"/>
      <w:r/>
      <w:bookmarkStart w:id="365" w:name="_Toc151193702"/>
      <w:r/>
      <w:bookmarkStart w:id="366" w:name="_Toc127151532"/>
      <w:r/>
      <w:bookmarkStart w:id="367" w:name="_Toc164608646"/>
      <w:r>
        <w:rPr>
          <w:color w:val="auto"/>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368" w:name="_Toc226965723"/>
      <w:r/>
      <w:bookmarkStart w:id="369" w:name="_Toc151193847"/>
      <w:r/>
      <w:bookmarkStart w:id="370" w:name="_Toc164351627"/>
      <w:r/>
      <w:bookmarkStart w:id="371" w:name="_Toc520356158"/>
      <w:r/>
      <w:bookmarkStart w:id="372" w:name="_Toc164229228"/>
      <w:r/>
      <w:bookmarkStart w:id="373" w:name="_Toc127161447"/>
      <w:r/>
      <w:bookmarkStart w:id="374" w:name="_Toc150774738"/>
      <w:r/>
      <w:bookmarkStart w:id="375" w:name="_Toc265228371"/>
      <w:r/>
      <w:bookmarkStart w:id="376" w:name="_Toc151190160"/>
      <w:r/>
      <w:bookmarkStart w:id="377" w:name="_Toc226965806"/>
      <w:r/>
      <w:bookmarkStart w:id="378" w:name="_Toc127151734"/>
      <w:r/>
      <w:bookmarkStart w:id="379" w:name="_Toc305158801"/>
      <w:r/>
      <w:bookmarkStart w:id="380" w:name="_Toc127151533"/>
      <w:r/>
      <w:bookmarkStart w:id="381" w:name="_Toc150774633"/>
      <w:r/>
      <w:bookmarkStart w:id="382" w:name="_Toc149720826"/>
      <w:r/>
      <w:bookmarkStart w:id="383" w:name="_Toc151193631"/>
      <w:r/>
      <w:bookmarkStart w:id="384" w:name="_Toc264969223"/>
      <w:r/>
      <w:bookmarkStart w:id="385" w:name="_Toc226337229"/>
      <w:r/>
      <w:bookmarkStart w:id="386" w:name="_Toc151193775"/>
      <w:r/>
      <w:bookmarkStart w:id="387" w:name="_Toc151193703"/>
      <w:r/>
      <w:bookmarkStart w:id="388" w:name="_Toc305158875"/>
      <w:r/>
      <w:bookmarkStart w:id="389" w:name="_Toc164608802"/>
      <w:r/>
      <w:bookmarkStart w:id="390" w:name="_Toc226309777"/>
      <w:r/>
      <w:bookmarkStart w:id="391" w:name="_Toc164229374"/>
      <w:r/>
      <w:bookmarkStart w:id="392" w:name="_Toc150509284"/>
      <w:r/>
      <w:bookmarkStart w:id="393" w:name="_Toc142311035"/>
      <w:r/>
      <w:bookmarkStart w:id="394" w:name="_Toc151193921"/>
      <w:r/>
      <w:bookmarkStart w:id="395" w:name="_Toc150480771"/>
      <w:r/>
      <w:bookmarkStart w:id="396" w:name="_Toc195842898"/>
      <w:r/>
      <w:bookmarkStart w:id="397" w:name="_Toc164608647"/>
      <w:r>
        <w:rPr>
          <w:color w:val="auto"/>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398" w:name="_Toc195842899"/>
      <w:r/>
      <w:bookmarkStart w:id="399" w:name="_Toc226965807"/>
      <w:r/>
      <w:bookmarkStart w:id="400" w:name="_Toc150774739"/>
      <w:r/>
      <w:bookmarkStart w:id="401" w:name="_Toc150509285"/>
      <w:r/>
      <w:bookmarkStart w:id="402" w:name="_Toc151193848"/>
      <w:r/>
      <w:bookmarkStart w:id="403" w:name="_Toc264969224"/>
      <w:r/>
      <w:bookmarkStart w:id="404" w:name="_Toc226309778"/>
      <w:r/>
      <w:bookmarkStart w:id="405" w:name="_Toc265228372"/>
      <w:r/>
      <w:bookmarkStart w:id="406" w:name="_Toc150480772"/>
      <w:r/>
      <w:bookmarkStart w:id="407" w:name="_Toc226337230"/>
      <w:r/>
      <w:bookmarkStart w:id="408" w:name="_Toc150774634"/>
      <w:r/>
      <w:bookmarkStart w:id="409" w:name="_Toc226965724"/>
      <w:r/>
      <w:bookmarkStart w:id="410" w:name="_Toc151190161"/>
      <w:r/>
      <w:bookmarkStart w:id="411" w:name="_Toc305158876"/>
      <w:r/>
      <w:bookmarkStart w:id="412" w:name="_Toc520356159"/>
      <w:r/>
      <w:bookmarkStart w:id="413" w:name="_Toc127151534"/>
      <w:r/>
      <w:bookmarkStart w:id="414" w:name="_Toc151193776"/>
      <w:r/>
      <w:bookmarkStart w:id="415" w:name="_Toc142311036"/>
      <w:r/>
      <w:bookmarkStart w:id="416" w:name="_Toc151193704"/>
      <w:r/>
      <w:bookmarkStart w:id="417" w:name="_Toc151193922"/>
      <w:r/>
      <w:bookmarkStart w:id="418" w:name="_Toc151193632"/>
      <w:r/>
      <w:bookmarkStart w:id="419" w:name="_Toc305158802"/>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4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color w:val="auto"/>
          <w:sz w:val="24"/>
          <w:highlight w:val="none"/>
        </w:rPr>
        <w:outlineLvl w:val="1"/>
      </w:pPr>
      <w:r/>
      <w:bookmarkStart w:id="420" w:name="_Toc305158803"/>
      <w:r/>
      <w:bookmarkStart w:id="421" w:name="_Toc127151736"/>
      <w:r/>
      <w:bookmarkStart w:id="422" w:name="_Toc151193849"/>
      <w:r/>
      <w:bookmarkStart w:id="423" w:name="_Toc226965808"/>
      <w:r/>
      <w:bookmarkStart w:id="424" w:name="_Toc264969225"/>
      <w:r/>
      <w:bookmarkStart w:id="425" w:name="_Toc520356160"/>
      <w:r/>
      <w:bookmarkStart w:id="426" w:name="_Toc164229376"/>
      <w:r/>
      <w:bookmarkStart w:id="427" w:name="_Toc127151535"/>
      <w:r/>
      <w:bookmarkStart w:id="428" w:name="_Toc149720828"/>
      <w:r/>
      <w:bookmarkStart w:id="429" w:name="_Toc226337231"/>
      <w:r/>
      <w:bookmarkStart w:id="430" w:name="_Toc151193705"/>
      <w:r/>
      <w:bookmarkStart w:id="431" w:name="_Toc195842900"/>
      <w:r/>
      <w:bookmarkStart w:id="432" w:name="_Toc151190162"/>
      <w:r/>
      <w:bookmarkStart w:id="433" w:name="_Toc151193923"/>
      <w:r/>
      <w:bookmarkStart w:id="434" w:name="_Toc164608649"/>
      <w:r/>
      <w:bookmarkStart w:id="435" w:name="_Toc151193633"/>
      <w:r/>
      <w:bookmarkStart w:id="436" w:name="_Toc150774740"/>
      <w:r/>
      <w:bookmarkStart w:id="437" w:name="_Toc226309779"/>
      <w:r/>
      <w:bookmarkStart w:id="438" w:name="_Toc150480773"/>
      <w:r/>
      <w:bookmarkStart w:id="439" w:name="_Toc265228373"/>
      <w:r/>
      <w:bookmarkStart w:id="440" w:name="_Toc142311037"/>
      <w:r/>
      <w:bookmarkStart w:id="441" w:name="_Toc305158877"/>
      <w:r/>
      <w:bookmarkStart w:id="442" w:name="_Toc151193777"/>
      <w:r/>
      <w:bookmarkStart w:id="443" w:name="_Toc127161449"/>
      <w:r/>
      <w:bookmarkStart w:id="444" w:name="_Toc226965725"/>
      <w:r/>
      <w:bookmarkStart w:id="445" w:name="_Toc164229230"/>
      <w:r/>
      <w:bookmarkStart w:id="446" w:name="_Toc150774635"/>
      <w:r/>
      <w:bookmarkStart w:id="447" w:name="_Toc164608804"/>
      <w:r/>
      <w:bookmarkStart w:id="448" w:name="_Toc150509286"/>
      <w:r/>
      <w:bookmarkStart w:id="449" w:name="_Toc164351629"/>
      <w:r>
        <w:rPr>
          <w:color w:val="auto"/>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bidi="ar"/>
        </w:rPr>
        <w:t xml:space="preserve">政府采购一体化平台“苏采云”</w:t>
      </w:r>
      <w:r>
        <w:rPr>
          <w:color w:val="auto"/>
          <w:sz w:val="24"/>
          <w:highlight w:val="none"/>
        </w:rPr>
        <w:t xml:space="preserve">。投标人根据招标文件及</w:t>
      </w:r>
      <w:r>
        <w:rPr>
          <w:rFonts w:hint="eastAsia"/>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w:t>
      </w:r>
      <w:r>
        <w:rPr>
          <w:rFonts w:hint="eastAsia"/>
          <w:color w:val="auto"/>
          <w:sz w:val="24"/>
          <w:highlight w:val="none"/>
          <w:lang w:bidi="ar"/>
        </w:rPr>
        <w:t xml:space="preserve">政府采购一体化平台“苏采云”</w:t>
      </w:r>
      <w:r>
        <w:rPr>
          <w:color w:val="auto"/>
          <w:sz w:val="24"/>
          <w:highlight w:val="none"/>
        </w:rPr>
        <w:t xml:space="preserve">以外任何形式提交的投标文件。</w:t>
      </w:r>
      <w:r/>
    </w:p>
    <w:p>
      <w:pPr>
        <w:numPr>
          <w:ilvl w:val="0"/>
          <w:numId w:val="8"/>
        </w:numPr>
        <w:ind w:left="357" w:hanging="357"/>
        <w:spacing w:line="360" w:lineRule="auto"/>
        <w:tabs>
          <w:tab w:val="left" w:pos="360" w:leader="none"/>
        </w:tabs>
        <w:rPr>
          <w:color w:val="auto"/>
          <w:sz w:val="24"/>
          <w:highlight w:val="none"/>
        </w:rPr>
        <w:outlineLvl w:val="1"/>
      </w:pPr>
      <w:r/>
      <w:bookmarkStart w:id="450" w:name="_Toc150774636"/>
      <w:r/>
      <w:bookmarkStart w:id="451" w:name="_Toc164351630"/>
      <w:r/>
      <w:bookmarkStart w:id="452" w:name="_Toc195842901"/>
      <w:r/>
      <w:bookmarkStart w:id="453" w:name="_Toc151193634"/>
      <w:r/>
      <w:bookmarkStart w:id="454" w:name="_Toc127151737"/>
      <w:r/>
      <w:bookmarkStart w:id="455" w:name="_Toc520356161"/>
      <w:r/>
      <w:bookmarkStart w:id="456" w:name="_Toc264969226"/>
      <w:r/>
      <w:bookmarkStart w:id="457" w:name="_Toc164608650"/>
      <w:r/>
      <w:bookmarkStart w:id="458" w:name="_Toc127151536"/>
      <w:r/>
      <w:bookmarkStart w:id="459" w:name="_Toc150509287"/>
      <w:r/>
      <w:bookmarkStart w:id="460" w:name="_Toc151193778"/>
      <w:r/>
      <w:bookmarkStart w:id="461" w:name="_Toc164608805"/>
      <w:r/>
      <w:bookmarkStart w:id="462" w:name="_Toc151193924"/>
      <w:r/>
      <w:bookmarkStart w:id="463" w:name="_Toc226309780"/>
      <w:r/>
      <w:bookmarkStart w:id="464" w:name="_Toc305158878"/>
      <w:r/>
      <w:bookmarkStart w:id="465" w:name="_Toc150774741"/>
      <w:r/>
      <w:bookmarkStart w:id="466" w:name="_Toc164229231"/>
      <w:r/>
      <w:bookmarkStart w:id="467" w:name="_Toc150480774"/>
      <w:r/>
      <w:bookmarkStart w:id="468" w:name="_Toc127161450"/>
      <w:r/>
      <w:bookmarkStart w:id="469" w:name="_Toc164229377"/>
      <w:r/>
      <w:bookmarkStart w:id="470" w:name="_Toc305158804"/>
      <w:r/>
      <w:bookmarkStart w:id="471" w:name="_Toc226965726"/>
      <w:r/>
      <w:bookmarkStart w:id="472" w:name="_Toc151190163"/>
      <w:r/>
      <w:bookmarkStart w:id="473" w:name="_Toc142311038"/>
      <w:r/>
      <w:bookmarkStart w:id="474" w:name="_Toc226337232"/>
      <w:r/>
      <w:bookmarkStart w:id="475" w:name="_Toc151193706"/>
      <w:r/>
      <w:bookmarkStart w:id="476" w:name="_Toc149720829"/>
      <w:r/>
      <w:bookmarkStart w:id="477" w:name="_Toc226965809"/>
      <w:r/>
      <w:bookmarkStart w:id="478" w:name="_Toc265228374"/>
      <w:r/>
      <w:bookmarkStart w:id="479" w:name="_Toc151193850"/>
      <w:r>
        <w:rPr>
          <w:color w:val="auto"/>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w:t>
      </w:r>
      <w:r>
        <w:rPr>
          <w:rFonts w:hint="eastAsia"/>
          <w:color w:val="auto"/>
          <w:sz w:val="24"/>
          <w:highlight w:val="none"/>
          <w:lang w:bidi="ar"/>
        </w:rPr>
        <w:t xml:space="preserve">政府采购一体化平台“苏采云”</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80" w:name="_Toc226309781"/>
      <w:r/>
      <w:bookmarkStart w:id="481" w:name="_Toc150480775"/>
      <w:r/>
      <w:bookmarkStart w:id="482" w:name="_Toc142311039"/>
      <w:r/>
      <w:bookmarkStart w:id="483" w:name="_Toc127161451"/>
      <w:r/>
      <w:bookmarkStart w:id="484" w:name="_Toc151193707"/>
      <w:r/>
      <w:bookmarkStart w:id="485" w:name="_Toc164608651"/>
      <w:r/>
      <w:bookmarkStart w:id="486" w:name="_Toc226965810"/>
      <w:r/>
      <w:bookmarkStart w:id="487" w:name="_Toc305158805"/>
      <w:r/>
      <w:bookmarkStart w:id="488" w:name="_Toc150509288"/>
      <w:r/>
      <w:bookmarkStart w:id="489" w:name="_Toc226965727"/>
      <w:r/>
      <w:bookmarkStart w:id="490" w:name="_Toc265228375"/>
      <w:r/>
      <w:bookmarkStart w:id="491" w:name="_Toc149720830"/>
      <w:r/>
      <w:bookmarkStart w:id="492" w:name="_Toc151190164"/>
      <w:r/>
      <w:bookmarkStart w:id="493" w:name="_Toc264969227"/>
      <w:r/>
      <w:bookmarkStart w:id="494" w:name="_Toc151193779"/>
      <w:r/>
      <w:bookmarkStart w:id="495" w:name="_Toc520356162"/>
      <w:r/>
      <w:bookmarkStart w:id="496" w:name="_Toc151193635"/>
      <w:r/>
      <w:bookmarkStart w:id="497" w:name="_Toc150774742"/>
      <w:r/>
      <w:bookmarkStart w:id="498" w:name="_Toc164229378"/>
      <w:r/>
      <w:bookmarkStart w:id="499" w:name="_Toc195842902"/>
      <w:r/>
      <w:bookmarkStart w:id="500" w:name="_Toc127151738"/>
      <w:r/>
      <w:bookmarkStart w:id="501" w:name="_Toc151193925"/>
      <w:r/>
      <w:bookmarkStart w:id="502" w:name="_Toc226337233"/>
      <w:r/>
      <w:bookmarkStart w:id="503" w:name="_Toc150774637"/>
      <w:r/>
      <w:bookmarkStart w:id="504" w:name="_Toc164608806"/>
      <w:r/>
      <w:bookmarkStart w:id="505" w:name="_Toc305158879"/>
      <w:r/>
      <w:bookmarkStart w:id="506" w:name="_Toc151193851"/>
      <w:r/>
      <w:bookmarkStart w:id="507" w:name="_Toc164351631"/>
      <w:r/>
      <w:bookmarkStart w:id="508" w:name="_Toc164229232"/>
      <w:r/>
      <w:bookmarkStart w:id="509" w:name="_Toc127151537"/>
      <w:r>
        <w:rPr>
          <w:color w:val="auto"/>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投标截止时间前，投标人可以通过</w:t>
      </w:r>
      <w:r>
        <w:rPr>
          <w:rFonts w:hint="eastAsia"/>
          <w:color w:val="auto"/>
          <w:sz w:val="24"/>
          <w:highlight w:val="none"/>
          <w:lang w:bidi="ar"/>
        </w:rPr>
        <w:t xml:space="preserve">政府采购一体化平台“苏采云”</w:t>
      </w:r>
      <w:r>
        <w:rPr>
          <w:color w:val="auto"/>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44"/>
        <w:spacing w:before="0" w:line="360" w:lineRule="auto"/>
        <w:rPr>
          <w:rFonts w:ascii="Times New Roman" w:hAnsi="Times New Roman" w:eastAsia="宋体"/>
          <w:color w:val="auto"/>
          <w:sz w:val="28"/>
          <w:highlight w:val="none"/>
        </w:rPr>
      </w:pPr>
      <w:r/>
      <w:bookmarkStart w:id="510" w:name="_Toc305158806"/>
      <w:r/>
      <w:bookmarkStart w:id="511" w:name="_Toc264969228"/>
      <w:r/>
      <w:bookmarkStart w:id="512" w:name="_Toc142311040"/>
      <w:r/>
      <w:bookmarkStart w:id="513" w:name="_Toc226309782"/>
      <w:r/>
      <w:bookmarkStart w:id="514" w:name="_Toc151193636"/>
      <w:r/>
      <w:bookmarkStart w:id="515" w:name="_Toc305158880"/>
      <w:r/>
      <w:bookmarkStart w:id="516" w:name="_Toc151193926"/>
      <w:r/>
      <w:bookmarkStart w:id="517" w:name="_Toc151193708"/>
      <w:r/>
      <w:bookmarkStart w:id="518" w:name="_Toc151190165"/>
      <w:r/>
      <w:bookmarkStart w:id="519" w:name="_Toc226337234"/>
      <w:r/>
      <w:bookmarkStart w:id="520" w:name="_Toc150509289"/>
      <w:r/>
      <w:bookmarkStart w:id="521" w:name="_Toc151193852"/>
      <w:r/>
      <w:bookmarkStart w:id="522" w:name="_Toc150774638"/>
      <w:r/>
      <w:bookmarkStart w:id="523" w:name="_Toc265228376"/>
      <w:r/>
      <w:bookmarkStart w:id="524" w:name="_Toc151193780"/>
      <w:r/>
      <w:bookmarkStart w:id="525" w:name="_Toc226965811"/>
      <w:r/>
      <w:bookmarkStart w:id="526" w:name="_Toc150774743"/>
      <w:r/>
      <w:bookmarkStart w:id="527" w:name="_Toc150480776"/>
      <w:r/>
      <w:bookmarkStart w:id="528" w:name="_Toc127151538"/>
      <w:r/>
      <w:bookmarkStart w:id="529" w:name="_Toc520356163"/>
      <w:r/>
      <w:bookmarkStart w:id="530" w:name="_Toc195842903"/>
      <w:r/>
      <w:bookmarkStart w:id="531" w:name="_Toc226965728"/>
      <w:r>
        <w:rPr>
          <w:rFonts w:ascii="Times New Roman" w:hAnsi="Times New Roman" w:eastAsia="宋体"/>
          <w:color w:val="auto"/>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color w:val="auto"/>
          <w:sz w:val="24"/>
          <w:highlight w:val="none"/>
        </w:rPr>
        <w:outlineLvl w:val="1"/>
      </w:pPr>
      <w:r/>
      <w:bookmarkStart w:id="532" w:name="_Toc127151539"/>
      <w:r/>
      <w:bookmarkStart w:id="533" w:name="_Toc142311041"/>
      <w:r/>
      <w:bookmarkStart w:id="534" w:name="_Toc164351633"/>
      <w:r/>
      <w:bookmarkStart w:id="535" w:name="_Toc226965729"/>
      <w:r/>
      <w:bookmarkStart w:id="536" w:name="_Toc150774744"/>
      <w:r/>
      <w:bookmarkStart w:id="537" w:name="_Toc164608808"/>
      <w:r/>
      <w:bookmarkStart w:id="538" w:name="_Toc149720832"/>
      <w:r/>
      <w:bookmarkStart w:id="539" w:name="_Toc150480777"/>
      <w:r/>
      <w:bookmarkStart w:id="540" w:name="_Toc264969229"/>
      <w:r/>
      <w:bookmarkStart w:id="541" w:name="_Toc151193853"/>
      <w:r/>
      <w:bookmarkStart w:id="542" w:name="_Toc164608653"/>
      <w:r/>
      <w:bookmarkStart w:id="543" w:name="_Toc226309783"/>
      <w:r/>
      <w:bookmarkStart w:id="544" w:name="_Toc150774639"/>
      <w:r/>
      <w:bookmarkStart w:id="545" w:name="_Toc226965812"/>
      <w:r/>
      <w:bookmarkStart w:id="546" w:name="_Toc151193927"/>
      <w:r/>
      <w:bookmarkStart w:id="547" w:name="_Toc127151740"/>
      <w:r/>
      <w:bookmarkStart w:id="548" w:name="_Toc226337235"/>
      <w:r/>
      <w:bookmarkStart w:id="549" w:name="_Toc164229380"/>
      <w:r/>
      <w:bookmarkStart w:id="550" w:name="_Toc151193637"/>
      <w:r/>
      <w:bookmarkStart w:id="551" w:name="_Toc164229234"/>
      <w:r/>
      <w:bookmarkStart w:id="552" w:name="_Toc305158807"/>
      <w:r/>
      <w:bookmarkStart w:id="553" w:name="_Toc127161453"/>
      <w:r/>
      <w:bookmarkStart w:id="554" w:name="_Toc265228377"/>
      <w:r/>
      <w:bookmarkStart w:id="555" w:name="_Toc151193781"/>
      <w:r/>
      <w:bookmarkStart w:id="556" w:name="_Toc150509290"/>
      <w:r/>
      <w:bookmarkStart w:id="557" w:name="_Toc520356164"/>
      <w:r/>
      <w:bookmarkStart w:id="558" w:name="_Toc151193709"/>
      <w:r/>
      <w:bookmarkStart w:id="559" w:name="_Toc195842904"/>
      <w:r/>
      <w:bookmarkStart w:id="560" w:name="_Toc305158881"/>
      <w:r/>
      <w:bookmarkStart w:id="561" w:name="_Toc151190166"/>
      <w:r>
        <w:rPr>
          <w:color w:val="auto"/>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bidi="ar"/>
        </w:rPr>
        <w:t xml:space="preserve">政府采购一体化平台“苏采云”</w:t>
      </w:r>
      <w:r>
        <w:rPr>
          <w:rFonts w:hint="eastAsia"/>
          <w:color w:val="auto"/>
          <w:sz w:val="24"/>
          <w:highlight w:val="none"/>
        </w:rPr>
        <w:t xml:space="preserve">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开标过程将使用</w:t>
      </w:r>
      <w:r>
        <w:rPr>
          <w:rFonts w:hint="eastAsia"/>
          <w:color w:val="auto"/>
          <w:sz w:val="24"/>
          <w:highlight w:val="none"/>
          <w:lang w:bidi="ar"/>
        </w:rPr>
        <w:t xml:space="preserve">政府采购一体化平台“苏采云”</w:t>
      </w:r>
      <w:r>
        <w:rPr>
          <w:rFonts w:hint="eastAsia"/>
          <w:color w:val="auto"/>
          <w:sz w:val="24"/>
          <w:highlight w:val="none"/>
        </w:rPr>
        <w:t xml:space="preserve">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bookmarkStart w:id="562" w:name="_Toc520356165"/>
      <w:r>
        <w:rPr>
          <w:rFonts w:hint="eastAsia"/>
          <w:color w:val="auto"/>
          <w:sz w:val="24"/>
          <w:highlight w:val="none"/>
        </w:rPr>
        <w:t xml:space="preserve">。投标人超过规定时间未确认但是未提出异议的，系统将视同已确认</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2"/>
      <w:r/>
      <w:r/>
    </w:p>
    <w:p>
      <w:pPr>
        <w:numPr>
          <w:ilvl w:val="0"/>
          <w:numId w:val="8"/>
        </w:numPr>
        <w:ind w:left="357" w:hanging="357"/>
        <w:spacing w:line="360" w:lineRule="auto"/>
        <w:tabs>
          <w:tab w:val="left" w:pos="360" w:leader="none"/>
        </w:tabs>
        <w:rPr>
          <w:color w:val="auto"/>
          <w:sz w:val="24"/>
          <w:highlight w:val="none"/>
        </w:rPr>
        <w:outlineLvl w:val="1"/>
      </w:pPr>
      <w:r/>
      <w:bookmarkStart w:id="563" w:name="_Toc226965813"/>
      <w:r/>
      <w:bookmarkStart w:id="564" w:name="_Toc127161454"/>
      <w:r/>
      <w:bookmarkStart w:id="565" w:name="_Toc305158808"/>
      <w:r/>
      <w:bookmarkStart w:id="566" w:name="_Toc305158882"/>
      <w:r/>
      <w:bookmarkStart w:id="567" w:name="_Toc127151540"/>
      <w:r/>
      <w:bookmarkStart w:id="568" w:name="_Toc226309784"/>
      <w:r/>
      <w:bookmarkStart w:id="569" w:name="_Toc164229235"/>
      <w:r/>
      <w:bookmarkStart w:id="570" w:name="_Toc151193928"/>
      <w:r/>
      <w:bookmarkStart w:id="571" w:name="_Toc150774640"/>
      <w:r/>
      <w:bookmarkStart w:id="572" w:name="_Toc226965730"/>
      <w:r/>
      <w:bookmarkStart w:id="573" w:name="_Toc151193854"/>
      <w:r/>
      <w:bookmarkStart w:id="574" w:name="_Toc127151741"/>
      <w:r/>
      <w:bookmarkStart w:id="575" w:name="_Toc265228378"/>
      <w:r/>
      <w:bookmarkStart w:id="576" w:name="_Toc264969230"/>
      <w:r/>
      <w:bookmarkStart w:id="577" w:name="_Toc150480778"/>
      <w:r/>
      <w:bookmarkStart w:id="578" w:name="_Toc151193638"/>
      <w:r/>
      <w:bookmarkStart w:id="579" w:name="_Toc151193710"/>
      <w:r/>
      <w:bookmarkStart w:id="580" w:name="_Toc226337236"/>
      <w:r/>
      <w:bookmarkStart w:id="581" w:name="_Toc164351634"/>
      <w:r/>
      <w:bookmarkStart w:id="582" w:name="_Toc150509291"/>
      <w:r/>
      <w:bookmarkStart w:id="583" w:name="_Toc142311042"/>
      <w:r/>
      <w:bookmarkStart w:id="584" w:name="_Toc164608809"/>
      <w:r/>
      <w:bookmarkStart w:id="585" w:name="_Toc151190167"/>
      <w:r/>
      <w:bookmarkStart w:id="586" w:name="_Toc195842905"/>
      <w:r/>
      <w:bookmarkStart w:id="587" w:name="_Toc150774745"/>
      <w:r/>
      <w:bookmarkStart w:id="588" w:name="_Toc149720833"/>
      <w:r/>
      <w:bookmarkStart w:id="589" w:name="_Toc164229381"/>
      <w:r/>
      <w:bookmarkStart w:id="590" w:name="_Toc151193782"/>
      <w:r/>
      <w:bookmarkStart w:id="591" w:name="_Toc164608654"/>
      <w:r>
        <w:rPr>
          <w:color w:val="auto"/>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44"/>
        <w:spacing w:before="0" w:line="360" w:lineRule="auto"/>
        <w:rPr>
          <w:rFonts w:ascii="Times New Roman" w:hAnsi="Times New Roman" w:eastAsia="宋体"/>
          <w:color w:val="auto"/>
          <w:sz w:val="28"/>
          <w:highlight w:val="none"/>
        </w:rPr>
      </w:pPr>
      <w:r/>
      <w:bookmarkStart w:id="594" w:name="_Toc151193715"/>
      <w:r/>
      <w:bookmarkStart w:id="595" w:name="_Toc150509296"/>
      <w:r/>
      <w:bookmarkStart w:id="596" w:name="_Toc226965818"/>
      <w:r/>
      <w:bookmarkStart w:id="597" w:name="_Toc151193933"/>
      <w:r/>
      <w:bookmarkStart w:id="598" w:name="_Toc226337241"/>
      <w:r/>
      <w:bookmarkStart w:id="599" w:name="_Toc151193859"/>
      <w:r/>
      <w:bookmarkStart w:id="600" w:name="_Toc195842910"/>
      <w:r/>
      <w:bookmarkStart w:id="601" w:name="_Toc226309789"/>
      <w:r/>
      <w:bookmarkStart w:id="602" w:name="_Toc151190172"/>
      <w:r/>
      <w:bookmarkStart w:id="603" w:name="_Toc150480783"/>
      <w:r/>
      <w:bookmarkStart w:id="604" w:name="_Toc151193643"/>
      <w:r/>
      <w:bookmarkStart w:id="605" w:name="_Toc226965735"/>
      <w:r/>
      <w:bookmarkStart w:id="606" w:name="_Toc150774750"/>
      <w:r/>
      <w:bookmarkStart w:id="607" w:name="_Toc305158813"/>
      <w:r/>
      <w:bookmarkStart w:id="608" w:name="_Toc264969235"/>
      <w:r/>
      <w:bookmarkStart w:id="609" w:name="_Toc127151545"/>
      <w:r/>
      <w:bookmarkStart w:id="610" w:name="_Toc305158887"/>
      <w:r/>
      <w:bookmarkStart w:id="611" w:name="_Toc150774645"/>
      <w:r/>
      <w:bookmarkStart w:id="612" w:name="_Toc151193787"/>
      <w:r/>
      <w:bookmarkStart w:id="613" w:name="_Toc142311047"/>
      <w:r/>
      <w:bookmarkStart w:id="614" w:name="_Toc265228383"/>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42311049"/>
      <w:r/>
      <w:bookmarkStart w:id="616" w:name="_Toc226309791"/>
      <w:r/>
      <w:bookmarkStart w:id="617" w:name="_Toc164608661"/>
      <w:r/>
      <w:bookmarkStart w:id="618" w:name="_Toc150480785"/>
      <w:r/>
      <w:bookmarkStart w:id="619" w:name="_Toc265228385"/>
      <w:r/>
      <w:bookmarkStart w:id="620" w:name="_Toc164229242"/>
      <w:r/>
      <w:bookmarkStart w:id="621" w:name="_Toc264969237"/>
      <w:r/>
      <w:bookmarkStart w:id="622" w:name="_Toc151193861"/>
      <w:r/>
      <w:bookmarkStart w:id="623" w:name="_Toc150774752"/>
      <w:r/>
      <w:bookmarkStart w:id="624" w:name="_Toc151190174"/>
      <w:r/>
      <w:bookmarkStart w:id="625" w:name="_Toc151193645"/>
      <w:r/>
      <w:bookmarkStart w:id="626" w:name="_Toc226965820"/>
      <w:r/>
      <w:bookmarkStart w:id="627" w:name="_Toc305158815"/>
      <w:r/>
      <w:bookmarkStart w:id="628" w:name="_Toc195842912"/>
      <w:r/>
      <w:bookmarkStart w:id="629" w:name="_Toc127161461"/>
      <w:r/>
      <w:bookmarkStart w:id="630" w:name="_Toc226337243"/>
      <w:r/>
      <w:bookmarkStart w:id="631" w:name="_Toc305158889"/>
      <w:r/>
      <w:bookmarkStart w:id="632" w:name="_Toc151193789"/>
      <w:r/>
      <w:bookmarkStart w:id="633" w:name="_Toc164608816"/>
      <w:r/>
      <w:bookmarkStart w:id="634" w:name="_Toc164229388"/>
      <w:r/>
      <w:bookmarkStart w:id="635" w:name="_Toc150509298"/>
      <w:r/>
      <w:bookmarkStart w:id="636" w:name="_Toc151193717"/>
      <w:r/>
      <w:bookmarkStart w:id="637" w:name="_Toc164351641"/>
      <w:r/>
      <w:bookmarkStart w:id="638" w:name="_Toc151193935"/>
      <w:r/>
      <w:bookmarkStart w:id="639" w:name="_Toc149720840"/>
      <w:r/>
      <w:bookmarkStart w:id="640" w:name="_Toc226965737"/>
      <w:r/>
      <w:bookmarkStart w:id="641" w:name="_Toc127151748"/>
      <w:r/>
      <w:bookmarkStart w:id="642" w:name="_Toc150774647"/>
      <w:r/>
      <w:bookmarkStart w:id="643" w:name="_Toc127151547"/>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644" w:name="_Toc305158817"/>
      <w:r/>
      <w:bookmarkStart w:id="645" w:name="_Toc305158891"/>
      <w:r/>
      <w:bookmarkStart w:id="646" w:name="_Toc150774649"/>
      <w:r/>
      <w:bookmarkStart w:id="647" w:name="_Toc226965739"/>
      <w:r/>
      <w:bookmarkStart w:id="648" w:name="_Toc164229244"/>
      <w:r/>
      <w:bookmarkStart w:id="649" w:name="_Toc142311051"/>
      <w:r/>
      <w:bookmarkStart w:id="650" w:name="_Toc151193647"/>
      <w:r/>
      <w:bookmarkStart w:id="651" w:name="_Toc164608663"/>
      <w:r/>
      <w:bookmarkStart w:id="652" w:name="_Toc195842914"/>
      <w:r/>
      <w:bookmarkStart w:id="653" w:name="_Toc150509300"/>
      <w:r/>
      <w:bookmarkStart w:id="654" w:name="_Toc265228387"/>
      <w:r/>
      <w:bookmarkStart w:id="655" w:name="_Toc151193791"/>
      <w:r/>
      <w:bookmarkStart w:id="656" w:name="_Toc150774754"/>
      <w:r/>
      <w:bookmarkStart w:id="657" w:name="_Toc164229390"/>
      <w:r/>
      <w:bookmarkStart w:id="658" w:name="_Toc164608818"/>
      <w:r/>
      <w:bookmarkStart w:id="659" w:name="_Toc127151750"/>
      <w:r/>
      <w:bookmarkStart w:id="660" w:name="_Toc226309793"/>
      <w:r/>
      <w:bookmarkStart w:id="661" w:name="_Toc226337245"/>
      <w:r/>
      <w:bookmarkStart w:id="662" w:name="_Toc151193863"/>
      <w:r/>
      <w:bookmarkStart w:id="663" w:name="_Toc127151549"/>
      <w:r/>
      <w:bookmarkStart w:id="664" w:name="_Toc164351643"/>
      <w:r/>
      <w:bookmarkStart w:id="665" w:name="_Toc127161463"/>
      <w:r/>
      <w:bookmarkStart w:id="666" w:name="_Toc151193719"/>
      <w:r/>
      <w:bookmarkStart w:id="667" w:name="_Toc149720842"/>
      <w:r/>
      <w:bookmarkStart w:id="668" w:name="_Toc151190176"/>
      <w:r/>
      <w:bookmarkStart w:id="669" w:name="_Toc150480787"/>
      <w:r/>
      <w:bookmarkStart w:id="670" w:name="_Toc226965822"/>
      <w:r/>
      <w:bookmarkStart w:id="671" w:name="_Toc151193937"/>
      <w:r/>
      <w:bookmarkStart w:id="672" w:name="_Toc264969239"/>
      <w:r/>
      <w:bookmarkStart w:id="673" w:name="_Ref467307090"/>
      <w:r/>
      <w:bookmarkStart w:id="674" w:name="_Ref467306425"/>
      <w:r/>
      <w:bookmarkStart w:id="675" w:name="_Toc520356176"/>
      <w:r>
        <w:rPr>
          <w:color w:val="auto"/>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8"/>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8"/>
        </w:numPr>
        <w:spacing w:line="360" w:lineRule="auto"/>
        <w:rPr>
          <w:rFonts w:hint="eastAsia"/>
          <w:color w:val="auto"/>
          <w:sz w:val="24"/>
          <w:highlight w:val="none"/>
        </w:rPr>
      </w:pPr>
      <w:r>
        <w:rPr>
          <w:color w:val="auto"/>
          <w:sz w:val="24"/>
          <w:highlight w:val="none"/>
        </w:rPr>
        <w:t xml:space="preserve">因重大变故，采购任务取消的。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color w:val="auto"/>
          <w:sz w:val="24"/>
          <w:highlight w:val="none"/>
        </w:rPr>
        <w:outlineLvl w:val="1"/>
      </w:pPr>
      <w:r/>
      <w:bookmarkStart w:id="676" w:name="_Toc150480788"/>
      <w:r/>
      <w:bookmarkStart w:id="677" w:name="_Toc151193792"/>
      <w:r/>
      <w:bookmarkStart w:id="678" w:name="_Toc305158892"/>
      <w:r/>
      <w:bookmarkStart w:id="679" w:name="_Toc151193720"/>
      <w:r/>
      <w:bookmarkStart w:id="680" w:name="_Toc164608664"/>
      <w:r/>
      <w:bookmarkStart w:id="681" w:name="_Toc164229245"/>
      <w:r/>
      <w:bookmarkStart w:id="682" w:name="_Toc305158818"/>
      <w:r/>
      <w:bookmarkStart w:id="683" w:name="_Toc151190177"/>
      <w:r/>
      <w:bookmarkStart w:id="684" w:name="_Toc127151751"/>
      <w:r/>
      <w:bookmarkStart w:id="685" w:name="_Ref467306377"/>
      <w:r/>
      <w:bookmarkStart w:id="686" w:name="_Toc149720843"/>
      <w:r/>
      <w:bookmarkStart w:id="687" w:name="_Toc195842915"/>
      <w:r/>
      <w:bookmarkStart w:id="688" w:name="_Toc150774650"/>
      <w:r/>
      <w:bookmarkStart w:id="689" w:name="_Toc127151550"/>
      <w:r/>
      <w:bookmarkStart w:id="690" w:name="_Toc151193648"/>
      <w:r/>
      <w:bookmarkStart w:id="691" w:name="_Toc150774755"/>
      <w:r/>
      <w:bookmarkStart w:id="692" w:name="_Toc151193864"/>
      <w:r/>
      <w:bookmarkStart w:id="693" w:name="_Toc150509301"/>
      <w:r/>
      <w:bookmarkStart w:id="694" w:name="_Toc226965823"/>
      <w:r/>
      <w:bookmarkStart w:id="695" w:name="_Toc164608819"/>
      <w:r/>
      <w:bookmarkStart w:id="696" w:name="_Toc226965740"/>
      <w:r/>
      <w:bookmarkStart w:id="697" w:name="_Toc164351644"/>
      <w:r/>
      <w:bookmarkStart w:id="698" w:name="_Toc226309794"/>
      <w:r/>
      <w:bookmarkStart w:id="699" w:name="_Ref467307204"/>
      <w:r/>
      <w:bookmarkStart w:id="700" w:name="_Toc164229391"/>
      <w:r/>
      <w:bookmarkStart w:id="701" w:name="_Toc151193938"/>
      <w:r/>
      <w:bookmarkStart w:id="702" w:name="_Toc265228388"/>
      <w:r/>
      <w:bookmarkStart w:id="703" w:name="_Toc142311052"/>
      <w:r/>
      <w:bookmarkStart w:id="704" w:name="_Ref467307062"/>
      <w:r/>
      <w:bookmarkStart w:id="705" w:name="_Toc127161464"/>
      <w:r/>
      <w:bookmarkStart w:id="706" w:name="_Toc520356175"/>
      <w:r/>
      <w:bookmarkStart w:id="707" w:name="_Toc264969240"/>
      <w:r/>
      <w:bookmarkStart w:id="708" w:name="_Ref467306978"/>
      <w:r/>
      <w:bookmarkStart w:id="709" w:name="_Toc226337246"/>
      <w:r>
        <w:rPr>
          <w:color w:val="auto"/>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rFonts w:hint="eastAsia"/>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220"/>
          <w:color w:val="auto"/>
          <w:highlight w:val="none"/>
        </w:rPr>
        <w:t xml:space="preserve">http://gk</w:t>
      </w:r>
      <w:bookmarkStart w:id="710" w:name="_Hlt100654014"/>
      <w:r>
        <w:rPr>
          <w:rStyle w:val="1220"/>
          <w:color w:val="auto"/>
          <w:highlight w:val="none"/>
        </w:rPr>
        <w:t xml:space="preserve">s</w:t>
      </w:r>
      <w:bookmarkEnd w:id="710"/>
      <w:r>
        <w:rPr>
          <w:rStyle w:val="1220"/>
          <w:color w:val="auto"/>
          <w:highlight w:val="none"/>
        </w:rPr>
        <w:t xml:space="preserve">.m</w:t>
      </w:r>
      <w:bookmarkStart w:id="711" w:name="_Hlt100653994"/>
      <w:r/>
      <w:bookmarkStart w:id="712" w:name="_Hlt100653993"/>
      <w:r>
        <w:rPr>
          <w:rStyle w:val="1220"/>
          <w:color w:val="auto"/>
          <w:highlight w:val="none"/>
        </w:rPr>
        <w:t xml:space="preserve">o</w:t>
      </w:r>
      <w:bookmarkEnd w:id="711"/>
      <w:r/>
      <w:bookmarkEnd w:id="712"/>
      <w:r>
        <w:rPr>
          <w:rStyle w:val="1220"/>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采购代理服务费开票方式：江苏增值税普通发票。</w:t>
      </w:r>
      <w:r/>
    </w:p>
    <w:p>
      <w:pPr>
        <w:jc w:val="center"/>
        <w:spacing w:line="360" w:lineRule="auto"/>
        <w:rPr>
          <w:b/>
          <w:color w:val="auto"/>
          <w:sz w:val="36"/>
          <w:szCs w:val="36"/>
          <w:highlight w:val="none"/>
        </w:rPr>
        <w:outlineLvl w:val="0"/>
      </w:pPr>
      <w:r/>
      <w:bookmarkStart w:id="713" w:name="_Toc127151554"/>
      <w:r/>
      <w:bookmarkStart w:id="714" w:name="_Toc264969244"/>
      <w:r/>
      <w:bookmarkStart w:id="715" w:name="_Toc265228392"/>
      <w:r/>
      <w:bookmarkStart w:id="716" w:name="_Toc353873934"/>
      <w:r/>
      <w:bookmarkStart w:id="717" w:name="_Toc353825544"/>
      <w:r/>
      <w:bookmarkStart w:id="718" w:name="_Toc150480792"/>
      <w:r/>
      <w:bookmarkStart w:id="719" w:name="_Toc150774759"/>
      <w:r/>
      <w:bookmarkStart w:id="720" w:name="_Toc305158822"/>
      <w:r/>
      <w:bookmarkStart w:id="721" w:name="_Toc142311056"/>
      <w:r/>
      <w:bookmarkStart w:id="722" w:name="_Toc305158896"/>
      <w:r/>
      <w:bookmarkStart w:id="723" w:name="_Toc226965827"/>
      <w:r/>
      <w:bookmarkStart w:id="724" w:name="_Toc353873664"/>
      <w:r/>
      <w:bookmarkStart w:id="725" w:name="_Toc226337250"/>
      <w:r>
        <w:rPr>
          <w:color w:val="auto"/>
          <w:sz w:val="24"/>
          <w:highlight w:val="none"/>
        </w:rPr>
        <w:br w:type="page" w:clear="all"/>
      </w:r>
      <w:bookmarkStart w:id="726" w:name="_Toc99301421"/>
      <w:r>
        <w:rPr>
          <w:rFonts w:ascii="Times New Roman" w:hAnsi="Times New Roman" w:eastAsia="宋体" w:cs="Times New Roman"/>
          <w:b/>
          <w:color w:val="auto"/>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color w:val="auto"/>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color w:val="auto"/>
          <w:sz w:val="24"/>
          <w:highlight w:val="none"/>
        </w:rPr>
        <w:outlineLvl w:val="1"/>
      </w:pPr>
      <w:r/>
      <w:bookmarkStart w:id="728" w:name="_Toc99301422"/>
      <w:r>
        <w:rPr>
          <w:b/>
          <w:color w:val="auto"/>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1"/>
        </w:numPr>
        <w:ind w:left="426" w:hanging="426"/>
        <w:spacing w:line="360" w:lineRule="auto"/>
        <w:tabs>
          <w:tab w:val="left" w:pos="426" w:leader="none"/>
          <w:tab w:val="left" w:pos="851"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color w:val="auto"/>
                <w:sz w:val="24"/>
                <w:highlight w:val="none"/>
              </w:rPr>
            </w:pPr>
            <w:r/>
            <w:bookmarkStart w:id="729" w:name="_Hlt487972895"/>
            <w:r/>
            <w:bookmarkEnd w:id="729"/>
            <w:r>
              <w:rPr>
                <w:b/>
                <w:color w:val="auto"/>
                <w:sz w:val="24"/>
                <w:highlight w:val="none"/>
              </w:rPr>
              <w:t xml:space="preserve">序号</w:t>
            </w:r>
            <w:r/>
          </w:p>
        </w:tc>
        <w:tc>
          <w:tcPr>
            <w:tcW w:w="106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2595"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6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其他</w:t>
            </w:r>
            <w:r>
              <w:rPr>
                <w:color w:val="auto"/>
                <w:sz w:val="24"/>
                <w:highlight w:val="none"/>
              </w:rPr>
              <w:t xml:space="preserve">落实政府采购政策的资格要求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548"/>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联合体各成员单位均须提供本表中序号1-1、1-2的证明文件。</w:t>
            </w:r>
            <w:r/>
          </w:p>
          <w:p>
            <w:pPr>
              <w:tabs>
                <w:tab w:val="left" w:pos="1080" w:leader="none"/>
              </w:tabs>
              <w:rPr>
                <w:color w:val="auto"/>
                <w:sz w:val="24"/>
                <w:highlight w:val="none"/>
              </w:rPr>
            </w:pPr>
            <w:r>
              <w:rPr>
                <w:rFonts w:hint="eastAsia"/>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w:t>
            </w:r>
            <w:r>
              <w:rPr>
                <w:b/>
                <w:color w:val="auto"/>
                <w:sz w:val="24"/>
                <w:highlight w:val="none"/>
              </w:rPr>
              <w:t xml:space="preserve">投标无效</w:t>
            </w:r>
            <w:r>
              <w:rPr>
                <w:color w:val="auto"/>
                <w:sz w:val="24"/>
                <w:highlight w:val="none"/>
              </w:rPr>
              <w:t xml:space="preserve">。</w:t>
            </w:r>
            <w:r/>
          </w:p>
          <w:p>
            <w:pPr>
              <w:tabs>
                <w:tab w:val="left" w:pos="1080" w:leader="none"/>
              </w:tabs>
              <w:rPr>
                <w:color w:val="auto"/>
                <w:sz w:val="24"/>
                <w:highlight w:val="none"/>
              </w:rPr>
            </w:pPr>
            <w:r>
              <w:rPr>
                <w:color w:val="auto"/>
                <w:sz w:val="24"/>
                <w:highlight w:val="none"/>
              </w:rPr>
              <w:t xml:space="preserve">7、本项目不接受联合体投标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06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95"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left"/>
        <w:widowControl/>
        <w:rPr>
          <w:color w:val="auto"/>
          <w:sz w:val="24"/>
          <w:highlight w:val="none"/>
        </w:rPr>
      </w:pPr>
      <w:r/>
      <w:bookmarkStart w:id="730" w:name="_Toc353825550"/>
      <w:r/>
      <w:bookmarkStart w:id="731" w:name="_Toc127151779"/>
      <w:r/>
      <w:bookmarkStart w:id="732" w:name="_Toc353873940"/>
      <w:r/>
      <w:bookmarkStart w:id="733" w:name="_Toc127161490"/>
      <w:r/>
      <w:bookmarkStart w:id="734" w:name="_Toc226965858"/>
      <w:r>
        <w:rPr>
          <w:color w:val="auto"/>
          <w:sz w:val="24"/>
          <w:highlight w:val="none"/>
        </w:rPr>
        <w:br w:type="page" w:clear="all"/>
      </w:r>
      <w:r/>
    </w:p>
    <w:p>
      <w:pPr>
        <w:jc w:val="center"/>
        <w:spacing w:line="360" w:lineRule="auto"/>
        <w:rPr>
          <w:rFonts w:ascii="Times New Roman" w:hAnsi="Times New Roman" w:eastAsia="宋体" w:cs="Times New Roman"/>
          <w:b/>
          <w:color w:val="auto"/>
          <w:sz w:val="36"/>
          <w:szCs w:val="36"/>
          <w:highlight w:val="none"/>
        </w:rPr>
        <w:outlineLvl w:val="0"/>
      </w:pPr>
      <w:r/>
      <w:bookmarkStart w:id="735" w:name="_Toc99301423"/>
      <w:r>
        <w:rPr>
          <w:rFonts w:ascii="Times New Roman" w:hAnsi="Times New Roman" w:eastAsia="宋体" w:cs="Times New Roman"/>
          <w:b/>
          <w:color w:val="auto"/>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color w:val="auto"/>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outlineLvl w:val="1"/>
      </w:pPr>
      <w:r/>
      <w:bookmarkStart w:id="737" w:name="_Toc226337237"/>
      <w:r/>
      <w:bookmarkStart w:id="738" w:name="_Toc226965731"/>
      <w:r/>
      <w:bookmarkStart w:id="739" w:name="_Toc151193639"/>
      <w:r/>
      <w:bookmarkStart w:id="740" w:name="_Toc164608655"/>
      <w:r/>
      <w:bookmarkStart w:id="741" w:name="_Toc151193783"/>
      <w:r/>
      <w:bookmarkStart w:id="742" w:name="_Toc264969231"/>
      <w:r/>
      <w:bookmarkStart w:id="743" w:name="_Toc164229236"/>
      <w:r/>
      <w:bookmarkStart w:id="744" w:name="_Toc151193929"/>
      <w:r/>
      <w:bookmarkStart w:id="745" w:name="_Toc127151742"/>
      <w:r/>
      <w:bookmarkStart w:id="746" w:name="_Toc164608810"/>
      <w:r/>
      <w:bookmarkStart w:id="747" w:name="_Toc265228379"/>
      <w:r/>
      <w:bookmarkStart w:id="748" w:name="_Toc226965814"/>
      <w:r/>
      <w:bookmarkStart w:id="749" w:name="_Toc164229382"/>
      <w:r/>
      <w:bookmarkStart w:id="750" w:name="_Toc305158809"/>
      <w:r/>
      <w:bookmarkStart w:id="751" w:name="_Toc151193711"/>
      <w:r/>
      <w:bookmarkStart w:id="752" w:name="_Toc149720834"/>
      <w:r/>
      <w:bookmarkStart w:id="753" w:name="_Toc195842906"/>
      <w:r/>
      <w:bookmarkStart w:id="754" w:name="_Toc150509292"/>
      <w:r/>
      <w:bookmarkStart w:id="755" w:name="_Toc151190168"/>
      <w:r/>
      <w:bookmarkStart w:id="756" w:name="_Toc142311043"/>
      <w:r/>
      <w:bookmarkStart w:id="757" w:name="_Toc150774746"/>
      <w:r/>
      <w:bookmarkStart w:id="758" w:name="_Toc164351635"/>
      <w:r/>
      <w:bookmarkStart w:id="759" w:name="_Toc150774641"/>
      <w:r/>
      <w:bookmarkStart w:id="760" w:name="_Toc305158883"/>
      <w:r/>
      <w:bookmarkStart w:id="761" w:name="_Toc151193855"/>
      <w:r/>
      <w:bookmarkStart w:id="762" w:name="_Toc127151541"/>
      <w:r/>
      <w:bookmarkStart w:id="763" w:name="_Toc127161455"/>
      <w:r/>
      <w:bookmarkStart w:id="764" w:name="_Toc150480779"/>
      <w:r/>
      <w:bookmarkStart w:id="765" w:name="_Toc226309785"/>
      <w:r/>
      <w:bookmarkStart w:id="766" w:name="_Toc353873941"/>
      <w:r/>
      <w:bookmarkStart w:id="767" w:name="_Toc353825551"/>
      <w:r/>
      <w:bookmarkStart w:id="768" w:name="_Toc150774760"/>
      <w:r/>
      <w:bookmarkStart w:id="769" w:name="_Toc353873935"/>
      <w:r/>
      <w:bookmarkStart w:id="770" w:name="_Toc195842920"/>
      <w:r/>
      <w:bookmarkStart w:id="771" w:name="_Toc226965828"/>
      <w:r/>
      <w:bookmarkStart w:id="772" w:name="_Toc305158897"/>
      <w:r/>
      <w:bookmarkStart w:id="773" w:name="_Toc142311057"/>
      <w:r/>
      <w:bookmarkStart w:id="774" w:name="_Toc226337251"/>
      <w:r/>
      <w:bookmarkStart w:id="775" w:name="_Toc150480793"/>
      <w:r/>
      <w:bookmarkStart w:id="776" w:name="_Toc305158823"/>
      <w:r/>
      <w:bookmarkStart w:id="777" w:name="_Toc127151555"/>
      <w:r/>
      <w:bookmarkStart w:id="778" w:name="_Toc265228393"/>
      <w:r/>
      <w:bookmarkStart w:id="779" w:name="_Toc353873665"/>
      <w:r/>
      <w:bookmarkStart w:id="780" w:name="_Toc264969245"/>
      <w:r/>
      <w:bookmarkStart w:id="781" w:name="_Toc353825545"/>
      <w:r>
        <w:rPr>
          <w:color w:val="auto"/>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2"/>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auto"/>
                <w:sz w:val="24"/>
              </w:rPr>
            </w:pPr>
            <w:r>
              <w:rPr>
                <w:rFonts w:hint="default"/>
                <w:b/>
                <w:color w:val="auto"/>
                <w:sz w:val="24"/>
              </w:rPr>
              <w:t xml:space="preserve">序号</w:t>
            </w:r>
            <w:r/>
          </w:p>
        </w:tc>
        <w:tc>
          <w:tcPr>
            <w:tcW w:w="976" w:type="pct"/>
            <w:vAlign w:val="center"/>
            <w:textDirection w:val="lrTb"/>
            <w:noWrap w:val="false"/>
          </w:tcPr>
          <w:p>
            <w:pPr>
              <w:jc w:val="center"/>
              <w:widowControl/>
              <w:rPr>
                <w:rFonts w:hint="default"/>
                <w:b/>
                <w:color w:val="auto"/>
                <w:sz w:val="24"/>
              </w:rPr>
            </w:pPr>
            <w:r>
              <w:rPr>
                <w:rFonts w:hint="default"/>
                <w:b/>
                <w:color w:val="auto"/>
                <w:sz w:val="24"/>
              </w:rPr>
              <w:t xml:space="preserve">审查因素</w:t>
            </w:r>
            <w:r/>
          </w:p>
        </w:tc>
        <w:tc>
          <w:tcPr>
            <w:tcW w:w="3620" w:type="pct"/>
            <w:vAlign w:val="center"/>
            <w:textDirection w:val="lrTb"/>
            <w:noWrap w:val="false"/>
          </w:tcPr>
          <w:p>
            <w:pPr>
              <w:jc w:val="center"/>
              <w:widowControl/>
              <w:rPr>
                <w:rFonts w:hint="default"/>
                <w:b/>
                <w:color w:val="auto"/>
                <w:sz w:val="24"/>
              </w:rPr>
            </w:pPr>
            <w:r>
              <w:rPr>
                <w:rFonts w:hint="default"/>
                <w:b/>
                <w:color w:val="auto"/>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投标函、法定代表人资格证明书和政府采购供应商信用承诺书</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按招标文件要求提供</w:t>
            </w:r>
            <w:r>
              <w:rPr>
                <w:rFonts w:hint="eastAsia"/>
                <w:color w:val="auto"/>
                <w:sz w:val="24"/>
              </w:rPr>
              <w:t xml:space="preserve">投标函、法定代表人资格证明书和政府采购供应商信用承诺书</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投标完整性</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未</w:t>
            </w:r>
            <w:r>
              <w:rPr>
                <w:rFonts w:hint="default"/>
                <w:color w:val="auto"/>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投标报价</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投标报价</w:t>
            </w:r>
            <w:r>
              <w:rPr>
                <w:rFonts w:hint="eastAsia"/>
                <w:color w:val="auto"/>
                <w:sz w:val="24"/>
              </w:rPr>
              <w:t xml:space="preserve">未</w:t>
            </w:r>
            <w:r>
              <w:rPr>
                <w:rFonts w:hint="default"/>
                <w:color w:val="auto"/>
                <w:sz w:val="24"/>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报价唯一性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未出现可选择性或可调整的报价（招标文件另有规定的除外）</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投标有效期</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投标文件中承诺的投标有效期</w:t>
            </w:r>
            <w:r>
              <w:rPr>
                <w:rFonts w:hint="eastAsia"/>
                <w:color w:val="auto"/>
                <w:sz w:val="24"/>
              </w:rPr>
              <w:t xml:space="preserve">满足</w:t>
            </w:r>
            <w:r>
              <w:rPr>
                <w:rFonts w:hint="default"/>
                <w:color w:val="auto"/>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签署、加盖公章</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7</w:t>
            </w:r>
            <w:r/>
          </w:p>
        </w:tc>
        <w:tc>
          <w:tcPr>
            <w:tcW w:w="976" w:type="pct"/>
            <w:vAlign w:val="center"/>
            <w:textDirection w:val="lrTb"/>
            <w:noWrap w:val="false"/>
          </w:tcPr>
          <w:p>
            <w:pPr>
              <w:jc w:val="left"/>
              <w:widowControl/>
              <w:rPr>
                <w:rFonts w:hint="default"/>
                <w:color w:val="auto"/>
                <w:sz w:val="24"/>
              </w:rPr>
            </w:pPr>
            <w:r>
              <w:rPr>
                <w:rFonts w:hint="eastAsia"/>
                <w:color w:val="auto"/>
                <w:sz w:val="24"/>
              </w:rPr>
              <w:t xml:space="preserve">实质性格式</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标记为</w:t>
            </w:r>
            <w:r>
              <w:rPr>
                <w:rFonts w:hint="default"/>
                <w:color w:val="auto"/>
                <w:sz w:val="24"/>
              </w:rPr>
              <w:t xml:space="preserve">“实质性格式”的</w:t>
            </w:r>
            <w:r>
              <w:rPr>
                <w:rFonts w:hint="eastAsia"/>
                <w:color w:val="auto"/>
                <w:sz w:val="24"/>
              </w:rPr>
              <w:t xml:space="preserve">文件均按</w:t>
            </w:r>
            <w:r>
              <w:rPr>
                <w:rFonts w:hint="default"/>
                <w:color w:val="auto"/>
                <w:sz w:val="24"/>
              </w:rPr>
              <w:t xml:space="preserve">招标文件</w:t>
            </w:r>
            <w:r>
              <w:rPr>
                <w:rFonts w:hint="eastAsia"/>
                <w:color w:val="auto"/>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ascii="Segoe UI Symbol" w:hAnsi="Segoe UI Symbol" w:cs="Segoe UI Symbol"/>
                <w:color w:val="auto"/>
                <w:sz w:val="24"/>
              </w:rPr>
              <w:t xml:space="preserve">★</w:t>
            </w:r>
            <w:r>
              <w:rPr>
                <w:rFonts w:hint="default"/>
                <w:color w:val="auto"/>
                <w:sz w:val="24"/>
              </w:rPr>
              <w:t xml:space="preserve">号条款响应</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投标文件满足招标文件第五章《采购需求》中</w:t>
            </w:r>
            <w:r>
              <w:rPr>
                <w:rFonts w:hint="default" w:ascii="Segoe UI Symbol" w:hAnsi="Segoe UI Symbol" w:cs="Segoe UI Symbol"/>
                <w:color w:val="auto"/>
                <w:sz w:val="24"/>
              </w:rPr>
              <w:t xml:space="preserve">★</w:t>
            </w:r>
            <w:r>
              <w:rPr>
                <w:rFonts w:hint="default"/>
                <w:color w:val="auto"/>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9</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分包承担主体资质（如有）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分包承担主体具备《投标人须知资料表》载明的资质条件</w:t>
            </w:r>
            <w:r>
              <w:rPr>
                <w:rFonts w:hint="eastAsia"/>
                <w:color w:val="auto"/>
                <w:sz w:val="24"/>
              </w:rPr>
              <w:t xml:space="preserve">且</w:t>
            </w:r>
            <w:r>
              <w:rPr>
                <w:rFonts w:hint="default"/>
                <w:color w:val="auto"/>
                <w:sz w:val="24"/>
              </w:rPr>
              <w:t xml:space="preserve">提供</w:t>
            </w:r>
            <w:r>
              <w:rPr>
                <w:rFonts w:hint="eastAsia"/>
                <w:color w:val="auto"/>
                <w:sz w:val="24"/>
              </w:rPr>
              <w:t xml:space="preserve">了</w:t>
            </w:r>
            <w:r>
              <w:rPr>
                <w:rFonts w:hint="default"/>
                <w:color w:val="auto"/>
                <w:sz w:val="24"/>
              </w:rPr>
              <w:t xml:space="preserve">资质证书电子件</w:t>
            </w:r>
            <w:r>
              <w:rPr>
                <w:rFonts w:hint="eastAsia"/>
                <w:color w:val="auto"/>
                <w:sz w:val="24"/>
              </w:rPr>
              <w:t xml:space="preserve">（如有）</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10</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分包意向协议</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按招标文件规定签订并提供分包意向协议原件的电子件的；</w:t>
            </w:r>
            <w:r>
              <w:rPr>
                <w:rFonts w:hint="eastAsia"/>
                <w:color w:val="auto"/>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11</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报价的修正（如有）</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不涉及报价修正</w:t>
            </w:r>
            <w:r>
              <w:rPr>
                <w:rFonts w:hint="default"/>
                <w:color w:val="auto"/>
                <w:sz w:val="24"/>
              </w:rPr>
              <w:t xml:space="preserve">，或投标文件报价出现前后不一致</w:t>
            </w:r>
            <w:r>
              <w:rPr>
                <w:rFonts w:hint="eastAsia"/>
                <w:color w:val="auto"/>
                <w:sz w:val="24"/>
              </w:rPr>
              <w:t xml:space="preserve">时</w:t>
            </w:r>
            <w:r>
              <w:rPr>
                <w:rFonts w:hint="default"/>
                <w:color w:val="auto"/>
                <w:sz w:val="24"/>
              </w:rPr>
              <w:t xml:space="preserve">，投标人对修正后的报价予</w:t>
            </w:r>
            <w:r>
              <w:rPr>
                <w:rFonts w:hint="eastAsia"/>
                <w:color w:val="auto"/>
                <w:sz w:val="24"/>
              </w:rPr>
              <w:t xml:space="preserve">以</w:t>
            </w:r>
            <w:r>
              <w:rPr>
                <w:rFonts w:hint="default"/>
                <w:color w:val="auto"/>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12</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报价合理性</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报价合理，或</w:t>
            </w:r>
            <w:r>
              <w:rPr>
                <w:rFonts w:hint="eastAsia"/>
                <w:color w:val="auto"/>
                <w:sz w:val="24"/>
              </w:rPr>
              <w:t xml:space="preserve">投标人的报价明显低于其他通过符合性审查投标人的报价，</w:t>
            </w:r>
            <w:r>
              <w:rPr>
                <w:rFonts w:hint="default"/>
                <w:color w:val="auto"/>
                <w:sz w:val="24"/>
              </w:rPr>
              <w:t xml:space="preserve">有可能影响产品质量或者不能诚信履约的</w:t>
            </w:r>
            <w:r>
              <w:rPr>
                <w:rFonts w:hint="eastAsia"/>
                <w:color w:val="auto"/>
                <w:sz w:val="24"/>
              </w:rPr>
              <w:t xml:space="preserve">，能够应评标委员会要求在规定时间内证明其报价合理性的</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13</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进口产品</w:t>
            </w:r>
            <w:r/>
          </w:p>
          <w:p>
            <w:pPr>
              <w:jc w:val="left"/>
              <w:widowControl/>
              <w:rPr>
                <w:rFonts w:hint="default"/>
                <w:color w:val="auto"/>
                <w:sz w:val="24"/>
              </w:rPr>
            </w:pPr>
            <w:r>
              <w:rPr>
                <w:rFonts w:hint="default"/>
                <w:color w:val="auto"/>
                <w:sz w:val="24"/>
              </w:rPr>
              <w:t xml:space="preserve">（如有）</w:t>
            </w:r>
            <w:r/>
          </w:p>
        </w:tc>
        <w:tc>
          <w:tcPr>
            <w:tcW w:w="3620" w:type="pct"/>
            <w:vAlign w:val="center"/>
            <w:textDirection w:val="lrTb"/>
            <w:noWrap w:val="false"/>
          </w:tcPr>
          <w:p>
            <w:pPr>
              <w:jc w:val="left"/>
              <w:widowControl/>
              <w:rPr>
                <w:rFonts w:hint="default"/>
                <w:color w:val="auto"/>
                <w:sz w:val="24"/>
              </w:rPr>
            </w:pPr>
            <w:r>
              <w:rPr>
                <w:rFonts w:hint="eastAsia" w:ascii="宋体" w:hAnsi="宋体"/>
                <w:color w:val="auto"/>
                <w:sz w:val="24"/>
              </w:rPr>
              <w:t xml:space="preserve">招标文件</w:t>
            </w:r>
            <w:r>
              <w:rPr>
                <w:rFonts w:hint="default" w:ascii="宋体" w:hAnsi="宋体"/>
                <w:color w:val="auto"/>
                <w:sz w:val="24"/>
              </w:rPr>
              <w:t xml:space="preserve">不接受进口产品投标</w:t>
            </w:r>
            <w:r>
              <w:rPr>
                <w:rFonts w:hint="eastAsia" w:ascii="宋体" w:hAnsi="宋体"/>
                <w:color w:val="auto"/>
                <w:sz w:val="24"/>
              </w:rPr>
              <w:t xml:space="preserve">的内容时</w:t>
            </w:r>
            <w:r>
              <w:rPr>
                <w:rFonts w:hint="default" w:ascii="宋体" w:hAnsi="宋体"/>
                <w:color w:val="auto"/>
                <w:sz w:val="24"/>
              </w:rPr>
              <w:t xml:space="preserve">，</w:t>
            </w:r>
            <w:r>
              <w:rPr>
                <w:rFonts w:hint="eastAsia" w:ascii="宋体" w:hAnsi="宋体"/>
                <w:color w:val="auto"/>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14</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国家有关部门对投标人的投标产品有强制性规定或要求的（如相应技术、安全、节能和环保等），投标人的投标产品</w:t>
            </w:r>
            <w:r>
              <w:rPr>
                <w:rFonts w:hint="eastAsia"/>
                <w:color w:val="auto"/>
                <w:sz w:val="24"/>
              </w:rPr>
              <w:t xml:space="preserve">应</w:t>
            </w:r>
            <w:r>
              <w:rPr>
                <w:rFonts w:hint="default"/>
                <w:color w:val="auto"/>
                <w:sz w:val="24"/>
              </w:rPr>
              <w:t xml:space="preserve">符合相应规定或要求</w:t>
            </w:r>
            <w:r>
              <w:rPr>
                <w:rFonts w:hint="eastAsia"/>
                <w:color w:val="auto"/>
                <w:sz w:val="24"/>
              </w:rPr>
              <w:t xml:space="preserve">，并提供证明文件电子件：</w:t>
            </w:r>
            <w:r/>
          </w:p>
          <w:p>
            <w:pPr>
              <w:jc w:val="left"/>
              <w:widowControl/>
              <w:rPr>
                <w:rFonts w:hint="default"/>
                <w:color w:val="auto"/>
                <w:sz w:val="24"/>
              </w:rPr>
            </w:pPr>
            <w:r>
              <w:rPr>
                <w:rFonts w:hint="eastAsia"/>
                <w:color w:val="auto"/>
                <w:sz w:val="24"/>
              </w:rPr>
              <w:t xml:space="preserve">1）</w:t>
            </w:r>
            <w:r>
              <w:rPr>
                <w:rFonts w:hint="default"/>
                <w:color w:val="auto"/>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auto"/>
                <w:sz w:val="24"/>
              </w:rPr>
            </w:pPr>
            <w:r>
              <w:rPr>
                <w:rFonts w:hint="eastAsia"/>
                <w:color w:val="auto"/>
                <w:sz w:val="24"/>
              </w:rPr>
              <w:t xml:space="preserve">2）</w:t>
            </w:r>
            <w:r>
              <w:rPr>
                <w:rFonts w:hint="default"/>
                <w:color w:val="auto"/>
                <w:sz w:val="24"/>
              </w:rPr>
              <w:t xml:space="preserve">投标产品如涉及计算机信息系统安全专用产品的，须</w:t>
            </w:r>
            <w:r>
              <w:rPr>
                <w:rFonts w:hint="eastAsia"/>
                <w:color w:val="auto"/>
                <w:sz w:val="24"/>
              </w:rPr>
              <w:t xml:space="preserve">提供</w:t>
            </w:r>
            <w:r>
              <w:rPr>
                <w:rFonts w:hint="default"/>
                <w:color w:val="auto"/>
                <w:sz w:val="24"/>
              </w:rPr>
              <w:t xml:space="preserve">公安部颁发的计算机信息系统安全专用产品销售许可证；</w:t>
            </w:r>
            <w:r/>
          </w:p>
          <w:p>
            <w:pPr>
              <w:jc w:val="left"/>
              <w:widowControl/>
              <w:rPr>
                <w:rFonts w:hint="default"/>
                <w:color w:val="auto"/>
                <w:sz w:val="24"/>
              </w:rPr>
            </w:pPr>
            <w:r>
              <w:rPr>
                <w:rFonts w:hint="default"/>
                <w:color w:val="auto"/>
                <w:sz w:val="24"/>
              </w:rPr>
              <w:t xml:space="preserve">3</w:t>
            </w:r>
            <w:r>
              <w:rPr>
                <w:rFonts w:hint="eastAsia"/>
                <w:color w:val="auto"/>
                <w:sz w:val="24"/>
              </w:rPr>
              <w:t xml:space="preserve">）</w:t>
            </w:r>
            <w:r>
              <w:rPr>
                <w:rFonts w:hint="default"/>
                <w:color w:val="auto"/>
                <w:sz w:val="24"/>
              </w:rPr>
              <w:t xml:space="preserve">投标产品如有属于开展国家信息安全产品认证产品范围的，须</w:t>
            </w:r>
            <w:r>
              <w:rPr>
                <w:rFonts w:hint="eastAsia"/>
                <w:color w:val="auto"/>
                <w:sz w:val="24"/>
              </w:rPr>
              <w:t xml:space="preserve">提供</w:t>
            </w:r>
            <w:r>
              <w:rPr>
                <w:rFonts w:hint="default"/>
                <w:color w:val="auto"/>
                <w:sz w:val="24"/>
              </w:rPr>
              <w:t xml:space="preserve">由中国网络安全审查技术与认证中心（原中国信息安全认证中心）按国家标准认证颁发的有效认证证书等）；</w:t>
            </w:r>
            <w:r/>
          </w:p>
          <w:p>
            <w:pPr>
              <w:jc w:val="left"/>
              <w:widowControl/>
              <w:rPr>
                <w:rFonts w:hint="default"/>
                <w:color w:val="auto"/>
                <w:sz w:val="24"/>
              </w:rPr>
            </w:pPr>
            <w:r>
              <w:rPr>
                <w:rFonts w:hint="eastAsia"/>
                <w:color w:val="auto"/>
                <w:sz w:val="24"/>
              </w:rPr>
              <w:t xml:space="preserve">4）</w:t>
            </w:r>
            <w:r>
              <w:rPr>
                <w:rFonts w:hint="default"/>
                <w:color w:val="auto"/>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15</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公平竞争</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16</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串通投标</w:t>
            </w:r>
            <w:r/>
          </w:p>
        </w:tc>
        <w:tc>
          <w:tcPr>
            <w:tcW w:w="3620" w:type="pct"/>
            <w:vAlign w:val="center"/>
            <w:textDirection w:val="lrTb"/>
            <w:noWrap w:val="false"/>
          </w:tcPr>
          <w:p>
            <w:pPr>
              <w:jc w:val="left"/>
              <w:widowControl/>
              <w:rPr>
                <w:rFonts w:hint="default"/>
                <w:color w:val="auto"/>
                <w:sz w:val="24"/>
              </w:rPr>
            </w:pPr>
            <w:r>
              <w:rPr>
                <w:rFonts w:hint="eastAsia"/>
                <w:color w:val="auto"/>
                <w:sz w:val="24"/>
              </w:rPr>
              <w:t xml:space="preserve">不存在《政府采购货物和服务招标投标管理办法》视为投标人串通投标的情形：（一）不同投标人的投标文件由同一单位或者个人编制</w:t>
            </w:r>
            <w:r>
              <w:rPr>
                <w:rFonts w:hint="eastAsia" w:ascii="宋体" w:hAnsi="宋体"/>
                <w:color w:val="auto"/>
                <w:sz w:val="24"/>
              </w:rPr>
              <w:t xml:space="preserve">（包含使用同一MAC地址的计算机制作电子响应文件的情形）</w:t>
            </w:r>
            <w:r>
              <w:rPr>
                <w:rFonts w:hint="eastAsia"/>
                <w:color w:val="auto"/>
                <w:sz w:val="24"/>
              </w:rPr>
              <w:t xml:space="preserve">；（二）不同投标人委托同一单位或者个人办理投标事宜</w:t>
            </w:r>
            <w:r>
              <w:rPr>
                <w:rFonts w:hint="eastAsia" w:ascii="宋体" w:hAnsi="宋体"/>
                <w:color w:val="auto"/>
                <w:sz w:val="24"/>
              </w:rPr>
              <w:t xml:space="preserve">（包含使用同一MAC地址的计算机提交或者解密电子响应文件的情形）</w:t>
            </w:r>
            <w:r>
              <w:rPr>
                <w:rFonts w:hint="eastAsia"/>
                <w:color w:val="auto"/>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sz w:val="24"/>
              </w:rPr>
              <w:t xml:space="preserve">；</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default"/>
                <w:color w:val="auto"/>
                <w:sz w:val="24"/>
              </w:rPr>
              <w:t xml:space="preserve">17</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附加条件</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投标文件</w:t>
            </w:r>
            <w:r>
              <w:rPr>
                <w:rFonts w:hint="eastAsia"/>
                <w:color w:val="auto"/>
                <w:sz w:val="24"/>
              </w:rPr>
              <w:t xml:space="preserve">未</w:t>
            </w:r>
            <w:r>
              <w:rPr>
                <w:rFonts w:hint="default"/>
                <w:color w:val="auto"/>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default"/>
                <w:color w:val="auto"/>
                <w:sz w:val="24"/>
              </w:rPr>
            </w:pPr>
            <w:r>
              <w:rPr>
                <w:rFonts w:hint="eastAsia"/>
                <w:color w:val="auto"/>
                <w:sz w:val="24"/>
              </w:rPr>
              <w:t xml:space="preserve">1</w:t>
            </w:r>
            <w:r>
              <w:rPr>
                <w:rFonts w:hint="default"/>
                <w:color w:val="auto"/>
                <w:sz w:val="24"/>
              </w:rPr>
              <w:t xml:space="preserve">8</w:t>
            </w:r>
            <w:r/>
          </w:p>
        </w:tc>
        <w:tc>
          <w:tcPr>
            <w:tcW w:w="976" w:type="pct"/>
            <w:vAlign w:val="center"/>
            <w:textDirection w:val="lrTb"/>
            <w:noWrap w:val="false"/>
          </w:tcPr>
          <w:p>
            <w:pPr>
              <w:jc w:val="left"/>
              <w:widowControl/>
              <w:rPr>
                <w:rFonts w:hint="default"/>
                <w:color w:val="auto"/>
                <w:sz w:val="24"/>
              </w:rPr>
            </w:pPr>
            <w:r>
              <w:rPr>
                <w:rFonts w:hint="default"/>
                <w:color w:val="auto"/>
                <w:sz w:val="24"/>
              </w:rPr>
              <w:t xml:space="preserve">其他无效情形</w:t>
            </w:r>
            <w:r/>
          </w:p>
        </w:tc>
        <w:tc>
          <w:tcPr>
            <w:tcW w:w="3620" w:type="pct"/>
            <w:vAlign w:val="center"/>
            <w:textDirection w:val="lrTb"/>
            <w:noWrap w:val="false"/>
          </w:tcPr>
          <w:p>
            <w:pPr>
              <w:jc w:val="left"/>
              <w:widowControl/>
              <w:rPr>
                <w:rFonts w:hint="default"/>
                <w:color w:val="auto"/>
                <w:sz w:val="24"/>
              </w:rPr>
            </w:pPr>
            <w:r>
              <w:rPr>
                <w:rFonts w:hint="default"/>
                <w:color w:val="auto"/>
                <w:sz w:val="24"/>
              </w:rPr>
              <w:t xml:space="preserve">投标人、投标文件</w:t>
            </w:r>
            <w:r>
              <w:rPr>
                <w:rFonts w:hint="eastAsia"/>
                <w:color w:val="auto"/>
                <w:sz w:val="24"/>
              </w:rPr>
              <w:t xml:space="preserve">不存在</w:t>
            </w:r>
            <w:r>
              <w:rPr>
                <w:rFonts w:hint="default"/>
                <w:color w:val="auto"/>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color w:val="auto"/>
          <w:sz w:val="24"/>
          <w:highlight w:val="none"/>
        </w:rPr>
        <w:sectPr>
          <w:headerReference w:type="even" r:id="rId11"/>
          <w:headerReference w:type="first" r:id="rId12"/>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评标过程中，评标委员会将</w:t>
      </w:r>
      <w:r>
        <w:rPr>
          <w:rFonts w:hint="eastAsia"/>
          <w:color w:val="auto"/>
          <w:sz w:val="24"/>
          <w:highlight w:val="none"/>
        </w:rPr>
        <w:t xml:space="preserve">通过</w:t>
      </w:r>
      <w:r>
        <w:rPr>
          <w:rFonts w:hint="eastAsia"/>
          <w:color w:val="auto"/>
          <w:sz w:val="24"/>
          <w:highlight w:val="none"/>
          <w:lang w:bidi="ar"/>
        </w:rPr>
        <w:t xml:space="preserve">政府采购一体化平台“苏采云”</w:t>
      </w:r>
      <w:r>
        <w:rPr>
          <w:rFonts w:hint="eastAsia"/>
          <w:color w:val="auto"/>
          <w:sz w:val="24"/>
          <w:highlight w:val="none"/>
        </w:rPr>
        <w:t xml:space="preserve">系统</w:t>
      </w:r>
      <w:r>
        <w:rPr>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 xml:space="preserve">电子</w:t>
      </w:r>
      <w:r>
        <w:rPr>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0"/>
        </w:numPr>
        <w:ind w:firstLine="48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2.6    政府采购评审中出现下列情形之一的，评审委员会应当启动异常低价投标（响应）审查程序：</w:t>
      </w:r>
      <w:r/>
    </w:p>
    <w:p>
      <w:pPr>
        <w:numPr>
          <w:ilvl w:val="0"/>
          <w:numId w:val="0"/>
        </w:numPr>
        <w:ind w:firstLine="960"/>
        <w:spacing w:line="360" w:lineRule="auto"/>
        <w:tabs>
          <w:tab w:val="left" w:pos="1080" w:leader="none"/>
          <w:tab w:val="left" w:pos="1589" w:leader="none"/>
          <w:tab w:val="left" w:pos="2014" w:leader="none"/>
        </w:tabs>
        <w:rPr>
          <w:rFonts w:hint="eastAsia"/>
          <w:color w:val="c00000"/>
          <w:sz w:val="24"/>
          <w:highlight w:val="none"/>
        </w:rPr>
      </w:pPr>
      <w:r>
        <w:rPr>
          <w:rFonts w:hint="eastAsia"/>
          <w:color w:val="c00000"/>
          <w:sz w:val="24"/>
          <w:highlight w:val="none"/>
        </w:rPr>
        <w:t xml:space="preserve">1.投标（响应）报价低于全部通过符合性审查供应商投标（响应）报价平均值</w:t>
      </w:r>
      <w:r>
        <w:rPr>
          <w:rFonts w:hint="eastAsia"/>
          <w:color w:val="c00000"/>
          <w:sz w:val="24"/>
          <w:highlight w:val="none"/>
          <w:lang w:val="en-US" w:eastAsia="zh-CN"/>
        </w:rPr>
        <w:t xml:space="preserve">65</w:t>
      </w:r>
      <w:r>
        <w:rPr>
          <w:rFonts w:hint="eastAsia"/>
          <w:color w:val="c00000"/>
          <w:sz w:val="24"/>
          <w:highlight w:val="none"/>
        </w:rPr>
        <w:t xml:space="preserve">%的，即投标（响应）报价&lt;全部通过符合性审查供应商投标（响应）报价平均值×</w:t>
      </w:r>
      <w:r>
        <w:rPr>
          <w:rFonts w:hint="eastAsia"/>
          <w:color w:val="c00000"/>
          <w:sz w:val="24"/>
          <w:highlight w:val="none"/>
          <w:lang w:val="en-US" w:eastAsia="zh-CN"/>
        </w:rPr>
        <w:t xml:space="preserve">65</w:t>
      </w:r>
      <w:r>
        <w:rPr>
          <w:rFonts w:hint="eastAsia"/>
          <w:color w:val="c00000"/>
          <w:sz w:val="24"/>
          <w:highlight w:val="none"/>
        </w:rPr>
        <w:t xml:space="preserve">%；</w:t>
      </w:r>
      <w:r/>
    </w:p>
    <w:p>
      <w:pPr>
        <w:numPr>
          <w:ilvl w:val="0"/>
          <w:numId w:val="0"/>
        </w:numPr>
        <w:ind w:firstLine="960"/>
        <w:spacing w:line="360" w:lineRule="auto"/>
        <w:tabs>
          <w:tab w:val="left" w:pos="1080" w:leader="none"/>
          <w:tab w:val="left" w:pos="1589" w:leader="none"/>
          <w:tab w:val="left" w:pos="2014" w:leader="none"/>
        </w:tabs>
        <w:rPr>
          <w:rFonts w:hint="eastAsia"/>
          <w:color w:val="c00000"/>
          <w:sz w:val="24"/>
          <w:highlight w:val="none"/>
        </w:rPr>
      </w:pPr>
      <w:r>
        <w:rPr>
          <w:rFonts w:hint="eastAsia"/>
          <w:color w:val="c00000"/>
          <w:sz w:val="24"/>
          <w:highlight w:val="none"/>
        </w:rPr>
        <w:t xml:space="preserve">2.投标（响应）报价低于通过符合性审查的次低报价供应商投标（响应）报价</w:t>
      </w:r>
      <w:r>
        <w:rPr>
          <w:rFonts w:hint="eastAsia"/>
          <w:color w:val="c00000"/>
          <w:sz w:val="24"/>
          <w:highlight w:val="none"/>
          <w:lang w:val="en-US" w:eastAsia="zh-CN"/>
        </w:rPr>
        <w:t xml:space="preserve">65</w:t>
      </w:r>
      <w:r>
        <w:rPr>
          <w:rFonts w:hint="eastAsia"/>
          <w:color w:val="c00000"/>
          <w:sz w:val="24"/>
          <w:highlight w:val="none"/>
        </w:rPr>
        <w:t xml:space="preserve">%的，即投标（响应）报价&lt;通过符合性审查的次低报价供应商投标（响应）报价×</w:t>
      </w:r>
      <w:r>
        <w:rPr>
          <w:rFonts w:hint="eastAsia"/>
          <w:color w:val="c00000"/>
          <w:sz w:val="24"/>
          <w:highlight w:val="none"/>
          <w:lang w:val="en-US" w:eastAsia="zh-CN"/>
        </w:rPr>
        <w:t xml:space="preserve">65</w:t>
      </w:r>
      <w:r>
        <w:rPr>
          <w:rFonts w:hint="eastAsia"/>
          <w:color w:val="c00000"/>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color w:val="c00000"/>
          <w:sz w:val="24"/>
          <w:highlight w:val="none"/>
        </w:rPr>
        <w:t xml:space="preserve">3.投标（响应）报价低于采购项目最高限价</w:t>
      </w:r>
      <w:r>
        <w:rPr>
          <w:rFonts w:hint="eastAsia"/>
          <w:color w:val="c00000"/>
          <w:sz w:val="24"/>
          <w:highlight w:val="none"/>
          <w:lang w:val="en-US" w:eastAsia="zh-CN"/>
        </w:rPr>
        <w:t xml:space="preserve">65</w:t>
      </w:r>
      <w:r>
        <w:rPr>
          <w:rFonts w:hint="eastAsia"/>
          <w:color w:val="c00000"/>
          <w:sz w:val="24"/>
          <w:highlight w:val="none"/>
        </w:rPr>
        <w:t xml:space="preserve">%的，即投标（响应）报价&lt;采购项目最高限价×</w:t>
      </w:r>
      <w:r>
        <w:rPr>
          <w:rFonts w:hint="eastAsia"/>
          <w:color w:val="c00000"/>
          <w:sz w:val="24"/>
          <w:highlight w:val="none"/>
          <w:lang w:val="en-US" w:eastAsia="zh-CN"/>
        </w:rPr>
        <w:t xml:space="preserve">65</w:t>
      </w:r>
      <w:r>
        <w:rPr>
          <w:rFonts w:hint="eastAsia"/>
          <w:color w:val="c00000"/>
          <w:sz w:val="24"/>
          <w:highlight w:val="none"/>
        </w:rPr>
        <w:t xml:space="preserve">%</w:t>
      </w:r>
      <w:r>
        <w:rPr>
          <w:rFonts w:hint="eastAsia"/>
          <w:sz w:val="24"/>
          <w:highlight w:val="none"/>
        </w:rPr>
        <w:t xml:space="preserve">；</w:t>
      </w:r>
      <w:r/>
    </w:p>
    <w:p>
      <w:pPr>
        <w:numPr>
          <w:ilvl w:val="0"/>
          <w:numId w:val="0"/>
        </w:numPr>
        <w:ind w:firstLine="72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p>
    <w:p>
      <w:pPr>
        <w:numPr>
          <w:ilvl w:val="0"/>
          <w:numId w:val="0"/>
        </w:numPr>
        <w:ind w:firstLine="720"/>
        <w:spacing w:line="360" w:lineRule="auto"/>
        <w:tabs>
          <w:tab w:val="left" w:pos="1080" w:leader="none"/>
          <w:tab w:val="left" w:pos="1589" w:leader="none"/>
          <w:tab w:val="left" w:pos="2014" w:leader="none"/>
        </w:tabs>
        <w:rPr>
          <w:color w:val="auto"/>
          <w:sz w:val="24"/>
          <w:highlight w:val="none"/>
        </w:rPr>
      </w:pPr>
      <w:r>
        <w:rPr>
          <w:rFonts w:hint="eastAsia"/>
          <w:sz w:val="24"/>
          <w:highlight w:val="none"/>
        </w:rPr>
        <w:t xml:space="preserve">相关法律法规对供应商报价有规定的，从其规定。</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color w:val="auto"/>
          <w:sz w:val="24"/>
          <w:szCs w:val="24"/>
          <w:highlight w:val="none"/>
          <w:lang w:eastAsia="zh-CN"/>
        </w:rPr>
        <w:t xml:space="preserve">☑</w:t>
      </w: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rFonts w:hint="eastAsia" w:ascii="Times New Roman" w:hAnsi="Times New Roman"/>
          <w:color w:val="auto"/>
          <w:sz w:val="24"/>
          <w:szCs w:val="24"/>
          <w:highlight w:val="none"/>
          <w:lang w:eastAsia="zh-CN"/>
        </w:rPr>
        <w:t xml:space="preserve">□</w:t>
      </w:r>
      <w:r>
        <w:rPr>
          <w:color w:val="auto"/>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确定</w:t>
      </w:r>
      <w:bookmarkStart w:id="783" w:name="_Toc151193788"/>
      <w:r/>
      <w:bookmarkStart w:id="784" w:name="_Toc164608660"/>
      <w:r/>
      <w:bookmarkStart w:id="785" w:name="_Toc305158888"/>
      <w:r/>
      <w:bookmarkStart w:id="786" w:name="_Toc150774751"/>
      <w:r/>
      <w:bookmarkStart w:id="787" w:name="_Toc226965736"/>
      <w:r/>
      <w:bookmarkStart w:id="788" w:name="_Toc150480784"/>
      <w:r/>
      <w:bookmarkStart w:id="789" w:name="_Toc127161460"/>
      <w:r/>
      <w:bookmarkStart w:id="790" w:name="_Toc520356170"/>
      <w:r/>
      <w:bookmarkStart w:id="791" w:name="_Toc150774646"/>
      <w:r/>
      <w:bookmarkStart w:id="792" w:name="_Toc164351640"/>
      <w:r/>
      <w:bookmarkStart w:id="793" w:name="_Toc164608815"/>
      <w:r/>
      <w:bookmarkStart w:id="794" w:name="_Toc151193860"/>
      <w:r/>
      <w:bookmarkStart w:id="795" w:name="_Toc151190173"/>
      <w:r/>
      <w:bookmarkStart w:id="796" w:name="_Toc150509297"/>
      <w:r/>
      <w:bookmarkStart w:id="797" w:name="_Toc142311048"/>
      <w:r/>
      <w:bookmarkStart w:id="798" w:name="_Toc226309790"/>
      <w:r/>
      <w:bookmarkStart w:id="799" w:name="_Toc151193934"/>
      <w:r/>
      <w:bookmarkStart w:id="800" w:name="_Toc149720839"/>
      <w:r/>
      <w:bookmarkStart w:id="801" w:name="_Toc265228384"/>
      <w:r/>
      <w:bookmarkStart w:id="802" w:name="_Toc226337242"/>
      <w:r/>
      <w:bookmarkStart w:id="803" w:name="_Toc127151546"/>
      <w:r/>
      <w:bookmarkStart w:id="804" w:name="_Toc264969236"/>
      <w:r/>
      <w:bookmarkStart w:id="805" w:name="_Toc305158814"/>
      <w:r/>
      <w:bookmarkStart w:id="806" w:name="_Toc151193716"/>
      <w:r/>
      <w:bookmarkStart w:id="807" w:name="_Toc164229241"/>
      <w:r/>
      <w:bookmarkStart w:id="808" w:name="_Toc226965819"/>
      <w:r/>
      <w:bookmarkStart w:id="809" w:name="_Toc151193644"/>
      <w:r/>
      <w:bookmarkStart w:id="810" w:name="_Toc195842911"/>
      <w:r/>
      <w:bookmarkStart w:id="811" w:name="_Ref467307010"/>
      <w:r/>
      <w:bookmarkStart w:id="812" w:name="_Toc127151747"/>
      <w:r/>
      <w:bookmarkStart w:id="813" w:name="_Toc164229387"/>
      <w:r>
        <w:rPr>
          <w:color w:val="auto"/>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82"/>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□随机抽取</w:t>
      </w:r>
      <w:r/>
    </w:p>
    <w:p>
      <w:pPr>
        <w:pStyle w:val="1182"/>
        <w:ind w:left="993" w:firstLine="136"/>
        <w:spacing w:line="360" w:lineRule="auto"/>
        <w:tabs>
          <w:tab w:val="left" w:pos="900" w:leader="none"/>
          <w:tab w:val="left" w:pos="2127"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其他方式，具体要求：</w:t>
      </w:r>
      <w:r>
        <w:rPr>
          <w:rFonts w:ascii="Times New Roman" w:hAnsi="Times New Roman"/>
          <w:color w:val="auto"/>
          <w:sz w:val="24"/>
          <w:szCs w:val="24"/>
          <w:highlight w:val="none"/>
          <w:u w:val="single"/>
        </w:rPr>
        <w:t xml:space="preserve">投标评标价最低的供应商获得中标人推荐资格。</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color w:val="auto"/>
          <w:sz w:val="24"/>
          <w:highlight w:val="none"/>
        </w:rPr>
      </w:r>
      <w:r/>
    </w:p>
    <w:p>
      <w:pPr>
        <w:jc w:val="center"/>
        <w:spacing w:line="360" w:lineRule="auto"/>
        <w:tabs>
          <w:tab w:val="left" w:pos="360" w:leader="none"/>
          <w:tab w:val="left" w:pos="900" w:leader="none"/>
        </w:tabs>
        <w:rPr>
          <w:rFonts w:hint="default" w:eastAsia="宋体"/>
          <w:b/>
          <w:color w:val="auto"/>
          <w:highlight w:val="none"/>
          <w:lang w:val="en-US" w:eastAsia="zh-CN"/>
        </w:rPr>
        <w:outlineLvl w:val="1"/>
      </w:pPr>
      <w:r>
        <w:rPr>
          <w:b/>
          <w:color w:val="auto"/>
          <w:sz w:val="24"/>
          <w:highlight w:val="none"/>
        </w:rPr>
        <w:t xml:space="preserve">二、评标标准</w:t>
      </w:r>
      <w:r>
        <w:rPr>
          <w:rFonts w:hint="eastAsia"/>
          <w:b/>
          <w:color w:val="auto"/>
          <w:sz w:val="24"/>
          <w:highlight w:val="none"/>
          <w:lang w:val="en-US" w:eastAsia="zh-CN"/>
        </w:rPr>
        <w:t xml:space="preserve">01包</w:t>
      </w:r>
      <w:r/>
    </w:p>
    <w:tbl>
      <w:tblPr>
        <w:tblStyle w:val="9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514"/>
        <w:gridCol w:w="850"/>
        <w:gridCol w:w="8966"/>
        <w:gridCol w:w="2209"/>
      </w:tblGrid>
      <w:tr>
        <w:trPr>
          <w:cantSplit/>
          <w:trHeight w:val="451"/>
          <w:tblHeader/>
        </w:trPr>
        <w:tc>
          <w:tcPr>
            <w:tcW w:w="741"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序号</w:t>
            </w:r>
            <w:r/>
          </w:p>
        </w:tc>
        <w:tc>
          <w:tcPr>
            <w:tcW w:w="1514"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评分因素</w:t>
            </w:r>
            <w:r/>
          </w:p>
        </w:tc>
        <w:tc>
          <w:tcPr>
            <w:tcW w:w="850"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分值</w:t>
            </w:r>
            <w:r/>
          </w:p>
        </w:tc>
        <w:tc>
          <w:tcPr>
            <w:tcW w:w="8966"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评分标准</w:t>
            </w:r>
            <w:r/>
          </w:p>
        </w:tc>
        <w:tc>
          <w:tcPr>
            <w:tcW w:w="2209" w:type="dxa"/>
            <w:vAlign w:val="center"/>
            <w:textDirection w:val="lrTb"/>
            <w:noWrap w:val="false"/>
          </w:tcPr>
          <w:p>
            <w:pPr>
              <w:pStyle w:val="1390"/>
              <w:spacing w:before="0" w:after="0" w:line="240" w:lineRule="auto"/>
              <w:rPr>
                <w:rFonts w:ascii="Times New Roman" w:hAnsi="Times New Roman" w:eastAsia="宋体" w:cs="Times New Roman"/>
                <w:color w:val="auto"/>
                <w:szCs w:val="24"/>
              </w:rPr>
            </w:pPr>
            <w:r>
              <w:rPr>
                <w:rFonts w:ascii="Times New Roman" w:hAnsi="Times New Roman" w:eastAsia="宋体" w:cs="Times New Roman"/>
                <w:color w:val="auto"/>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514"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w:t>
            </w:r>
            <w:r/>
          </w:p>
        </w:tc>
        <w:tc>
          <w:tcPr>
            <w:tcW w:w="850"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89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投标报价得分＝（评标基准价/投标报价）×分值。</w:t>
            </w:r>
            <w:r/>
          </w:p>
        </w:tc>
        <w:tc>
          <w:tcPr>
            <w:tcW w:w="2209" w:type="dxa"/>
            <w:vAlign w:val="center"/>
            <w:textDirection w:val="lrTb"/>
            <w:noWrap w:val="false"/>
          </w:tcPr>
          <w:p>
            <w:pPr>
              <w:ind w:left="-38"/>
              <w:rPr>
                <w:rFonts w:hint="eastAsia" w:ascii="宋体" w:hAnsi="宋体" w:eastAsia="宋体" w:cs="宋体"/>
                <w:color w:val="auto"/>
                <w:sz w:val="24"/>
                <w:szCs w:val="24"/>
              </w:rPr>
            </w:pPr>
            <w:r>
              <w:rPr>
                <w:rFonts w:hint="eastAsia" w:ascii="宋体" w:hAnsi="宋体" w:eastAsia="宋体" w:cs="宋体"/>
                <w:color w:val="auto"/>
                <w:sz w:val="24"/>
                <w:szCs w:val="24"/>
              </w:rPr>
              <w:t xml:space="preserve">此处最终报价指经过报价修正，及因落实政府采购政策进行价格调整后的最终报价，详见第三章《评标方法和评标标准》3。</w:t>
            </w:r>
            <w:r/>
          </w:p>
        </w:tc>
      </w:tr>
      <w:tr>
        <w:trPr>
          <w:cantSplit/>
          <w:trHeight w:val="156"/>
        </w:trPr>
        <w:tc>
          <w:tcPr>
            <w:tcW w:w="74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5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主观</w:t>
            </w:r>
            <w:r>
              <w:rPr>
                <w:rFonts w:hint="eastAsia" w:ascii="宋体" w:hAnsi="宋体" w:eastAsia="宋体" w:cs="宋体"/>
                <w:color w:val="auto"/>
                <w:sz w:val="24"/>
                <w:szCs w:val="24"/>
                <w:highlight w:val="none"/>
              </w:rPr>
              <w:t xml:space="preserve">分</w:t>
            </w:r>
            <w:r/>
          </w:p>
        </w:tc>
        <w:tc>
          <w:tcPr>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66</w:t>
            </w:r>
            <w:r/>
          </w:p>
        </w:tc>
        <w:tc>
          <w:tcPr>
            <w:tcW w:w="8966"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2209"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2.1</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 xml:space="preserve">管理制度</w:t>
            </w:r>
            <w:r>
              <w:rPr>
                <w:rFonts w:hint="eastAsia" w:ascii="宋体" w:hAnsi="宋体" w:cs="宋体"/>
                <w:color w:val="auto"/>
                <w:sz w:val="24"/>
                <w:highlight w:val="none"/>
                <w:lang w:eastAsia="zh-CN"/>
              </w:rPr>
              <w:t xml:space="preserve">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10</w:t>
            </w:r>
            <w:r/>
          </w:p>
        </w:tc>
        <w:tc>
          <w:tcPr>
            <w:tcW w:w="8966" w:type="dxa"/>
            <w:vAlign w:val="center"/>
            <w:textDirection w:val="lrTb"/>
            <w:noWrap w:val="false"/>
          </w:tcPr>
          <w:p>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eastAsia="宋体" w:cs="宋体"/>
                <w:color w:val="auto"/>
                <w:sz w:val="24"/>
                <w:szCs w:val="24"/>
                <w:highlight w:val="none"/>
                <w:lang w:eastAsia="zh-CN"/>
              </w:rPr>
              <w:t xml:space="preserve">管理制度</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结合采购需求要求</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中转站作业服务管理制度</w:t>
            </w:r>
            <w:r>
              <w:rPr>
                <w:rFonts w:hint="eastAsia" w:ascii="宋体" w:hAnsi="宋体" w:eastAsia="宋体" w:cs="Times New Roman"/>
                <w:color w:val="auto"/>
                <w:sz w:val="24"/>
                <w:szCs w:val="24"/>
                <w:highlight w:val="none"/>
                <w:lang w:val="en-US" w:eastAsia="zh-CN"/>
              </w:rPr>
              <w:t xml:space="preserve">、</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人工保洁作业管理制度、</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eastAsia="宋体" w:cs="Times New Roman"/>
                <w:color w:val="auto"/>
                <w:sz w:val="24"/>
                <w:szCs w:val="24"/>
                <w:highlight w:val="none"/>
                <w:lang w:val="en-US" w:eastAsia="zh-CN"/>
              </w:rPr>
              <w:t xml:space="preserve">垃圾收运作业管理制度、</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eastAsia="宋体" w:cs="Times New Roman"/>
                <w:color w:val="auto"/>
                <w:sz w:val="24"/>
                <w:szCs w:val="24"/>
                <w:highlight w:val="none"/>
                <w:lang w:val="en-US" w:eastAsia="zh-CN"/>
              </w:rPr>
              <w:t xml:space="preserve">道路环卫机械化管理制度、</w:t>
            </w:r>
            <w:r>
              <w:rPr>
                <w:rFonts w:hint="eastAsia" w:ascii="宋体" w:hAnsi="宋体" w:eastAsia="宋体" w:cs="宋体"/>
                <w:color w:val="auto"/>
                <w:sz w:val="24"/>
                <w:szCs w:val="24"/>
                <w:highlight w:val="none"/>
              </w:rPr>
              <w:t xml:space="preserve">⑤</w:t>
            </w:r>
            <w:r>
              <w:rPr>
                <w:rFonts w:hint="eastAsia" w:ascii="宋体" w:hAnsi="宋体" w:eastAsia="宋体" w:cs="Times New Roman"/>
                <w:color w:val="auto"/>
                <w:sz w:val="24"/>
                <w:szCs w:val="24"/>
                <w:highlight w:val="none"/>
                <w:lang w:val="en-US" w:eastAsia="zh-CN"/>
              </w:rPr>
              <w:t xml:space="preserve">公厕管理和保洁作业制度等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10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ascii="宋体" w:hAnsi="宋体" w:eastAsia="宋体" w:cs="宋体"/>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w:t>
            </w:r>
            <w:r/>
          </w:p>
        </w:tc>
        <w:tc>
          <w:tcPr>
            <w:shd w:val="clear" w:color="auto" w:fill="auto"/>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w:t>
            </w:r>
            <w:r/>
          </w:p>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保障方案</w:t>
            </w:r>
            <w:r/>
          </w:p>
        </w:tc>
        <w:tc>
          <w:tcPr>
            <w:shd w:val="clear" w:color="auto" w:fill="auto"/>
            <w:tcW w:w="850"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10</w:t>
            </w:r>
            <w:r/>
          </w:p>
        </w:tc>
        <w:tc>
          <w:tcPr>
            <w:shd w:val="clear" w:color="auto" w:fill="auto"/>
            <w:tcW w:w="8966" w:type="dxa"/>
            <w:vAlign w:val="center"/>
            <w:textDirection w:val="lrTb"/>
            <w:noWrap w:val="false"/>
          </w:tcPr>
          <w:p>
            <w:pPr>
              <w:jc w:val="left"/>
              <w:rPr>
                <w:rFonts w:hint="eastAsia" w:ascii="Times New Roman" w:hAnsi="Times New Roman" w:eastAsia="宋体" w:cs="Times New Roman"/>
                <w:color w:val="auto"/>
                <w:sz w:val="21"/>
                <w:szCs w:val="24"/>
                <w:lang w:val="en-US" w:eastAsia="zh-CN" w:bidi="ar-SA"/>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rPr>
              <w:t xml:space="preserve">安全文明保障方案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安全文明保障措施、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作业安全管理措施、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安全设施设备、</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安全检查记录、</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5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⑤</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安全教育培训计划等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10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 xml:space="preserve">作业实施及线路安排</w:t>
            </w:r>
            <w:r>
              <w:rPr>
                <w:rFonts w:hint="eastAsia" w:ascii="宋体" w:hAnsi="宋体" w:cs="宋体"/>
                <w:color w:val="auto"/>
                <w:sz w:val="24"/>
                <w:highlight w:val="none"/>
                <w:lang w:eastAsia="zh-CN"/>
              </w:rPr>
              <w:t xml:space="preserve">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8</w:t>
            </w:r>
            <w:r/>
          </w:p>
        </w:tc>
        <w:tc>
          <w:tcPr>
            <w:tcW w:w="8966" w:type="dxa"/>
            <w:vAlign w:val="center"/>
            <w:textDirection w:val="lrTb"/>
            <w:noWrap w:val="false"/>
          </w:tcPr>
          <w:p>
            <w:pPr>
              <w:jc w:val="left"/>
              <w:rPr>
                <w:rFonts w:ascii="宋体" w:hAnsi="宋体" w:eastAsia="宋体" w:cs="宋体"/>
                <w:color w:val="auto"/>
                <w:sz w:val="24"/>
                <w:szCs w:val="24"/>
                <w:lang w:val="en-US" w:eastAsia="zh-CN" w:bidi="ar-SA"/>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rPr>
              <w:t xml:space="preserve">作业实施及线路安排</w:t>
            </w:r>
            <w:r>
              <w:rPr>
                <w:rFonts w:hint="eastAsia" w:ascii="宋体" w:hAnsi="宋体" w:cs="宋体"/>
                <w:color w:val="auto"/>
                <w:sz w:val="24"/>
                <w:highlight w:val="none"/>
                <w:lang w:eastAsia="zh-CN"/>
              </w:rPr>
              <w:t xml:space="preserve">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道路环卫机械化作业组织方案及流程、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人工作业组织方案及流程、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垃圾收运作业组织方案及流程、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进退场交接措施方案等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4</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rPr>
            </w:pPr>
            <w:r>
              <w:rPr>
                <w:rFonts w:hint="eastAsia" w:ascii="宋体" w:hAnsi="宋体" w:cs="宋体"/>
                <w:color w:val="auto"/>
                <w:sz w:val="24"/>
                <w:lang w:eastAsia="zh-CN"/>
              </w:rPr>
              <w:t xml:space="preserve">环卫作业重难点分析方案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W w:w="8966" w:type="dxa"/>
            <w:vAlign w:val="center"/>
            <w:textDirection w:val="lrTb"/>
            <w:noWrap w:val="false"/>
          </w:tcPr>
          <w:p>
            <w:pPr>
              <w:jc w:val="left"/>
              <w:rPr>
                <w:rFonts w:hint="eastAsia"/>
                <w:color w:val="auto"/>
              </w:rPr>
            </w:pPr>
            <w:r>
              <w:rPr>
                <w:rFonts w:hint="eastAsia" w:ascii="宋体" w:hAnsi="宋体" w:cs="宋体"/>
                <w:color w:val="auto"/>
                <w:sz w:val="24"/>
                <w:lang w:val="zh-TW" w:eastAsia="zh-CN"/>
              </w:rPr>
              <w:t xml:space="preserve">根据</w:t>
            </w:r>
            <w:r>
              <w:rPr>
                <w:rFonts w:hint="eastAsia" w:ascii="宋体" w:hAnsi="宋体" w:cs="宋体"/>
                <w:color w:val="auto"/>
                <w:sz w:val="24"/>
                <w:lang w:val="zh-TW" w:eastAsia="zh-TW"/>
              </w:rPr>
              <w:t xml:space="preserve">供应商对本项目提出的</w:t>
            </w:r>
            <w:r>
              <w:rPr>
                <w:rFonts w:hint="eastAsia" w:ascii="宋体" w:hAnsi="宋体" w:cs="宋体"/>
                <w:color w:val="auto"/>
                <w:sz w:val="24"/>
                <w:lang w:val="zh-TW" w:eastAsia="zh-CN"/>
              </w:rPr>
              <w:t xml:space="preserve">环卫作业重难点分析方案</w:t>
            </w:r>
            <w:r>
              <w:rPr>
                <w:rFonts w:hint="eastAsia" w:ascii="宋体" w:hAnsi="宋体" w:cs="宋体"/>
                <w:color w:val="auto"/>
                <w:sz w:val="24"/>
                <w:lang w:val="zh-TW" w:eastAsia="zh-TW"/>
              </w:rPr>
              <w:t xml:space="preserve">进行评审，包括且不限于</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1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①</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 xml:space="preserve">路面油污</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2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②</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 xml:space="preserve">工地出入口路面污染</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3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③</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 xml:space="preserve">店外出摊路面保洁、</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4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④</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 xml:space="preserve">绿化管养造成的道路积尘</w:t>
            </w:r>
            <w:r>
              <w:rPr>
                <w:rFonts w:hint="eastAsia" w:ascii="宋体" w:hAnsi="宋体" w:cs="宋体"/>
                <w:color w:val="auto"/>
                <w:sz w:val="24"/>
                <w:lang w:val="zh-TW" w:eastAsia="zh-TW"/>
              </w:rPr>
              <w:t xml:space="preserve">等</w:t>
            </w:r>
            <w:r>
              <w:rPr>
                <w:rFonts w:hint="eastAsia" w:ascii="宋体" w:hAnsi="宋体" w:cs="宋体"/>
                <w:color w:val="auto"/>
                <w:sz w:val="24"/>
                <w:lang w:val="zh-TW" w:eastAsia="zh-CN"/>
              </w:rPr>
              <w:t xml:space="preserve">；</w:t>
            </w:r>
            <w:r>
              <w:rPr>
                <w:rFonts w:hint="eastAsia" w:ascii="宋体" w:hAnsi="宋体" w:cs="宋体"/>
                <w:color w:val="auto"/>
                <w:sz w:val="24"/>
                <w:lang w:val="en-US" w:eastAsia="zh-CN"/>
              </w:rPr>
              <w:t xml:space="preserve">根据以上内容进行综合评审，上述内容满足采购文件及采购需求的得8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b/>
                <w:bCs/>
                <w:color w:val="auto"/>
                <w:sz w:val="24"/>
                <w:lang w:val="zh-TW"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极端天气和突发事件预案</w:t>
            </w:r>
            <w:r>
              <w:rPr>
                <w:rFonts w:hint="eastAsia" w:ascii="宋体" w:hAnsi="宋体" w:cs="宋体"/>
                <w:color w:val="auto"/>
                <w:sz w:val="24"/>
                <w:szCs w:val="24"/>
                <w:lang w:val="en-US" w:eastAsia="zh-CN" w:bidi="ar-SA"/>
              </w:rPr>
              <w:t xml:space="preserve">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8</w:t>
            </w:r>
            <w:r/>
          </w:p>
        </w:tc>
        <w:tc>
          <w:tcPr>
            <w:tcW w:w="8966" w:type="dxa"/>
            <w:vAlign w:val="center"/>
            <w:textDirection w:val="lrTb"/>
            <w:noWrap w:val="false"/>
          </w:tcPr>
          <w:p>
            <w:pPr>
              <w:jc w:val="left"/>
              <w:rPr>
                <w:rFonts w:hint="eastAsia" w:ascii="宋体" w:hAnsi="宋体" w:eastAsia="宋体" w:cs="宋体"/>
                <w:b w:val="0"/>
                <w:bCs/>
                <w:color w:val="auto"/>
                <w:sz w:val="24"/>
                <w:szCs w:val="24"/>
                <w:lang w:val="en-US" w:eastAsia="zh-CN" w:bidi="ar-SA"/>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lang w:val="en-US" w:eastAsia="zh-CN"/>
              </w:rPr>
              <w:t xml:space="preserve">极端天气和突发事件预案方案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重大活动、重大检查及节假日预案、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安全事故应急预案、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恶劣天气应急预案、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不可抗力应急预案等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auto"/>
                <w:sz w:val="24"/>
              </w:rPr>
              <w:t xml:space="preserve">整体服务方案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W w:w="8966" w:type="dxa"/>
            <w:vAlign w:val="center"/>
            <w:textDirection w:val="lrTb"/>
            <w:noWrap w:val="false"/>
          </w:tcPr>
          <w:p>
            <w:pPr>
              <w:jc w:val="left"/>
              <w:rPr>
                <w:rFonts w:hint="eastAsia" w:ascii="宋体" w:hAnsi="宋体" w:eastAsia="宋体" w:cs="宋体"/>
                <w:b w:val="0"/>
                <w:bCs/>
                <w:color w:val="auto"/>
                <w:sz w:val="24"/>
                <w:szCs w:val="24"/>
              </w:rPr>
            </w:pPr>
            <w:r>
              <w:rPr>
                <w:rFonts w:hint="eastAsia" w:ascii="宋体" w:hAnsi="宋体" w:cs="宋体"/>
                <w:color w:val="auto"/>
                <w:sz w:val="24"/>
                <w:lang w:val="zh-TW" w:eastAsia="zh-CN"/>
              </w:rPr>
              <w:t xml:space="preserve">根</w:t>
            </w:r>
            <w:r>
              <w:rPr>
                <w:rFonts w:hint="eastAsia" w:ascii="宋体" w:hAnsi="宋体" w:eastAsia="宋体" w:cs="Times New Roman"/>
                <w:color w:val="auto"/>
                <w:sz w:val="24"/>
                <w:szCs w:val="24"/>
                <w:highlight w:val="none"/>
                <w:lang w:val="zh-TW" w:eastAsia="zh-CN"/>
              </w:rPr>
              <w:t xml:space="preserve">据</w:t>
            </w:r>
            <w:r>
              <w:rPr>
                <w:rFonts w:hint="eastAsia" w:ascii="宋体" w:hAnsi="宋体" w:eastAsia="宋体" w:cs="Times New Roman"/>
                <w:color w:val="auto"/>
                <w:sz w:val="24"/>
                <w:szCs w:val="24"/>
                <w:highlight w:val="none"/>
                <w:lang w:val="zh-TW" w:eastAsia="zh-TW"/>
              </w:rPr>
              <w:t xml:space="preserve">供应商对本项目提出的</w:t>
            </w:r>
            <w:r>
              <w:rPr>
                <w:rFonts w:hint="eastAsia" w:ascii="宋体" w:hAnsi="宋体" w:eastAsia="宋体" w:cs="Times New Roman"/>
                <w:color w:val="auto"/>
                <w:sz w:val="24"/>
                <w:szCs w:val="24"/>
                <w:highlight w:val="none"/>
                <w:lang w:val="zh-TW" w:eastAsia="zh-CN"/>
              </w:rPr>
              <w:t xml:space="preserve">整体</w:t>
            </w:r>
            <w:r>
              <w:rPr>
                <w:rFonts w:hint="eastAsia" w:ascii="宋体" w:hAnsi="宋体" w:eastAsia="宋体" w:cs="Times New Roman"/>
                <w:color w:val="auto"/>
                <w:sz w:val="24"/>
                <w:szCs w:val="24"/>
                <w:highlight w:val="none"/>
                <w:lang w:val="zh-TW" w:eastAsia="zh-TW"/>
              </w:rPr>
              <w:t xml:space="preserve">服务方案进行评审，包括且不限于</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 xml:space="preserve">组织机构机构设置</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2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②</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 xml:space="preserve">岗位职责</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3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③</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工作开展方案</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4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④</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工作制度及规范建立</w:t>
            </w:r>
            <w:r>
              <w:rPr>
                <w:rFonts w:hint="eastAsia" w:ascii="宋体" w:hAnsi="宋体" w:eastAsia="宋体" w:cs="Times New Roman"/>
                <w:color w:val="auto"/>
                <w:sz w:val="24"/>
                <w:szCs w:val="24"/>
                <w:highlight w:val="none"/>
                <w:lang w:val="zh-TW" w:eastAsia="zh-TW"/>
              </w:rPr>
              <w:t xml:space="preserve">等</w:t>
            </w:r>
            <w:r>
              <w:rPr>
                <w:rFonts w:hint="eastAsia" w:ascii="宋体" w:hAnsi="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w:t>
            </w:r>
            <w:r/>
          </w:p>
        </w:tc>
        <w:tc>
          <w:tcPr>
            <w:tcW w:w="1514" w:type="dxa"/>
            <w:vAlign w:val="center"/>
            <w:textDirection w:val="lrTb"/>
            <w:noWrap w:val="false"/>
          </w:tcPr>
          <w:p>
            <w:pPr>
              <w:ind w:firstLine="28"/>
              <w:jc w:val="center"/>
              <w:spacing w:line="24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人员配置方案</w:t>
            </w:r>
            <w:r/>
          </w:p>
        </w:tc>
        <w:tc>
          <w:tcPr>
            <w:tcW w:w="850" w:type="dxa"/>
            <w:vAlign w:val="center"/>
            <w:textDirection w:val="lrTb"/>
            <w:noWrap w:val="false"/>
          </w:tcPr>
          <w:p>
            <w:pPr>
              <w:ind w:firstLine="28"/>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8966" w:type="dxa"/>
            <w:vAlign w:val="center"/>
            <w:textDirection w:val="lrTb"/>
            <w:noWrap w:val="false"/>
          </w:tcPr>
          <w:p>
            <w:pPr>
              <w:jc w:val="left"/>
              <w:rPr>
                <w:rFonts w:hint="eastAsia" w:ascii="宋体" w:hAnsi="宋体" w:cs="宋体"/>
                <w:color w:val="auto"/>
                <w:sz w:val="24"/>
                <w:lang w:val="zh-TW" w:eastAsia="zh-CN"/>
              </w:rPr>
            </w:pPr>
            <w:r>
              <w:rPr>
                <w:rFonts w:hint="eastAsia" w:ascii="宋体" w:hAnsi="宋体" w:cs="宋体"/>
                <w:bCs/>
                <w:color w:val="auto"/>
                <w:sz w:val="24"/>
                <w:szCs w:val="24"/>
                <w:highlight w:val="none"/>
                <w:lang w:eastAsia="zh-CN"/>
              </w:rPr>
              <w:t xml:space="preserve">根据供应商对本项目的</w:t>
            </w:r>
            <w:r>
              <w:rPr>
                <w:rFonts w:hint="eastAsia" w:ascii="宋体" w:hAnsi="宋体" w:cs="宋体"/>
                <w:color w:val="auto"/>
                <w:sz w:val="24"/>
                <w:lang w:val="en-US" w:eastAsia="zh-CN"/>
              </w:rPr>
              <w:t xml:space="preserve">人员配置方案</w:t>
            </w:r>
            <w:r>
              <w:rPr>
                <w:rFonts w:hint="eastAsia" w:ascii="宋体" w:hAnsi="宋体" w:cs="宋体"/>
                <w:bCs/>
                <w:color w:val="auto"/>
                <w:sz w:val="24"/>
                <w:szCs w:val="24"/>
                <w:highlight w:val="none"/>
                <w:lang w:eastAsia="zh-CN"/>
              </w:rPr>
              <w:t xml:space="preserve">进行评</w:t>
            </w:r>
            <w:r>
              <w:rPr>
                <w:rFonts w:hint="eastAsia" w:ascii="宋体" w:hAnsi="宋体" w:cs="宋体"/>
                <w:bCs/>
                <w:color w:val="auto"/>
                <w:sz w:val="24"/>
                <w:szCs w:val="24"/>
                <w:highlight w:val="none"/>
                <w:lang w:val="en-US" w:eastAsia="zh-CN"/>
              </w:rPr>
              <w:t xml:space="preserve">审</w:t>
            </w:r>
            <w:r>
              <w:rPr>
                <w:rFonts w:hint="eastAsia" w:ascii="宋体" w:hAnsi="宋体"/>
                <w:color w:val="auto"/>
                <w:sz w:val="24"/>
                <w:szCs w:val="24"/>
                <w:highlight w:val="none"/>
              </w:rPr>
              <w:t xml:space="preserve">，包括但不限于</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olor w:val="auto"/>
                <w:sz w:val="24"/>
                <w:szCs w:val="24"/>
                <w:highlight w:val="none"/>
              </w:rPr>
              <w:t xml:space="preserve">人员配备</w:t>
            </w:r>
            <w:r>
              <w:rPr>
                <w:rFonts w:hint="eastAsia" w:ascii="宋体" w:hAnsi="宋体"/>
                <w:color w:val="auto"/>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olor w:val="auto"/>
                <w:sz w:val="24"/>
                <w:szCs w:val="24"/>
                <w:highlight w:val="none"/>
                <w:lang w:eastAsia="zh-CN"/>
              </w:rPr>
              <w:t xml:space="preserve">人员培训等，</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2.8</w:t>
            </w:r>
            <w:r/>
          </w:p>
        </w:tc>
        <w:tc>
          <w:tcPr>
            <w:tcW w:w="1514" w:type="dxa"/>
            <w:vAlign w:val="center"/>
            <w:textDirection w:val="lrTb"/>
            <w:noWrap w:val="false"/>
          </w:tcPr>
          <w:p>
            <w:pPr>
              <w:ind w:firstLine="28"/>
              <w:jc w:val="center"/>
              <w:spacing w:line="240" w:lineRule="auto"/>
              <w:rPr>
                <w:rFonts w:hint="default" w:ascii="宋体" w:hAnsi="宋体" w:cs="宋体"/>
                <w:color w:val="auto"/>
                <w:sz w:val="24"/>
                <w:lang w:val="en-US" w:eastAsia="zh-CN"/>
              </w:rPr>
            </w:pPr>
            <w:r>
              <w:rPr>
                <w:rFonts w:hint="eastAsia" w:ascii="宋体" w:hAnsi="宋体" w:cs="宋体"/>
                <w:color w:val="auto"/>
                <w:sz w:val="24"/>
                <w:lang w:val="en-US" w:eastAsia="zh-CN"/>
              </w:rPr>
              <w:t xml:space="preserve">合理化建议</w:t>
            </w:r>
            <w:r/>
          </w:p>
        </w:tc>
        <w:tc>
          <w:tcPr>
            <w:tcW w:w="850" w:type="dxa"/>
            <w:vAlign w:val="center"/>
            <w:textDirection w:val="lrTb"/>
            <w:noWrap w:val="false"/>
          </w:tcPr>
          <w:p>
            <w:pPr>
              <w:ind w:firstLine="28"/>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W w:w="8966" w:type="dxa"/>
            <w:vAlign w:val="center"/>
            <w:textDirection w:val="lrTb"/>
            <w:noWrap w:val="false"/>
          </w:tcPr>
          <w:p>
            <w:pPr>
              <w:jc w:val="left"/>
              <w:rPr>
                <w:rFonts w:hint="default" w:ascii="宋体" w:hAnsi="宋体" w:cs="宋体"/>
                <w:color w:val="auto"/>
                <w:sz w:val="24"/>
                <w:lang w:val="en-US" w:eastAsia="zh-CN"/>
              </w:rPr>
            </w:pPr>
            <w:r>
              <w:rPr>
                <w:rFonts w:hint="eastAsia" w:ascii="宋体" w:hAnsi="宋体" w:cs="宋体"/>
                <w:sz w:val="24"/>
                <w:szCs w:val="24"/>
                <w:highlight w:val="none"/>
                <w:lang w:val="en-US" w:eastAsia="zh-CN"/>
              </w:rPr>
              <w:t xml:space="preserve">根据供应商对本项目的合理化建议进行评审，包括且不限于</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color w:val="auto"/>
                <w:sz w:val="24"/>
                <w:lang w:val="en-US" w:eastAsia="zh-CN"/>
              </w:rPr>
              <w:t xml:space="preserve">对本项目服务质量的提升提出合理有效的建议、</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color w:val="auto"/>
                <w:sz w:val="24"/>
                <w:lang w:val="en-US" w:eastAsia="zh-CN"/>
              </w:rPr>
              <w:t xml:space="preserve">针对本项目安全风险防控提出合理有效的建议等</w:t>
            </w:r>
            <w:r>
              <w:rPr>
                <w:rFonts w:hint="eastAsia" w:ascii="宋体" w:hAnsi="宋体"/>
                <w:sz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2.9</w:t>
            </w:r>
            <w:r/>
          </w:p>
        </w:tc>
        <w:tc>
          <w:tcPr>
            <w:tcW w:w="1514" w:type="dxa"/>
            <w:vAlign w:val="center"/>
            <w:textDirection w:val="lrTb"/>
            <w:noWrap w:val="false"/>
          </w:tcPr>
          <w:p>
            <w:pPr>
              <w:ind w:firstLine="28"/>
              <w:jc w:val="center"/>
              <w:spacing w:line="240" w:lineRule="auto"/>
              <w:rPr>
                <w:rFonts w:hint="eastAsia" w:ascii="宋体" w:hAnsi="宋体" w:cs="宋体"/>
                <w:color w:val="auto"/>
                <w:sz w:val="24"/>
                <w:lang w:eastAsia="zh-CN"/>
              </w:rPr>
            </w:pPr>
            <w:r>
              <w:rPr>
                <w:rFonts w:hint="eastAsia" w:ascii="宋体" w:hAnsi="宋体" w:eastAsia="宋体"/>
                <w:color w:val="000000"/>
                <w:sz w:val="24"/>
                <w:szCs w:val="24"/>
                <w:highlight w:val="none"/>
                <w:lang w:val="en-US" w:eastAsia="zh-CN"/>
              </w:rPr>
              <w:t xml:space="preserve">服务承诺</w:t>
            </w:r>
            <w:r/>
          </w:p>
        </w:tc>
        <w:tc>
          <w:tcPr>
            <w:tcW w:w="850" w:type="dxa"/>
            <w:vAlign w:val="center"/>
            <w:textDirection w:val="lrTb"/>
            <w:noWrap w:val="false"/>
          </w:tcPr>
          <w:p>
            <w:pPr>
              <w:ind w:firstLine="28"/>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8966"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4"/>
                <w:lang w:val="zh-TW" w:eastAsia="zh-CN"/>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eastAsia="宋体"/>
                <w:color w:val="000000"/>
                <w:sz w:val="24"/>
                <w:szCs w:val="24"/>
                <w:highlight w:val="none"/>
                <w:lang w:val="en-US" w:eastAsia="zh-CN"/>
              </w:rPr>
              <w:t xml:space="preserve">服务承诺</w:t>
            </w:r>
            <w:r>
              <w:rPr>
                <w:rFonts w:hint="eastAsia" w:ascii="宋体" w:hAnsi="宋体" w:eastAsia="宋体" w:cs="宋体"/>
                <w:color w:val="auto"/>
                <w:sz w:val="24"/>
                <w:szCs w:val="24"/>
                <w:highlight w:val="none"/>
                <w:lang w:eastAsia="zh-CN"/>
              </w:rPr>
              <w:t xml:space="preserve">进行评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lang w:eastAsia="zh-CN"/>
              </w:rPr>
              <w:t xml:space="preserve">，包括但不限于以下内容：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rPr>
              <w:t xml:space="preserve">服务质量承诺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lang w:val="en-US" w:eastAsia="zh-CN"/>
              </w:rPr>
              <w:t xml:space="preserve">设备配置承诺</w:t>
            </w:r>
            <w:r>
              <w:rPr>
                <w:rFonts w:hint="eastAsia" w:ascii="宋体" w:hAnsi="宋体"/>
                <w:sz w:val="24"/>
                <w:highlight w:val="none"/>
                <w:lang w:val="en-US" w:eastAsia="zh-CN"/>
              </w:rPr>
              <w:t xml:space="preserve">等；</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156"/>
        </w:trPr>
        <w:tc>
          <w:tcPr>
            <w:tcW w:w="741"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W w:w="1514"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客观</w:t>
            </w:r>
            <w:r>
              <w:rPr>
                <w:rFonts w:hint="eastAsia" w:ascii="宋体" w:hAnsi="宋体" w:eastAsia="宋体" w:cs="宋体"/>
                <w:color w:val="auto"/>
                <w:sz w:val="24"/>
                <w:szCs w:val="24"/>
              </w:rPr>
              <w:t xml:space="preserve">分</w:t>
            </w:r>
            <w:r/>
          </w:p>
        </w:tc>
        <w:tc>
          <w:tcPr>
            <w:tcW w:w="850"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w:t>
            </w:r>
            <w:r/>
          </w:p>
        </w:tc>
        <w:tc>
          <w:tcPr>
            <w:tcW w:w="8966" w:type="dxa"/>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2209" w:type="dxa"/>
            <w:vAlign w:val="center"/>
            <w:textDirection w:val="lrTb"/>
            <w:noWrap w:val="false"/>
          </w:tcPr>
          <w:p>
            <w:pPr>
              <w:ind w:left="-38"/>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640"/>
        </w:trPr>
        <w:tc>
          <w:tcPr>
            <w:tcW w:w="741" w:type="dxa"/>
            <w:vAlign w:val="center"/>
            <w:textDirection w:val="lrTb"/>
            <w:noWrap w:val="false"/>
          </w:tcPr>
          <w:p>
            <w:pPr>
              <w:ind w:firstLine="28"/>
              <w:jc w:val="center"/>
              <w:spacing w:line="240" w:lineRule="auto"/>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auto"/>
                <w:sz w:val="24"/>
                <w:highlight w:val="none"/>
              </w:rPr>
              <w:t xml:space="preserve">类似业绩</w:t>
            </w:r>
            <w:r/>
          </w:p>
        </w:tc>
        <w:tc>
          <w:tcPr>
            <w:tcW w:w="850" w:type="dxa"/>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15</w:t>
            </w:r>
            <w:r/>
          </w:p>
        </w:tc>
        <w:tc>
          <w:tcPr>
            <w:tcW w:w="8966" w:type="dxa"/>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val="en-US" w:eastAsia="zh-CN"/>
              </w:rPr>
              <w:t xml:space="preserve">2023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01</w:t>
            </w:r>
            <w:r>
              <w:rPr>
                <w:rFonts w:hint="eastAsia" w:ascii="宋体" w:hAnsi="宋体" w:eastAsia="宋体" w:cs="宋体"/>
                <w:sz w:val="24"/>
                <w:szCs w:val="24"/>
                <w:highlight w:val="none"/>
              </w:rPr>
              <w:t xml:space="preserve">日以来承担过已完成或实施中的类似业绩的，有1个得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w:t>
            </w:r>
            <w:r>
              <w:rPr>
                <w:rFonts w:hint="eastAsia" w:ascii="宋体" w:hAnsi="宋体" w:cs="宋体"/>
                <w:sz w:val="24"/>
                <w:szCs w:val="24"/>
                <w:highlight w:val="none"/>
                <w:lang w:val="en-US" w:eastAsia="zh-CN"/>
              </w:rPr>
              <w:t xml:space="preserve">15 </w:t>
            </w:r>
            <w:r>
              <w:rPr>
                <w:rFonts w:hint="eastAsia" w:ascii="宋体" w:hAnsi="宋体" w:eastAsia="宋体" w:cs="宋体"/>
                <w:sz w:val="24"/>
                <w:szCs w:val="24"/>
                <w:highlight w:val="none"/>
              </w:rPr>
              <w:t xml:space="preserve">分。</w:t>
            </w:r>
            <w:r/>
          </w:p>
        </w:tc>
        <w:tc>
          <w:tcPr>
            <w:tcW w:w="2209" w:type="dxa"/>
            <w:vAlign w:val="center"/>
            <w:textDirection w:val="lrTb"/>
            <w:noWrap w:val="false"/>
          </w:tcPr>
          <w:p>
            <w:pPr>
              <w:pStyle w:val="1170"/>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 xml:space="preserve">提供合同</w:t>
            </w:r>
            <w:r>
              <w:rPr>
                <w:rFonts w:hint="eastAsia" w:ascii="宋体" w:hAnsi="宋体" w:cs="宋体"/>
                <w:b/>
                <w:bCs/>
                <w:sz w:val="24"/>
                <w:szCs w:val="24"/>
                <w:lang w:val="en-US" w:eastAsia="zh-CN"/>
              </w:rPr>
              <w:t xml:space="preserve">扫描件，否则不得分。</w:t>
            </w:r>
            <w:r/>
          </w:p>
        </w:tc>
      </w:tr>
      <w:tr>
        <w:trPr>
          <w:cantSplit/>
          <w:trHeight w:val="948"/>
        </w:trPr>
        <w:tc>
          <w:tcPr>
            <w:tcW w:w="741"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000000"/>
                <w:sz w:val="24"/>
                <w:highlight w:val="none"/>
                <w:lang w:eastAsia="zh-CN"/>
              </w:rPr>
              <w:t xml:space="preserve">项目负责人</w:t>
            </w:r>
            <w:r/>
          </w:p>
        </w:tc>
        <w:tc>
          <w:tcPr>
            <w:tcW w:w="850" w:type="dxa"/>
            <w:vAlign w:val="center"/>
            <w:textDirection w:val="lrTb"/>
            <w:noWrap w:val="false"/>
          </w:tcPr>
          <w:p>
            <w:pPr>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8966" w:type="dxa"/>
            <w:vAlign w:val="center"/>
            <w:textDirection w:val="lrTb"/>
            <w:noWrap w:val="false"/>
          </w:tcPr>
          <w:p>
            <w:pPr>
              <w:spacing w:line="240" w:lineRule="auto"/>
              <w:rPr>
                <w:rFonts w:hint="eastAsia" w:ascii="宋体" w:hAnsi="宋体" w:eastAsia="宋体" w:cs="宋体"/>
                <w:b/>
                <w:bCs/>
                <w:color w:val="auto"/>
                <w:sz w:val="24"/>
                <w:szCs w:val="24"/>
              </w:rPr>
            </w:pPr>
            <w:r>
              <w:rPr>
                <w:rFonts w:hint="eastAsia" w:ascii="宋体" w:hAnsi="宋体" w:cs="宋体"/>
                <w:color w:val="auto"/>
                <w:sz w:val="24"/>
                <w:highlight w:val="none"/>
                <w:lang w:bidi="ar"/>
              </w:rPr>
              <w:t xml:space="preserve">投标供应商拟派项目负责人具备</w:t>
            </w:r>
            <w:r>
              <w:rPr>
                <w:rFonts w:hint="eastAsia" w:ascii="宋体" w:hAnsi="宋体" w:cs="宋体"/>
                <w:color w:val="auto"/>
                <w:sz w:val="24"/>
                <w:highlight w:val="none"/>
                <w:lang w:val="en-US" w:eastAsia="zh-CN" w:bidi="ar"/>
              </w:rPr>
              <w:t xml:space="preserve">中</w:t>
            </w:r>
            <w:r>
              <w:rPr>
                <w:rFonts w:hint="eastAsia" w:ascii="宋体" w:hAnsi="宋体" w:cs="宋体"/>
                <w:color w:val="auto"/>
                <w:sz w:val="24"/>
                <w:highlight w:val="none"/>
                <w:lang w:bidi="ar"/>
              </w:rPr>
              <w:t xml:space="preserve">专（或以上）学历</w:t>
            </w:r>
            <w:r>
              <w:rPr>
                <w:rFonts w:hint="eastAsia" w:ascii="宋体" w:hAnsi="宋体" w:cs="宋体"/>
                <w:color w:val="auto"/>
                <w:sz w:val="24"/>
                <w:highlight w:val="none"/>
                <w:lang w:eastAsia="zh-CN" w:bidi="ar"/>
              </w:rPr>
              <w:t xml:space="preserve">的得</w:t>
            </w:r>
            <w:r>
              <w:rPr>
                <w:rFonts w:hint="eastAsia" w:ascii="宋体" w:hAnsi="宋体" w:cs="宋体"/>
                <w:color w:val="auto"/>
                <w:sz w:val="24"/>
                <w:highlight w:val="none"/>
                <w:lang w:val="en-US" w:eastAsia="zh-CN" w:bidi="ar"/>
              </w:rPr>
              <w:t xml:space="preserve">2分</w:t>
            </w:r>
            <w:r>
              <w:rPr>
                <w:rFonts w:hint="eastAsia" w:ascii="宋体" w:hAnsi="宋体" w:cs="宋体"/>
                <w:color w:val="auto"/>
                <w:sz w:val="24"/>
                <w:highlight w:val="none"/>
                <w:lang w:bidi="ar"/>
              </w:rPr>
              <w:t xml:space="preserve">，具有类似管理工作经验三年或以上的（需提供相关项目委托方证明材料）的得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分，本项最高</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tc>
        <w:tc>
          <w:tcPr>
            <w:tcW w:w="2209" w:type="dxa"/>
            <w:vAlign w:val="center"/>
            <w:textDirection w:val="lrTb"/>
            <w:noWrap w:val="false"/>
          </w:tcPr>
          <w:p>
            <w:pPr>
              <w:pStyle w:val="1170"/>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须</w:t>
            </w:r>
            <w:r>
              <w:rPr>
                <w:rFonts w:hint="eastAsia" w:ascii="宋体" w:hAnsi="宋体" w:cs="宋体"/>
                <w:b/>
                <w:bCs/>
                <w:color w:val="auto"/>
                <w:sz w:val="24"/>
                <w:highlight w:val="none"/>
              </w:rPr>
              <w:t xml:space="preserve">提供学历证书原件扫描件、官方网站查询地址及截图</w:t>
            </w:r>
            <w:r/>
          </w:p>
        </w:tc>
      </w:tr>
      <w:tr>
        <w:trPr>
          <w:cantSplit/>
          <w:trHeight w:val="2273"/>
        </w:trPr>
        <w:tc>
          <w:tcPr>
            <w:tcW w:w="741" w:type="dxa"/>
            <w:vAlign w:val="center"/>
            <w:textDirection w:val="lrTb"/>
            <w:noWrap w:val="false"/>
          </w:tcPr>
          <w:p>
            <w:pPr>
              <w:ind w:firstLine="28"/>
              <w:jc w:val="center"/>
              <w:spacing w:line="240"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3.3</w:t>
            </w:r>
            <w:r/>
          </w:p>
        </w:tc>
        <w:tc>
          <w:tcPr>
            <w:tcW w:w="151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机具配备</w:t>
            </w:r>
            <w:r/>
          </w:p>
        </w:tc>
        <w:tc>
          <w:tcPr>
            <w:tcW w:w="850" w:type="dxa"/>
            <w:vAlign w:val="center"/>
            <w:textDirection w:val="lrTb"/>
            <w:noWrap w:val="false"/>
          </w:tcPr>
          <w:p>
            <w:pPr>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w:t>
            </w:r>
            <w:r/>
          </w:p>
        </w:tc>
        <w:tc>
          <w:tcPr>
            <w:tcW w:w="8966" w:type="dxa"/>
            <w:vAlign w:val="center"/>
            <w:textDirection w:val="lrTb"/>
            <w:noWrap w:val="false"/>
          </w:tcPr>
          <w:p>
            <w:pPr>
              <w:numPr>
                <w:ilvl w:val="0"/>
                <w:numId w:val="0"/>
              </w:numPr>
              <w:spacing w:line="240" w:lineRule="auto"/>
              <w:rPr>
                <w:rFonts w:hint="eastAsia" w:ascii="宋体" w:hAnsi="宋体" w:cs="宋体"/>
                <w:color w:val="auto"/>
                <w:sz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highlight w:val="none"/>
              </w:rPr>
              <w:t xml:space="preserve">投标供应商</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rPr>
              <w:t xml:space="preserve">核定载质量≥8000kg的高压冲洒水车的，且承诺用于本项目的得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分；本项目</w:t>
            </w:r>
            <w:r>
              <w:rPr>
                <w:rFonts w:hint="eastAsia" w:ascii="宋体" w:hAnsi="宋体" w:cs="宋体"/>
                <w:color w:val="auto"/>
                <w:sz w:val="24"/>
                <w:highlight w:val="none"/>
                <w:lang w:eastAsia="zh-CN"/>
              </w:rPr>
              <w:t xml:space="preserve">最高</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jc w:val="left"/>
              <w:spacing w:line="240" w:lineRule="auto"/>
              <w:widowControl/>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自有车辆需提供车辆购买发票、行驶证等证明材料原件扫描件</w:t>
            </w:r>
            <w:r>
              <w:rPr>
                <w:rFonts w:hint="eastAsia" w:ascii="宋体" w:hAnsi="宋体" w:cs="宋体"/>
                <w:b/>
                <w:color w:val="000000"/>
                <w:sz w:val="24"/>
                <w:highlight w:val="none"/>
                <w:lang w:eastAsia="zh-CN"/>
              </w:rPr>
              <w:t xml:space="preserve">，证明文件均需加盖电子公章，不提供不得分；</w:t>
            </w:r>
            <w:r/>
          </w:p>
          <w:p>
            <w:pPr>
              <w:jc w:val="left"/>
              <w:spacing w:line="240" w:lineRule="auto"/>
              <w:widowControl/>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eastAsia="zh-CN"/>
              </w:rPr>
              <w:t xml:space="preserve">租赁车辆需提供租赁协议原件扫描件，行驶证</w:t>
            </w:r>
            <w:r>
              <w:rPr>
                <w:rFonts w:hint="eastAsia" w:ascii="宋体" w:hAnsi="宋体" w:cs="宋体"/>
                <w:b/>
                <w:color w:val="000000"/>
                <w:sz w:val="24"/>
                <w:highlight w:val="none"/>
              </w:rPr>
              <w:t xml:space="preserve">等证明材料原件扫描件</w:t>
            </w:r>
            <w:r>
              <w:rPr>
                <w:rFonts w:hint="eastAsia" w:ascii="宋体" w:hAnsi="宋体" w:cs="宋体"/>
                <w:b/>
                <w:color w:val="000000"/>
                <w:sz w:val="24"/>
                <w:highlight w:val="none"/>
                <w:lang w:eastAsia="zh-CN"/>
              </w:rPr>
              <w:t xml:space="preserve">，证明文件均需加盖电子公章，不提供不得分；</w:t>
            </w:r>
            <w:r/>
          </w:p>
          <w:p>
            <w:pPr>
              <w:jc w:val="left"/>
              <w:spacing w:line="240" w:lineRule="auto"/>
              <w:widowControl/>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承诺书（格式自拟），不提供不得分。</w:t>
            </w:r>
            <w:r/>
          </w:p>
          <w:p>
            <w:pPr>
              <w:numPr>
                <w:ilvl w:val="0"/>
                <w:numId w:val="0"/>
              </w:numPr>
              <w:spacing w:line="240" w:lineRule="auto"/>
              <w:rPr>
                <w:rFonts w:hint="eastAsia" w:ascii="宋体" w:hAnsi="宋体" w:cs="宋体"/>
                <w:color w:val="auto"/>
                <w:sz w:val="24"/>
                <w:highlight w:val="none"/>
                <w:lang w:val="en-US" w:eastAsia="zh-CN"/>
              </w:rPr>
            </w:pPr>
            <w:r>
              <w:rPr>
                <w:rFonts w:hint="eastAsia" w:ascii="宋体" w:hAnsi="宋体" w:cs="宋体"/>
                <w:b/>
                <w:color w:val="000000"/>
                <w:sz w:val="24"/>
                <w:highlight w:val="none"/>
              </w:rPr>
              <w:t xml:space="preserve">如机具名称有差异但属同类机具的视同符合对应评分指标，但供应商应在</w:t>
            </w:r>
            <w:r>
              <w:rPr>
                <w:rFonts w:hint="eastAsia" w:ascii="宋体" w:hAnsi="宋体" w:cs="宋体"/>
                <w:b/>
                <w:color w:val="000000"/>
                <w:sz w:val="24"/>
                <w:highlight w:val="none"/>
                <w:lang w:eastAsia="zh-CN"/>
              </w:rPr>
              <w:t xml:space="preserve">响应</w:t>
            </w:r>
            <w:r>
              <w:rPr>
                <w:rFonts w:hint="eastAsia" w:ascii="宋体" w:hAnsi="宋体" w:cs="宋体"/>
                <w:b/>
                <w:color w:val="000000"/>
                <w:sz w:val="24"/>
                <w:highlight w:val="none"/>
              </w:rPr>
              <w:t xml:space="preserve">文件中提供该同类机具的主要功能阐述以利于评标委员会判断，否则对应评分不予认可。</w:t>
            </w:r>
            <w:r/>
          </w:p>
        </w:tc>
        <w:tc>
          <w:tcPr>
            <w:tcW w:w="2209"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549"/>
        </w:trPr>
        <w:tc>
          <w:tcPr>
            <w:gridSpan w:val="2"/>
            <w:tcW w:w="2255"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850"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gridSpan w:val="2"/>
            <w:tcW w:w="1117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center"/>
        <w:spacing w:line="360" w:lineRule="auto"/>
        <w:rPr>
          <w:b/>
          <w:color w:val="auto"/>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color w:val="auto"/>
          <w:sz w:val="36"/>
          <w:szCs w:val="36"/>
          <w:highlight w:val="none"/>
        </w:rPr>
      </w:r>
      <w:r/>
    </w:p>
    <w:p>
      <w:pPr>
        <w:jc w:val="center"/>
        <w:spacing w:line="360" w:lineRule="auto"/>
        <w:tabs>
          <w:tab w:val="left" w:pos="360" w:leader="none"/>
          <w:tab w:val="left" w:pos="900" w:leader="none"/>
        </w:tabs>
        <w:rPr>
          <w:rFonts w:hint="default" w:eastAsia="宋体"/>
          <w:b/>
          <w:color w:val="auto"/>
          <w:highlight w:val="none"/>
          <w:lang w:val="en-US" w:eastAsia="zh-CN"/>
        </w:rPr>
        <w:outlineLvl w:val="1"/>
      </w:pPr>
      <w:r>
        <w:rPr>
          <w:b/>
          <w:color w:val="auto"/>
          <w:sz w:val="24"/>
          <w:highlight w:val="none"/>
        </w:rPr>
        <w:t xml:space="preserve">评标标准</w:t>
      </w:r>
      <w:r>
        <w:rPr>
          <w:rFonts w:hint="eastAsia"/>
          <w:b/>
          <w:color w:val="auto"/>
          <w:sz w:val="24"/>
          <w:highlight w:val="none"/>
          <w:lang w:val="en-US" w:eastAsia="zh-CN"/>
        </w:rPr>
        <w:t xml:space="preserve">02包</w:t>
      </w:r>
      <w:r/>
    </w:p>
    <w:tbl>
      <w:tblPr>
        <w:tblStyle w:val="9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514"/>
        <w:gridCol w:w="850"/>
        <w:gridCol w:w="8966"/>
        <w:gridCol w:w="2209"/>
      </w:tblGrid>
      <w:tr>
        <w:trPr>
          <w:cantSplit/>
          <w:trHeight w:val="451"/>
          <w:tblHeader/>
        </w:trPr>
        <w:tc>
          <w:tcPr>
            <w:tcW w:w="741"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序号</w:t>
            </w:r>
            <w:r/>
          </w:p>
        </w:tc>
        <w:tc>
          <w:tcPr>
            <w:tcW w:w="1514"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评分因素</w:t>
            </w:r>
            <w:r/>
          </w:p>
        </w:tc>
        <w:tc>
          <w:tcPr>
            <w:tcW w:w="850"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分值</w:t>
            </w:r>
            <w:r/>
          </w:p>
        </w:tc>
        <w:tc>
          <w:tcPr>
            <w:tcW w:w="8966" w:type="dxa"/>
            <w:vAlign w:val="center"/>
            <w:textDirection w:val="lrTb"/>
            <w:noWrap w:val="false"/>
          </w:tcPr>
          <w:p>
            <w:pPr>
              <w:ind w:firstLine="28"/>
              <w:jc w:val="center"/>
              <w:rPr>
                <w:rFonts w:ascii="Times New Roman" w:hAnsi="Times New Roman" w:eastAsia="宋体" w:cs="Times New Roman"/>
                <w:b/>
                <w:color w:val="auto"/>
                <w:sz w:val="24"/>
              </w:rPr>
            </w:pPr>
            <w:r>
              <w:rPr>
                <w:rFonts w:ascii="Times New Roman" w:hAnsi="Times New Roman" w:eastAsia="宋体" w:cs="Times New Roman"/>
                <w:b/>
                <w:color w:val="auto"/>
                <w:sz w:val="24"/>
              </w:rPr>
              <w:t xml:space="preserve">评分标准</w:t>
            </w:r>
            <w:r/>
          </w:p>
        </w:tc>
        <w:tc>
          <w:tcPr>
            <w:tcW w:w="2209" w:type="dxa"/>
            <w:vAlign w:val="center"/>
            <w:textDirection w:val="lrTb"/>
            <w:noWrap w:val="false"/>
          </w:tcPr>
          <w:p>
            <w:pPr>
              <w:pStyle w:val="1390"/>
              <w:spacing w:before="0" w:after="0" w:line="240" w:lineRule="auto"/>
              <w:rPr>
                <w:rFonts w:ascii="Times New Roman" w:hAnsi="Times New Roman" w:eastAsia="宋体" w:cs="Times New Roman"/>
                <w:color w:val="auto"/>
                <w:szCs w:val="24"/>
              </w:rPr>
            </w:pPr>
            <w:r>
              <w:rPr>
                <w:rFonts w:ascii="Times New Roman" w:hAnsi="Times New Roman" w:eastAsia="宋体" w:cs="Times New Roman"/>
                <w:color w:val="auto"/>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514"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w:t>
            </w:r>
            <w:r/>
          </w:p>
        </w:tc>
        <w:tc>
          <w:tcPr>
            <w:tcW w:w="850"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89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投标报价得分＝（评标基准价/投标报价）×分值。</w:t>
            </w:r>
            <w:r/>
          </w:p>
        </w:tc>
        <w:tc>
          <w:tcPr>
            <w:tcW w:w="2209" w:type="dxa"/>
            <w:vAlign w:val="center"/>
            <w:textDirection w:val="lrTb"/>
            <w:noWrap w:val="false"/>
          </w:tcPr>
          <w:p>
            <w:pPr>
              <w:ind w:left="-38"/>
              <w:rPr>
                <w:rFonts w:hint="eastAsia" w:ascii="宋体" w:hAnsi="宋体" w:eastAsia="宋体" w:cs="宋体"/>
                <w:color w:val="auto"/>
                <w:sz w:val="24"/>
                <w:szCs w:val="24"/>
              </w:rPr>
            </w:pPr>
            <w:r>
              <w:rPr>
                <w:rFonts w:hint="eastAsia" w:ascii="宋体" w:hAnsi="宋体" w:eastAsia="宋体" w:cs="宋体"/>
                <w:color w:val="auto"/>
                <w:sz w:val="24"/>
                <w:szCs w:val="24"/>
              </w:rPr>
              <w:t xml:space="preserve">此处最终报价指经过报价修正，及因落实政府采购政策进行价格调整后的最终报价，详见第三章《评标方法和评标标准》3。</w:t>
            </w:r>
            <w:r/>
          </w:p>
        </w:tc>
      </w:tr>
      <w:tr>
        <w:trPr>
          <w:cantSplit/>
          <w:trHeight w:val="156"/>
        </w:trPr>
        <w:tc>
          <w:tcPr>
            <w:tcW w:w="741"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5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主观</w:t>
            </w:r>
            <w:r>
              <w:rPr>
                <w:rFonts w:hint="eastAsia" w:ascii="宋体" w:hAnsi="宋体" w:eastAsia="宋体" w:cs="宋体"/>
                <w:color w:val="auto"/>
                <w:sz w:val="24"/>
                <w:szCs w:val="24"/>
                <w:highlight w:val="none"/>
              </w:rPr>
              <w:t xml:space="preserve">分</w:t>
            </w:r>
            <w:r/>
          </w:p>
        </w:tc>
        <w:tc>
          <w:tcPr>
            <w:tcW w:w="850"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66</w:t>
            </w:r>
            <w:r/>
          </w:p>
        </w:tc>
        <w:tc>
          <w:tcPr>
            <w:tcW w:w="8966"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tcW w:w="2209" w:type="dxa"/>
            <w:vAlign w:val="center"/>
            <w:textDirection w:val="lrTb"/>
            <w:noWrap w:val="false"/>
          </w:tcPr>
          <w:p>
            <w:pP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2.1</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 xml:space="preserve">管理制度</w:t>
            </w:r>
            <w:r>
              <w:rPr>
                <w:rFonts w:hint="eastAsia" w:ascii="宋体" w:hAnsi="宋体" w:cs="宋体"/>
                <w:color w:val="auto"/>
                <w:sz w:val="24"/>
                <w:highlight w:val="none"/>
                <w:lang w:eastAsia="zh-CN"/>
              </w:rPr>
              <w:t xml:space="preserve">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10</w:t>
            </w:r>
            <w:r/>
          </w:p>
        </w:tc>
        <w:tc>
          <w:tcPr>
            <w:tcW w:w="8966" w:type="dxa"/>
            <w:vAlign w:val="center"/>
            <w:textDirection w:val="lrTb"/>
            <w:noWrap w:val="false"/>
          </w:tcPr>
          <w:p>
            <w:pPr>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eastAsia="宋体" w:cs="宋体"/>
                <w:color w:val="auto"/>
                <w:sz w:val="24"/>
                <w:szCs w:val="24"/>
                <w:highlight w:val="none"/>
                <w:lang w:eastAsia="zh-CN"/>
              </w:rPr>
              <w:t xml:space="preserve">管理制度</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结合采购需求要求</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人工保洁作业管理制度、</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eastAsia="宋体" w:cs="Times New Roman"/>
                <w:color w:val="auto"/>
                <w:sz w:val="24"/>
                <w:szCs w:val="24"/>
                <w:highlight w:val="none"/>
                <w:lang w:val="en-US" w:eastAsia="zh-CN"/>
              </w:rPr>
              <w:t xml:space="preserve">垃圾收运作业管理制度、</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eastAsia="宋体" w:cs="Times New Roman"/>
                <w:color w:val="auto"/>
                <w:sz w:val="24"/>
                <w:szCs w:val="24"/>
                <w:highlight w:val="none"/>
                <w:lang w:val="en-US" w:eastAsia="zh-CN"/>
              </w:rPr>
              <w:t xml:space="preserve">道路环卫机械化管理制度、</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eastAsia="宋体" w:cs="Times New Roman"/>
                <w:color w:val="auto"/>
                <w:sz w:val="24"/>
                <w:szCs w:val="24"/>
                <w:highlight w:val="none"/>
                <w:lang w:val="en-US" w:eastAsia="zh-CN"/>
              </w:rPr>
              <w:t xml:space="preserve">公厕管理和保洁作业制度等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根据以上内容进行综合评审，上述内容满足采购文件及采购需求的得10分，每缺失一项内容扣2</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spacing w:line="240" w:lineRule="auto"/>
              <w:rPr>
                <w:rFonts w:hint="eastAsia" w:ascii="宋体" w:hAnsi="宋体" w:eastAsia="宋体" w:cs="宋体"/>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w:t>
            </w:r>
            <w:r/>
          </w:p>
        </w:tc>
        <w:tc>
          <w:tcPr>
            <w:shd w:val="clear" w:color="auto" w:fill="auto"/>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w:t>
            </w:r>
            <w:r/>
          </w:p>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保障方案</w:t>
            </w:r>
            <w:r/>
          </w:p>
        </w:tc>
        <w:tc>
          <w:tcPr>
            <w:shd w:val="clear" w:color="auto" w:fill="auto"/>
            <w:tcW w:w="850"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10</w:t>
            </w:r>
            <w:r/>
          </w:p>
        </w:tc>
        <w:tc>
          <w:tcPr>
            <w:shd w:val="clear" w:color="auto" w:fill="auto"/>
            <w:tcW w:w="8966" w:type="dxa"/>
            <w:vAlign w:val="center"/>
            <w:textDirection w:val="lrTb"/>
            <w:noWrap w:val="false"/>
          </w:tcPr>
          <w:p>
            <w:pPr>
              <w:jc w:val="left"/>
              <w:rPr>
                <w:rFonts w:hint="eastAsia" w:ascii="Times New Roman" w:hAnsi="Times New Roman" w:eastAsia="宋体" w:cs="Times New Roman"/>
                <w:color w:val="auto"/>
                <w:sz w:val="21"/>
                <w:szCs w:val="24"/>
                <w:lang w:val="en-US" w:eastAsia="zh-CN" w:bidi="ar-SA"/>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rPr>
              <w:t xml:space="preserve">安全文明保障方案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安全文明保障措施、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作业安全管理措施、</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安全设施设备、</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安全检查记录、</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5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⑤</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安全教育培训计划等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10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3</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cs="宋体"/>
                <w:color w:val="auto"/>
                <w:sz w:val="24"/>
                <w:highlight w:val="none"/>
              </w:rPr>
              <w:t xml:space="preserve">作业实施及线路安排</w:t>
            </w:r>
            <w:r>
              <w:rPr>
                <w:rFonts w:hint="eastAsia" w:ascii="宋体" w:hAnsi="宋体" w:cs="宋体"/>
                <w:color w:val="auto"/>
                <w:sz w:val="24"/>
                <w:highlight w:val="none"/>
                <w:lang w:eastAsia="zh-CN"/>
              </w:rPr>
              <w:t xml:space="preserve">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8</w:t>
            </w:r>
            <w:r/>
          </w:p>
        </w:tc>
        <w:tc>
          <w:tcPr>
            <w:tcW w:w="8966" w:type="dxa"/>
            <w:vAlign w:val="center"/>
            <w:textDirection w:val="lrTb"/>
            <w:noWrap w:val="false"/>
          </w:tcPr>
          <w:p>
            <w:pPr>
              <w:jc w:val="left"/>
              <w:rPr>
                <w:rFonts w:ascii="宋体" w:hAnsi="宋体" w:eastAsia="宋体" w:cs="宋体"/>
                <w:color w:val="auto"/>
                <w:sz w:val="24"/>
                <w:szCs w:val="24"/>
                <w:lang w:val="en-US" w:eastAsia="zh-CN" w:bidi="ar-SA"/>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rPr>
              <w:t xml:space="preserve">作业实施及线路安排</w:t>
            </w:r>
            <w:r>
              <w:rPr>
                <w:rFonts w:hint="eastAsia" w:ascii="宋体" w:hAnsi="宋体" w:cs="宋体"/>
                <w:color w:val="auto"/>
                <w:sz w:val="24"/>
                <w:highlight w:val="none"/>
                <w:lang w:eastAsia="zh-CN"/>
              </w:rPr>
              <w:t xml:space="preserve">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道路环卫机械化作业组织方案及流程、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人工作业组织方案及流程、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垃圾收运作业组织方案及流程、</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进退场交接措施方案等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4</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rPr>
            </w:pPr>
            <w:r>
              <w:rPr>
                <w:rFonts w:hint="eastAsia" w:ascii="宋体" w:hAnsi="宋体" w:cs="宋体"/>
                <w:color w:val="auto"/>
                <w:sz w:val="24"/>
                <w:lang w:eastAsia="zh-CN"/>
              </w:rPr>
              <w:t xml:space="preserve">环卫作业重难点分析方案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W w:w="8966" w:type="dxa"/>
            <w:vAlign w:val="center"/>
            <w:textDirection w:val="lrTb"/>
            <w:noWrap w:val="false"/>
          </w:tcPr>
          <w:p>
            <w:pPr>
              <w:jc w:val="left"/>
              <w:rPr>
                <w:rFonts w:hint="eastAsia"/>
                <w:color w:val="auto"/>
              </w:rPr>
            </w:pPr>
            <w:r>
              <w:rPr>
                <w:rFonts w:hint="eastAsia" w:ascii="宋体" w:hAnsi="宋体" w:cs="宋体"/>
                <w:color w:val="auto"/>
                <w:sz w:val="24"/>
                <w:lang w:val="zh-TW" w:eastAsia="zh-CN"/>
              </w:rPr>
              <w:t xml:space="preserve">根据</w:t>
            </w:r>
            <w:r>
              <w:rPr>
                <w:rFonts w:hint="eastAsia" w:ascii="宋体" w:hAnsi="宋体" w:cs="宋体"/>
                <w:color w:val="auto"/>
                <w:sz w:val="24"/>
                <w:lang w:val="zh-TW" w:eastAsia="zh-TW"/>
              </w:rPr>
              <w:t xml:space="preserve">供应商对本项目提出的</w:t>
            </w:r>
            <w:r>
              <w:rPr>
                <w:rFonts w:hint="eastAsia" w:ascii="宋体" w:hAnsi="宋体" w:cs="宋体"/>
                <w:color w:val="auto"/>
                <w:sz w:val="24"/>
                <w:lang w:val="zh-TW" w:eastAsia="zh-CN"/>
              </w:rPr>
              <w:t xml:space="preserve">环卫作业重难点分析方案</w:t>
            </w:r>
            <w:r>
              <w:rPr>
                <w:rFonts w:hint="eastAsia" w:ascii="宋体" w:hAnsi="宋体" w:cs="宋体"/>
                <w:color w:val="auto"/>
                <w:sz w:val="24"/>
                <w:lang w:val="zh-TW" w:eastAsia="zh-TW"/>
              </w:rPr>
              <w:t xml:space="preserve">进行评审，包括且不限于</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1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①</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 xml:space="preserve">路面油污</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2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②</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TW"/>
              </w:rPr>
              <w:t xml:space="preserve">工地出入口路面污染</w:t>
            </w:r>
            <w:r>
              <w:rPr>
                <w:rFonts w:hint="eastAsia" w:ascii="宋体" w:hAnsi="宋体" w:cs="宋体"/>
                <w:color w:val="auto"/>
                <w:sz w:val="24"/>
                <w:lang w:val="zh-TW" w:eastAsia="zh-CN"/>
              </w:rPr>
              <w:t xml:space="preserve">、</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3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③</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 xml:space="preserve">店外出摊路面保洁、</w:t>
            </w:r>
            <w:r>
              <w:rPr>
                <w:rFonts w:hint="eastAsia" w:ascii="宋体" w:hAnsi="宋体" w:cs="宋体"/>
                <w:color w:val="auto"/>
                <w:sz w:val="24"/>
                <w:lang w:val="zh-TW" w:eastAsia="zh-CN"/>
              </w:rPr>
              <w:fldChar w:fldCharType="begin"/>
            </w:r>
            <w:r>
              <w:rPr>
                <w:rFonts w:hint="eastAsia" w:ascii="宋体" w:hAnsi="宋体" w:cs="宋体"/>
                <w:color w:val="auto"/>
                <w:sz w:val="24"/>
                <w:lang w:val="zh-TW" w:eastAsia="zh-CN"/>
              </w:rPr>
              <w:instrText xml:space="preserve"> = 4 \* GB3 </w:instrText>
            </w:r>
            <w:r>
              <w:rPr>
                <w:rFonts w:hint="eastAsia" w:ascii="宋体" w:hAnsi="宋体" w:cs="宋体"/>
                <w:color w:val="auto"/>
                <w:sz w:val="24"/>
                <w:lang w:val="zh-TW" w:eastAsia="zh-CN"/>
              </w:rPr>
              <w:fldChar w:fldCharType="separate"/>
            </w:r>
            <w:r>
              <w:rPr>
                <w:rFonts w:hint="eastAsia" w:ascii="宋体" w:hAnsi="宋体" w:cs="宋体"/>
                <w:color w:val="auto"/>
                <w:sz w:val="24"/>
                <w:lang w:val="zh-TW" w:eastAsia="zh-CN"/>
              </w:rPr>
              <w:t xml:space="preserve">④</w:t>
            </w:r>
            <w:r>
              <w:rPr>
                <w:rFonts w:hint="eastAsia" w:ascii="宋体" w:hAnsi="宋体" w:cs="宋体"/>
                <w:color w:val="auto"/>
                <w:sz w:val="24"/>
                <w:lang w:val="zh-TW" w:eastAsia="zh-CN"/>
              </w:rPr>
              <w:fldChar w:fldCharType="end"/>
            </w:r>
            <w:r>
              <w:rPr>
                <w:rFonts w:hint="eastAsia" w:ascii="宋体" w:hAnsi="宋体" w:cs="宋体"/>
                <w:color w:val="auto"/>
                <w:sz w:val="24"/>
                <w:lang w:val="zh-TW" w:eastAsia="zh-CN"/>
              </w:rPr>
              <w:t xml:space="preserve">绿化管养造成的道路积尘</w:t>
            </w:r>
            <w:r>
              <w:rPr>
                <w:rFonts w:hint="eastAsia" w:ascii="宋体" w:hAnsi="宋体" w:cs="宋体"/>
                <w:color w:val="auto"/>
                <w:sz w:val="24"/>
                <w:lang w:val="zh-TW" w:eastAsia="zh-TW"/>
              </w:rPr>
              <w:t xml:space="preserve">等</w:t>
            </w:r>
            <w:r>
              <w:rPr>
                <w:rFonts w:hint="eastAsia" w:ascii="宋体" w:hAnsi="宋体" w:cs="宋体"/>
                <w:color w:val="auto"/>
                <w:sz w:val="24"/>
                <w:lang w:val="zh-TW" w:eastAsia="zh-CN"/>
              </w:rPr>
              <w:t xml:space="preserve">；</w:t>
            </w:r>
            <w:r>
              <w:rPr>
                <w:rFonts w:hint="eastAsia" w:ascii="宋体" w:hAnsi="宋体" w:cs="宋体"/>
                <w:color w:val="auto"/>
                <w:sz w:val="24"/>
                <w:lang w:val="en-US" w:eastAsia="zh-CN"/>
              </w:rPr>
              <w:t xml:space="preserve">根据以上内容进行综合评审，上述内容满足采购文件及采购需求的得8分，每缺失一项内容扣2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b/>
                <w:bCs/>
                <w:color w:val="auto"/>
                <w:sz w:val="24"/>
                <w:lang w:val="zh-TW"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5</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极端天气和突发事件预案</w:t>
            </w:r>
            <w:r>
              <w:rPr>
                <w:rFonts w:hint="eastAsia" w:ascii="宋体" w:hAnsi="宋体" w:cs="宋体"/>
                <w:color w:val="auto"/>
                <w:sz w:val="24"/>
                <w:szCs w:val="24"/>
                <w:lang w:val="en-US" w:eastAsia="zh-CN" w:bidi="ar-SA"/>
              </w:rPr>
              <w:t xml:space="preserve">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8</w:t>
            </w:r>
            <w:r/>
          </w:p>
        </w:tc>
        <w:tc>
          <w:tcPr>
            <w:tcW w:w="8966" w:type="dxa"/>
            <w:vAlign w:val="center"/>
            <w:textDirection w:val="lrTb"/>
            <w:noWrap w:val="false"/>
          </w:tcPr>
          <w:p>
            <w:pPr>
              <w:jc w:val="left"/>
              <w:rPr>
                <w:rFonts w:hint="eastAsia" w:ascii="宋体" w:hAnsi="宋体" w:eastAsia="宋体" w:cs="宋体"/>
                <w:b w:val="0"/>
                <w:bCs/>
                <w:color w:val="auto"/>
                <w:sz w:val="24"/>
                <w:szCs w:val="24"/>
                <w:lang w:val="en-US" w:eastAsia="zh-CN" w:bidi="ar-SA"/>
              </w:rPr>
            </w:pPr>
            <w:r>
              <w:rPr>
                <w:rFonts w:hint="eastAsia" w:ascii="宋体" w:hAnsi="宋体" w:eastAsia="宋体" w:cs="Times New Roman"/>
                <w:color w:val="auto"/>
                <w:sz w:val="24"/>
                <w:szCs w:val="24"/>
                <w:highlight w:val="none"/>
                <w:lang w:val="en-US" w:eastAsia="zh-CN"/>
              </w:rPr>
              <w:t xml:space="preserve">根据供应商对本项目</w:t>
            </w:r>
            <w:r>
              <w:rPr>
                <w:rFonts w:hint="eastAsia" w:ascii="宋体" w:hAnsi="宋体" w:cs="宋体"/>
                <w:color w:val="auto"/>
                <w:sz w:val="24"/>
                <w:highlight w:val="none"/>
                <w:lang w:val="en-US" w:eastAsia="zh-CN"/>
              </w:rPr>
              <w:t xml:space="preserve">极端天气和突发事件预案方案</w:t>
            </w:r>
            <w:r>
              <w:rPr>
                <w:rFonts w:hint="eastAsia" w:ascii="宋体" w:hAnsi="宋体" w:eastAsia="宋体" w:cs="Times New Roman"/>
                <w:color w:val="auto"/>
                <w:sz w:val="24"/>
                <w:szCs w:val="24"/>
                <w:highlight w:val="none"/>
                <w:lang w:val="en-US" w:eastAsia="zh-CN"/>
              </w:rPr>
              <w:t xml:space="preserve">进行评审，包括且不限于：</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重大活动、重大检查及节假日预案、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2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②</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安全事故应急预案、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3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③</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恶劣天气应急预案、</w:t>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eastAsia="宋体" w:cs="Times New Roman"/>
                <w:color w:val="auto"/>
                <w:sz w:val="24"/>
                <w:szCs w:val="24"/>
                <w:highlight w:val="none"/>
                <w:lang w:val="en-US" w:eastAsia="zh-CN"/>
              </w:rPr>
              <w:t xml:space="preserve">不可抗力应急预案等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cs="宋体"/>
                <w:color w:val="auto"/>
                <w:sz w:val="24"/>
                <w:szCs w:val="24"/>
                <w:lang w:val="en-US" w:eastAsia="zh-CN"/>
              </w:rPr>
              <w:t xml:space="preserve">6</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auto"/>
                <w:sz w:val="24"/>
              </w:rPr>
              <w:t xml:space="preserve">整体服务方案</w:t>
            </w:r>
            <w:r/>
          </w:p>
        </w:tc>
        <w:tc>
          <w:tcPr>
            <w:tcW w:w="850"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W w:w="8966" w:type="dxa"/>
            <w:vAlign w:val="center"/>
            <w:textDirection w:val="lrTb"/>
            <w:noWrap w:val="false"/>
          </w:tcPr>
          <w:p>
            <w:pPr>
              <w:jc w:val="left"/>
              <w:rPr>
                <w:rFonts w:hint="eastAsia" w:ascii="宋体" w:hAnsi="宋体" w:eastAsia="宋体" w:cs="宋体"/>
                <w:b w:val="0"/>
                <w:bCs/>
                <w:color w:val="auto"/>
                <w:sz w:val="24"/>
                <w:szCs w:val="24"/>
              </w:rPr>
            </w:pPr>
            <w:r>
              <w:rPr>
                <w:rFonts w:hint="eastAsia" w:ascii="宋体" w:hAnsi="宋体" w:cs="宋体"/>
                <w:color w:val="auto"/>
                <w:sz w:val="24"/>
                <w:lang w:val="zh-TW" w:eastAsia="zh-CN"/>
              </w:rPr>
              <w:t xml:space="preserve">根</w:t>
            </w:r>
            <w:r>
              <w:rPr>
                <w:rFonts w:hint="eastAsia" w:ascii="宋体" w:hAnsi="宋体" w:eastAsia="宋体" w:cs="Times New Roman"/>
                <w:color w:val="auto"/>
                <w:sz w:val="24"/>
                <w:szCs w:val="24"/>
                <w:highlight w:val="none"/>
                <w:lang w:val="zh-TW" w:eastAsia="zh-CN"/>
              </w:rPr>
              <w:t xml:space="preserve">据</w:t>
            </w:r>
            <w:r>
              <w:rPr>
                <w:rFonts w:hint="eastAsia" w:ascii="宋体" w:hAnsi="宋体" w:eastAsia="宋体" w:cs="Times New Roman"/>
                <w:color w:val="auto"/>
                <w:sz w:val="24"/>
                <w:szCs w:val="24"/>
                <w:highlight w:val="none"/>
                <w:lang w:val="zh-TW" w:eastAsia="zh-TW"/>
              </w:rPr>
              <w:t xml:space="preserve">供应商对本项目提出的</w:t>
            </w:r>
            <w:r>
              <w:rPr>
                <w:rFonts w:hint="eastAsia" w:ascii="宋体" w:hAnsi="宋体" w:eastAsia="宋体" w:cs="Times New Roman"/>
                <w:color w:val="auto"/>
                <w:sz w:val="24"/>
                <w:szCs w:val="24"/>
                <w:highlight w:val="none"/>
                <w:lang w:val="zh-TW" w:eastAsia="zh-CN"/>
              </w:rPr>
              <w:t xml:space="preserve">整体</w:t>
            </w:r>
            <w:r>
              <w:rPr>
                <w:rFonts w:hint="eastAsia" w:ascii="宋体" w:hAnsi="宋体" w:eastAsia="宋体" w:cs="Times New Roman"/>
                <w:color w:val="auto"/>
                <w:sz w:val="24"/>
                <w:szCs w:val="24"/>
                <w:highlight w:val="none"/>
                <w:lang w:val="zh-TW" w:eastAsia="zh-TW"/>
              </w:rPr>
              <w:t xml:space="preserve">服务方案进行评审，包括且不限于</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1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①</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 xml:space="preserve">组织机构机构设置</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2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②</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zh-TW" w:eastAsia="zh-TW"/>
              </w:rPr>
              <w:t xml:space="preserve">岗位职责</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3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③</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工作开展方案</w:t>
            </w:r>
            <w:r>
              <w:rPr>
                <w:rFonts w:hint="eastAsia" w:ascii="宋体" w:hAnsi="宋体" w:eastAsia="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fldChar w:fldCharType="begin"/>
            </w:r>
            <w:r>
              <w:rPr>
                <w:rFonts w:hint="eastAsia" w:ascii="宋体" w:hAnsi="宋体" w:eastAsia="宋体" w:cs="Times New Roman"/>
                <w:color w:val="auto"/>
                <w:sz w:val="24"/>
                <w:szCs w:val="24"/>
                <w:highlight w:val="none"/>
                <w:lang w:val="en-US" w:eastAsia="zh-CN"/>
              </w:rPr>
              <w:instrText xml:space="preserve"> = 4 \* GB3 </w:instrText>
            </w:r>
            <w:r>
              <w:rPr>
                <w:rFonts w:hint="eastAsia" w:ascii="宋体" w:hAnsi="宋体" w:eastAsia="宋体" w:cs="Times New Roman"/>
                <w:color w:val="auto"/>
                <w:sz w:val="24"/>
                <w:szCs w:val="24"/>
                <w:highlight w:val="none"/>
                <w:lang w:val="en-US" w:eastAsia="zh-CN"/>
              </w:rPr>
              <w:fldChar w:fldCharType="separate"/>
            </w:r>
            <w:r>
              <w:rPr>
                <w:rFonts w:hint="eastAsia" w:ascii="宋体" w:hAnsi="宋体" w:eastAsia="宋体" w:cs="Times New Roman"/>
                <w:color w:val="auto"/>
                <w:sz w:val="24"/>
                <w:szCs w:val="24"/>
                <w:highlight w:val="none"/>
                <w:lang w:val="en-US" w:eastAsia="zh-CN"/>
              </w:rPr>
              <w:t xml:space="preserve">④</w:t>
            </w:r>
            <w:r>
              <w:rPr>
                <w:rFonts w:hint="eastAsia" w:ascii="宋体" w:hAnsi="宋体" w:eastAsia="宋体" w:cs="Times New Roman"/>
                <w:color w:val="auto"/>
                <w:sz w:val="24"/>
                <w:szCs w:val="24"/>
                <w:highlight w:val="none"/>
                <w:lang w:val="en-US" w:eastAsia="zh-CN"/>
              </w:rPr>
              <w:fldChar w:fldCharType="end"/>
            </w:r>
            <w:r>
              <w:rPr>
                <w:rFonts w:hint="eastAsia" w:ascii="宋体" w:hAnsi="宋体" w:eastAsia="宋体" w:cs="Times New Roman"/>
                <w:color w:val="auto"/>
                <w:sz w:val="24"/>
                <w:szCs w:val="24"/>
                <w:highlight w:val="none"/>
                <w:lang w:val="en-US" w:eastAsia="zh-CN"/>
              </w:rPr>
              <w:t xml:space="preserve">工作制度及规范建立</w:t>
            </w:r>
            <w:r>
              <w:rPr>
                <w:rFonts w:hint="eastAsia" w:ascii="宋体" w:hAnsi="宋体" w:eastAsia="宋体" w:cs="Times New Roman"/>
                <w:color w:val="auto"/>
                <w:sz w:val="24"/>
                <w:szCs w:val="24"/>
                <w:highlight w:val="none"/>
                <w:lang w:val="zh-TW" w:eastAsia="zh-TW"/>
              </w:rPr>
              <w:t xml:space="preserve">等</w:t>
            </w:r>
            <w:r>
              <w:rPr>
                <w:rFonts w:hint="eastAsia" w:ascii="宋体" w:hAnsi="宋体" w:cs="Times New Roman"/>
                <w:color w:val="auto"/>
                <w:sz w:val="24"/>
                <w:szCs w:val="24"/>
                <w:highlight w:val="none"/>
                <w:lang w:val="zh-TW"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w:t>
            </w:r>
            <w:r/>
          </w:p>
        </w:tc>
        <w:tc>
          <w:tcPr>
            <w:tcW w:w="1514" w:type="dxa"/>
            <w:vAlign w:val="center"/>
            <w:textDirection w:val="lrTb"/>
            <w:noWrap w:val="false"/>
          </w:tcPr>
          <w:p>
            <w:pPr>
              <w:ind w:firstLine="28"/>
              <w:jc w:val="center"/>
              <w:spacing w:line="24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人员配置方案</w:t>
            </w:r>
            <w:r/>
          </w:p>
        </w:tc>
        <w:tc>
          <w:tcPr>
            <w:tcW w:w="850" w:type="dxa"/>
            <w:vAlign w:val="center"/>
            <w:textDirection w:val="lrTb"/>
            <w:noWrap w:val="false"/>
          </w:tcPr>
          <w:p>
            <w:pPr>
              <w:ind w:firstLine="28"/>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8966" w:type="dxa"/>
            <w:vAlign w:val="center"/>
            <w:textDirection w:val="lrTb"/>
            <w:noWrap w:val="false"/>
          </w:tcPr>
          <w:p>
            <w:pPr>
              <w:jc w:val="left"/>
              <w:rPr>
                <w:rFonts w:hint="eastAsia" w:ascii="宋体" w:hAnsi="宋体" w:cs="宋体"/>
                <w:color w:val="auto"/>
                <w:sz w:val="24"/>
                <w:lang w:val="zh-TW" w:eastAsia="zh-CN"/>
              </w:rPr>
            </w:pPr>
            <w:r>
              <w:rPr>
                <w:rFonts w:hint="eastAsia" w:ascii="宋体" w:hAnsi="宋体" w:cs="宋体"/>
                <w:bCs/>
                <w:color w:val="auto"/>
                <w:sz w:val="24"/>
                <w:szCs w:val="24"/>
                <w:highlight w:val="none"/>
                <w:lang w:eastAsia="zh-CN"/>
              </w:rPr>
              <w:t xml:space="preserve">根据供应商对本项目的</w:t>
            </w:r>
            <w:r>
              <w:rPr>
                <w:rFonts w:hint="eastAsia" w:ascii="宋体" w:hAnsi="宋体" w:cs="宋体"/>
                <w:color w:val="auto"/>
                <w:sz w:val="24"/>
                <w:lang w:val="en-US" w:eastAsia="zh-CN"/>
              </w:rPr>
              <w:t xml:space="preserve">人员配置方案</w:t>
            </w:r>
            <w:r>
              <w:rPr>
                <w:rFonts w:hint="eastAsia" w:ascii="宋体" w:hAnsi="宋体" w:cs="宋体"/>
                <w:bCs/>
                <w:color w:val="auto"/>
                <w:sz w:val="24"/>
                <w:szCs w:val="24"/>
                <w:highlight w:val="none"/>
                <w:lang w:eastAsia="zh-CN"/>
              </w:rPr>
              <w:t xml:space="preserve">进行评</w:t>
            </w:r>
            <w:r>
              <w:rPr>
                <w:rFonts w:hint="eastAsia" w:ascii="宋体" w:hAnsi="宋体" w:cs="宋体"/>
                <w:bCs/>
                <w:color w:val="auto"/>
                <w:sz w:val="24"/>
                <w:szCs w:val="24"/>
                <w:highlight w:val="none"/>
                <w:lang w:val="en-US" w:eastAsia="zh-CN"/>
              </w:rPr>
              <w:t xml:space="preserve">审</w:t>
            </w:r>
            <w:r>
              <w:rPr>
                <w:rFonts w:hint="eastAsia" w:ascii="宋体" w:hAnsi="宋体"/>
                <w:color w:val="auto"/>
                <w:sz w:val="24"/>
                <w:szCs w:val="24"/>
                <w:highlight w:val="none"/>
              </w:rPr>
              <w:t xml:space="preserve">，包括但不限于</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olor w:val="auto"/>
                <w:sz w:val="24"/>
                <w:szCs w:val="24"/>
                <w:highlight w:val="none"/>
              </w:rPr>
              <w:t xml:space="preserve">人员配备</w:t>
            </w:r>
            <w:r>
              <w:rPr>
                <w:rFonts w:hint="eastAsia" w:ascii="宋体" w:hAnsi="宋体"/>
                <w:color w:val="auto"/>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olor w:val="auto"/>
                <w:sz w:val="24"/>
                <w:szCs w:val="24"/>
                <w:highlight w:val="none"/>
                <w:lang w:eastAsia="zh-CN"/>
              </w:rPr>
              <w:t xml:space="preserve">人员培训等，</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2.8</w:t>
            </w:r>
            <w:r/>
          </w:p>
        </w:tc>
        <w:tc>
          <w:tcPr>
            <w:tcW w:w="1514" w:type="dxa"/>
            <w:vAlign w:val="center"/>
            <w:textDirection w:val="lrTb"/>
            <w:noWrap w:val="false"/>
          </w:tcPr>
          <w:p>
            <w:pPr>
              <w:ind w:firstLine="28"/>
              <w:jc w:val="center"/>
              <w:spacing w:line="240" w:lineRule="auto"/>
              <w:rPr>
                <w:rFonts w:hint="default" w:ascii="宋体" w:hAnsi="宋体" w:cs="宋体"/>
                <w:color w:val="auto"/>
                <w:sz w:val="24"/>
                <w:lang w:val="en-US" w:eastAsia="zh-CN"/>
              </w:rPr>
            </w:pPr>
            <w:r>
              <w:rPr>
                <w:rFonts w:hint="eastAsia" w:ascii="宋体" w:hAnsi="宋体" w:cs="宋体"/>
                <w:color w:val="auto"/>
                <w:sz w:val="24"/>
                <w:lang w:val="en-US" w:eastAsia="zh-CN"/>
              </w:rPr>
              <w:t xml:space="preserve">合理化建议</w:t>
            </w:r>
            <w:r/>
          </w:p>
        </w:tc>
        <w:tc>
          <w:tcPr>
            <w:tcW w:w="850" w:type="dxa"/>
            <w:vAlign w:val="center"/>
            <w:textDirection w:val="lrTb"/>
            <w:noWrap w:val="false"/>
          </w:tcPr>
          <w:p>
            <w:pPr>
              <w:ind w:firstLine="28"/>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W w:w="8966" w:type="dxa"/>
            <w:vAlign w:val="center"/>
            <w:textDirection w:val="lrTb"/>
            <w:noWrap w:val="false"/>
          </w:tcPr>
          <w:p>
            <w:pPr>
              <w:jc w:val="left"/>
              <w:rPr>
                <w:rFonts w:hint="default" w:ascii="宋体" w:hAnsi="宋体" w:cs="宋体"/>
                <w:color w:val="auto"/>
                <w:sz w:val="24"/>
                <w:lang w:val="en-US" w:eastAsia="zh-CN"/>
              </w:rPr>
            </w:pPr>
            <w:r>
              <w:rPr>
                <w:rFonts w:hint="eastAsia" w:ascii="宋体" w:hAnsi="宋体" w:cs="宋体"/>
                <w:sz w:val="24"/>
                <w:szCs w:val="24"/>
                <w:highlight w:val="none"/>
                <w:lang w:val="en-US" w:eastAsia="zh-CN"/>
              </w:rPr>
              <w:t xml:space="preserve">根据供应商对本项目的合理化建议进行评审，包括且不限于</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color w:val="auto"/>
                <w:sz w:val="24"/>
                <w:lang w:val="en-US" w:eastAsia="zh-CN"/>
              </w:rPr>
              <w:t xml:space="preserve">对本项目服务质量的提升提出合理有效的建议、</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color w:val="auto"/>
                <w:sz w:val="24"/>
                <w:lang w:val="en-US" w:eastAsia="zh-CN"/>
              </w:rPr>
              <w:t xml:space="preserve">针对本项目安全风险防控提出合理有效的建议等</w:t>
            </w:r>
            <w:r>
              <w:rPr>
                <w:rFonts w:hint="eastAsia" w:ascii="宋体" w:hAnsi="宋体"/>
                <w:sz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2863"/>
        </w:trPr>
        <w:tc>
          <w:tcPr>
            <w:tcW w:w="741" w:type="dxa"/>
            <w:vAlign w:val="center"/>
            <w:textDirection w:val="lrTb"/>
            <w:noWrap w:val="false"/>
          </w:tcPr>
          <w:p>
            <w:pPr>
              <w:ind w:firstLine="0"/>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2.9</w:t>
            </w:r>
            <w:r/>
          </w:p>
        </w:tc>
        <w:tc>
          <w:tcPr>
            <w:tcW w:w="1514" w:type="dxa"/>
            <w:vAlign w:val="center"/>
            <w:textDirection w:val="lrTb"/>
            <w:noWrap w:val="false"/>
          </w:tcPr>
          <w:p>
            <w:pPr>
              <w:ind w:firstLine="28"/>
              <w:jc w:val="center"/>
              <w:spacing w:line="240" w:lineRule="auto"/>
              <w:rPr>
                <w:rFonts w:hint="eastAsia" w:ascii="宋体" w:hAnsi="宋体" w:cs="宋体"/>
                <w:color w:val="auto"/>
                <w:sz w:val="24"/>
                <w:lang w:eastAsia="zh-CN"/>
              </w:rPr>
            </w:pPr>
            <w:r>
              <w:rPr>
                <w:rFonts w:hint="eastAsia" w:ascii="宋体" w:hAnsi="宋体" w:eastAsia="宋体"/>
                <w:color w:val="000000"/>
                <w:sz w:val="24"/>
                <w:szCs w:val="24"/>
                <w:highlight w:val="none"/>
                <w:lang w:val="en-US" w:eastAsia="zh-CN"/>
              </w:rPr>
              <w:t xml:space="preserve">服务承诺</w:t>
            </w:r>
            <w:r/>
          </w:p>
        </w:tc>
        <w:tc>
          <w:tcPr>
            <w:tcW w:w="850" w:type="dxa"/>
            <w:vAlign w:val="center"/>
            <w:textDirection w:val="lrTb"/>
            <w:noWrap w:val="false"/>
          </w:tcPr>
          <w:p>
            <w:pPr>
              <w:ind w:firstLine="28"/>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8966" w:type="dxa"/>
            <w:vAlign w:val="center"/>
            <w:textDirection w:val="lrTb"/>
            <w:noWrap w:val="false"/>
          </w:tcPr>
          <w:p>
            <w:pPr>
              <w:jc w:val="both"/>
              <w:keepLines w:val="0"/>
              <w:keepNext w:val="0"/>
              <w:pageBreakBefore w:val="0"/>
              <w:spacing w:line="240" w:lineRule="auto"/>
              <w:widowControl w:val="off"/>
              <w:rPr>
                <w:rFonts w:hint="eastAsia" w:ascii="宋体" w:hAnsi="宋体" w:cs="宋体"/>
                <w:color w:val="auto"/>
                <w:sz w:val="24"/>
                <w:lang w:val="zh-TW" w:eastAsia="zh-CN"/>
              </w:rPr>
            </w:pPr>
            <w:r>
              <w:rPr>
                <w:rFonts w:hint="eastAsia" w:ascii="宋体" w:hAnsi="宋体" w:eastAsia="宋体" w:cs="宋体"/>
                <w:color w:val="auto"/>
                <w:sz w:val="24"/>
                <w:szCs w:val="24"/>
                <w:highlight w:val="none"/>
                <w:lang w:eastAsia="zh-CN"/>
              </w:rPr>
              <w:t xml:space="preserve">根据供应商对本</w:t>
            </w:r>
            <w:r>
              <w:rPr>
                <w:rFonts w:hint="eastAsia" w:ascii="宋体" w:hAnsi="宋体"/>
                <w:sz w:val="24"/>
                <w:highlight w:val="none"/>
              </w:rPr>
              <w:t xml:space="preserve">项目的</w:t>
            </w:r>
            <w:r>
              <w:rPr>
                <w:rFonts w:hint="eastAsia" w:ascii="宋体" w:hAnsi="宋体" w:eastAsia="宋体"/>
                <w:color w:val="000000"/>
                <w:sz w:val="24"/>
                <w:szCs w:val="24"/>
                <w:highlight w:val="none"/>
                <w:lang w:val="en-US" w:eastAsia="zh-CN"/>
              </w:rPr>
              <w:t xml:space="preserve">服务承诺</w:t>
            </w:r>
            <w:r>
              <w:rPr>
                <w:rFonts w:hint="eastAsia" w:ascii="宋体" w:hAnsi="宋体" w:eastAsia="宋体" w:cs="宋体"/>
                <w:color w:val="auto"/>
                <w:sz w:val="24"/>
                <w:szCs w:val="24"/>
                <w:highlight w:val="none"/>
                <w:lang w:eastAsia="zh-CN"/>
              </w:rPr>
              <w:t xml:space="preserve">进行评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lang w:eastAsia="zh-CN"/>
              </w:rPr>
              <w:t xml:space="preserve">，包括但不限于以下内容：</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sz w:val="24"/>
                <w:highlight w:val="none"/>
              </w:rPr>
              <w:t xml:space="preserve">服务质量承诺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sz w:val="24"/>
                <w:highlight w:val="none"/>
              </w:rPr>
              <w:t xml:space="preserve">设备配置承诺</w:t>
            </w:r>
            <w:r>
              <w:rPr>
                <w:rFonts w:hint="eastAsia" w:ascii="宋体" w:hAnsi="宋体"/>
                <w:sz w:val="24"/>
                <w:highlight w:val="none"/>
                <w:lang w:val="en-US" w:eastAsia="zh-CN"/>
              </w:rPr>
              <w:t xml:space="preserve">等；</w:t>
            </w:r>
            <w:r>
              <w:rPr>
                <w:rFonts w:hint="eastAsia" w:ascii="宋体" w:hAnsi="宋体" w:eastAsia="宋体" w:cs="Times New Roman"/>
                <w:color w:val="auto"/>
                <w:sz w:val="24"/>
                <w:szCs w:val="24"/>
                <w:highlight w:val="none"/>
                <w:lang w:val="en-US" w:eastAsia="zh-CN"/>
              </w:rPr>
              <w:t xml:space="preserve">根据以上内容进行综合评审，上述内容满足采购文件及采购需求的得</w:t>
            </w: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分，每缺失一项内容扣</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分，方案每有一处存在错误或瑕疵的扣0.5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Times New Roman"/>
                <w:b/>
                <w:bCs/>
                <w:color w:val="auto"/>
                <w:sz w:val="24"/>
                <w:szCs w:val="24"/>
                <w:highlight w:val="none"/>
                <w:lang w:val="en-US" w:eastAsia="zh-CN"/>
              </w:rPr>
              <w:t xml:space="preserve">未提供不得分。</w:t>
            </w:r>
            <w:r/>
          </w:p>
        </w:tc>
        <w:tc>
          <w:tcPr>
            <w:tcW w:w="2209" w:type="dxa"/>
            <w:vAlign w:val="center"/>
            <w:textDirection w:val="lrTb"/>
            <w:noWrap w:val="false"/>
          </w:tcPr>
          <w:p>
            <w:pPr>
              <w:jc w:val="lef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tc>
      </w:tr>
      <w:tr>
        <w:trPr>
          <w:cantSplit/>
          <w:trHeight w:val="156"/>
        </w:trPr>
        <w:tc>
          <w:tcPr>
            <w:tcW w:w="741"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W w:w="1514" w:type="dxa"/>
            <w:vAlign w:val="center"/>
            <w:textDirection w:val="lrTb"/>
            <w:noWrap w:val="false"/>
          </w:tcPr>
          <w:p>
            <w:pPr>
              <w:ind w:firstLine="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客观</w:t>
            </w:r>
            <w:r>
              <w:rPr>
                <w:rFonts w:hint="eastAsia" w:ascii="宋体" w:hAnsi="宋体" w:eastAsia="宋体" w:cs="宋体"/>
                <w:color w:val="auto"/>
                <w:sz w:val="24"/>
                <w:szCs w:val="24"/>
              </w:rPr>
              <w:t xml:space="preserve">分</w:t>
            </w:r>
            <w:r/>
          </w:p>
        </w:tc>
        <w:tc>
          <w:tcPr>
            <w:tcW w:w="850" w:type="dxa"/>
            <w:vAlign w:val="center"/>
            <w:textDirection w:val="lrTb"/>
            <w:noWrap w:val="false"/>
          </w:tcPr>
          <w:p>
            <w:pPr>
              <w:ind w:firstLine="28"/>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24</w:t>
            </w:r>
            <w:r/>
          </w:p>
        </w:tc>
        <w:tc>
          <w:tcPr>
            <w:tcW w:w="8966" w:type="dxa"/>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W w:w="2209" w:type="dxa"/>
            <w:vAlign w:val="center"/>
            <w:textDirection w:val="lrTb"/>
            <w:noWrap w:val="false"/>
          </w:tcPr>
          <w:p>
            <w:pPr>
              <w:ind w:left="-38"/>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640"/>
        </w:trPr>
        <w:tc>
          <w:tcPr>
            <w:tcW w:w="741" w:type="dxa"/>
            <w:vAlign w:val="center"/>
            <w:textDirection w:val="lrTb"/>
            <w:noWrap w:val="false"/>
          </w:tcPr>
          <w:p>
            <w:pPr>
              <w:ind w:firstLine="28"/>
              <w:jc w:val="center"/>
              <w:spacing w:line="240" w:lineRule="auto"/>
              <w:rPr>
                <w:rFonts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auto"/>
                <w:sz w:val="24"/>
                <w:highlight w:val="none"/>
              </w:rPr>
              <w:t xml:space="preserve">类似业绩</w:t>
            </w:r>
            <w:r/>
          </w:p>
        </w:tc>
        <w:tc>
          <w:tcPr>
            <w:tcW w:w="850" w:type="dxa"/>
            <w:vAlign w:val="center"/>
            <w:textDirection w:val="lrTb"/>
            <w:noWrap w:val="false"/>
          </w:tcPr>
          <w:p>
            <w:pPr>
              <w:jc w:val="center"/>
              <w:spacing w:line="240" w:lineRule="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15</w:t>
            </w:r>
            <w:r/>
          </w:p>
        </w:tc>
        <w:tc>
          <w:tcPr>
            <w:tcW w:w="8966" w:type="dxa"/>
            <w:vAlign w:val="center"/>
            <w:textDirection w:val="lrTb"/>
            <w:noWrap w:val="false"/>
          </w:tcPr>
          <w:p>
            <w:pPr>
              <w:spacing w:line="240" w:lineRule="auto"/>
              <w:rPr>
                <w:rFonts w:hint="eastAsia" w:ascii="宋体" w:hAnsi="宋体" w:eastAsia="宋体" w:cs="宋体"/>
                <w:b w:val="0"/>
                <w:bCs w:val="0"/>
                <w:color w:val="auto"/>
                <w:sz w:val="24"/>
                <w:szCs w:val="24"/>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val="en-US" w:eastAsia="zh-CN"/>
              </w:rPr>
              <w:t xml:space="preserve">2023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01</w:t>
            </w:r>
            <w:r>
              <w:rPr>
                <w:rFonts w:hint="eastAsia" w:ascii="宋体" w:hAnsi="宋体" w:eastAsia="宋体" w:cs="宋体"/>
                <w:sz w:val="24"/>
                <w:szCs w:val="24"/>
                <w:highlight w:val="none"/>
              </w:rPr>
              <w:t xml:space="preserve">日以来承担过已完成或实施中的类似业绩的，有1个得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分，本项最高</w:t>
            </w:r>
            <w:r>
              <w:rPr>
                <w:rFonts w:hint="eastAsia" w:ascii="宋体" w:hAnsi="宋体" w:cs="宋体"/>
                <w:sz w:val="24"/>
                <w:szCs w:val="24"/>
                <w:highlight w:val="none"/>
                <w:lang w:val="en-US" w:eastAsia="zh-CN"/>
              </w:rPr>
              <w:t xml:space="preserve">15 </w:t>
            </w:r>
            <w:r>
              <w:rPr>
                <w:rFonts w:hint="eastAsia" w:ascii="宋体" w:hAnsi="宋体" w:eastAsia="宋体" w:cs="宋体"/>
                <w:sz w:val="24"/>
                <w:szCs w:val="24"/>
                <w:highlight w:val="none"/>
              </w:rPr>
              <w:t xml:space="preserve">分。</w:t>
            </w:r>
            <w:r/>
          </w:p>
        </w:tc>
        <w:tc>
          <w:tcPr>
            <w:tcW w:w="2209" w:type="dxa"/>
            <w:vAlign w:val="center"/>
            <w:textDirection w:val="lrTb"/>
            <w:noWrap w:val="false"/>
          </w:tcPr>
          <w:p>
            <w:pPr>
              <w:pStyle w:val="1170"/>
              <w:rPr>
                <w:rFonts w:hint="eastAsia" w:ascii="宋体" w:hAnsi="宋体" w:eastAsia="宋体" w:cs="宋体"/>
                <w:b/>
                <w:bCs/>
                <w:color w:val="auto"/>
                <w:sz w:val="24"/>
                <w:szCs w:val="24"/>
                <w:lang w:eastAsia="zh-CN"/>
              </w:rPr>
            </w:pPr>
            <w:r>
              <w:rPr>
                <w:rFonts w:hint="eastAsia" w:ascii="宋体" w:hAnsi="宋体" w:eastAsia="宋体" w:cs="宋体"/>
                <w:b/>
                <w:bCs/>
                <w:sz w:val="24"/>
                <w:szCs w:val="24"/>
                <w:lang w:eastAsia="zh-CN"/>
              </w:rPr>
              <w:t xml:space="preserve">提供合同</w:t>
            </w:r>
            <w:r>
              <w:rPr>
                <w:rFonts w:hint="eastAsia" w:ascii="宋体" w:hAnsi="宋体" w:cs="宋体"/>
                <w:b/>
                <w:bCs/>
                <w:sz w:val="24"/>
                <w:szCs w:val="24"/>
                <w:lang w:val="en-US" w:eastAsia="zh-CN"/>
              </w:rPr>
              <w:t xml:space="preserve">扫描件，否则不得分。</w:t>
            </w:r>
            <w:r/>
          </w:p>
        </w:tc>
      </w:tr>
      <w:tr>
        <w:trPr>
          <w:cantSplit/>
          <w:trHeight w:val="948"/>
        </w:trPr>
        <w:tc>
          <w:tcPr>
            <w:tcW w:w="741" w:type="dxa"/>
            <w:vAlign w:val="center"/>
            <w:textDirection w:val="lrTb"/>
            <w:noWrap w:val="false"/>
          </w:tcPr>
          <w:p>
            <w:pPr>
              <w:ind w:firstLine="28"/>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w:t>
            </w:r>
            <w:r/>
          </w:p>
        </w:tc>
        <w:tc>
          <w:tcPr>
            <w:tcW w:w="1514" w:type="dxa"/>
            <w:vAlign w:val="center"/>
            <w:textDirection w:val="lrTb"/>
            <w:noWrap w:val="false"/>
          </w:tcPr>
          <w:p>
            <w:pPr>
              <w:ind w:firstLine="28"/>
              <w:jc w:val="center"/>
              <w:spacing w:line="240" w:lineRule="auto"/>
              <w:rPr>
                <w:rFonts w:hint="eastAsia" w:ascii="宋体" w:hAnsi="宋体" w:eastAsia="宋体" w:cs="宋体"/>
                <w:color w:val="auto"/>
                <w:sz w:val="24"/>
                <w:szCs w:val="24"/>
                <w:lang w:eastAsia="zh-CN"/>
              </w:rPr>
            </w:pPr>
            <w:r>
              <w:rPr>
                <w:rFonts w:hint="eastAsia" w:ascii="宋体" w:hAnsi="宋体" w:cs="宋体"/>
                <w:color w:val="000000"/>
                <w:sz w:val="24"/>
                <w:highlight w:val="none"/>
                <w:lang w:eastAsia="zh-CN"/>
              </w:rPr>
              <w:t xml:space="preserve">项目负责人</w:t>
            </w:r>
            <w:r/>
          </w:p>
        </w:tc>
        <w:tc>
          <w:tcPr>
            <w:tcW w:w="850" w:type="dxa"/>
            <w:vAlign w:val="center"/>
            <w:textDirection w:val="lrTb"/>
            <w:noWrap w:val="false"/>
          </w:tcPr>
          <w:p>
            <w:pPr>
              <w:jc w:val="center"/>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W w:w="8966" w:type="dxa"/>
            <w:vAlign w:val="center"/>
            <w:textDirection w:val="lrTb"/>
            <w:noWrap w:val="false"/>
          </w:tcPr>
          <w:p>
            <w:pPr>
              <w:spacing w:line="240" w:lineRule="auto"/>
              <w:rPr>
                <w:rFonts w:hint="eastAsia" w:ascii="宋体" w:hAnsi="宋体" w:eastAsia="宋体" w:cs="宋体"/>
                <w:b/>
                <w:bCs/>
                <w:color w:val="auto"/>
                <w:sz w:val="24"/>
                <w:szCs w:val="24"/>
              </w:rPr>
            </w:pPr>
            <w:r>
              <w:rPr>
                <w:rFonts w:hint="eastAsia" w:ascii="宋体" w:hAnsi="宋体" w:cs="宋体"/>
                <w:color w:val="auto"/>
                <w:sz w:val="24"/>
                <w:highlight w:val="none"/>
                <w:lang w:bidi="ar"/>
              </w:rPr>
              <w:t xml:space="preserve">投标供应商拟派项目负责人具备</w:t>
            </w:r>
            <w:r>
              <w:rPr>
                <w:rFonts w:hint="eastAsia" w:ascii="宋体" w:hAnsi="宋体" w:cs="宋体"/>
                <w:color w:val="auto"/>
                <w:sz w:val="24"/>
                <w:highlight w:val="none"/>
                <w:lang w:val="en-US" w:eastAsia="zh-CN" w:bidi="ar"/>
              </w:rPr>
              <w:t xml:space="preserve">中</w:t>
            </w:r>
            <w:r>
              <w:rPr>
                <w:rFonts w:hint="eastAsia" w:ascii="宋体" w:hAnsi="宋体" w:cs="宋体"/>
                <w:color w:val="auto"/>
                <w:sz w:val="24"/>
                <w:highlight w:val="none"/>
                <w:lang w:bidi="ar"/>
              </w:rPr>
              <w:t xml:space="preserve">专（或以上）学历</w:t>
            </w:r>
            <w:r>
              <w:rPr>
                <w:rFonts w:hint="eastAsia" w:ascii="宋体" w:hAnsi="宋体" w:cs="宋体"/>
                <w:color w:val="auto"/>
                <w:sz w:val="24"/>
                <w:highlight w:val="none"/>
                <w:lang w:eastAsia="zh-CN" w:bidi="ar"/>
              </w:rPr>
              <w:t xml:space="preserve">的得</w:t>
            </w:r>
            <w:r>
              <w:rPr>
                <w:rFonts w:hint="eastAsia" w:ascii="宋体" w:hAnsi="宋体" w:cs="宋体"/>
                <w:color w:val="auto"/>
                <w:sz w:val="24"/>
                <w:highlight w:val="none"/>
                <w:lang w:val="en-US" w:eastAsia="zh-CN" w:bidi="ar"/>
              </w:rPr>
              <w:t xml:space="preserve">2分</w:t>
            </w:r>
            <w:r>
              <w:rPr>
                <w:rFonts w:hint="eastAsia" w:ascii="宋体" w:hAnsi="宋体" w:cs="宋体"/>
                <w:color w:val="auto"/>
                <w:sz w:val="24"/>
                <w:highlight w:val="none"/>
                <w:lang w:bidi="ar"/>
              </w:rPr>
              <w:t xml:space="preserve">，具有类似管理工作经验三年或以上的（需提供相关项目委托方证明材料）的得</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分，本项最高</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分。</w:t>
            </w:r>
            <w:r/>
          </w:p>
        </w:tc>
        <w:tc>
          <w:tcPr>
            <w:tcW w:w="2209" w:type="dxa"/>
            <w:vAlign w:val="center"/>
            <w:textDirection w:val="lrTb"/>
            <w:noWrap w:val="false"/>
          </w:tcPr>
          <w:p>
            <w:pPr>
              <w:pStyle w:val="1170"/>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须</w:t>
            </w:r>
            <w:r>
              <w:rPr>
                <w:rFonts w:hint="eastAsia" w:ascii="宋体" w:hAnsi="宋体" w:cs="宋体"/>
                <w:b/>
                <w:bCs/>
                <w:color w:val="auto"/>
                <w:sz w:val="24"/>
                <w:highlight w:val="none"/>
              </w:rPr>
              <w:t xml:space="preserve">提供学历证书原件扫描件、官方网站查询地址及截图</w:t>
            </w:r>
            <w:r/>
          </w:p>
        </w:tc>
      </w:tr>
      <w:tr>
        <w:trPr>
          <w:cantSplit/>
          <w:trHeight w:val="2273"/>
        </w:trPr>
        <w:tc>
          <w:tcPr>
            <w:tcW w:w="741" w:type="dxa"/>
            <w:vAlign w:val="center"/>
            <w:textDirection w:val="lrTb"/>
            <w:noWrap w:val="false"/>
          </w:tcPr>
          <w:p>
            <w:pPr>
              <w:ind w:firstLine="28"/>
              <w:jc w:val="center"/>
              <w:spacing w:line="240"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3.3</w:t>
            </w:r>
            <w:r/>
          </w:p>
        </w:tc>
        <w:tc>
          <w:tcPr>
            <w:tcW w:w="1514" w:type="dxa"/>
            <w:vAlign w:val="center"/>
            <w:textDirection w:val="lrTb"/>
            <w:noWrap w:val="false"/>
          </w:tcPr>
          <w:p>
            <w:pPr>
              <w:jc w:val="cente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机具配备</w:t>
            </w:r>
            <w:r/>
          </w:p>
        </w:tc>
        <w:tc>
          <w:tcPr>
            <w:tcW w:w="850" w:type="dxa"/>
            <w:vAlign w:val="center"/>
            <w:textDirection w:val="lrTb"/>
            <w:noWrap w:val="false"/>
          </w:tcPr>
          <w:p>
            <w:pPr>
              <w:jc w:val="center"/>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w:t>
            </w:r>
            <w:r/>
          </w:p>
        </w:tc>
        <w:tc>
          <w:tcPr>
            <w:tcW w:w="8966" w:type="dxa"/>
            <w:vAlign w:val="center"/>
            <w:textDirection w:val="lrTb"/>
            <w:noWrap w:val="false"/>
          </w:tcPr>
          <w:p>
            <w:pPr>
              <w:numPr>
                <w:ilvl w:val="0"/>
                <w:numId w:val="0"/>
              </w:numPr>
              <w:spacing w:line="240" w:lineRule="auto"/>
              <w:rPr>
                <w:rFonts w:hint="eastAsia" w:ascii="宋体" w:hAnsi="宋体" w:cs="宋体"/>
                <w:color w:val="auto"/>
                <w:sz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highlight w:val="none"/>
              </w:rPr>
              <w:t xml:space="preserve">投标供应商</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rPr>
              <w:t xml:space="preserve">核定载质量≥8000kg的高压冲洒水车的，且承诺用于本项目的得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分；本项目</w:t>
            </w:r>
            <w:r>
              <w:rPr>
                <w:rFonts w:hint="eastAsia" w:ascii="宋体" w:hAnsi="宋体" w:cs="宋体"/>
                <w:color w:val="auto"/>
                <w:sz w:val="24"/>
                <w:highlight w:val="none"/>
                <w:lang w:eastAsia="zh-CN"/>
              </w:rPr>
              <w:t xml:space="preserve">最高</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p>
          <w:p>
            <w:pPr>
              <w:jc w:val="left"/>
              <w:spacing w:line="240" w:lineRule="auto"/>
              <w:widowControl/>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自有车辆需提供车辆购买发票、行驶证等证明材料原件扫描件</w:t>
            </w:r>
            <w:r>
              <w:rPr>
                <w:rFonts w:hint="eastAsia" w:ascii="宋体" w:hAnsi="宋体" w:cs="宋体"/>
                <w:b/>
                <w:color w:val="000000"/>
                <w:sz w:val="24"/>
                <w:highlight w:val="none"/>
                <w:lang w:eastAsia="zh-CN"/>
              </w:rPr>
              <w:t xml:space="preserve">，证明文件均需加盖电子公章，不提供不得分；</w:t>
            </w:r>
            <w:r/>
          </w:p>
          <w:p>
            <w:pPr>
              <w:jc w:val="left"/>
              <w:spacing w:line="240" w:lineRule="auto"/>
              <w:widowControl/>
              <w:rPr>
                <w:rFonts w:hint="eastAsia" w:ascii="宋体" w:hAnsi="宋体" w:cs="宋体"/>
                <w:b/>
                <w:color w:val="000000"/>
                <w:sz w:val="24"/>
                <w:highlight w:val="none"/>
                <w:lang w:eastAsia="zh-CN"/>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eastAsia="zh-CN"/>
              </w:rPr>
              <w:t xml:space="preserve">租赁车辆需提供租赁协议原件扫描件，行驶证</w:t>
            </w:r>
            <w:r>
              <w:rPr>
                <w:rFonts w:hint="eastAsia" w:ascii="宋体" w:hAnsi="宋体" w:cs="宋体"/>
                <w:b/>
                <w:color w:val="000000"/>
                <w:sz w:val="24"/>
                <w:highlight w:val="none"/>
              </w:rPr>
              <w:t xml:space="preserve">等证明材料原件扫描件</w:t>
            </w:r>
            <w:r>
              <w:rPr>
                <w:rFonts w:hint="eastAsia" w:ascii="宋体" w:hAnsi="宋体" w:cs="宋体"/>
                <w:b/>
                <w:color w:val="000000"/>
                <w:sz w:val="24"/>
                <w:highlight w:val="none"/>
                <w:lang w:eastAsia="zh-CN"/>
              </w:rPr>
              <w:t xml:space="preserve">，证明文件均需加盖电子公章，不提供不得分；</w:t>
            </w:r>
            <w:r/>
          </w:p>
          <w:p>
            <w:pPr>
              <w:jc w:val="left"/>
              <w:spacing w:line="240" w:lineRule="auto"/>
              <w:widowControl/>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承诺书（格式自拟），不提供不得分。</w:t>
            </w:r>
            <w:r/>
          </w:p>
          <w:p>
            <w:pPr>
              <w:numPr>
                <w:ilvl w:val="0"/>
                <w:numId w:val="0"/>
              </w:numPr>
              <w:spacing w:line="240" w:lineRule="auto"/>
              <w:rPr>
                <w:rFonts w:hint="eastAsia" w:ascii="宋体" w:hAnsi="宋体" w:cs="宋体"/>
                <w:color w:val="auto"/>
                <w:sz w:val="24"/>
                <w:highlight w:val="none"/>
                <w:lang w:val="en-US" w:eastAsia="zh-CN"/>
              </w:rPr>
            </w:pPr>
            <w:r>
              <w:rPr>
                <w:rFonts w:hint="eastAsia" w:ascii="宋体" w:hAnsi="宋体" w:cs="宋体"/>
                <w:b/>
                <w:color w:val="000000"/>
                <w:sz w:val="24"/>
                <w:highlight w:val="none"/>
              </w:rPr>
              <w:t xml:space="preserve">如机具名称有差异但属同类机具的视同符合对应评分指标，但供应商应在</w:t>
            </w:r>
            <w:r>
              <w:rPr>
                <w:rFonts w:hint="eastAsia" w:ascii="宋体" w:hAnsi="宋体" w:cs="宋体"/>
                <w:b/>
                <w:color w:val="000000"/>
                <w:sz w:val="24"/>
                <w:highlight w:val="none"/>
                <w:lang w:eastAsia="zh-CN"/>
              </w:rPr>
              <w:t xml:space="preserve">响应</w:t>
            </w:r>
            <w:r>
              <w:rPr>
                <w:rFonts w:hint="eastAsia" w:ascii="宋体" w:hAnsi="宋体" w:cs="宋体"/>
                <w:b/>
                <w:color w:val="000000"/>
                <w:sz w:val="24"/>
                <w:highlight w:val="none"/>
              </w:rPr>
              <w:t xml:space="preserve">文件中提供该同类机具的主要功能阐述以利于评标委员会判断，否则对应评分不予认可。</w:t>
            </w:r>
            <w:r/>
          </w:p>
        </w:tc>
        <w:tc>
          <w:tcPr>
            <w:tcW w:w="2209"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tc>
      </w:tr>
      <w:tr>
        <w:trPr>
          <w:cantSplit/>
          <w:trHeight w:val="549"/>
        </w:trPr>
        <w:tc>
          <w:tcPr>
            <w:gridSpan w:val="2"/>
            <w:tcW w:w="2255"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850" w:type="dxa"/>
            <w:vAlign w:val="center"/>
            <w:textDirection w:val="lrTb"/>
            <w:noWrap w:val="false"/>
          </w:tcPr>
          <w:p>
            <w:pPr>
              <w:ind w:firstLine="28"/>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100</w:t>
            </w:r>
            <w:r/>
          </w:p>
        </w:tc>
        <w:tc>
          <w:tcPr>
            <w:gridSpan w:val="2"/>
            <w:tcW w:w="11175"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968"/>
        <w:sectPr>
          <w:footnotePr/>
          <w:endnotePr/>
          <w:type w:val="nextPage"/>
          <w:pgSz w:w="16840" w:h="11907" w:orient="landscape"/>
          <w:pgMar w:top="1701" w:right="1418" w:bottom="1134" w:left="1418" w:header="851" w:footer="851" w:gutter="0"/>
          <w:cols w:num="1" w:sep="0" w:space="1701" w:equalWidth="1"/>
          <w:docGrid w:linePitch="360"/>
        </w:sectPr>
      </w:pPr>
      <w:r/>
      <w:r/>
    </w:p>
    <w:p>
      <w:pPr>
        <w:jc w:val="center"/>
        <w:spacing w:line="360" w:lineRule="auto"/>
        <w:rPr>
          <w:b/>
          <w:color w:val="auto"/>
          <w:sz w:val="36"/>
          <w:szCs w:val="36"/>
          <w:highlight w:val="none"/>
        </w:rPr>
        <w:outlineLvl w:val="0"/>
      </w:pPr>
      <w:r/>
      <w:bookmarkStart w:id="814" w:name="_Toc99301424"/>
      <w:r>
        <w:rPr>
          <w:rFonts w:ascii="Times New Roman" w:hAnsi="Times New Roman" w:eastAsia="宋体" w:cs="Times New Roman"/>
          <w:b/>
          <w:color w:val="auto"/>
          <w:sz w:val="36"/>
          <w:szCs w:val="36"/>
          <w:highlight w:val="none"/>
        </w:rPr>
        <w:t xml:space="preserve">第五章   采购需求</w:t>
      </w:r>
      <w:bookmarkEnd w:id="814"/>
      <w:r/>
      <w:r/>
    </w:p>
    <w:p>
      <w:pPr>
        <w:ind w:firstLine="0"/>
        <w:jc w:val="both"/>
        <w:keepLines w:val="0"/>
        <w:keepNext w:val="0"/>
        <w:pageBreakBefore w:val="0"/>
        <w:spacing w:line="360" w:lineRule="auto"/>
        <w:widowControl w:val="off"/>
        <w:rPr>
          <w:rFonts w:hint="default" w:ascii="Times New Roman" w:hAnsi="Times New Roman" w:eastAsia="宋体" w:cs="Times New Roman"/>
          <w:b/>
          <w:sz w:val="24"/>
          <w:szCs w:val="24"/>
          <w:highlight w:val="none"/>
          <w:lang w:val="en-US" w:eastAsia="zh-CN" w:bidi="ar-SA"/>
        </w:rPr>
      </w:pPr>
      <w:r/>
      <w:bookmarkStart w:id="815" w:name="_Toc99301425"/>
      <w:r>
        <w:rPr>
          <w:rFonts w:hint="eastAsia" w:cs="Times New Roman"/>
          <w:b/>
          <w:sz w:val="24"/>
          <w:szCs w:val="24"/>
          <w:highlight w:val="none"/>
          <w:lang w:val="en-US" w:eastAsia="zh-CN" w:bidi="ar-SA"/>
        </w:rPr>
        <w:t xml:space="preserve">（一）</w:t>
      </w:r>
      <w:r>
        <w:rPr>
          <w:rFonts w:hint="eastAsia" w:ascii="宋体" w:hAnsi="宋体" w:cs="宋体"/>
          <w:b/>
          <w:bCs/>
          <w:spacing w:val="1"/>
          <w:sz w:val="24"/>
          <w:szCs w:val="24"/>
          <w:lang w:val="en-US" w:eastAsia="zh-CN"/>
        </w:rPr>
        <w:t xml:space="preserve">01包：2026年度别桥镇环卫服务采购项目</w:t>
      </w:r>
      <w:r>
        <w:rPr>
          <w:rFonts w:hint="eastAsia" w:ascii="宋体" w:hAnsi="宋体" w:eastAsia="宋体" w:cs="宋体"/>
          <w:b/>
          <w:bCs/>
          <w:spacing w:val="1"/>
          <w:sz w:val="24"/>
          <w:szCs w:val="24"/>
          <w:lang w:val="en-US" w:eastAsia="zh-CN"/>
        </w:rPr>
        <w:t xml:space="preserve">（别桥片</w:t>
      </w:r>
      <w:r>
        <w:rPr>
          <w:rFonts w:hint="eastAsia" w:ascii="宋体" w:hAnsi="宋体" w:cs="宋体"/>
          <w:b/>
          <w:bCs/>
          <w:spacing w:val="1"/>
          <w:sz w:val="24"/>
          <w:szCs w:val="24"/>
          <w:lang w:val="en-US" w:eastAsia="zh-CN"/>
        </w:rPr>
        <w:t xml:space="preserve">）</w:t>
      </w:r>
      <w:r/>
    </w:p>
    <w:p>
      <w:pPr>
        <w:pStyle w:val="1004"/>
        <w:numPr>
          <w:ilvl w:val="0"/>
          <w:numId w:val="0"/>
        </w:numPr>
        <w:contextualSpacing/>
        <w:ind w:firstLine="0"/>
        <w:jc w:val="both"/>
        <w:keepLines w:val="0"/>
        <w:keepNext w:val="0"/>
        <w:pageBreakBefore w:val="0"/>
        <w:spacing w:line="360" w:lineRule="auto"/>
        <w:widowControl w:val="off"/>
        <w:rPr>
          <w:rFonts w:hint="default" w:ascii="Times New Roman" w:hAnsi="Times New Roman"/>
          <w:b/>
          <w:sz w:val="24"/>
          <w:szCs w:val="24"/>
        </w:rPr>
      </w:pPr>
      <w:r>
        <w:rPr>
          <w:rFonts w:hint="eastAsia" w:ascii="Times New Roman" w:hAnsi="Times New Roman" w:eastAsia="宋体" w:cs="Times New Roman"/>
          <w:b/>
          <w:sz w:val="24"/>
          <w:szCs w:val="24"/>
          <w:highlight w:val="none"/>
          <w:lang w:val="en-US" w:eastAsia="zh-CN" w:bidi="ar-SA"/>
        </w:rPr>
        <w:t xml:space="preserve">一、</w:t>
      </w:r>
      <w:r>
        <w:rPr>
          <w:rFonts w:hint="default" w:ascii="Times New Roman" w:hAnsi="Times New Roman"/>
          <w:b/>
          <w:sz w:val="24"/>
          <w:szCs w:val="24"/>
        </w:rPr>
        <w:t xml:space="preserve">采购标的</w:t>
      </w:r>
      <w:r/>
    </w:p>
    <w:p>
      <w:pPr>
        <w:ind w:firstLine="0"/>
        <w:jc w:val="both"/>
        <w:keepLines w:val="0"/>
        <w:keepNext w:val="0"/>
        <w:pageBreakBefore w:val="0"/>
        <w:spacing w:line="360" w:lineRule="auto"/>
        <w:widowControl w:val="off"/>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 xml:space="preserve">2026年度别桥镇环卫服务采购项目</w:t>
      </w:r>
      <w:r>
        <w:rPr>
          <w:rFonts w:hint="eastAsia" w:ascii="宋体" w:hAnsi="宋体" w:eastAsia="宋体" w:cs="宋体"/>
          <w:spacing w:val="1"/>
          <w:sz w:val="24"/>
          <w:szCs w:val="24"/>
          <w:lang w:val="en-US" w:eastAsia="zh-CN"/>
        </w:rPr>
        <w:t xml:space="preserve">（别桥片）</w:t>
      </w:r>
      <w:r/>
    </w:p>
    <w:p>
      <w:pPr>
        <w:numPr>
          <w:ilvl w:val="0"/>
          <w:numId w:val="0"/>
        </w:numPr>
        <w:contextualSpacing/>
        <w:ind w:firstLine="0"/>
        <w:jc w:val="both"/>
        <w:keepLines w:val="0"/>
        <w:keepNext w:val="0"/>
        <w:pageBreakBefore w:val="0"/>
        <w:spacing w:line="360" w:lineRule="auto"/>
        <w:widowControl w:val="off"/>
        <w:rPr>
          <w:rFonts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二、</w:t>
      </w:r>
      <w:r>
        <w:rPr>
          <w:rFonts w:ascii="Times New Roman" w:hAnsi="Times New Roman" w:eastAsia="宋体" w:cs="Times New Roman"/>
          <w:b/>
          <w:sz w:val="24"/>
          <w:szCs w:val="24"/>
          <w:lang w:val="en-US" w:eastAsia="zh-CN" w:bidi="ar-SA"/>
        </w:rPr>
        <w:t xml:space="preserve">商务要求</w:t>
      </w:r>
      <w:r/>
    </w:p>
    <w:p>
      <w:pPr>
        <w:pStyle w:val="1224"/>
        <w:numPr>
          <w:ilvl w:val="0"/>
          <w:numId w:val="0"/>
        </w:numPr>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 </w:t>
      </w:r>
      <w:r>
        <w:rPr>
          <w:rFonts w:hint="eastAsia" w:ascii="宋体" w:hAnsi="宋体" w:eastAsia="宋体" w:cs="宋体"/>
          <w:sz w:val="24"/>
          <w:highlight w:val="none"/>
          <w:lang w:val="en-US" w:eastAsia="zh-CN"/>
        </w:rPr>
        <w:t xml:space="preserve">合同履行期限：</w:t>
      </w:r>
      <w:r>
        <w:rPr>
          <w:rFonts w:hint="eastAsia" w:ascii="宋体" w:hAnsi="宋体" w:eastAsia="宋体" w:cs="宋体"/>
          <w:color w:val="auto"/>
          <w:sz w:val="24"/>
          <w:szCs w:val="24"/>
          <w:highlight w:val="none"/>
          <w:lang w:eastAsia="zh-CN" w:bidi="zh-CN"/>
        </w:rPr>
        <w:t xml:space="preserve">一年，其中前</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eastAsia="zh-CN" w:bidi="zh-CN"/>
        </w:rPr>
        <w:t xml:space="preserve">个月为试用期；试用期满且考核合格后签订正式合同。</w:t>
      </w:r>
      <w:r/>
    </w:p>
    <w:p>
      <w:pPr>
        <w:ind w:firstLine="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2. 付款条件</w:t>
      </w:r>
      <w:r>
        <w:rPr>
          <w:rFonts w:hint="eastAsia" w:ascii="宋体" w:hAnsi="宋体" w:eastAsia="宋体" w:cs="宋体"/>
          <w:sz w:val="24"/>
          <w:highlight w:val="none"/>
          <w:lang w:eastAsia="zh-CN"/>
        </w:rPr>
        <w:t xml:space="preserve">：</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bidi="zh-CN"/>
        </w:rPr>
      </w:pPr>
      <w:r>
        <w:rPr>
          <w:rFonts w:hint="eastAsia" w:ascii="宋体" w:hAnsi="宋体" w:cs="宋体"/>
          <w:sz w:val="24"/>
          <w:highlight w:val="none"/>
          <w:lang w:val="en-US" w:eastAsia="zh-CN"/>
        </w:rPr>
        <w:t xml:space="preserve">2.1</w:t>
      </w:r>
      <w:r>
        <w:rPr>
          <w:rFonts w:hint="eastAsia" w:ascii="宋体" w:hAnsi="宋体" w:eastAsia="宋体" w:cs="宋体"/>
          <w:color w:val="auto"/>
          <w:sz w:val="24"/>
          <w:szCs w:val="24"/>
          <w:highlight w:val="none"/>
          <w:lang w:bidi="zh-CN"/>
        </w:rPr>
        <w:t xml:space="preserve">每月应付服务费（除垃圾中转站转运费）=[(投标总价-垃圾中转站转运费报价）÷12]-每月考核扣款。</w:t>
      </w:r>
      <w:r/>
    </w:p>
    <w:p>
      <w:pPr>
        <w:ind w:firstLine="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cs="宋体"/>
          <w:color w:val="auto"/>
          <w:sz w:val="24"/>
          <w:szCs w:val="24"/>
          <w:highlight w:val="none"/>
          <w:lang w:val="en-US" w:bidi="zh-CN"/>
        </w:rPr>
        <w:t xml:space="preserve">2.2</w:t>
      </w:r>
      <w:r>
        <w:rPr>
          <w:rFonts w:hint="eastAsia" w:ascii="宋体" w:hAnsi="宋体" w:eastAsia="宋体" w:cs="宋体"/>
          <w:color w:val="auto"/>
          <w:sz w:val="24"/>
          <w:szCs w:val="24"/>
          <w:highlight w:val="none"/>
          <w:lang w:bidi="zh-CN"/>
        </w:rPr>
        <w:t xml:space="preserve">每月应付垃圾中转站转运费：按每月实际垃圾量结算</w:t>
      </w:r>
      <w:r/>
    </w:p>
    <w:p>
      <w:pPr>
        <w:numPr>
          <w:ilvl w:val="0"/>
          <w:numId w:val="0"/>
        </w:numPr>
        <w:contextualSpacing/>
        <w:ind w:firstLine="0"/>
        <w:jc w:val="both"/>
        <w:keepLines w:val="0"/>
        <w:keepNext w:val="0"/>
        <w:pageBreakBefore w:val="0"/>
        <w:spacing w:line="360" w:lineRule="auto"/>
        <w:widowControl w:val="off"/>
        <w:rPr>
          <w:rFonts w:hint="eastAsia" w:ascii="宋体" w:hAnsi="宋体" w:cs="宋体"/>
          <w:b/>
          <w:bCs/>
          <w:spacing w:val="1"/>
          <w:sz w:val="24"/>
          <w:szCs w:val="24"/>
          <w:lang w:val="en-US" w:eastAsia="zh-CN"/>
        </w:rPr>
      </w:pPr>
      <w:r>
        <w:rPr>
          <w:rFonts w:hint="eastAsia" w:ascii="Times New Roman" w:hAnsi="Times New Roman" w:eastAsia="宋体" w:cs="Times New Roman"/>
          <w:b/>
          <w:sz w:val="24"/>
          <w:szCs w:val="24"/>
          <w:lang w:val="en-US" w:eastAsia="zh-CN" w:bidi="ar-SA"/>
        </w:rPr>
        <w:t xml:space="preserve">三、</w:t>
      </w:r>
      <w:r>
        <w:rPr>
          <w:rFonts w:ascii="Times New Roman" w:hAnsi="Times New Roman" w:eastAsia="宋体" w:cs="Times New Roman"/>
          <w:b/>
          <w:sz w:val="24"/>
          <w:szCs w:val="24"/>
          <w:lang w:val="en-US" w:eastAsia="zh-CN" w:bidi="ar-SA"/>
        </w:rPr>
        <w:t xml:space="preserve">技术要求</w:t>
      </w:r>
      <w:r>
        <w:rPr>
          <w:rFonts w:hint="eastAsia"/>
          <w:sz w:val="24"/>
          <w:lang w:eastAsia="zh-CN"/>
        </w:rPr>
        <w:t xml:space="preserve"> </w:t>
      </w:r>
      <w:r/>
    </w:p>
    <w:p>
      <w:pPr>
        <w:numPr>
          <w:ilvl w:val="0"/>
          <w:numId w:val="0"/>
        </w:num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rPr>
      </w:pPr>
      <w:r>
        <w:rPr>
          <w:rFonts w:hint="eastAsia" w:ascii="宋体" w:hAnsi="宋体" w:cs="宋体"/>
          <w:b/>
          <w:bCs/>
          <w:color w:val="auto"/>
          <w:sz w:val="24"/>
          <w:szCs w:val="24"/>
          <w:lang w:val="en-US" w:eastAsia="zh-CN"/>
        </w:rPr>
        <w:t xml:space="preserve">一）</w:t>
      </w:r>
      <w:r>
        <w:rPr>
          <w:rFonts w:hint="eastAsia" w:ascii="宋体" w:hAnsi="宋体" w:eastAsia="宋体" w:cs="宋体"/>
          <w:b/>
          <w:bCs/>
          <w:color w:val="auto"/>
          <w:sz w:val="24"/>
          <w:szCs w:val="24"/>
          <w:lang w:val="en-US"/>
        </w:rPr>
        <w:t xml:space="preserve">项目概况</w:t>
      </w:r>
      <w:r/>
    </w:p>
    <w:p>
      <w:pPr>
        <w:pStyle w:val="122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1、作业范围：</w:t>
      </w:r>
      <w:r>
        <w:rPr>
          <w:rFonts w:hint="eastAsia" w:ascii="宋体" w:hAnsi="宋体" w:cs="宋体"/>
          <w:color w:val="auto"/>
          <w:sz w:val="24"/>
          <w:szCs w:val="24"/>
          <w:lang w:val="en-US" w:eastAsia="zh-CN"/>
        </w:rPr>
        <w:t xml:space="preserve">2026年度别桥镇环卫服务采购项目</w:t>
      </w:r>
      <w:r>
        <w:rPr>
          <w:rFonts w:hint="eastAsia" w:ascii="宋体" w:hAnsi="宋体" w:eastAsia="宋体" w:cs="宋体"/>
          <w:color w:val="auto"/>
          <w:sz w:val="24"/>
          <w:szCs w:val="24"/>
          <w:lang w:val="en-US" w:eastAsia="zh-CN"/>
        </w:rPr>
        <w:t xml:space="preserve">（别桥片）</w:t>
      </w:r>
      <w:r>
        <w:rPr>
          <w:rFonts w:hint="eastAsia" w:ascii="宋体" w:hAnsi="宋体" w:eastAsia="宋体" w:cs="宋体"/>
          <w:color w:val="auto"/>
          <w:sz w:val="24"/>
          <w:szCs w:val="24"/>
          <w:lang w:val="en-US"/>
        </w:rPr>
        <w:t xml:space="preserve">，含别桥集镇区、国省道道口、绿化带清捡、公厕管理、农贸市场2个（桥东1个、桥西1个）、集镇停车场（含镇政府）、集镇背街小巷（含散住楼）、一龙公园、市民广场及工业园区墙到墙路面、阁贴路北延伸段两边道板，绿化带及停车场、阳光茗苑小区南店面房门前道板及停车位，阳光茗苑西边路两边、应图路南延伸段两边、世俊路南延伸段两边、景观河及西延伸段两边、广惠东路及北延伸段绿化及道板</w:t>
      </w:r>
      <w:r>
        <w:rPr>
          <w:rFonts w:hint="eastAsia" w:ascii="宋体" w:hAnsi="宋体" w:eastAsia="宋体" w:cs="宋体"/>
          <w:color w:val="auto"/>
          <w:sz w:val="24"/>
          <w:szCs w:val="24"/>
          <w:lang w:val="en-US" w:eastAsia="zh-CN"/>
        </w:rPr>
        <w:t xml:space="preserve">、桥东菜场新建水产区及新建公厕清扫保洁</w:t>
      </w:r>
      <w:r>
        <w:rPr>
          <w:rFonts w:hint="eastAsia" w:ascii="宋体" w:hAnsi="宋体" w:eastAsia="宋体" w:cs="宋体"/>
          <w:color w:val="auto"/>
          <w:sz w:val="24"/>
          <w:szCs w:val="24"/>
          <w:lang w:val="en-US"/>
        </w:rPr>
        <w:t xml:space="preserve">；别桥集镇区垃圾收集清运（包括零星乱堆放、废弃农作物、废弃卫浴、陶瓷缸物料、废旧家具、居民零星装饰建筑垃圾的收集清运）；长荡湖、别桥、马家、镇东、合星、前程共6个行政村的生活垃圾清运；别桥集镇沿街店面上门收集；垃圾中转的使用及维修；环卫设施清洗；区域范围内的乱张贴乱涂写清理、河塘漂浮物打捞；非机动车的摆放等作业服务。”</w:t>
      </w:r>
      <w:r/>
    </w:p>
    <w:p>
      <w:pPr>
        <w:pStyle w:val="122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2、作业内容：</w:t>
      </w:r>
      <w:r/>
    </w:p>
    <w:p>
      <w:pPr>
        <w:pStyle w:val="122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清扫保洁范围：别桥片（含别桥集镇区、国省道道口、绿化带清捡、公厕、农贸市场2个（含桥东1个、桥西1个）、集镇停车场（含镇政府）、集镇背街小巷（含散住楼）、一龙公园、市民广场和工业园区墙到墙路面清扫保洁；）等建成区范围。</w:t>
      </w:r>
      <w:r/>
    </w:p>
    <w:p>
      <w:pPr>
        <w:pStyle w:val="122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垃圾收运：别桥集镇区垃圾收集清运（包括零星乱堆放、废弃农作物、废弃卫浴、陶瓷缸物料、废旧家具、居民零星装饰建筑垃圾的收集清运）；长荡湖、别桥、马家、镇东、合星、前程共6个行政村的生活垃圾清运。</w:t>
      </w:r>
      <w:r/>
    </w:p>
    <w:p>
      <w:pPr>
        <w:pStyle w:val="122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（3）环卫设施清洗：别桥集镇区果壳箱清掏清洗；垃圾箱体、垃圾亭、垃圾桶、地面（墙面）油污等垃圾收集设施的清洗；乱张贴、乱涂写的清除。</w:t>
      </w:r>
      <w:r/>
    </w:p>
    <w:p>
      <w:pPr>
        <w:pStyle w:val="122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（4）河塘打捞：别桥集镇区内河塘漂浮物打捞。</w:t>
      </w:r>
      <w:r/>
    </w:p>
    <w:p>
      <w:pPr>
        <w:pStyle w:val="122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（5）非机动车摆放：黄色非机动车停车区域内车辆，应按规定摆放，摆放应头尾一致，停放整齐；不得占用盲道。</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 xml:space="preserve">二</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rPr>
        <w:t xml:space="preserve">中转站作业服务要求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（一）整体要求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投标人应具有健全的内部管理制度、设备维修保养制度、作业环境清洗保洁制度、作业管理制度、应急处理制度、自检自查制度。投标人应服从</w:t>
      </w:r>
      <w:r>
        <w:rPr>
          <w:rFonts w:hint="eastAsia" w:ascii="宋体" w:hAnsi="宋体" w:cs="宋体"/>
          <w:color w:val="auto"/>
          <w:sz w:val="24"/>
          <w:szCs w:val="24"/>
          <w:lang w:val="en-US" w:eastAsia="zh-CN"/>
        </w:rPr>
        <w:t xml:space="preserve">溧阳市城市管理行政执法大队别桥中队</w:t>
      </w:r>
      <w:r>
        <w:rPr>
          <w:rFonts w:hint="eastAsia" w:ascii="宋体" w:hAnsi="宋体" w:eastAsia="宋体" w:cs="宋体"/>
          <w:color w:val="auto"/>
          <w:sz w:val="24"/>
          <w:szCs w:val="24"/>
          <w:lang w:val="en-US"/>
        </w:rPr>
        <w:t xml:space="preserve">的管理和监督考核，如遇突发事件或重大活动，招标人有权调用中标人人员和车辆参与应急和处置。作业服务须达到队伍整齐规范、机械设备齐全状态优良、质量优质高效、环境整洁优美的基本要求。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（二）内部管理要求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（1）中转站实行封闭式管理，有关工作制度要醒目上墙。</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（2）中转站准时开门，各岗位人员及时到岗。</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（3）按规定程序进行工作，确保车辆停放整齐，满载运输。</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（4）垃圾中转站实行全过程管理，做到倾倒有序，文明操作。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（5）中转站要有生产垃圾车辆进、出台帐。记录要清晰、及时、准确、齐全。</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（6）禁止将非生活垃圾导入压缩机或压缩车。</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（7）禁止在垃圾中转站焚烧垃圾、杂物。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（8）禁止垃圾中转站内堆、晒杂物。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（9）完成招标人交办的其他工作。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（三）设备维修保养要求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（1）认真做好各类设备的例行保养、维修工作，并认真做好记录。</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（2）定期对各类需润滑部位加润滑油。</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（3）及时对储油箱滤清或更换。</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（4）密切注视设备运行情况，发现异常，立即停机，切断电源，不得擅自修理，由专业人员修复。</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（5）确保照明正常，发现电路、油路出现故障时，不得擅自修理，由专业人员修复。</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（6）全年机械设备、线路不得少于两次以上的大型保养。</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（四）作业环境清洗保洁要求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（1）内外场地应保持清洁卫生、无散落垃圾和污水横流。</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（2）物品分类堆放有序，整洁干净，无杂物。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（3）液压件、压锤、推动杆清洁、无垃圾、积尘。</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（4）下水道及时冲洗、疏浚、无恶臭、无杂物。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（5）垃圾清运结束后，中转站必须清洗一次，无暴露垃圾。</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（6）消毒期间基本无苍蝇等。</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（7）货物柜干净、整洁、无杂物。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（8）门窗、墙壁清洁、无灰尘、蜘蛛网。</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（9）站内、外要进行适当的绿化、美化，做到无白色垃圾。</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（五）作业管理</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（1）当设备运行时，严禁任何人员站在提料装置下方或进入设备的其他工作区域。</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（2）保持设备的工作区域无任何物体或其他障碍物。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（3）如果暂时不用压缩设备且无人看管，请将钥匙开关置于“0”位，切断电源并将钥匙拔出带走保管好。</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（4）发现引起危险的技术故障后必须立即向设备管理人员报告，在危险情况被排除前，严禁将压缩设备连通电源。</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（5）严禁易燃易爆、防腐蚀化学物品、压力容器（如液化气罐）、大件家用电器（如冰箱、电视机、洗衣机、建筑垃圾等）及玻璃台面、钢制家私等投入机内。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（6）严禁压缩硬的易碎品（如玻璃、塑料等），其碎片可能会从压缩腔中飞出，注意安全防护。</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（7）该压缩设备适用于生活垃圾处理，严禁建筑垃圾、工业垃圾及旧家具家电等投入压缩设备中。</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（8）该设备必须由专职操作人员操作。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（六）渗滤液管理</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（1）渗滤液过滤池如超过满溢线及时向</w:t>
      </w:r>
      <w:r>
        <w:rPr>
          <w:rFonts w:hint="eastAsia" w:ascii="宋体" w:hAnsi="宋体" w:cs="宋体"/>
          <w:color w:val="auto"/>
          <w:sz w:val="24"/>
          <w:szCs w:val="24"/>
          <w:lang w:val="en-US" w:eastAsia="zh-CN"/>
        </w:rPr>
        <w:t xml:space="preserve">溧阳市城市管理行政执法大队别桥中队</w:t>
      </w:r>
      <w:r>
        <w:rPr>
          <w:rFonts w:hint="eastAsia" w:ascii="宋体" w:hAnsi="宋体" w:eastAsia="宋体" w:cs="宋体"/>
          <w:color w:val="auto"/>
          <w:sz w:val="24"/>
          <w:szCs w:val="24"/>
          <w:lang w:val="en-US"/>
        </w:rPr>
        <w:t xml:space="preserve">考核督查组上报。防止满溢，造成二次污染。</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（七）安全作业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（1）制定安全事故应急预案，若发生事故应及时启动并按照救援程序予以实施。发生事故时，应积极抢险，服从统一指挥，避免事故进一步扩大，如有人员伤亡，要首先做好人员的抢救工作。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（2）按规定组织好作业过程中的安全检查,发现存在不安全隐患，应采取有效措施积极处理并报告招标人。</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（3）乙方须保证中转站作业机器、转运车辆的安全防护器材必须配置到位，安全措施得力，否则将不得进行运输作业。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（4）乙方应做好中转站作业人员、转运车辆驾驶员的安全教育培训,使其具备相应的安全意识和安全技能；车辆驾驶员应具有相应的资格证书。</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（5）乙方必须确保作业人员参加工伤、社会保险，并办理意外伤害保险。并提供保险单复印件备档。</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（6）运输作业人员必须统一穿戴好劳保服装，带好随车证件，便于招标人人员检查。</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（7）乙方在渗滤液运输过程中不得随意排放、杜绝泄漏、污染事故的发生。否则可根据实际情况进行罚款。对发生的污染事故由乙方全权负责。</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8）乙方必须保证所有运输车辆均按规定购买保险，在运输作业中发生的所有人身伤亡事故及经济损失（非招标人原因），除保险公司赔付外，剩余部分由乙方全部责任，并按规定追究有关人员责任并报告招标人；由于乙方作业质量导致的事故，由乙方承担责任。</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（9）在作业中产生的安全事故，均由乙方承担全部责任，招标人概不负责。</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10）乙方转运车辆必须符合相关作业标准，如因转运车辆质量、标准问题导致发生安全事故，相关损失完全由乙方承担。乙方在运输作业中所发生的非招标人责任事故，而给招标人造成的一切损失，完全由乙方承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（11）发生作业安全事故时,甲乙双方有抢险、救灾的义务，所发生的费用由乙方承担。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（12）乙方如若发生安全、环保事故，招标人将依据事故性质、责任比例，扣除部分甚至全部安全抵押金，年末以扣款单据为准。</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（13）对于乙方雇用的驾驶员的伤害或赔偿，应由乙方自行负责。对于这类伤害或赔偿，乙方应保证并持续保证招标人不负任何责任。</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 xml:space="preserve">三</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rPr>
        <w:t xml:space="preserve">环卫作业服务要求：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（一）整体要求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投标人应具有健全的日常清扫保洁制度、乱张贴清除制度、环卫设施清洗保洁制度、厕所管理保洁制度、人员管理制度、应急处理制度、自检自查制度。投标人应服从别桥镇长效管理办公室和别桥镇城管中队的管理和监督考核，如遇突发事件或重大活动，招标人（别桥镇人民政府）有权调用中标人人员和车辆参与应急和处置。作业服务须达到队伍整齐规范、机械设备齐全状态优良、质量优质高效、环境整洁优美的基本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（2）道路清扫保洁作业要求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2.1 道路清扫保洁采用机械方式和人工方式。机械化清扫必须在7：30之前完成对镇区主要道路的机扫工作；13点30分前完成其它等道路的机扫。多功能抑尘车在每年3月-11月必须保证每天对镇区道路进行洒水作业（高温季节，低温季节作业时间和次数由别桥镇城管中队通知执行）。</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作业行驶要求： </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清扫作业时选用一挡，行驶速度不超过15公里/小时，副机转速不超过2000转/分，应严格按照放刷、喷水、调整箱体压力和刷盘转速、清扫的顺序进行操作；非特殊气候情况下，避免“干扫”；作业时禁止扫刷、吸嘴不落地；</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②冲洗作业时控制车速为15公里/小时，冲洗压力≥300千帕，洒水量0.2～2.0升/平方米，喷水口喷水有力，不得出现断续喷水的现象；</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③洒水作业时控制车速不超过20公里/小时，喷水口喷水有力，不得出现断续喷水的现象，洒水作业应覆盖道路的所有机动车道，不得漏洒，作业后路面无干燥路段和片区；</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④清洗作业车速不超过10公里/小时，副发动机转速控制在1800转/分（正常档），路面较脏时，副发动机转速控制在2200转/分（强洗档），并应开双侧吸嘴喷杆喷水。</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⑤作业时须开启警示灯和示宽灯，夜间禁鸣，洒水作业日间必须播放提示音乐。</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⑥所有机械化作业必须双侧同时开启，严禁单边作业（除特殊情况下的冲洗作业）。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⑦作业人员必须按照规定的时间、线路、频次和作业模式作业；作业时应穿戴统一的、具有明显警示标识的工作服，并保持着装整洁。不得有滞留马路和加油加水超时等情况。</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机械化作业车辆容貌要求：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①车体整洁明亮、各种配件齐全、使用功能齐备，各项作业装置保持完好、有效。车身如有宣传标贴，须保持清洁完整。</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②应保持车牌及车身标志清晰、齐全，车体无破损、无锈蚀、无污物、无灰垢。车尾应有反光标志（或加贴反光膜）。车体杜绝吊挂、抛洒污物，滴漏水、油液体等现象。</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调度和管理要求：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①科学合理调配作业车辆分布比例及运行。每班作业应按规定填写出车日志，作业车辆应在规定地点取水、清洁污物箱。</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②建立健全车辆维修、保养和检查制度，必须确保出车车况良好。</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③如遇死角、深沟、道路两侧行道树过低过近、垃圾杂物体积过长过大、落叶季节、窨井泉眼不畅通、有杂物或被堵塞等工况无法满足环卫机械化作业条件时，需组织人工配合作业。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人工保洁时间要求：8小时保洁是指每天的5:30-10:30和13:30-16:30，错时6小时快速保洁（至少安排10名环卫工人电动车巡回保洁）。道路的大清扫必须在每日7：30前完成，大清扫结束后实行巡回定段定人定时保洁作业（招标人不安排工人在岗作业休息时间，由中标人自行安排）。巡回保洁采用定人定段定时巡回保洁与快速巡回保洁相结合的模式。遇重大检查时作业方式按招标人的要求执行；高温季节作业时间由招标人另行通知。</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2.2 道路清扫应做到“五无五净”，即:无垃圾杂物、无尘积水、无烟头纸屑、无泼洒污物、无砖石杂草，路面净、边角侧石净、窨井泉眼净、道路隔离设施底部净、环卫设施周边净。道路清扫无死角，无断扫、漏扫，垃圾无漏收，作业区域交界处应扫过3米以上。</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2.3道路保洁应快速及时，巡回不间断，确保路面、行道树内及垃圾桶、果壳箱周边干净整洁。白色污染及暴露垃圾滞留时间，镇区主要道路不得超过20分钟，其余道路不得超过30分钟。</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2.4 雨水井要定期清理杂物，进行疏掏作业。下雨天应及时清扫路沟边、隔离栏下泥沙，保持雨水口畅通。降雪天气，应及时组织铲雪作业。道路融雪后，路面杂物、垃圾应及时清扫干净。</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2.5清扫、保洁后的垃圾应及时收集，按指定方式、指定地点倾倒，不得倒入绿化带或果壳箱内。不得焚烧垃圾、树叶。</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2.6因天气或其他特殊原因，机扫车不能作业时，应及时安排人员做好机扫车作业区域的人工清扫工作。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2.7 保洁车辆应密闭完好，每周清洗一次，保持干净整洁，无乱堆乱挂乱张贴。作业时保洁车应紧靠路沿侧石停放，不得影响交通和有碍观瞻。作业完毕，扫帚、簸箕等作业工具应统一放入保洁车内，在指定位置停放。</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2.8 非机动车应按规定排放在非机动车停放区域；排放应头尾一致，排放整齐；不得占用盲道。</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2.9 工作期间，无扎堆、窜岗、离岗、久坐、闲聊等现象，不得捡拾废品，不做与工作无关的事。</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2.10发现有人破坏、挪动环卫设施，应及时制止并上报；发现环卫设施不在指定位置，应及时复位并上报；发现环卫设施损坏，应及时报修。</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（3）乱张贴清除、清洗作业要求：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3.1墙砖、马赛克、玻璃、立柱、墙柱、卷帘门等硬质表面的涂写张贴清洗，应采用油漆溶解剂或水浸、刮除等办法予以清除干净，不留痕迹。外表面为涂料的，应采用相同颜色或相近的涂料，整体有规则地予以同色覆盖，要求覆盖面横平竖直，不得歪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3.2.在供电、邮电、广电、照明、交通等设施上的乱张贴清除后，在有条件的地方用高压水枪冲洗清除，尽量不损伤表面，上述设施上乱涂写的用相同颜色油漆予以同色覆盖，并保持原貌。</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3.3及时巡查各保洁区域内的小广告、乱张贴、乱涂写当天发现当天清除，存留时间不得超过2小时。</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3.4 乱张贴清理后的纸屑必须及时清理干净，做到工完场清。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（4）公共厕所保洁作业要求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4.1 公厕应本着方便市民的原则严格遵守作业时间。一般情况下，公厕不得停用，确因特殊情况需临时停用的，需摆放或张贴停用告示，告知市民。</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4.2 保洁人员应礼貌待人，主动照顾老弱病残孕等人员；按时作业，作业时应在厕外设作业标志，在厕内不要干扰用厕者；作业完毕后清洗好保洁工具，并妥善保管，不得有碍厕容。</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4.3 公厕保洁标准应符合下列规定：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①非专人管理公厕实行每天二冲洗二保洁制度，上午7：30前完成第一遍冲洗，8：00-10；30巡回保洁；下午13：30-16：30完成第二遍冲洗及巡回保洁。</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公厕内采光、照明和通风应良好，设置专门的檀香盘（自备），每天点檀香（自备），确保无明显臭味；墙面、天花板、门窗和隔离板应无积灰、污迹、蛛网，无乱涂乱画；公厕内外墙面应整洁，墙面粉刷剥落要及时上报；地面干净无积水。</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座便器或蹲位应干净整洁，按规定一坑设置一纸篓（自备），纸篓应套袋（自备），每天随满随清；大便槽两侧应无粪便污物，槽内无积粪；小便槽（斗）应无水锈、尿垢、垃圾，无臭味；沟眼、管道保持畅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④公厕内照明灯具、洗手器具、镜子、挂衣钩、烘手器、冲水设备等应完好，无积尘、污物。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⑤公厕外环境应整洁，无杂物乱堆，保洁工具应放置整齐。公厕四周3-5米范围内，应无垃圾、粪便、污水等污物；无乱搭乱建，无杂物，无乱挂、乱堆、乱放现象。</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⑥公厕标志齐全，公厕设有醒目标志牌，方便群众入厕；发现设施破损或遗失后应立即上报修理；公厕下水道堵塞时应于半天内安排工人疏通到位；公厕粪池定期安排车辆吸粪作业，确保不满溢。</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⑦蝇蚊孳生季节应定时喷洒灭蚊蝇药物，有效控制蝇蛆孳生。</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（5）环卫设施清洗作业要求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5.1 垃圾亭（桶、果壳箱）实行一日两清洗两巡回制度，遇检查活动时，应不间断巡回保洁。</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5.2 果壳箱（垃圾桶）外表面应整洁干净，无污迹、无乱刻画、无乱张贴，垃圾桶内壁应清洗至沿口下三分之一处；设置点周围地面应干净整洁无污迹；垃圾亭地面应整洁，无散落垃圾和堆积杂物，无积留污水，垃圾亭上无污迹、无乱刻画、乱张贴。果壳箱内的垃圾清除要彻底，不得漏收，无垃圾残留、满溢和散落，箱体周围无抛散、存留垃圾；果壳箱内胆应套袋（自备）并每天更换，果壳箱门应上锁，发现果壳箱损坏应及时报修。</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5.3 每年的5月1日至10月31日期间，做好垃圾桶（果壳箱）、垃圾收集点周边的蚊蝇等杀毒工作。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5.4 发现有人破坏、挪动环卫设施，应及时制止并上报；发现环卫设施不在指定位置，应及时复位并上报；发现环卫设施损坏，应及时报修。</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5.5定期对别桥镇集镇区范围内的企事业单位的环卫设施进行清洗作业。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（6）雾炮车降尘作业要求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6.1 严格遵守上下班制度。雾炮车降尘工作时间为8:00至9:00、10:00至11:00、13:00至14:00、15:30至16：30,特殊情况另行通知。（车辆上水时间不包含在工作时间内）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6.2 作业人员应统一穿着工作服，佩戴上岗证，准备作业工具，检查车辆状况，驾驶室不得摆放与工作无关物品，作业时使用文明礼貌用语。</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6.3 驾驶员必须随身携带有效驾驶证、行驶证，以上证件不得转借、涂改、伪造，不得将车辆擅自交给他人驾驶，严格遵守交通法规，注意礼让行人，违章罚款自理，严禁酒后和疲劳驾车。</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6.4行驶中车驾人员必须严格遵守交通安全法规。中标人需对驾驶员定期进行安全培训，提高作业人员安全意识，消除安全隐患，保证安全作业。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6.5中标人必须做到安全运行，无事故发生。如中标人在履行合同过程中发生任何安全事故或交通事故等，造成人员伤亡或财产损失的，全部责任由中标人承担，与采购方无关；如由此造成采购方损失的，采购方有权在履约保证金中予以扣除相应损失部分。中标人不得以油价调整，承包区域内工作时间的增减，工作量的增减等原因要求对承包金进行调整。如遇重大活动保障或镇空气质量指数未达标或镇空气质量处于全市末位，中标人需无条件增加工作时间保障重大活动或空气质量指数达标，保证镇空气质量处于全市前列，招标人不再另行支付费用。</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（7）河塘打捞：别桥所有区域内河塘沟渠水面漂浮物清理,河塘沟渠水面无垃圾、漂浮物,清理河面水花生、漂浮物、白色垃圾并同时运至垃圾堆放点。</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（8）非机动车摆放：黄色非机动车停车区域内车辆，应按规定摆放，摆放应头尾一致，停放整齐；不得占用盲道。</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9）政府公益性活动，严格按照招标人要求将相关临时性环卫设施配置到指定场地，活动期间专人负责临时性环卫设施的使用和管理，做好公益性活动期间活动场所的生活垃圾清运和收集，活动结束后做好临时性环卫设施的撤离及场地清扫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（10）其他要求：常州市、溧阳市现场考评、公众测评、处置通、镇长效督察、社会治理等考核案件按有效时间整改到位。</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 xml:space="preserve">四</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rPr>
        <w:t xml:space="preserve">垃圾清运服务要求：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（一）整体要求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投标人应具有健全的日常清扫保洁、垃圾清运制度、安全管理制度、应急处理制度、自检自查制度。投标人应服从别桥镇长效管理办公室和别桥镇城管中队的管理和监督考核，如遇突发事件或重大活动，招标人有权调用中标人人员和车辆参与应急和处置。作业服务须达到队伍整齐规范、机械设备齐全状态优良、质量优质高效、环境整洁优美的基本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（二）基本要求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一、大件垃圾清运要求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1、中标人自行提供车辆（符合行业作业标准的垃圾收集车）负责别桥镇指定区域内的行政村、自然村的分类收集及清运，并负责运送至指定的处置场所。  </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2、环卫设施周边发现有大件垃圾应于4小时内（立即）清理干净；临时堆放点内的垃圾应做到清理及时、不得满溢、日产日清。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3、运输时应覆盖，严禁发生路面滴泼撒漏现象，大件垃圾必须倾倒在别桥镇指定的处置场所，严禁乱抛乱倒。</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4、对别桥镇指定区域内的环卫设施进行配送，发现环卫设施有损坏的及时维修。</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5、配合招标人做好别桥镇指定区域内环境大整治工作。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6、应定期对大件垃圾清运车辆进行检修，遇重大活动或突发事件，能立即调配一辆清运车辆投入工作，保证别桥镇指定区域建筑（大件）垃圾及时清理。</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二、生活垃圾清运要求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1、中标人自行提供车辆（符合行业作业标准的垃圾收集车）负责街道指定区域内垃圾桶所有生活垃圾的分类收集及清运，并负责运输至指定处置场所。</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街道指定范围内实行一天一收集，主要街道两侧的生活垃圾收集必须在10：00之前清运结束，其他范围在14：30之前收集完成。在保证一天一收运的基础上，应确保各村垃圾桶无满溢现象，对集镇主要街道、公园、广场等重点路段和区域的生活垃圾收集做到即产即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3、收集过程中应遵守交通规则，按照规划好收集路线行驶，不漏收，不逆向行驶；收集作业完成后，应及时清理场地，将垃圾桶复位，并做到车走地净。</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4、收集车辆应保持密闭，并有污水收集装置（污水在指定地点进行排放）；收集过程中无垃圾飞扬、洒落、拖挂和污水滴漏。</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5、应定期对生活垃圾收集车辆进行清洗和检修，遇重大活动或突发事件，能立即调配应急生活垃圾清运车辆投入工作，保证街道指定范围内生活垃圾清运正常有序地进行。</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中标人必须做到安全运行，无事故发生。如中标人在履行合同过程中发生任何安全事故或交通事故等，造成人员伤亡或财产损失的，全部责任由中标人承担，与招标人无关；如由此造成招标人损失的，招标人有权在履约保证金中予以扣除相应损失部分。中标人不得以油价调整，承包区域内收集点的增减，沿街门店上门收集增减等原因要求对中标金额进行调整。</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7、由招标人提供垃圾桶及果壳箱，中标人必须上报并以旧换新。</w:t>
      </w:r>
      <w:r/>
    </w:p>
    <w:p>
      <w:pPr>
        <w:ind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rPr>
        <w:t xml:space="preserve">人员、设备要求</w:t>
      </w:r>
      <w:r/>
    </w:p>
    <w:p>
      <w:pPr>
        <w:pStyle w:val="968"/>
        <w:ind w:left="0" w:firstLine="0"/>
        <w:keepLines w:val="0"/>
        <w:keepNext w:val="0"/>
        <w:pageBreakBefore w:val="0"/>
        <w:spacing w:after="0"/>
        <w:widowControl w:val="off"/>
        <w:rPr>
          <w:rFonts w:hint="eastAsia" w:ascii="宋体" w:hAnsi="宋体" w:eastAsia="宋体" w:cs="宋体"/>
          <w:b/>
          <w:bCs/>
          <w:color w:val="auto"/>
          <w:sz w:val="24"/>
          <w:szCs w:val="24"/>
          <w:lang w:bidi="zh-CN"/>
        </w:rPr>
      </w:pPr>
      <w:r>
        <w:rPr>
          <w:rFonts w:hint="eastAsia" w:ascii="宋体" w:hAnsi="宋体" w:eastAsia="宋体" w:cs="宋体"/>
          <w:b/>
          <w:bCs/>
          <w:color w:val="auto"/>
          <w:sz w:val="24"/>
          <w:szCs w:val="24"/>
          <w:lang w:bidi="zh-CN"/>
        </w:rPr>
        <w:t xml:space="preserve">一、项目组配备要求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rPr>
        <w:t xml:space="preserve">人员要求</w:t>
      </w:r>
      <w:r>
        <w:rPr>
          <w:rFonts w:hint="eastAsia" w:ascii="宋体" w:hAnsi="宋体" w:cs="宋体"/>
          <w:color w:val="auto"/>
          <w:sz w:val="24"/>
          <w:szCs w:val="24"/>
          <w:lang w:val="en-US" w:eastAsia="zh-CN"/>
        </w:rPr>
        <w:t xml:space="preserve">：各类人员根据项目实际作业量由中标单位进行科学合理配置。</w:t>
      </w:r>
      <w:r/>
    </w:p>
    <w:p>
      <w:pPr>
        <w:pStyle w:val="974"/>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highlight w:val="none"/>
          <w:lang w:val="en-US"/>
        </w:rPr>
        <w:t xml:space="preserve">车辆要求：</w:t>
      </w:r>
      <w:r/>
    </w:p>
    <w:tbl>
      <w:tblPr>
        <w:tblStyle w:val="967"/>
        <w:tblW w:w="7928" w:type="dxa"/>
        <w:jc w:val="center"/>
        <w:tblLayout w:type="fixed"/>
        <w:tblCellMar>
          <w:left w:w="0" w:type="dxa"/>
          <w:top w:w="0" w:type="dxa"/>
          <w:right w:w="0" w:type="dxa"/>
          <w:bottom w:w="0" w:type="dxa"/>
        </w:tblCellMar>
        <w:tblLook w:val="04A0" w:firstRow="1" w:lastRow="0" w:firstColumn="1" w:lastColumn="0" w:noHBand="0" w:noVBand="1"/>
      </w:tblPr>
      <w:tblGrid>
        <w:gridCol w:w="818"/>
        <w:gridCol w:w="2760"/>
        <w:gridCol w:w="2580"/>
        <w:gridCol w:w="1770"/>
      </w:tblGrid>
      <w:tr>
        <w:trPr>
          <w:jc w:val="cente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3吨垃圾收集车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不少于4辆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大件垃圾运输车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8吨洗扫车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8吨洒水车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雾炮车（射程80米）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垃圾桶、果壳箱清洗车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长效巡查车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both"/>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8"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6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手推车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w:t>
            </w:r>
            <w:r>
              <w:rPr>
                <w:rFonts w:hint="eastAsia" w:ascii="宋体" w:hAnsi="宋体" w:cs="宋体"/>
                <w:color w:val="auto"/>
                <w:sz w:val="24"/>
                <w:szCs w:val="24"/>
                <w:lang w:val="en-US" w:eastAsia="zh-CN"/>
              </w:rPr>
              <w:t xml:space="preserve">43</w:t>
            </w:r>
            <w:r>
              <w:rPr>
                <w:rFonts w:hint="eastAsia" w:ascii="宋体" w:hAnsi="宋体" w:eastAsia="宋体" w:cs="宋体"/>
                <w:color w:val="auto"/>
                <w:sz w:val="24"/>
                <w:szCs w:val="24"/>
                <w:lang w:val="en-US"/>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70" w:type="dxa"/>
            <w:vAlign w:val="center"/>
            <w:textDirection w:val="lrTb"/>
            <w:noWrap/>
          </w:tcPr>
          <w:p>
            <w:pPr>
              <w:jc w:val="center"/>
              <w:spacing w:line="24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tc>
      </w:tr>
    </w:tbl>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六)</w:t>
      </w:r>
      <w:r>
        <w:rPr>
          <w:rFonts w:hint="eastAsia" w:ascii="宋体" w:hAnsi="宋体" w:eastAsia="宋体" w:cs="宋体"/>
          <w:b/>
          <w:bCs/>
          <w:color w:val="auto"/>
          <w:sz w:val="24"/>
          <w:szCs w:val="24"/>
          <w:highlight w:val="none"/>
        </w:rPr>
        <w:t xml:space="preserve">其他要求</w:t>
      </w:r>
      <w:r/>
    </w:p>
    <w:p>
      <w:pPr>
        <w:numPr>
          <w:ilvl w:val="0"/>
          <w:numId w:val="0"/>
        </w:numPr>
        <w:ind w:firstLine="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sz w:val="24"/>
          <w:highlight w:val="none"/>
          <w:lang w:val="en-US" w:eastAsia="zh-CN"/>
        </w:rPr>
        <w:t xml:space="preserve">合同履行期限：</w:t>
      </w:r>
      <w:r>
        <w:rPr>
          <w:rFonts w:hint="eastAsia" w:ascii="宋体" w:hAnsi="宋体" w:cs="宋体"/>
          <w:b w:val="0"/>
          <w:bCs w:val="0"/>
          <w:color w:val="auto"/>
          <w:sz w:val="24"/>
          <w:szCs w:val="24"/>
          <w:highlight w:val="none"/>
          <w:lang w:val="en-US" w:eastAsia="zh-CN"/>
        </w:rPr>
        <w:t xml:space="preserve">1年，试用作业服务期3个月。3个月的试用作业服务期是检验中标人作业服务成效的期限。是否签订作业服务合同，进入正式作业服务期由别桥镇人民政府认定。如3个月的试用作业服务期检验不合格，将不签订作业服务合同。中标人不得以设备采购、人员招聘、办公经营场所租赁等任何理由向招标人提出经济补偿要求。</w:t>
      </w:r>
      <w:r/>
    </w:p>
    <w:p>
      <w:pPr>
        <w:pStyle w:val="971"/>
        <w:numPr>
          <w:ilvl w:val="0"/>
          <w:numId w:val="0"/>
        </w:numPr>
        <w:ind w:firstLine="0"/>
        <w:jc w:val="left"/>
        <w:keepLines w:val="0"/>
        <w:keepNext w:val="0"/>
        <w:pageBreakBefore w:val="0"/>
        <w:spacing w:line="360" w:lineRule="auto"/>
        <w:widowControl w:val="off"/>
        <w:rPr>
          <w:rFonts w:hint="eastAsia" w:ascii="宋体" w:hAnsi="宋体" w:eastAsia="宋体" w:cs="宋体"/>
          <w:b w:val="0"/>
          <w:color w:val="auto"/>
          <w:sz w:val="24"/>
          <w:szCs w:val="24"/>
          <w:highlight w:val="yellow"/>
          <w:lang w:val="en-US"/>
        </w:rPr>
      </w:pPr>
      <w:r>
        <w:rPr>
          <w:rFonts w:hint="eastAsia" w:ascii="宋体" w:hAnsi="宋体" w:cs="宋体"/>
          <w:b w:val="0"/>
          <w:color w:val="auto"/>
          <w:sz w:val="24"/>
          <w:szCs w:val="24"/>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rPr>
        <w:t xml:space="preserve">★履约保证金：</w:t>
      </w:r>
      <w:r/>
    </w:p>
    <w:p>
      <w:pPr>
        <w:pStyle w:val="971"/>
        <w:ind w:left="0" w:firstLine="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rPr>
      </w:pPr>
      <w:r>
        <w:rPr>
          <w:rFonts w:hint="eastAsia" w:ascii="宋体" w:hAnsi="宋体" w:eastAsia="宋体" w:cs="宋体"/>
          <w:b w:val="0"/>
          <w:color w:val="auto"/>
          <w:sz w:val="24"/>
          <w:szCs w:val="24"/>
          <w:highlight w:val="none"/>
          <w:lang w:val="en-US"/>
        </w:rPr>
        <w:t xml:space="preserve">（1）中标人应按规定提交履约保证金。</w:t>
      </w:r>
      <w:r/>
    </w:p>
    <w:p>
      <w:pPr>
        <w:pStyle w:val="971"/>
        <w:ind w:left="0" w:firstLine="0"/>
        <w:jc w:val="left"/>
        <w:keepLines w:val="0"/>
        <w:keepNext w:val="0"/>
        <w:pageBreakBefore w:val="0"/>
        <w:spacing w:line="360" w:lineRule="auto"/>
        <w:widowControl w:val="off"/>
        <w:rPr>
          <w:rFonts w:hint="eastAsia" w:ascii="宋体" w:hAnsi="宋体" w:eastAsia="宋体" w:cs="宋体"/>
          <w:b w:val="0"/>
          <w:color w:val="auto"/>
          <w:sz w:val="24"/>
          <w:szCs w:val="24"/>
          <w:lang w:val="en-US"/>
        </w:rPr>
      </w:pPr>
      <w:r>
        <w:rPr>
          <w:rFonts w:hint="eastAsia" w:ascii="宋体" w:hAnsi="宋体" w:eastAsia="宋体" w:cs="宋体"/>
          <w:b w:val="0"/>
          <w:color w:val="auto"/>
          <w:sz w:val="24"/>
          <w:szCs w:val="24"/>
          <w:lang w:val="en-US"/>
        </w:rPr>
        <w:t xml:space="preserve">（2）中标人必须在合同签订前向招标人提供金额为中标合同价10%的履约保证金或保函。</w:t>
      </w:r>
      <w:r/>
    </w:p>
    <w:p>
      <w:pPr>
        <w:pStyle w:val="971"/>
        <w:ind w:left="0" w:firstLine="0"/>
        <w:jc w:val="left"/>
        <w:keepLines w:val="0"/>
        <w:keepNext w:val="0"/>
        <w:pageBreakBefore w:val="0"/>
        <w:spacing w:line="360" w:lineRule="auto"/>
        <w:widowControl w:val="off"/>
        <w:rPr>
          <w:rFonts w:hint="eastAsia" w:ascii="宋体" w:hAnsi="宋体" w:eastAsia="宋体" w:cs="宋体"/>
          <w:b w:val="0"/>
          <w:color w:val="auto"/>
          <w:sz w:val="24"/>
          <w:szCs w:val="24"/>
          <w:lang w:val="en-US"/>
        </w:rPr>
      </w:pPr>
      <w:r>
        <w:rPr>
          <w:rFonts w:hint="eastAsia" w:ascii="宋体" w:hAnsi="宋体" w:eastAsia="宋体" w:cs="宋体"/>
          <w:b w:val="0"/>
          <w:color w:val="auto"/>
          <w:sz w:val="24"/>
          <w:szCs w:val="24"/>
          <w:lang w:val="en-US"/>
        </w:rPr>
        <w:t xml:space="preserve">（3）履约保证金将在项目完工并验收合格后二十八（28）天内（无息）退返中标人。</w:t>
      </w:r>
      <w:r/>
    </w:p>
    <w:p>
      <w:pPr>
        <w:pStyle w:val="971"/>
        <w:ind w:left="0" w:firstLine="0"/>
        <w:jc w:val="left"/>
        <w:keepLines w:val="0"/>
        <w:keepNext w:val="0"/>
        <w:pageBreakBefore w:val="0"/>
        <w:spacing w:line="360" w:lineRule="auto"/>
        <w:widowControl w:val="off"/>
        <w:rPr>
          <w:rFonts w:hint="eastAsia" w:ascii="宋体" w:hAnsi="宋体" w:eastAsia="宋体" w:cs="Times New Roman"/>
          <w:b/>
          <w:bCs/>
          <w:sz w:val="24"/>
          <w:szCs w:val="22"/>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Times New Roman"/>
          <w:b/>
          <w:bCs/>
          <w:sz w:val="24"/>
          <w:szCs w:val="22"/>
          <w:highlight w:val="none"/>
        </w:rPr>
        <w:t xml:space="preserve">基本工资不得低于省定一类标准，员工意外险、高温费、加班费及各种福利、劳保等费用由中标单位负责，按溧阳地区最新的标准发放。（若以上费用标准政策有变动，按新政策执行），否则按无效投标文件处理。</w:t>
      </w:r>
      <w:r/>
    </w:p>
    <w:p>
      <w:pPr>
        <w:pStyle w:val="972"/>
        <w:ind w:left="0" w:firstLine="0"/>
        <w:jc w:val="left"/>
        <w:keepLines w:val="0"/>
        <w:keepNext w:val="0"/>
        <w:pageBreakBefore w:val="0"/>
        <w:spacing w:line="360" w:lineRule="auto"/>
        <w:widowControl w:val="off"/>
        <w:rPr>
          <w:rFonts w:hint="eastAsia" w:ascii="宋体" w:hAnsi="宋体" w:eastAsia="宋体" w:cs="Times New Roman"/>
          <w:b w:val="0"/>
          <w:bCs w:val="0"/>
          <w:color w:val="auto"/>
          <w:sz w:val="24"/>
          <w:szCs w:val="22"/>
          <w:highlight w:val="none"/>
          <w:lang w:val="en-US" w:eastAsia="zh-CN"/>
        </w:rPr>
      </w:pPr>
      <w:r>
        <w:rPr>
          <w:rFonts w:hint="eastAsia" w:ascii="宋体" w:hAnsi="宋体" w:cs="Times New Roman"/>
          <w:b w:val="0"/>
          <w:bCs w:val="0"/>
          <w:sz w:val="24"/>
          <w:szCs w:val="22"/>
          <w:highlight w:val="none"/>
          <w:lang w:val="en-US" w:eastAsia="zh-CN"/>
        </w:rPr>
        <w:t xml:space="preserve">5</w:t>
      </w:r>
      <w:r>
        <w:rPr>
          <w:rFonts w:hint="eastAsia" w:ascii="宋体" w:hAnsi="宋体" w:eastAsia="宋体" w:cs="Times New Roman"/>
          <w:b w:val="0"/>
          <w:bCs w:val="0"/>
          <w:sz w:val="24"/>
          <w:szCs w:val="22"/>
          <w:highlight w:val="none"/>
          <w:lang w:val="en-US" w:eastAsia="zh-CN"/>
        </w:rPr>
        <w:t xml:space="preserve">、</w:t>
      </w:r>
      <w:r>
        <w:rPr>
          <w:rFonts w:hint="eastAsia" w:ascii="宋体" w:hAnsi="宋体" w:eastAsia="宋体" w:cs="Times New Roman"/>
          <w:b w:val="0"/>
          <w:bCs w:val="0"/>
          <w:color w:val="auto"/>
          <w:sz w:val="24"/>
          <w:szCs w:val="22"/>
          <w:highlight w:val="none"/>
          <w:lang w:val="en-US" w:eastAsia="zh-CN"/>
        </w:rPr>
        <w:t xml:space="preserve">中转站垃圾转运费最高限价2.2元/吨/公里（根据往年垃圾量预估中转站平均每月垃圾量为：984.11吨，垃圾量按实际垃圾量计算）</w:t>
      </w:r>
      <w:r/>
    </w:p>
    <w:p>
      <w:pPr>
        <w:pStyle w:val="971"/>
        <w:ind w:left="0" w:firstLine="0"/>
        <w:jc w:val="left"/>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lang w:val="en-US"/>
        </w:rPr>
        <w:t xml:space="preserve">、其他：该项目所有车辆归中标人所有。</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七、注意事项</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1、投标人自行勘探现场，为保证项目的顺利实施，投标人提供的设施设备等应符合现别桥镇投入使用的设施设备等的要求。</w:t>
      </w:r>
      <w:r/>
    </w:p>
    <w:p>
      <w:pPr>
        <w:pStyle w:val="1224"/>
        <w:ind w:firstLine="0"/>
        <w:jc w:val="left"/>
        <w:keepLines w:val="0"/>
        <w:keepNext w:val="0"/>
        <w:pageBreakBefore w:val="0"/>
        <w:spacing w:line="360" w:lineRule="auto"/>
        <w:widowControl w:val="off"/>
        <w:rPr>
          <w:rFonts w:hint="eastAsia" w:ascii="宋体" w:hAnsi="宋体" w:eastAsia="宋体" w:cs="宋体"/>
          <w:color w:val="auto"/>
          <w:sz w:val="24"/>
          <w:szCs w:val="24"/>
          <w:lang w:bidi="zh-CN"/>
        </w:rPr>
      </w:pPr>
      <w:r>
        <w:rPr>
          <w:rFonts w:hint="eastAsia" w:ascii="宋体" w:hAnsi="宋体" w:eastAsia="宋体" w:cs="宋体"/>
          <w:color w:val="auto"/>
          <w:sz w:val="24"/>
          <w:szCs w:val="24"/>
          <w:lang w:bidi="zh-CN"/>
        </w:rPr>
        <w:t xml:space="preserve">2、合同期内中标人必须无条件地接受招标人的新增垃圾清运点的收集清运。合同期内招标人有权对垃圾收集清运目的地中转站进行调整，但中标人不得擅自改变垃圾收集清运处置场所。</w:t>
      </w:r>
      <w:r/>
    </w:p>
    <w:p>
      <w:pPr>
        <w:pStyle w:val="1224"/>
        <w:ind w:firstLine="0"/>
        <w:jc w:val="left"/>
        <w:keepLines w:val="0"/>
        <w:keepNext w:val="0"/>
        <w:pageBreakBefore w:val="0"/>
        <w:spacing w:line="360" w:lineRule="auto"/>
        <w:widowControl w:val="off"/>
        <w:rPr>
          <w:rFonts w:hint="eastAsia" w:ascii="宋体" w:hAnsi="宋体" w:eastAsia="宋体" w:cs="宋体"/>
          <w:color w:val="auto"/>
          <w:sz w:val="24"/>
          <w:szCs w:val="24"/>
          <w:lang w:bidi="zh-CN"/>
        </w:rPr>
      </w:pPr>
      <w:r>
        <w:rPr>
          <w:rFonts w:hint="eastAsia" w:ascii="宋体" w:hAnsi="宋体" w:eastAsia="宋体" w:cs="宋体"/>
          <w:color w:val="auto"/>
          <w:sz w:val="24"/>
          <w:szCs w:val="24"/>
          <w:lang w:bidi="zh-CN"/>
        </w:rPr>
        <w:t xml:space="preserve">3、合同期内因拆迁、施工等原因减少作业量的，需及时上报招标人的相关职能部门认可，不得自行停工，或改变作业时间与方式。如若不报或上报不及时，其减少作业量的时间由招标人确定。</w:t>
      </w:r>
      <w:r/>
    </w:p>
    <w:p>
      <w:pPr>
        <w:pStyle w:val="1224"/>
        <w:ind w:firstLine="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4、由于</w:t>
      </w:r>
      <w:r>
        <w:rPr>
          <w:rFonts w:hint="eastAsia" w:ascii="宋体" w:hAnsi="宋体" w:eastAsia="宋体" w:cs="宋体"/>
          <w:color w:val="auto"/>
          <w:sz w:val="24"/>
          <w:szCs w:val="24"/>
        </w:rPr>
        <w:t xml:space="preserve">突发情况（如台风、雨雪、冰雹、霜或冻等天气或气候因素，或车辆、居民或行人等人为因素，或是其它因素，以及复合因素或不明原因的情况）、</w:t>
      </w:r>
      <w:r>
        <w:rPr>
          <w:rFonts w:hint="eastAsia" w:ascii="宋体" w:hAnsi="宋体" w:eastAsia="宋体" w:cs="宋体"/>
          <w:color w:val="auto"/>
          <w:sz w:val="24"/>
          <w:szCs w:val="24"/>
          <w:lang w:bidi="zh-CN"/>
        </w:rPr>
        <w:t xml:space="preserve">工程施工、各类活动、节假日期间等因素导致的费用，不论这些因素是可预测或不可预测的，均已包含在投标报价中。除招标人要求外，不作调整。</w:t>
      </w:r>
      <w:r>
        <w:rPr>
          <w:rFonts w:hint="eastAsia" w:ascii="宋体" w:hAnsi="宋体" w:eastAsia="宋体" w:cs="宋体"/>
          <w:color w:val="auto"/>
          <w:sz w:val="24"/>
          <w:szCs w:val="24"/>
        </w:rPr>
        <w:t xml:space="preserve">除招标人要求外，不作调整。风险因素的变化，除招标人要求外，投标总价不作调整。</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5、投标供应商的投标报价不得以其他任何形式进行贴补，进行让利时只得对测算利润及管理费用进行让利其他不得让利。</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6、中标人加强对作业人员的安全教育，每月至少进行一次安全教育。独立承担一切安全责任事故。</w:t>
      </w:r>
      <w:r/>
    </w:p>
    <w:p>
      <w:pPr>
        <w:ind w:firstLine="0"/>
        <w:jc w:val="left"/>
        <w:keepLines w:val="0"/>
        <w:keepNext w:val="0"/>
        <w:pageBreakBefore w:val="0"/>
        <w:spacing w:line="360" w:lineRule="auto"/>
        <w:widowControl w:val="off"/>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 xml:space="preserve">7、中标人不得转包、分包环卫作业服务，并按投标文件所承诺的实施方案、人员及机械配置等提供环卫作业服务。</w:t>
      </w:r>
      <w:r/>
    </w:p>
    <w:p>
      <w:pPr>
        <w:ind w:firstLine="0"/>
        <w:jc w:val="both"/>
        <w:keepLines w:val="0"/>
        <w:keepNext w:val="0"/>
        <w:pageBreakBefore w:val="0"/>
        <w:spacing w:line="360" w:lineRule="auto"/>
        <w:widowControl w:val="off"/>
        <w:rPr>
          <w:rFonts w:hint="eastAsia" w:ascii="宋体" w:hAnsi="宋体" w:cs="宋体"/>
          <w:b/>
          <w:bCs/>
          <w:spacing w:val="1"/>
          <w:sz w:val="24"/>
          <w:szCs w:val="24"/>
          <w:lang w:val="en-US" w:eastAsia="zh-CN"/>
        </w:rPr>
      </w:pPr>
      <w:r>
        <w:rPr>
          <w:rFonts w:hint="eastAsia" w:ascii="宋体" w:hAnsi="宋体" w:cs="宋体"/>
          <w:b/>
          <w:bCs/>
          <w:spacing w:val="1"/>
          <w:sz w:val="24"/>
          <w:szCs w:val="24"/>
          <w:lang w:val="en-US" w:eastAsia="zh-CN"/>
        </w:rPr>
      </w:r>
      <w:r/>
    </w:p>
    <w:p>
      <w:pPr>
        <w:ind w:firstLine="0"/>
        <w:jc w:val="both"/>
        <w:keepLines w:val="0"/>
        <w:keepNext w:val="0"/>
        <w:pageBreakBefore w:val="0"/>
        <w:spacing w:line="360" w:lineRule="auto"/>
        <w:widowControl w:val="off"/>
        <w:rPr>
          <w:rFonts w:hint="eastAsia" w:ascii="宋体" w:hAnsi="宋体" w:cs="宋体"/>
          <w:b/>
          <w:bCs/>
          <w:spacing w:val="1"/>
          <w:sz w:val="24"/>
          <w:szCs w:val="24"/>
          <w:lang w:val="en-US" w:eastAsia="zh-CN"/>
        </w:rPr>
      </w:pPr>
      <w:r>
        <w:rPr>
          <w:rFonts w:hint="eastAsia" w:ascii="宋体" w:hAnsi="宋体" w:cs="宋体"/>
          <w:b/>
          <w:bCs/>
          <w:spacing w:val="1"/>
          <w:sz w:val="24"/>
          <w:szCs w:val="24"/>
          <w:lang w:val="en-US" w:eastAsia="zh-CN"/>
        </w:rPr>
        <w:t xml:space="preserve">（二）02包：2026年度别桥镇环卫服务采购项目（后周、绸缪片）</w:t>
      </w:r>
      <w:r/>
    </w:p>
    <w:p>
      <w:pPr>
        <w:pStyle w:val="968"/>
        <w:numPr>
          <w:ilvl w:val="0"/>
          <w:numId w:val="0"/>
        </w:numPr>
        <w:ind w:left="0" w:firstLine="0"/>
        <w:keepLines w:val="0"/>
        <w:keepNext w:val="0"/>
        <w:pageBreakBefore w:val="0"/>
        <w:spacing w:after="0"/>
        <w:widowControl w:val="off"/>
        <w:rPr>
          <w:rFonts w:hint="eastAsia" w:ascii="宋体" w:hAnsi="宋体" w:cs="宋体"/>
          <w:b/>
          <w:bCs/>
          <w:spacing w:val="1"/>
          <w:sz w:val="24"/>
          <w:szCs w:val="24"/>
          <w:lang w:val="en-US" w:eastAsia="zh-CN"/>
        </w:rPr>
      </w:pPr>
      <w:r>
        <w:rPr>
          <w:rFonts w:hint="eastAsia" w:ascii="宋体" w:hAnsi="宋体" w:eastAsia="宋体" w:cs="宋体"/>
          <w:b/>
          <w:bCs/>
          <w:color w:val="000000"/>
          <w:spacing w:val="1"/>
          <w:sz w:val="24"/>
          <w:szCs w:val="24"/>
          <w:lang w:val="en-US" w:eastAsia="zh-CN" w:bidi="ar-SA"/>
        </w:rPr>
        <w:t xml:space="preserve">一、</w:t>
      </w:r>
      <w:r>
        <w:rPr>
          <w:rFonts w:hint="eastAsia" w:ascii="宋体" w:hAnsi="宋体" w:cs="宋体"/>
          <w:b/>
          <w:bCs/>
          <w:spacing w:val="1"/>
          <w:sz w:val="24"/>
          <w:szCs w:val="24"/>
          <w:lang w:val="en-US" w:eastAsia="zh-CN"/>
        </w:rPr>
        <w:t xml:space="preserve">采购标的</w:t>
      </w:r>
      <w:r/>
    </w:p>
    <w:p>
      <w:pPr>
        <w:pStyle w:val="1224"/>
        <w:ind w:firstLine="0"/>
        <w:jc w:val="both"/>
        <w:keepLines w:val="0"/>
        <w:keepNext w:val="0"/>
        <w:pageBreakBefore w:val="0"/>
        <w:spacing w:line="360" w:lineRule="auto"/>
        <w:widowControl w:val="off"/>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 xml:space="preserve">2026年度别桥镇环卫服务采购项目</w:t>
      </w:r>
      <w:r>
        <w:rPr>
          <w:rFonts w:hint="default" w:ascii="宋体" w:hAnsi="宋体" w:cs="宋体"/>
          <w:b w:val="0"/>
          <w:bCs w:val="0"/>
          <w:color w:val="auto"/>
          <w:sz w:val="24"/>
          <w:szCs w:val="24"/>
          <w:lang w:val="en-US" w:eastAsia="zh-CN"/>
        </w:rPr>
        <w:t xml:space="preserve">（后周、绸缪片）</w:t>
      </w:r>
      <w:r/>
    </w:p>
    <w:p>
      <w:pPr>
        <w:pStyle w:val="1224"/>
        <w:numPr>
          <w:ilvl w:val="0"/>
          <w:numId w:val="0"/>
        </w:numPr>
        <w:jc w:val="both"/>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lang w:val="en-US" w:eastAsia="zh-CN"/>
        </w:rPr>
        <w:t xml:space="preserve">商务要求</w:t>
      </w:r>
      <w:r/>
    </w:p>
    <w:p>
      <w:pPr>
        <w:pStyle w:val="1224"/>
        <w:numPr>
          <w:ilvl w:val="0"/>
          <w:numId w:val="0"/>
        </w:numPr>
        <w:jc w:val="both"/>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 </w:t>
      </w:r>
      <w:r>
        <w:rPr>
          <w:rFonts w:hint="eastAsia" w:ascii="宋体" w:hAnsi="宋体" w:eastAsia="宋体" w:cs="宋体"/>
          <w:sz w:val="24"/>
          <w:highlight w:val="none"/>
          <w:lang w:val="en-US" w:eastAsia="zh-CN"/>
        </w:rPr>
        <w:t xml:space="preserve">合同履行期限：</w:t>
      </w:r>
      <w:r>
        <w:rPr>
          <w:rFonts w:hint="eastAsia" w:ascii="宋体" w:hAnsi="宋体" w:eastAsia="宋体" w:cs="宋体"/>
          <w:color w:val="auto"/>
          <w:sz w:val="24"/>
          <w:szCs w:val="24"/>
          <w:highlight w:val="none"/>
          <w:lang w:eastAsia="zh-CN" w:bidi="zh-CN"/>
        </w:rPr>
        <w:t xml:space="preserve">一年，其中前</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eastAsia="zh-CN" w:bidi="zh-CN"/>
        </w:rPr>
        <w:t xml:space="preserve">个月为试用期；试用期满且考核合格后签订正式合同。</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highlight w:val="none"/>
        </w:rPr>
        <w:t xml:space="preserve">2. 付款条件</w:t>
      </w:r>
      <w:r>
        <w:rPr>
          <w:rFonts w:hint="eastAsia" w:ascii="宋体" w:hAnsi="宋体" w:eastAsia="宋体" w:cs="宋体"/>
          <w:sz w:val="24"/>
          <w:highlight w:val="none"/>
          <w:lang w:eastAsia="zh-CN"/>
        </w:rPr>
        <w:t xml:space="preserve">：</w:t>
      </w:r>
      <w:r>
        <w:rPr>
          <w:rFonts w:hint="eastAsia" w:ascii="宋体" w:hAnsi="宋体" w:eastAsia="宋体" w:cs="宋体"/>
          <w:color w:val="auto"/>
          <w:sz w:val="24"/>
          <w:szCs w:val="24"/>
          <w:highlight w:val="none"/>
          <w:lang w:bidi="zh-CN"/>
        </w:rPr>
        <w:t xml:space="preserve">每月应付服务费=投标总价÷12-每月考核扣款。</w:t>
      </w:r>
      <w:r/>
    </w:p>
    <w:p>
      <w:pPr>
        <w:pStyle w:val="1224"/>
        <w:numPr>
          <w:ilvl w:val="0"/>
          <w:numId w:val="0"/>
        </w:numPr>
        <w:ind w:firstLine="0"/>
        <w:jc w:val="both"/>
        <w:keepLines w:val="0"/>
        <w:keepNext w:val="0"/>
        <w:pageBreakBefore w:val="0"/>
        <w:spacing w:line="360" w:lineRule="auto"/>
        <w:widowControl w:val="off"/>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三、技术要求</w:t>
      </w:r>
      <w:r/>
    </w:p>
    <w:p>
      <w:pPr>
        <w:pStyle w:val="1224"/>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cs="宋体"/>
          <w:b w:val="0"/>
          <w:bCs w:val="0"/>
          <w:color w:val="auto"/>
          <w:sz w:val="24"/>
          <w:szCs w:val="24"/>
          <w:lang w:val="en-US" w:eastAsia="zh-CN"/>
        </w:rPr>
        <w:t xml:space="preserve">一）</w:t>
      </w:r>
      <w:r>
        <w:rPr>
          <w:rFonts w:hint="eastAsia" w:ascii="宋体" w:hAnsi="宋体" w:eastAsia="宋体" w:cs="宋体"/>
          <w:b w:val="0"/>
          <w:bCs w:val="0"/>
          <w:color w:val="auto"/>
          <w:sz w:val="24"/>
          <w:szCs w:val="24"/>
          <w:lang w:val="en-US"/>
        </w:rPr>
        <w:t xml:space="preserve">项目概况</w:t>
      </w:r>
      <w:r/>
    </w:p>
    <w:p>
      <w:pPr>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1、作业范围：</w:t>
      </w:r>
      <w:r>
        <w:rPr>
          <w:rFonts w:hint="eastAsia" w:ascii="宋体" w:hAnsi="宋体" w:cs="宋体"/>
          <w:b w:val="0"/>
          <w:bCs w:val="0"/>
          <w:color w:val="auto"/>
          <w:sz w:val="24"/>
          <w:szCs w:val="24"/>
          <w:lang w:val="en-US" w:eastAsia="zh-CN"/>
        </w:rPr>
        <w:t xml:space="preserve">2026年度别桥镇环卫服务采购项目（后周、绸缪片）</w:t>
      </w:r>
      <w:r>
        <w:rPr>
          <w:rFonts w:hint="eastAsia" w:ascii="宋体" w:hAnsi="宋体" w:eastAsia="宋体" w:cs="宋体"/>
          <w:b w:val="0"/>
          <w:bCs w:val="0"/>
          <w:color w:val="auto"/>
          <w:sz w:val="24"/>
          <w:szCs w:val="24"/>
          <w:lang w:val="en-US"/>
        </w:rPr>
        <w:t xml:space="preserve">，含集镇（含绸缪、后周）</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rPr>
        <w:t xml:space="preserve">国省道道口、绿化带清捡、公厕管理、农贸市场2个（含绸缪1个、后周1个）、集镇背街小巷（含散住楼）和工业园区墙到墙路面清扫保洁；垃圾收集清运</w:t>
      </w:r>
      <w:r>
        <w:rPr>
          <w:rFonts w:hint="eastAsia" w:ascii="宋体" w:hAnsi="宋体" w:eastAsia="宋体" w:cs="宋体"/>
          <w:b w:val="0"/>
          <w:bCs w:val="0"/>
          <w:color w:val="auto"/>
          <w:sz w:val="24"/>
          <w:szCs w:val="24"/>
          <w:lang w:val="en-US" w:eastAsia="zh-CN"/>
        </w:rPr>
        <w:t xml:space="preserve">：含</w:t>
      </w:r>
      <w:r>
        <w:rPr>
          <w:rFonts w:hint="eastAsia" w:ascii="宋体" w:hAnsi="宋体" w:eastAsia="宋体" w:cs="宋体"/>
          <w:b w:val="0"/>
          <w:bCs w:val="0"/>
          <w:color w:val="auto"/>
          <w:sz w:val="24"/>
          <w:szCs w:val="24"/>
          <w:lang w:val="en-US"/>
        </w:rPr>
        <w:t xml:space="preserve">（后周村委葛家村、周家背村、后周村、姜家村、毛棚村</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rPr>
        <w:t xml:space="preserve">绸缪村委建设北路、建设南路、古绸街、巴斗山、森巷村、西土桥村</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rPr>
        <w:t xml:space="preserve">11个行政村垃圾收运</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rPr>
        <w:t xml:space="preserve">零星乱堆放、废弃农作物、废弃卫浴、陶瓷缸物料、废旧家具、居民零星装饰建筑垃圾的收集清运、绸缪、后周集镇沿街店面上门收集等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rPr>
        <w:t xml:space="preserve">环卫设施清洗、区域范围内的乱张贴乱涂写清理、河塘漂浮物打捞、非机动车的摆放等作业服务。</w:t>
      </w:r>
      <w:r/>
    </w:p>
    <w:p>
      <w:pPr>
        <w:pStyle w:val="1224"/>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2、作业内容：</w:t>
      </w:r>
      <w:r/>
    </w:p>
    <w:p>
      <w:pPr>
        <w:pStyle w:val="1224"/>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（1）清扫保洁：绸缪、后周片</w:t>
      </w:r>
      <w:r>
        <w:rPr>
          <w:rFonts w:hint="eastAsia" w:ascii="宋体" w:hAnsi="宋体" w:eastAsia="宋体" w:cs="宋体"/>
          <w:b w:val="0"/>
          <w:bCs w:val="0"/>
          <w:color w:val="auto"/>
          <w:sz w:val="24"/>
          <w:szCs w:val="24"/>
          <w:lang w:val="en-US" w:eastAsia="zh-CN"/>
        </w:rPr>
        <w:t xml:space="preserve">集镇区</w:t>
      </w:r>
      <w:r>
        <w:rPr>
          <w:rFonts w:hint="eastAsia" w:ascii="宋体" w:hAnsi="宋体" w:eastAsia="宋体" w:cs="宋体"/>
          <w:b w:val="0"/>
          <w:bCs w:val="0"/>
          <w:color w:val="auto"/>
          <w:sz w:val="24"/>
          <w:szCs w:val="24"/>
          <w:lang w:val="en-US"/>
        </w:rPr>
        <w:t xml:space="preserve">（含国省道道口、绿化带清捡、公厕、农贸市场2个（含绸缪1个、后周1个）、集镇背街小巷（含散住楼）和工业园区墙到墙路面清扫保洁）等建成区范围</w:t>
      </w:r>
      <w:r>
        <w:rPr>
          <w:rFonts w:hint="eastAsia" w:ascii="宋体" w:hAnsi="宋体" w:eastAsia="宋体" w:cs="宋体"/>
          <w:b w:val="0"/>
          <w:bCs w:val="0"/>
          <w:color w:val="auto"/>
          <w:sz w:val="24"/>
          <w:szCs w:val="24"/>
          <w:lang w:val="en-US" w:eastAsia="zh-CN"/>
        </w:rPr>
        <w:t xml:space="preserve">的清扫保洁</w:t>
      </w:r>
      <w:r>
        <w:rPr>
          <w:rFonts w:hint="eastAsia" w:ascii="宋体" w:hAnsi="宋体" w:eastAsia="宋体" w:cs="宋体"/>
          <w:b w:val="0"/>
          <w:bCs w:val="0"/>
          <w:color w:val="auto"/>
          <w:sz w:val="24"/>
          <w:szCs w:val="24"/>
          <w:lang w:val="en-US"/>
        </w:rPr>
        <w:t xml:space="preserve">。</w:t>
      </w:r>
      <w:r/>
    </w:p>
    <w:p>
      <w:pPr>
        <w:pStyle w:val="1224"/>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2）垃圾收运：绸缪、后周区域内11个行政村、企事业单位、在建工地、经营场所、集镇沿街店面上门收集产生的生活垃圾；零星乱堆放、废弃农作物、废弃卫浴、陶瓷缸物料、废旧家具、居民零星建筑垃圾等垃圾收集清运。</w:t>
      </w:r>
      <w:r/>
    </w:p>
    <w:p>
      <w:pPr>
        <w:pStyle w:val="1224"/>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（3）环卫设施清洗：</w:t>
      </w:r>
      <w:r>
        <w:rPr>
          <w:rFonts w:hint="eastAsia" w:ascii="宋体" w:hAnsi="宋体" w:eastAsia="宋体" w:cs="宋体"/>
          <w:b w:val="0"/>
          <w:bCs w:val="0"/>
          <w:color w:val="auto"/>
          <w:sz w:val="24"/>
          <w:szCs w:val="24"/>
          <w:lang w:val="en-US" w:eastAsia="zh-CN"/>
        </w:rPr>
        <w:t xml:space="preserve">绸缪、</w:t>
      </w:r>
      <w:r>
        <w:rPr>
          <w:rFonts w:hint="eastAsia" w:ascii="宋体" w:hAnsi="宋体" w:eastAsia="宋体" w:cs="宋体"/>
          <w:b w:val="0"/>
          <w:bCs w:val="0"/>
          <w:color w:val="auto"/>
          <w:sz w:val="24"/>
          <w:szCs w:val="24"/>
          <w:lang w:val="en-US"/>
        </w:rPr>
        <w:t xml:space="preserve">后周集镇</w:t>
      </w:r>
      <w:r>
        <w:rPr>
          <w:rFonts w:hint="eastAsia" w:ascii="宋体" w:hAnsi="宋体" w:eastAsia="宋体" w:cs="宋体"/>
          <w:b w:val="0"/>
          <w:bCs w:val="0"/>
          <w:color w:val="auto"/>
          <w:sz w:val="24"/>
          <w:szCs w:val="24"/>
          <w:lang w:val="en-US" w:eastAsia="zh-CN"/>
        </w:rPr>
        <w:t xml:space="preserve">区的</w:t>
      </w:r>
      <w:r>
        <w:rPr>
          <w:rFonts w:hint="eastAsia" w:ascii="宋体" w:hAnsi="宋体" w:eastAsia="宋体" w:cs="宋体"/>
          <w:b w:val="0"/>
          <w:bCs w:val="0"/>
          <w:color w:val="auto"/>
          <w:sz w:val="24"/>
          <w:szCs w:val="24"/>
          <w:lang w:val="en-US"/>
        </w:rPr>
        <w:t xml:space="preserve">果壳箱清掏清洗；垃圾箱体、垃圾亭、垃圾桶、地面（墙面）油污等垃圾收集设施的清洗；乱张贴、乱涂写的清除。</w:t>
      </w:r>
      <w:r/>
    </w:p>
    <w:p>
      <w:pPr>
        <w:pStyle w:val="1224"/>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（4）河塘打捞：</w:t>
      </w:r>
      <w:r>
        <w:rPr>
          <w:rFonts w:hint="eastAsia" w:ascii="宋体" w:hAnsi="宋体" w:eastAsia="宋体" w:cs="宋体"/>
          <w:b w:val="0"/>
          <w:bCs w:val="0"/>
          <w:color w:val="auto"/>
          <w:sz w:val="24"/>
          <w:szCs w:val="24"/>
          <w:lang w:val="en-US" w:eastAsia="zh-CN"/>
        </w:rPr>
        <w:t xml:space="preserve">绸缪、</w:t>
      </w:r>
      <w:r>
        <w:rPr>
          <w:rFonts w:hint="eastAsia" w:ascii="宋体" w:hAnsi="宋体" w:eastAsia="宋体" w:cs="宋体"/>
          <w:b w:val="0"/>
          <w:bCs w:val="0"/>
          <w:color w:val="auto"/>
          <w:sz w:val="24"/>
          <w:szCs w:val="24"/>
          <w:lang w:val="en-US"/>
        </w:rPr>
        <w:t xml:space="preserve">后周集镇</w:t>
      </w:r>
      <w:r>
        <w:rPr>
          <w:rFonts w:hint="eastAsia" w:ascii="宋体" w:hAnsi="宋体" w:eastAsia="宋体" w:cs="宋体"/>
          <w:b w:val="0"/>
          <w:bCs w:val="0"/>
          <w:color w:val="auto"/>
          <w:sz w:val="24"/>
          <w:szCs w:val="24"/>
          <w:lang w:val="en-US" w:eastAsia="zh-CN"/>
        </w:rPr>
        <w:t xml:space="preserve">区的</w:t>
      </w:r>
      <w:r>
        <w:rPr>
          <w:rFonts w:hint="eastAsia" w:ascii="宋体" w:hAnsi="宋体" w:eastAsia="宋体" w:cs="宋体"/>
          <w:b w:val="0"/>
          <w:bCs w:val="0"/>
          <w:color w:val="auto"/>
          <w:sz w:val="24"/>
          <w:szCs w:val="24"/>
          <w:lang w:val="en-US"/>
        </w:rPr>
        <w:t xml:space="preserve">河塘漂浮物打捞。</w:t>
      </w:r>
      <w:r/>
    </w:p>
    <w:p>
      <w:pPr>
        <w:pStyle w:val="1224"/>
        <w:ind w:firstLine="0"/>
        <w:jc w:val="both"/>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 xml:space="preserve">（5）非机动车摆放：黄色非机动车停车区域内车辆，应按规定摆放，摆放应头尾一致，停放整齐；不得占用盲道。</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 xml:space="preserve">二</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rPr>
        <w:t xml:space="preserve">环卫作业服务要求：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（一）整体要求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投标人应具有健全的日常清扫保洁制度、乱张贴清除制度、环卫设施清洗保洁制度、厕所管理保洁制度、人员管理制度、应急处理制度、自检自查制度。投标人应服从别桥镇长效管理办公室和别桥镇城管中队的管理和监督考核，如遇突发事件或重大活动，招标人（别桥镇人民政府）有权调用中标人人员和车辆参与应急和处置。作业服务须达到队伍整齐规范、机械设备齐全状态优良、质量优质高效、环境整洁优美的基本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（2）道路清扫保洁作业要求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2.1 道路清扫保洁采用机械方式和人工方式。机械化清扫必须在7：30之前完成对镇区主要道路的机扫工作；13点30分前完成其它等道路的机扫。多功能抑尘车在每年3月-11月必须保证每天对镇区道路进行洒水作业（高温季节，低温季节作业时间和次数由别桥镇城管中队通知执行）。</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作业行驶要求：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清扫作业时选用一挡，行驶速度不超过15公里/小时，副机转速不超过2000转/分，应严格按照放刷、喷水、调整箱体压力和刷盘转速、清扫的顺序进行操作；非特殊气候情况下，避免“干扫”；作业时禁止扫刷、吸嘴不落地；</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②冲洗作业时控制车速为15公里/小时，冲洗压力≥300千帕，洒水量0.2～2.0升/平方米，喷水口喷水有力，不得出现断续喷水的现象；</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③洒水作业时控制车速不超过20公里/小时，喷水口喷水有力，不得出现断续喷水的现象，洒水作业应覆盖道路的所有机动车道，不得漏洒，作业后路面无干燥路段和片区；</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④清洗作业车速不超过10公里/小时，副发动机转速控制在1800转/分（正常档），路面较脏时，副发动机转速控制在2200转/分（强洗档），并应开双侧吸嘴喷杆喷水。</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⑤作业时须开启警示灯和示宽灯，夜间禁鸣，洒水作业日间必须播放提示音乐。</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⑥所有机械化作业必须双侧同时开启，严禁单边作业（除特殊情况下的冲洗作业）。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⑦作业人员必须按照规定的时间、线路、频次和作业模式作业；作业时应穿戴统一的、具有明显警示标识的工作服，并保持着装整洁。不得有滞留马路和加油加水超时等情况。</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机械化作业车辆容貌要求：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①车体整洁明亮、各种配件齐全、使用功能齐备，各项作业装置保持完好、有效。车身如有宣传标贴，须保持清洁完整。</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②应保持车牌及车身标志清晰、齐全，车体无破损、无锈蚀、无污物、无灰垢。车尾应有反光标志（或加贴反光膜）。车体杜绝吊挂、抛洒污物，滴漏水、油液体等现象。</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调度和管理要求：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①科学合理调配作业车辆分布比例及运行。每班作业应按规定填写出车日志，作业车辆应在规定地点取水、清洁污物箱。</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②建立健全车辆维修、保养和检查制度，必须确保出车车况良好。</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③如遇死角、深沟、道路两侧行道树过低过近、垃圾杂物体积过长过大、落叶季节、窨井泉眼不畅通、有杂物或被堵塞等工况无法满足环卫机械化作业条件时，需组织人工配合作业。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人工保洁时间要求：8小时保洁是指每天的5:30-10:30和13:30-16:30，错时6小时快速保洁（至少安排10名环卫工人电动车巡回保洁）。道路的大清扫必须在每日7：30前完成，大清扫结束后实行巡回定段定人定时保洁作业（招标人不安排工人在岗作业休息时间，由中标人自行安排）。巡回保洁采用定人定段定时巡回保洁与快速巡回保洁相结合的模式。遇重大检查时作业方式按招标人的要求执行；高温季节作业时间由招标人另行通知。</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2.2 道路清扫应做到“五无五净”，即:无垃圾杂物、无尘积水、无烟头纸屑、无泼洒污物、无砖石杂草，路面净、边角侧石净、窨井泉眼净、道路隔离设施底部净、环卫设施周边净。道路清扫无死角，无断扫、漏扫，垃圾无漏收，作业区域交界处应扫过3米以上。</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2.3道路保洁应快速及时，巡回不间断，确保路面、行道树内及垃圾桶、果壳箱周边干净整洁。白色污染及暴露垃圾滞留时间，镇区主要道路不得超过20分钟，其余道路不得超过30分钟。</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2.4 雨水井要定期清理杂物，进行疏掏作业。下雨天应及时清扫路沟边、隔离栏下泥沙，保持雨水口畅通。降雪天气，应及时组织铲雪作业。道路融雪后，路面杂物、垃圾应及时清扫干净。</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2.5清扫、保洁后的垃圾应及时收集，按指定方式、指定地点倾倒，不得倒入绿化带或果壳箱内。不得焚烧垃圾、树叶。</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2.6因天气或其他特殊原因，机扫车不能作业时，应及时安排人员做好机扫车作业区域的人工清扫工作。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2.7 保洁车辆应密闭完好，每周清洗一次，保持干净整洁，无乱堆乱挂乱张贴。作业时保洁车应紧靠路沿侧石停放，不得影响交通和有碍观瞻。作业完毕，扫帚、簸箕等作业工具应统一放入保洁车内，在指定位置停放。</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2.8 非机动车应按规定排放在非机动车停放区域；排放应头尾一致，排放整齐；不得占用盲道。</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2.9 工作期间，无扎堆、窜岗、离岗、久坐、闲聊等现象，不得捡拾废品，不做与工作无关的事。</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2.10发现有人破坏、挪动环卫设施，应及时制止并上报；发现环卫设施不在指定位置，应及时复位并上报；发现环卫设施损坏，应及时报修。</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（3）乱张贴清除、清洗作业要求：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3.1墙砖、马赛克、玻璃、立柱、墙柱、卷帘门等硬质表面的涂写张贴清洗，应采用油漆溶解剂或水浸、刮除等办法予以清除干净，不留痕迹。外表面为涂料的，应采用相同颜色或相近的涂料，整体有规则地予以同色覆盖，要求覆盖面横平竖直，不得歪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3.2.在供电、邮电、广电、照明、交通等设施上的乱张贴清除后，在有条件的地方用高压水枪冲洗清除，尽量不损伤表面，上述设施上乱涂写的用相同颜色油漆予以同色覆盖，并保持原貌。</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3.3及时巡查各保洁区域内的小广告、乱张贴、乱涂写当天发现当天清除，存留时间不得超过2小时。</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3.4 乱张贴清理后的纸屑必须及时清理干净，做到工完场清。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（4）公共厕所保洁作业要求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4.1 公厕应本着方便市民的原则严格遵守作业时间。一般情况下，公厕不得停用，确因特殊情况需临时停用的，需摆放或张贴停用告示，告知市民。</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4.2 保洁人员应礼貌待人，主动照顾老弱病残孕等人员；按时作业，作业时应在厕外设作业标志，在厕内不要干扰用厕者；作业完毕后清洗好保洁工具，并妥善保管，不得有碍厕容。</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4.3 公厕保洁标准应符合下列规定：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①非专人管理公厕实行每天二冲洗二保洁制度，上午7：30前完成第一遍冲洗，8：00-10；30巡回保洁；下午13：30-16：30完成第二遍冲洗及巡回保洁。</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公厕内采光、照明和通风应良好，设置专门的檀香盘（自备），每天点檀香（自备），确保无明显臭味；墙面、天花板、门窗和隔离板应无积灰、污迹、蛛网，无乱涂乱画；公厕内外墙面应整洁，墙面粉刷剥落要及时上报；地面干净无积水。</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座便器或蹲位应干净整洁，按规定一坑设置一纸篓（自备），纸篓应套袋（自备），每天随满随清；大便槽两侧应无粪便污物，槽内无积粪；小便槽（斗）应无水锈、尿垢、垃圾，无臭味；沟眼、管道保持畅通。</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④公厕内照明灯具、洗手器具、镜子、挂衣钩、烘手器、冲水设备等应完好，无积尘、污物。</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⑤公厕外环境应整洁，无杂物乱堆，保洁工具应放置整齐。公厕四周3-5米范围内，应无垃圾、粪便、污水等污物；无乱搭乱建，无杂物，无乱挂、乱堆、乱放现象。</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⑥公厕标志齐全，公厕设有醒目标志牌，方便群众入厕；发现设施破损或遗失后应立即上报修理；公厕下水道堵塞时应于半天内安排工人疏通到位；公厕粪池定期安排车辆吸粪作业，确保不满溢。</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⑦蝇蚊孳生季节应定时喷洒灭蚊蝇药物，有效控制蝇蛆孳生。</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（5）环卫设施清洗作业要求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5.1 垃圾亭（桶、果壳箱）实行一日两清洗两巡回制度，遇检查活动时，应不间断巡回保洁。</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5.2 果壳箱（垃圾桶）外表面应整洁干净，无污迹、无乱刻画、无乱张贴，垃圾桶内壁应清洗至沿口下三分之一处；设置点周围地面应干净整洁无污迹；垃圾亭地面应整洁，无散落垃圾和堆积杂物，无积留污水，垃圾亭上无污迹、无乱刻画、乱张贴。果壳箱内的垃圾清除要彻底，不得漏收，无垃圾残留、满溢和散落，箱体周围无抛散、存留垃圾；果壳箱内胆应套袋（自备）并每天更换，果壳箱门应上锁，发现果壳箱损坏应及时报修。</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5.3 每年的5月1日至10月31日期间，做好垃圾桶（果壳箱）、垃圾收集点周边的蚊蝇等杀毒工作。</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5.4 发现有人破坏、挪动环卫设施，应及时制止并上报；发现环卫设施不在指定位置，应及时复位并上报；发现环卫设施损坏，应及时报修。</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5.5定期对别桥镇集镇区范围内的企事业单位的环卫设施进行清洗作业。</w:t>
      </w:r>
      <w:r/>
    </w:p>
    <w:p>
      <w:pPr>
        <w:numPr>
          <w:ilvl w:val="0"/>
          <w:numId w:val="14"/>
        </w:num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河塘打捞：</w:t>
      </w:r>
      <w:r>
        <w:rPr>
          <w:rFonts w:hint="eastAsia" w:ascii="宋体" w:hAnsi="宋体" w:eastAsia="宋体" w:cs="宋体"/>
          <w:color w:val="auto"/>
          <w:sz w:val="24"/>
          <w:szCs w:val="24"/>
        </w:rPr>
        <w:t xml:space="preserve">绸缪、后周</w:t>
      </w:r>
      <w:r>
        <w:rPr>
          <w:rFonts w:hint="eastAsia" w:ascii="宋体" w:hAnsi="宋体" w:eastAsia="宋体" w:cs="宋体"/>
          <w:color w:val="auto"/>
          <w:sz w:val="24"/>
          <w:szCs w:val="24"/>
          <w:lang w:val="en-US"/>
        </w:rPr>
        <w:t xml:space="preserve">区域内河塘沟渠水面漂浮物清理,河塘沟渠水面无垃圾、漂浮物,清理河面水花生、漂浮物、白色垃圾并同时运至垃圾堆放点。</w:t>
      </w:r>
      <w:r/>
    </w:p>
    <w:p>
      <w:pPr>
        <w:numPr>
          <w:ilvl w:val="0"/>
          <w:numId w:val="14"/>
        </w:num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非机动车摆放：黄色非机动车停车区域内车辆，应按规定摆放，摆放应头尾一致，停放整齐；不得占用盲道。</w:t>
      </w:r>
      <w:r/>
    </w:p>
    <w:p>
      <w:pPr>
        <w:numPr>
          <w:ilvl w:val="0"/>
          <w:numId w:val="14"/>
        </w:num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政府公益性活动，严格按照招标人要求将相关临时性环卫设施配置到指定场地，活动期间专人负责临时性环卫设施的使用和管理，做好公益性活动期间活动场所的生活垃圾清运和收集，活动结束后做好临时性环卫设施的撤离及场地清扫工作。</w:t>
      </w:r>
      <w:r/>
    </w:p>
    <w:p>
      <w:pPr>
        <w:numPr>
          <w:ilvl w:val="0"/>
          <w:numId w:val="14"/>
        </w:num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其他要求：常州市、溧阳市现场考评、公众测评、处置通、镇长效督察、社会治理等考核案件按有效时间整改到位。</w:t>
      </w:r>
      <w:r/>
    </w:p>
    <w:p>
      <w:pPr>
        <w:ind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rPr>
        <w:t xml:space="preserve">垃圾清运服务要求：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（一）整体要求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投标人应具有健全的日常清扫保洁、垃圾清运制度、安全管理制度、应急处理制度、自检自查制度。投标人应服从别桥镇长效管理办公室和别桥镇城管中队的管理和监督考核，如遇突发事件或重大活动，招标人有权调用中标人人员和车辆参与应急和处置。作业服务须达到队伍整齐规范、机械设备齐全状态优良、质量优质高效、环境整洁优美的基本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（二）基本要求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一、大件垃圾清运要求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1、中标人自行提供车辆（符合行业作业标准的垃圾收集车）负责</w:t>
      </w:r>
      <w:r>
        <w:rPr>
          <w:rFonts w:hint="eastAsia" w:ascii="宋体" w:hAnsi="宋体" w:eastAsia="宋体" w:cs="宋体"/>
          <w:color w:val="auto"/>
          <w:sz w:val="24"/>
          <w:szCs w:val="24"/>
        </w:rPr>
        <w:t xml:space="preserve">绸缪、后周</w:t>
      </w:r>
      <w:r>
        <w:rPr>
          <w:rFonts w:hint="eastAsia" w:ascii="宋体" w:hAnsi="宋体" w:eastAsia="宋体" w:cs="宋体"/>
          <w:color w:val="auto"/>
          <w:sz w:val="24"/>
          <w:szCs w:val="24"/>
          <w:lang w:val="en-US"/>
        </w:rPr>
        <w:t xml:space="preserve">指定区域内的行政村、自然村的分类收集及清运，并负责运送至指定的处置场所。  </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2、环卫设施周边发现有大件垃圾应于4小时内（立即）清理干净；临时堆放点内的垃圾应做到清理及时、不得满溢、日产日清。</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3、运输时应覆盖，严禁发生路面滴泼撒漏现象，大件垃圾必须倾倒在</w:t>
      </w:r>
      <w:r>
        <w:rPr>
          <w:rFonts w:hint="eastAsia" w:ascii="宋体" w:hAnsi="宋体" w:eastAsia="宋体" w:cs="宋体"/>
          <w:color w:val="auto"/>
          <w:sz w:val="24"/>
          <w:szCs w:val="24"/>
        </w:rPr>
        <w:t xml:space="preserve">绸缪、后周</w:t>
      </w:r>
      <w:r>
        <w:rPr>
          <w:rFonts w:hint="eastAsia" w:ascii="宋体" w:hAnsi="宋体" w:eastAsia="宋体" w:cs="宋体"/>
          <w:color w:val="auto"/>
          <w:sz w:val="24"/>
          <w:szCs w:val="24"/>
          <w:lang w:val="en-US"/>
        </w:rPr>
        <w:t xml:space="preserve">区域指定的处置场所，严禁乱抛乱倒。</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4、对</w:t>
      </w:r>
      <w:r>
        <w:rPr>
          <w:rFonts w:hint="eastAsia" w:ascii="宋体" w:hAnsi="宋体" w:eastAsia="宋体" w:cs="宋体"/>
          <w:color w:val="auto"/>
          <w:sz w:val="24"/>
          <w:szCs w:val="24"/>
        </w:rPr>
        <w:t xml:space="preserve">绸缪、后周</w:t>
      </w:r>
      <w:r>
        <w:rPr>
          <w:rFonts w:hint="eastAsia" w:ascii="宋体" w:hAnsi="宋体" w:eastAsia="宋体" w:cs="宋体"/>
          <w:color w:val="auto"/>
          <w:sz w:val="24"/>
          <w:szCs w:val="24"/>
          <w:lang w:val="en-US"/>
        </w:rPr>
        <w:t xml:space="preserve">指定区域内的环卫设施进行配送，发现环卫设施有损坏的及时维修。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5、配合招标人做好</w:t>
      </w:r>
      <w:r>
        <w:rPr>
          <w:rFonts w:hint="eastAsia" w:ascii="宋体" w:hAnsi="宋体" w:eastAsia="宋体" w:cs="宋体"/>
          <w:color w:val="auto"/>
          <w:sz w:val="24"/>
          <w:szCs w:val="24"/>
        </w:rPr>
        <w:t xml:space="preserve">绸缪、后周</w:t>
      </w:r>
      <w:r>
        <w:rPr>
          <w:rFonts w:hint="eastAsia" w:ascii="宋体" w:hAnsi="宋体" w:eastAsia="宋体" w:cs="宋体"/>
          <w:color w:val="auto"/>
          <w:sz w:val="24"/>
          <w:szCs w:val="24"/>
          <w:lang w:val="en-US"/>
        </w:rPr>
        <w:t xml:space="preserve">指定区域内环境大整治工作。</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6、应定期对大件垃圾清运车辆进行检修，遇重大活动或突发事件，能立即调配一辆清运车辆投入工作，保证</w:t>
      </w:r>
      <w:r>
        <w:rPr>
          <w:rFonts w:hint="eastAsia" w:ascii="宋体" w:hAnsi="宋体" w:eastAsia="宋体" w:cs="宋体"/>
          <w:color w:val="auto"/>
          <w:sz w:val="24"/>
          <w:szCs w:val="24"/>
        </w:rPr>
        <w:t xml:space="preserve">绸缪、后周</w:t>
      </w:r>
      <w:r>
        <w:rPr>
          <w:rFonts w:hint="eastAsia" w:ascii="宋体" w:hAnsi="宋体" w:eastAsia="宋体" w:cs="宋体"/>
          <w:color w:val="auto"/>
          <w:sz w:val="24"/>
          <w:szCs w:val="24"/>
          <w:lang w:val="en-US"/>
        </w:rPr>
        <w:t xml:space="preserve">指定区域建筑（大件）垃圾及时清理。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二、生活垃圾清运要求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1、中标人自行提供车辆（符合行业作业标准的垃圾收集车）负责街道指定区域内垃圾桶所有生活垃圾的分类收集及清运，并负责运输至指定处置场所。</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街道指定范围内实行一天一收集，主要街道两侧的生活垃圾收集必须在10：00之前清运结束，其他范围在14：30之前收集完成。在保证一天一收运的基础上，应确保各村垃圾桶无满溢现象，对集镇主要街道、公园、广场等重点路段和区域的生活垃圾收集做到即产即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 收集过程中应遵守交通规则，按照规划好收集路线行驶，不漏收，不逆向行驶；收集作业完成后，应及时清理场地，将垃圾桶复位，并做到车走地净。</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4、收集车辆应保持密闭，并有污水收集装置（污水在指定地点进行排放）；收集过程中无垃圾飞扬、洒落、拖挂和污水滴漏。</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5、应定期对生活垃圾收集车辆进行清洗和检修，遇重大活动或突发事件，能立即调配应急生活垃圾清运车辆投入工作，保证街道指定范围内生活垃圾清运正常有序地进行。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中标人必须做到安全运行，无事故发生。如中标人在履行合同过程中发生任何安全事故或交通事故等，造成人员伤亡或财产损失的，全部责任由中标人承担，与招标人无关；如由此造成招标人损失的，招标人有权在履约保证金中予以扣除相应损失部分。中标人不得以油价调整，承包区域内收集点的增减，沿街门店上门收集增减等原因要求对中标金额进行调整。</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7、由招标人提供垃圾桶及果壳箱，中标人必须上报并以旧换新。</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rPr>
        <w:t xml:space="preserve">人员、设备要求</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rPr>
        <w:t xml:space="preserve">人员要求</w:t>
      </w:r>
      <w:r>
        <w:rPr>
          <w:rFonts w:hint="eastAsia" w:ascii="宋体" w:hAnsi="宋体" w:cs="宋体"/>
          <w:color w:val="auto"/>
          <w:sz w:val="24"/>
          <w:szCs w:val="24"/>
          <w:lang w:val="en-US" w:eastAsia="zh-CN"/>
        </w:rPr>
        <w:t xml:space="preserve">：各类人员根据项目实际作业量由中标单位进行科学合理配置。</w:t>
      </w:r>
      <w:r/>
    </w:p>
    <w:p>
      <w:pPr>
        <w:pStyle w:val="974"/>
        <w:ind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highlight w:val="none"/>
          <w:lang w:val="en-US"/>
        </w:rPr>
        <w:t xml:space="preserve">车辆要求：</w:t>
      </w:r>
      <w:r/>
    </w:p>
    <w:tbl>
      <w:tblPr>
        <w:tblStyle w:val="967"/>
        <w:tblW w:w="7886" w:type="dxa"/>
        <w:jc w:val="center"/>
        <w:tblLayout w:type="fixed"/>
        <w:tblCellMar>
          <w:left w:w="0" w:type="dxa"/>
          <w:top w:w="0" w:type="dxa"/>
          <w:right w:w="0" w:type="dxa"/>
          <w:bottom w:w="0" w:type="dxa"/>
        </w:tblCellMar>
        <w:tblLook w:val="04A0" w:firstRow="1" w:lastRow="0" w:firstColumn="1" w:lastColumn="0" w:noHBand="0" w:noVBand="1"/>
      </w:tblPr>
      <w:tblGrid>
        <w:gridCol w:w="851"/>
        <w:gridCol w:w="3210"/>
        <w:gridCol w:w="2475"/>
        <w:gridCol w:w="1350"/>
      </w:tblGrid>
      <w:tr>
        <w:trPr>
          <w:jc w:val="cente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备注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3吨垃圾收集车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不少于5辆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left"/>
              <w:keepLines w:val="0"/>
              <w:keepNext w:val="0"/>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大件垃圾运输车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left"/>
              <w:keepLines w:val="0"/>
              <w:keepNext w:val="0"/>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洗扫车（容积</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rPr>
              <w:t xml:space="preserve">立方）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left"/>
              <w:keepLines w:val="0"/>
              <w:keepNext w:val="0"/>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rPr>
              <w:t xml:space="preserve">吨洒水车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left"/>
              <w:keepLines w:val="0"/>
              <w:keepNext w:val="0"/>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垃圾桶、果壳箱清洗车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left"/>
              <w:keepLines w:val="0"/>
              <w:keepNext w:val="0"/>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农村长效巡查车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left"/>
              <w:keepLines w:val="0"/>
              <w:keepNext w:val="0"/>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1"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10"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手推车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75" w:type="dxa"/>
            <w:vAlign w:val="center"/>
            <w:textDirection w:val="lrTb"/>
            <w:noWrap/>
          </w:tcPr>
          <w:p>
            <w:pPr>
              <w:jc w:val="cente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不少于</w:t>
            </w:r>
            <w:r>
              <w:rPr>
                <w:rFonts w:hint="eastAsia" w:ascii="宋体" w:hAnsi="宋体" w:cs="宋体"/>
                <w:color w:val="auto"/>
                <w:sz w:val="24"/>
                <w:szCs w:val="24"/>
                <w:lang w:val="en-US" w:eastAsia="zh-CN"/>
              </w:rPr>
              <w:t xml:space="preserve">35</w:t>
            </w:r>
            <w:r>
              <w:rPr>
                <w:rFonts w:hint="eastAsia" w:ascii="宋体" w:hAnsi="宋体" w:eastAsia="宋体" w:cs="宋体"/>
                <w:color w:val="auto"/>
                <w:sz w:val="24"/>
                <w:szCs w:val="24"/>
                <w:lang w:val="en-US"/>
              </w:rPr>
              <w:t xml:space="preserve">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left"/>
              <w:keepLines w:val="0"/>
              <w:keepNext w:val="0"/>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bl>
    <w:p>
      <w:pPr>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注：1、所有作业车辆必须在合同规定的保洁范围内作业，未经招标人允许任何时间段不得超出合同外进行作业。</w:t>
      </w:r>
      <w:r/>
    </w:p>
    <w:p>
      <w:pPr>
        <w:numPr>
          <w:ilvl w:val="0"/>
          <w:numId w:val="15"/>
        </w:num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垃圾清运车辆要进行编号，安装“智能定位系统”，经常清洗，做到车辆性能完好、干净整洁，垃圾桶收运要定人、定时、定段，不丢桶（点），在进场前需向招标人提供车辆、人员的时间、路线安排，方便招标人随时检查。</w:t>
      </w:r>
      <w:r/>
    </w:p>
    <w:p>
      <w:pPr>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其他要求</w:t>
      </w:r>
      <w:r/>
    </w:p>
    <w:p>
      <w:pPr>
        <w:numPr>
          <w:ilvl w:val="0"/>
          <w:numId w:val="0"/>
        </w:numPr>
        <w:spacing w:line="360" w:lineRule="auto"/>
        <w:rPr>
          <w:rFonts w:hint="eastAsia" w:ascii="宋体" w:hAnsi="宋体" w:cs="宋体"/>
          <w:b w:val="0"/>
          <w:color w:val="auto"/>
          <w:sz w:val="24"/>
          <w:szCs w:val="24"/>
          <w:lang w:val="en-US" w:eastAsia="zh-CN" w:bidi="ar-SA"/>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sz w:val="24"/>
          <w:highlight w:val="none"/>
          <w:lang w:val="en-US" w:eastAsia="zh-CN"/>
        </w:rPr>
        <w:t xml:space="preserve">合同履行期限：</w:t>
      </w:r>
      <w:r>
        <w:rPr>
          <w:rFonts w:hint="eastAsia" w:ascii="宋体" w:hAnsi="宋体" w:cs="宋体"/>
          <w:b w:val="0"/>
          <w:bCs w:val="0"/>
          <w:color w:val="auto"/>
          <w:sz w:val="24"/>
          <w:szCs w:val="24"/>
          <w:highlight w:val="none"/>
          <w:lang w:val="en-US" w:eastAsia="zh-CN"/>
        </w:rPr>
        <w:t xml:space="preserve">1年，试用作业服务期3个月。3个月的试用作业服务期是检验中标人作业服务成效的期限。是否签订作业服务合同，进入正式作业服务期由别桥镇人民政府认定。如3个月的试用作业服务期检验不合格，将不签订作业服务合同。中标人不得以设备采购、人员招聘、办公经营场所租赁等任何理由向招标人提出经济补偿要求。</w:t>
      </w:r>
      <w:r/>
    </w:p>
    <w:p>
      <w:pPr>
        <w:pStyle w:val="971"/>
        <w:numPr>
          <w:ilvl w:val="0"/>
          <w:numId w:val="0"/>
        </w:numPr>
        <w:ind w:left="0" w:firstLine="0"/>
        <w:keepLines w:val="0"/>
        <w:keepNext w:val="0"/>
        <w:pageBreakBefore w:val="0"/>
        <w:spacing w:line="360" w:lineRule="auto"/>
        <w:widowControl w:val="off"/>
        <w:rPr>
          <w:rFonts w:hint="eastAsia" w:ascii="宋体" w:hAnsi="宋体" w:eastAsia="宋体" w:cs="宋体"/>
          <w:b w:val="0"/>
          <w:color w:val="auto"/>
          <w:sz w:val="24"/>
          <w:szCs w:val="24"/>
          <w:highlight w:val="none"/>
          <w:lang w:val="en-US"/>
        </w:rPr>
      </w:pPr>
      <w:r>
        <w:rPr>
          <w:rFonts w:hint="eastAsia" w:ascii="宋体" w:hAnsi="宋体" w:cs="宋体"/>
          <w:b w:val="0"/>
          <w:color w:val="auto"/>
          <w:sz w:val="24"/>
          <w:szCs w:val="24"/>
          <w:lang w:val="en-US" w:eastAsia="zh-CN" w:bidi="ar-SA"/>
        </w:rPr>
        <w:t xml:space="preserve">2</w:t>
      </w:r>
      <w:r>
        <w:rPr>
          <w:rFonts w:hint="eastAsia" w:ascii="宋体" w:hAnsi="宋体" w:eastAsia="宋体" w:cs="宋体"/>
          <w:b w:val="0"/>
          <w:color w:val="auto"/>
          <w:sz w:val="24"/>
          <w:szCs w:val="24"/>
          <w:lang w:val="en-US" w:eastAsia="zh-CN" w:bidi="ar-SA"/>
        </w:rPr>
        <w:t xml:space="preserve">、</w:t>
      </w:r>
      <w:r>
        <w:rPr>
          <w:rFonts w:hint="eastAsia" w:ascii="宋体" w:hAnsi="宋体" w:eastAsia="宋体" w:cs="宋体"/>
          <w:b w:val="0"/>
          <w:color w:val="auto"/>
          <w:sz w:val="24"/>
          <w:szCs w:val="24"/>
          <w:highlight w:val="none"/>
          <w:lang w:val="en-US"/>
        </w:rPr>
        <w:t xml:space="preserve">★履约保证金：</w:t>
      </w:r>
      <w:r/>
    </w:p>
    <w:p>
      <w:pPr>
        <w:pStyle w:val="971"/>
        <w:ind w:left="0" w:firstLine="0"/>
        <w:keepLines w:val="0"/>
        <w:keepNext w:val="0"/>
        <w:pageBreakBefore w:val="0"/>
        <w:spacing w:line="360" w:lineRule="auto"/>
        <w:widowControl w:val="off"/>
        <w:rPr>
          <w:rFonts w:hint="eastAsia" w:ascii="宋体" w:hAnsi="宋体" w:eastAsia="宋体" w:cs="宋体"/>
          <w:b w:val="0"/>
          <w:color w:val="auto"/>
          <w:sz w:val="24"/>
          <w:szCs w:val="24"/>
          <w:highlight w:val="none"/>
          <w:lang w:val="en-US"/>
        </w:rPr>
      </w:pPr>
      <w:r>
        <w:rPr>
          <w:rFonts w:hint="eastAsia" w:ascii="宋体" w:hAnsi="宋体" w:eastAsia="宋体" w:cs="宋体"/>
          <w:b w:val="0"/>
          <w:color w:val="auto"/>
          <w:sz w:val="24"/>
          <w:szCs w:val="24"/>
          <w:highlight w:val="none"/>
          <w:lang w:val="en-US"/>
        </w:rPr>
        <w:t xml:space="preserve">（1）中标人应按规定提交履约保证金。</w:t>
      </w:r>
      <w:r/>
    </w:p>
    <w:p>
      <w:pPr>
        <w:pStyle w:val="971"/>
        <w:ind w:left="0" w:firstLine="0"/>
        <w:keepLines w:val="0"/>
        <w:keepNext w:val="0"/>
        <w:pageBreakBefore w:val="0"/>
        <w:spacing w:line="360" w:lineRule="auto"/>
        <w:widowControl w:val="off"/>
        <w:rPr>
          <w:rFonts w:hint="eastAsia" w:ascii="宋体" w:hAnsi="宋体" w:eastAsia="宋体" w:cs="宋体"/>
          <w:b w:val="0"/>
          <w:color w:val="auto"/>
          <w:sz w:val="24"/>
          <w:szCs w:val="24"/>
          <w:lang w:val="en-US"/>
        </w:rPr>
      </w:pPr>
      <w:r>
        <w:rPr>
          <w:rFonts w:hint="eastAsia" w:ascii="宋体" w:hAnsi="宋体" w:eastAsia="宋体" w:cs="宋体"/>
          <w:b w:val="0"/>
          <w:color w:val="auto"/>
          <w:sz w:val="24"/>
          <w:szCs w:val="24"/>
          <w:lang w:val="en-US"/>
        </w:rPr>
        <w:t xml:space="preserve">（2）中标人必须在合同签订前向招标人提供金额为中标合同价10%的履约保证金或保函。</w:t>
      </w:r>
      <w:r/>
    </w:p>
    <w:p>
      <w:pPr>
        <w:pStyle w:val="971"/>
        <w:ind w:left="0" w:firstLine="0"/>
        <w:keepLines w:val="0"/>
        <w:keepNext w:val="0"/>
        <w:pageBreakBefore w:val="0"/>
        <w:spacing w:line="360" w:lineRule="auto"/>
        <w:widowControl w:val="off"/>
        <w:rPr>
          <w:rFonts w:hint="eastAsia" w:ascii="宋体" w:hAnsi="宋体" w:eastAsia="宋体" w:cs="宋体"/>
          <w:b w:val="0"/>
          <w:color w:val="auto"/>
          <w:sz w:val="24"/>
          <w:szCs w:val="24"/>
          <w:lang w:val="en-US"/>
        </w:rPr>
      </w:pPr>
      <w:r>
        <w:rPr>
          <w:rFonts w:hint="eastAsia" w:ascii="宋体" w:hAnsi="宋体" w:eastAsia="宋体" w:cs="宋体"/>
          <w:b w:val="0"/>
          <w:color w:val="auto"/>
          <w:sz w:val="24"/>
          <w:szCs w:val="24"/>
          <w:lang w:val="en-US"/>
        </w:rPr>
        <w:t xml:space="preserve">（3）履约保证金将在项目完工并验收合格后二十八（28）天内（无息）退返中标人。</w:t>
      </w:r>
      <w:r/>
    </w:p>
    <w:p>
      <w:pPr>
        <w:pStyle w:val="971"/>
        <w:ind w:left="0" w:firstLine="0"/>
        <w:keepLines w:val="0"/>
        <w:keepNext w:val="0"/>
        <w:pageBreakBefore w:val="0"/>
        <w:spacing w:line="360" w:lineRule="auto"/>
        <w:widowControl w:val="off"/>
        <w:rPr>
          <w:rFonts w:hint="eastAsia" w:ascii="宋体" w:hAnsi="宋体" w:eastAsia="宋体" w:cs="Times New Roman"/>
          <w:b/>
          <w:bCs/>
          <w:sz w:val="24"/>
          <w:szCs w:val="22"/>
        </w:rPr>
      </w:pPr>
      <w:r>
        <w:rPr>
          <w:rFonts w:hint="eastAsia" w:ascii="宋体" w:hAnsi="宋体" w:cs="宋体"/>
          <w:b w:val="0"/>
          <w:color w:val="auto"/>
          <w:sz w:val="24"/>
          <w:szCs w:val="24"/>
          <w:lang w:val="en-US" w:eastAsia="zh-CN"/>
        </w:rPr>
        <w:t xml:space="preserve">3、</w:t>
      </w:r>
      <w:r>
        <w:rPr>
          <w:rFonts w:hint="eastAsia" w:ascii="宋体" w:hAnsi="宋体" w:eastAsia="宋体" w:cs="Times New Roman"/>
          <w:b/>
          <w:bCs/>
          <w:sz w:val="24"/>
          <w:szCs w:val="22"/>
        </w:rPr>
        <w:t xml:space="preserve">基本工资不得低于省定一类标准，员工意外险、高温费、加班费及各种福利、劳保等费用由中标单位负责，按溧阳地区最新的标准发放。（若以上费用标准政策有变动，按新政策执行），否则按无效投标文件处理。</w:t>
      </w:r>
      <w:r/>
    </w:p>
    <w:p>
      <w:pPr>
        <w:pStyle w:val="971"/>
        <w:ind w:left="0" w:firstLine="0"/>
        <w:keepLines w:val="0"/>
        <w:keepNext w:val="0"/>
        <w:pageBreakBefore w:val="0"/>
        <w:spacing w:line="360" w:lineRule="auto"/>
        <w:widowControl w:val="off"/>
        <w:rPr>
          <w:rFonts w:hint="eastAsia" w:ascii="宋体" w:hAnsi="宋体" w:eastAsia="宋体" w:cs="宋体"/>
          <w:b w:val="0"/>
          <w:bCs w:val="0"/>
          <w:color w:val="auto"/>
          <w:sz w:val="24"/>
          <w:szCs w:val="24"/>
          <w:lang w:val="en-US"/>
        </w:rPr>
      </w:pP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lang w:val="en-US"/>
        </w:rPr>
        <w:t xml:space="preserve">、其他：该项目所有车辆归中标人所有。</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rPr>
        <w:t xml:space="preserve">注意事项</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1、投标人自行勘探现场，为保证项目的顺利实施，投标人提供的设施设备等应符合现别桥镇投入使用的设施设备等的要求。</w:t>
      </w:r>
      <w:r/>
    </w:p>
    <w:p>
      <w:pPr>
        <w:pStyle w:val="1224"/>
        <w:ind w:left="0" w:firstLine="0"/>
        <w:jc w:val="both"/>
        <w:keepLines w:val="0"/>
        <w:keepNext w:val="0"/>
        <w:pageBreakBefore w:val="0"/>
        <w:spacing w:line="360" w:lineRule="auto"/>
        <w:widowControl w:val="off"/>
        <w:rPr>
          <w:rFonts w:hint="eastAsia" w:ascii="宋体" w:hAnsi="宋体" w:eastAsia="宋体" w:cs="宋体"/>
          <w:color w:val="auto"/>
          <w:sz w:val="24"/>
          <w:szCs w:val="24"/>
          <w:lang w:bidi="zh-CN"/>
        </w:rPr>
      </w:pPr>
      <w:r>
        <w:rPr>
          <w:rFonts w:hint="eastAsia" w:ascii="宋体" w:hAnsi="宋体" w:eastAsia="宋体" w:cs="宋体"/>
          <w:color w:val="auto"/>
          <w:sz w:val="24"/>
          <w:szCs w:val="24"/>
          <w:lang w:bidi="zh-CN"/>
        </w:rPr>
        <w:t xml:space="preserve">2、合同期内中标人必须无条件地接受招标人的新增垃圾清运点的收集清运。合同期内招标人有权对垃圾收集清运目的地中转站进行调整，但中标人不得擅自改变垃圾收集清运处置场所。</w:t>
      </w:r>
      <w:r/>
    </w:p>
    <w:p>
      <w:pPr>
        <w:pStyle w:val="1224"/>
        <w:ind w:left="0" w:firstLine="0"/>
        <w:jc w:val="both"/>
        <w:keepLines w:val="0"/>
        <w:keepNext w:val="0"/>
        <w:pageBreakBefore w:val="0"/>
        <w:spacing w:line="360" w:lineRule="auto"/>
        <w:widowControl w:val="off"/>
        <w:rPr>
          <w:rFonts w:hint="eastAsia" w:ascii="宋体" w:hAnsi="宋体" w:eastAsia="宋体" w:cs="宋体"/>
          <w:color w:val="auto"/>
          <w:sz w:val="24"/>
          <w:szCs w:val="24"/>
          <w:lang w:bidi="zh-CN"/>
        </w:rPr>
      </w:pPr>
      <w:r>
        <w:rPr>
          <w:rFonts w:hint="eastAsia" w:ascii="宋体" w:hAnsi="宋体" w:eastAsia="宋体" w:cs="宋体"/>
          <w:color w:val="auto"/>
          <w:sz w:val="24"/>
          <w:szCs w:val="24"/>
          <w:lang w:bidi="zh-CN"/>
        </w:rPr>
        <w:t xml:space="preserve">3、合同期内因拆迁、施工等原因减少作业量的，需及时上报招标人的相关职能部门认可，不得自行停工，或改变作业时间与方式。如若不报或上报不及时，其减少作业量的时间由招标人确定。</w:t>
      </w:r>
      <w:r/>
    </w:p>
    <w:p>
      <w:pPr>
        <w:pStyle w:val="1224"/>
        <w:ind w:left="0" w:firstLine="0"/>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4、由于</w:t>
      </w:r>
      <w:r>
        <w:rPr>
          <w:rFonts w:hint="eastAsia" w:ascii="宋体" w:hAnsi="宋体" w:eastAsia="宋体" w:cs="宋体"/>
          <w:color w:val="auto"/>
          <w:sz w:val="24"/>
          <w:szCs w:val="24"/>
        </w:rPr>
        <w:t xml:space="preserve">突发情况（如台风、雨雪、冰雹、霜或冻等天气或气候因素，或车辆、居民或行人等人为因素，或是其它因素，以及复合因素或不明原因的情况）、</w:t>
      </w:r>
      <w:r>
        <w:rPr>
          <w:rFonts w:hint="eastAsia" w:ascii="宋体" w:hAnsi="宋体" w:eastAsia="宋体" w:cs="宋体"/>
          <w:color w:val="auto"/>
          <w:sz w:val="24"/>
          <w:szCs w:val="24"/>
          <w:lang w:bidi="zh-CN"/>
        </w:rPr>
        <w:t xml:space="preserve">工程施工、各类活动、节假日期间等因素导致的费用，不论这些因素是可预测或不可预测的，均已包含在投标报价中。除招标人要求外，不作调整。</w:t>
      </w:r>
      <w:r>
        <w:rPr>
          <w:rFonts w:hint="eastAsia" w:ascii="宋体" w:hAnsi="宋体" w:eastAsia="宋体" w:cs="宋体"/>
          <w:color w:val="auto"/>
          <w:sz w:val="24"/>
          <w:szCs w:val="24"/>
        </w:rPr>
        <w:t xml:space="preserve">除招标人要求外，不作调整。风险因素的变化，除招标人要求外，投标总价不作调整。</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5、投标供应商的投标报价不得以其他任何形式进行贴补，进行让利时只得对测算利润及管理费用进行让利其他不得让利。</w:t>
      </w:r>
      <w:r/>
    </w:p>
    <w:p>
      <w:pPr>
        <w:ind w:left="0" w:firstLine="0"/>
        <w:jc w:val="both"/>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6、中标人加强对作业人员的安全教育，每月至少进行一次安全教育。独立承担一切安全责任事故。</w:t>
      </w:r>
      <w:r/>
    </w:p>
    <w:p>
      <w:pPr>
        <w:ind w:left="0" w:firstLine="0"/>
        <w:jc w:val="both"/>
        <w:keepLines w:val="0"/>
        <w:keepNext w:val="0"/>
        <w:pageBreakBefore w:val="0"/>
        <w:spacing w:line="360" w:lineRule="auto"/>
        <w:widowControl w:val="off"/>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 xml:space="preserve">7、中标人不得转包、分包环卫作业服务，并按投标文件所承诺的实施方案、人员及机械配置等提供环卫作业服务。</w:t>
      </w:r>
      <w:r/>
    </w:p>
    <w:p>
      <w:pPr>
        <w:ind w:firstLine="0"/>
        <w:jc w:val="both"/>
        <w:keepLines w:val="0"/>
        <w:keepNext w:val="0"/>
        <w:pageBreakBefore w:val="0"/>
        <w:spacing w:line="360" w:lineRule="auto"/>
        <w:widowControl w:val="off"/>
        <w:rPr>
          <w:rFonts w:hint="eastAsia" w:ascii="宋体" w:hAnsi="宋体" w:cs="宋体"/>
          <w:b/>
          <w:bCs/>
          <w:spacing w:val="1"/>
          <w:sz w:val="24"/>
          <w:szCs w:val="24"/>
          <w:lang w:val="en-US" w:eastAsia="zh-CN"/>
        </w:rPr>
      </w:pPr>
      <w:r>
        <w:rPr>
          <w:rFonts w:hint="eastAsia" w:ascii="宋体" w:hAnsi="宋体" w:cs="宋体"/>
          <w:b/>
          <w:bCs/>
          <w:spacing w:val="1"/>
          <w:sz w:val="24"/>
          <w:szCs w:val="24"/>
          <w:lang w:val="en-US" w:eastAsia="zh-CN"/>
        </w:rPr>
      </w:r>
      <w:r/>
    </w:p>
    <w:p>
      <w:pPr>
        <w:ind w:firstLine="0"/>
        <w:jc w:val="both"/>
        <w:keepLines w:val="0"/>
        <w:keepNext w:val="0"/>
        <w:pageBreakBefore w:val="0"/>
        <w:spacing w:line="360" w:lineRule="auto"/>
        <w:widowControl w:val="off"/>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别桥镇环卫作业考评细则</w:t>
      </w:r>
      <w:r/>
    </w:p>
    <w:p>
      <w:pPr>
        <w:ind w:firstLine="484"/>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rPr>
        <w:t xml:space="preserve">总体要求</w:t>
      </w:r>
      <w:r/>
    </w:p>
    <w:p>
      <w:pPr>
        <w:ind w:firstLine="48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环卫作业考核实行百分制：环卫作业90分，安全文明生产5分，规范用工5分。同时，根据</w:t>
      </w:r>
      <w:r>
        <w:rPr>
          <w:rFonts w:hint="eastAsia" w:ascii="宋体" w:hAnsi="宋体" w:cs="宋体"/>
          <w:color w:val="auto"/>
          <w:sz w:val="24"/>
          <w:szCs w:val="24"/>
          <w:lang w:eastAsia="zh-CN"/>
        </w:rPr>
        <w:t xml:space="preserve">溧阳市城市管理行政执法大队别桥中队</w:t>
      </w:r>
      <w:r>
        <w:rPr>
          <w:rFonts w:hint="eastAsia" w:ascii="宋体" w:hAnsi="宋体" w:eastAsia="宋体" w:cs="宋体"/>
          <w:color w:val="auto"/>
          <w:sz w:val="24"/>
          <w:szCs w:val="24"/>
        </w:rPr>
        <w:t xml:space="preserve">考核结果、媒体曝光及群众投诉等情况在总分中直接扣减。</w:t>
      </w:r>
      <w:r/>
    </w:p>
    <w:p>
      <w:pPr>
        <w:ind w:firstLine="484"/>
        <w:spacing w:line="360" w:lineRule="auto"/>
        <w:tabs>
          <w:tab w:val="left" w:pos="180" w:leader="none"/>
          <w:tab w:val="left" w:pos="360" w:leader="none"/>
          <w:tab w:val="left" w:pos="603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rPr>
        <w:t xml:space="preserve">环卫作业90分</w:t>
      </w:r>
      <w:r>
        <w:rPr>
          <w:rFonts w:hint="eastAsia" w:ascii="宋体" w:hAnsi="宋体" w:eastAsia="宋体" w:cs="宋体"/>
          <w:b/>
          <w:color w:val="auto"/>
          <w:sz w:val="24"/>
          <w:szCs w:val="24"/>
        </w:rPr>
        <w:tab/>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①道路保洁：有下列情形之一的，每项或每处扣</w:t>
      </w:r>
      <w:r>
        <w:rPr>
          <w:rFonts w:hint="eastAsia" w:ascii="宋体" w:hAnsi="宋体" w:eastAsia="宋体" w:cs="宋体"/>
          <w:bCs/>
          <w:color w:val="auto"/>
          <w:sz w:val="24"/>
          <w:szCs w:val="24"/>
          <w:lang w:val="en-US"/>
        </w:rPr>
        <w:t xml:space="preserve">1</w:t>
      </w:r>
      <w:r>
        <w:rPr>
          <w:rFonts w:hint="eastAsia" w:ascii="宋体" w:hAnsi="宋体" w:eastAsia="宋体" w:cs="宋体"/>
          <w:bCs/>
          <w:color w:val="auto"/>
          <w:sz w:val="24"/>
          <w:szCs w:val="24"/>
        </w:rPr>
        <w:t xml:space="preserve">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1 \* GB2</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t xml:space="preserve">⑴</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rPr>
        <w:t xml:space="preserve">路面清扫不干净，有边脚泥或灰沙的。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⑵道路漏扫，垃圾漏收的。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⑶道路交界处未按规定扫通的。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⑷窨井泉眼未通的。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⑸乱倒清扫垃圾，焚烧垃圾的。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⑹降雪天气未及时组织铲雪作业，融雪后未及时清扫干净的。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⑺路面有废弃物的（包括每瓜皮果壳、纸屑/塑膜、烟蒂、痰迹、混凝土、渣土、沙、石、砖、粪便、呕吐物、动物尸体）。</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⑻污水、雨水积水未及时清扫的。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⑼道路未按规定时间清扫完毕的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⑽道路、行道树穴内发现漂浮物、烟头等废弃物的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⑾道路、行道树旁发现建筑垃圾等垃圾类杂物堆放的。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⑿环卫设施（垃圾房、垃圾桶、果壳箱等）周边有暴露垃圾的。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13 \* GB2</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t xml:space="preserve">⒀</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rPr>
        <w:t xml:space="preserve">机扫车不能正常作业时未按要求进行人工应急清扫的。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14 \* GB2</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t xml:space="preserve">⒁</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rPr>
        <w:t xml:space="preserve">环卫工人作业车辆未按规定停放无序，占用盲道的。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②乱张贴清除：有下列情形之一的，每项或每处扣</w:t>
      </w:r>
      <w:r>
        <w:rPr>
          <w:rFonts w:hint="eastAsia" w:ascii="宋体" w:hAnsi="宋体" w:eastAsia="宋体" w:cs="宋体"/>
          <w:bCs/>
          <w:color w:val="auto"/>
          <w:sz w:val="24"/>
          <w:szCs w:val="24"/>
          <w:lang w:val="en-US"/>
        </w:rPr>
        <w:t xml:space="preserve">1</w:t>
      </w:r>
      <w:r>
        <w:rPr>
          <w:rFonts w:hint="eastAsia" w:ascii="宋体" w:hAnsi="宋体" w:eastAsia="宋体" w:cs="宋体"/>
          <w:bCs/>
          <w:color w:val="auto"/>
          <w:sz w:val="24"/>
          <w:szCs w:val="24"/>
        </w:rPr>
        <w:t xml:space="preserve">分。</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⑴不按规范对乱张贴进行清除的。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⑵清除不彻底、覆盖不规整的。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⑶未在规定时间予以清除的。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⑷清除完毕未及时清理残留垃圾的。</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③公共厕所保洁有下列情形之一的，每项或每处扣1分。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⑴未按规定时间冲洗完毕的。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⑵墙面、天花板、门窗和隔离板有积灰、污迹、蛛网，乱涂乱画，地面有积水的。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⑶座便器、蹲位、大便槽两侧有粪便污物，槽内有积粪；小便槽(斗)有水锈、尿垢、垃圾，厕所内有明显臭味的。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⑷公厕四周3—5米范围内，有垃圾、粪便、污水等污物；有乱披乱挂、乱堆乱放、乱涂乱贴现象的。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⑸发现设施破损或遗失未立即报修的；公厕下水道堵塞未及时疏通到位的。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⑹蝇蚊孳生季节未定时喷洒灭蚊蝇药物，有蝇蛆孳生的。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④环卫设施清洗有下列情形之一的，每项或每处扣1分。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1</w:t>
      </w:r>
      <w:r>
        <w:rPr>
          <w:rFonts w:hint="eastAsia" w:ascii="宋体" w:hAnsi="宋体" w:eastAsia="宋体" w:cs="宋体"/>
          <w:bCs/>
          <w:color w:val="auto"/>
          <w:sz w:val="24"/>
          <w:szCs w:val="24"/>
        </w:rPr>
        <w:t xml:space="preserve">）未按规定次数完成清洗的。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2</w:t>
      </w:r>
      <w:r>
        <w:rPr>
          <w:rFonts w:hint="eastAsia" w:ascii="宋体" w:hAnsi="宋体" w:eastAsia="宋体" w:cs="宋体"/>
          <w:bCs/>
          <w:color w:val="auto"/>
          <w:sz w:val="24"/>
          <w:szCs w:val="24"/>
        </w:rPr>
        <w:t xml:space="preserve">）果壳箱（垃圾桶）外表面有污迹、有乱刻画、乱张贴的，垃圾桶内壁未清洗至沿口下三分之一处的；设置点周围地面有污迹的。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3</w:t>
      </w:r>
      <w:r>
        <w:rPr>
          <w:rFonts w:hint="eastAsia" w:ascii="宋体" w:hAnsi="宋体" w:eastAsia="宋体" w:cs="宋体"/>
          <w:bCs/>
          <w:color w:val="auto"/>
          <w:sz w:val="24"/>
          <w:szCs w:val="24"/>
        </w:rPr>
        <w:t xml:space="preserve">）垃圾房（亭）内外地面有散落垃圾和堆积杂物、积留污水的，内外墙面有污迹、乱刻画、乱张贴的，四周3—5米范围内，有垃圾、粪便、污水等污物；有乱披乱挂、乱堆乱放、乱涂乱贴现象的。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4</w:t>
      </w:r>
      <w:r>
        <w:rPr>
          <w:rFonts w:hint="eastAsia" w:ascii="宋体" w:hAnsi="宋体" w:eastAsia="宋体" w:cs="宋体"/>
          <w:bCs/>
          <w:color w:val="auto"/>
          <w:sz w:val="24"/>
          <w:szCs w:val="24"/>
        </w:rPr>
        <w:t xml:space="preserve">）发现设施损坏，未及时报修的。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5</w:t>
      </w:r>
      <w:r>
        <w:rPr>
          <w:rFonts w:hint="eastAsia" w:ascii="宋体" w:hAnsi="宋体" w:eastAsia="宋体" w:cs="宋体"/>
          <w:bCs/>
          <w:color w:val="auto"/>
          <w:sz w:val="24"/>
          <w:szCs w:val="24"/>
        </w:rPr>
        <w:t xml:space="preserve">）非机动车黄色停车区域内车辆，停放不整齐，头尾不一致，占用盲道。</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 xml:space="preserve">⑤</w:t>
      </w:r>
      <w:r>
        <w:rPr>
          <w:rFonts w:hint="eastAsia" w:ascii="宋体" w:hAnsi="宋体" w:eastAsia="宋体" w:cs="宋体"/>
          <w:bCs/>
          <w:color w:val="auto"/>
          <w:sz w:val="24"/>
          <w:szCs w:val="24"/>
        </w:rPr>
        <w:t xml:space="preserve">其它不符合别桥镇环卫作业服务要求的，每项或每处扣</w:t>
      </w:r>
      <w:r>
        <w:rPr>
          <w:rFonts w:hint="eastAsia" w:ascii="宋体" w:hAnsi="宋体" w:eastAsia="宋体" w:cs="宋体"/>
          <w:bCs/>
          <w:color w:val="auto"/>
          <w:sz w:val="24"/>
          <w:szCs w:val="24"/>
          <w:lang w:val="en-US"/>
        </w:rPr>
        <w:t xml:space="preserve">1</w:t>
      </w:r>
      <w:r>
        <w:rPr>
          <w:rFonts w:hint="eastAsia" w:ascii="宋体" w:hAnsi="宋体" w:eastAsia="宋体" w:cs="宋体"/>
          <w:bCs/>
          <w:color w:val="auto"/>
          <w:sz w:val="24"/>
          <w:szCs w:val="24"/>
        </w:rPr>
        <w:t xml:space="preserve">分。</w:t>
      </w:r>
      <w:r/>
    </w:p>
    <w:p>
      <w:pPr>
        <w:ind w:firstLine="482"/>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 xml:space="preserve">⑥</w:t>
      </w:r>
      <w:r>
        <w:rPr>
          <w:rFonts w:hint="eastAsia" w:ascii="宋体" w:hAnsi="宋体" w:eastAsia="宋体" w:cs="宋体"/>
          <w:bCs/>
          <w:color w:val="auto"/>
          <w:sz w:val="24"/>
          <w:szCs w:val="24"/>
        </w:rPr>
        <w:t xml:space="preserve">被上级领导点名批评的，每一次扣1分。</w:t>
      </w:r>
      <w:r/>
    </w:p>
    <w:p>
      <w:pPr>
        <w:ind w:firstLine="487"/>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w:t>
      </w:r>
      <w:r>
        <w:rPr>
          <w:rFonts w:hint="eastAsia" w:ascii="宋体" w:hAnsi="宋体" w:cs="宋体"/>
          <w:b/>
          <w:color w:val="auto"/>
          <w:sz w:val="24"/>
          <w:szCs w:val="24"/>
          <w:lang w:eastAsia="zh-CN"/>
        </w:rPr>
        <w:t xml:space="preserve">、</w:t>
      </w:r>
      <w:r>
        <w:rPr>
          <w:rFonts w:hint="eastAsia" w:ascii="宋体" w:hAnsi="宋体" w:eastAsia="宋体" w:cs="宋体"/>
          <w:b/>
          <w:color w:val="auto"/>
          <w:sz w:val="24"/>
          <w:szCs w:val="24"/>
        </w:rPr>
        <w:t xml:space="preserve">安全文明作业5分</w:t>
      </w:r>
      <w:r/>
    </w:p>
    <w:p>
      <w:pPr>
        <w:ind w:firstLine="484"/>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1 \* GB3</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t xml:space="preserve">①</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rPr>
        <w:t xml:space="preserve">有下列情形之一的，每项或每人扣</w:t>
      </w:r>
      <w:r>
        <w:rPr>
          <w:rFonts w:hint="eastAsia" w:ascii="宋体" w:hAnsi="宋体" w:eastAsia="宋体" w:cs="宋体"/>
          <w:bCs/>
          <w:color w:val="auto"/>
          <w:sz w:val="24"/>
          <w:szCs w:val="24"/>
          <w:lang w:val="en-US"/>
        </w:rPr>
        <w:t xml:space="preserve">1</w:t>
      </w:r>
      <w:r>
        <w:rPr>
          <w:rFonts w:hint="eastAsia" w:ascii="宋体" w:hAnsi="宋体" w:eastAsia="宋体" w:cs="宋体"/>
          <w:bCs/>
          <w:color w:val="auto"/>
          <w:sz w:val="24"/>
          <w:szCs w:val="24"/>
        </w:rPr>
        <w:t xml:space="preserve">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 xml:space="preserve">（1）</w:t>
      </w:r>
      <w:r>
        <w:rPr>
          <w:rFonts w:hint="eastAsia" w:ascii="宋体" w:hAnsi="宋体" w:eastAsia="宋体" w:cs="宋体"/>
          <w:bCs/>
          <w:color w:val="auto"/>
          <w:sz w:val="24"/>
          <w:szCs w:val="24"/>
        </w:rPr>
        <w:t xml:space="preserve">未穿戴作业单位统一规定的反光安全标志服的。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 xml:space="preserve">（2）</w:t>
      </w:r>
      <w:r>
        <w:rPr>
          <w:rFonts w:hint="eastAsia" w:ascii="宋体" w:hAnsi="宋体" w:eastAsia="宋体" w:cs="宋体"/>
          <w:bCs/>
          <w:color w:val="auto"/>
          <w:sz w:val="24"/>
          <w:szCs w:val="24"/>
        </w:rPr>
        <w:t xml:space="preserve">穿拖鞋上班的。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3</w:t>
      </w:r>
      <w:r>
        <w:rPr>
          <w:rFonts w:hint="eastAsia" w:ascii="宋体" w:hAnsi="宋体" w:eastAsia="宋体" w:cs="宋体"/>
          <w:bCs/>
          <w:color w:val="auto"/>
          <w:sz w:val="24"/>
          <w:szCs w:val="24"/>
        </w:rPr>
        <w:t xml:space="preserve">）机械化车辆在岗作业时车辆停留休息的或作业人员当班闲坐、聊天的。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4</w:t>
      </w:r>
      <w:r>
        <w:rPr>
          <w:rFonts w:hint="eastAsia" w:ascii="宋体" w:hAnsi="宋体" w:eastAsia="宋体" w:cs="宋体"/>
          <w:bCs/>
          <w:color w:val="auto"/>
          <w:sz w:val="24"/>
          <w:szCs w:val="24"/>
        </w:rPr>
        <w:t xml:space="preserve">）作业人员当班围观突发事件或就地闲逛购物的或选择性的捡拾或售卖饮料瓶和硬板纸等废品的。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5</w:t>
      </w:r>
      <w:r>
        <w:rPr>
          <w:rFonts w:hint="eastAsia" w:ascii="宋体" w:hAnsi="宋体" w:eastAsia="宋体" w:cs="宋体"/>
          <w:bCs/>
          <w:color w:val="auto"/>
          <w:sz w:val="24"/>
          <w:szCs w:val="24"/>
        </w:rPr>
        <w:t xml:space="preserve">）不文明作业，故意扬尘的。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6</w:t>
      </w:r>
      <w:r>
        <w:rPr>
          <w:rFonts w:hint="eastAsia" w:ascii="宋体" w:hAnsi="宋体" w:eastAsia="宋体" w:cs="宋体"/>
          <w:bCs/>
          <w:color w:val="auto"/>
          <w:sz w:val="24"/>
          <w:szCs w:val="24"/>
        </w:rPr>
        <w:t xml:space="preserve">）车辆容貌未保持完好、密闭、整洁、安全的。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7</w:t>
      </w:r>
      <w:r>
        <w:rPr>
          <w:rFonts w:hint="eastAsia" w:ascii="宋体" w:hAnsi="宋体" w:eastAsia="宋体" w:cs="宋体"/>
          <w:bCs/>
          <w:color w:val="auto"/>
          <w:sz w:val="24"/>
          <w:szCs w:val="24"/>
        </w:rPr>
        <w:t xml:space="preserve">）电瓶收集车超载、超速、占用快车道的。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8</w:t>
      </w:r>
      <w:r>
        <w:rPr>
          <w:rFonts w:hint="eastAsia" w:ascii="宋体" w:hAnsi="宋体" w:eastAsia="宋体" w:cs="宋体"/>
          <w:bCs/>
          <w:color w:val="auto"/>
          <w:sz w:val="24"/>
          <w:szCs w:val="24"/>
        </w:rPr>
        <w:t xml:space="preserve">）作业工具、车辆未紧靠路边停放，或者停靠在公交车站、消防栓旁的。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rPr>
        <w:t xml:space="preserve">9</w:t>
      </w:r>
      <w:r>
        <w:rPr>
          <w:rFonts w:hint="eastAsia" w:ascii="宋体" w:hAnsi="宋体" w:eastAsia="宋体" w:cs="宋体"/>
          <w:bCs/>
          <w:color w:val="auto"/>
          <w:sz w:val="24"/>
          <w:szCs w:val="24"/>
        </w:rPr>
        <w:t xml:space="preserve">）收集车未在作业方向设置警示标志。</w:t>
      </w:r>
      <w:r/>
    </w:p>
    <w:p>
      <w:pPr>
        <w:ind w:firstLine="484"/>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②所有作业车辆未经别桥镇政府允许超出合同保洁范围进行私自作业的，每一次扣2分。</w:t>
      </w:r>
      <w:r/>
    </w:p>
    <w:p>
      <w:pPr>
        <w:ind w:firstLine="487"/>
        <w:spacing w:line="360" w:lineRule="auto"/>
        <w:rPr>
          <w:rFonts w:hint="eastAsia" w:ascii="宋体" w:hAnsi="宋体" w:eastAsia="宋体" w:cs="宋体"/>
          <w:b/>
          <w:color w:val="auto"/>
          <w:sz w:val="24"/>
          <w:szCs w:val="24"/>
          <w:lang w:val="en-US"/>
        </w:rPr>
      </w:pPr>
      <w:r>
        <w:rPr>
          <w:rFonts w:hint="eastAsia" w:ascii="宋体" w:hAnsi="宋体" w:eastAsia="宋体" w:cs="宋体"/>
          <w:b/>
          <w:color w:val="auto"/>
          <w:sz w:val="24"/>
          <w:szCs w:val="24"/>
        </w:rPr>
        <w:t xml:space="preserve">（四）、规范用工</w:t>
      </w:r>
      <w:r>
        <w:rPr>
          <w:rFonts w:hint="eastAsia" w:ascii="宋体" w:hAnsi="宋体" w:eastAsia="宋体" w:cs="宋体"/>
          <w:b/>
          <w:color w:val="auto"/>
          <w:sz w:val="24"/>
          <w:szCs w:val="24"/>
          <w:lang w:val="en-US"/>
        </w:rPr>
        <w:t xml:space="preserve">5分</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有下列情形之一的，每项或每人扣1分。</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（1）抽查人员工资发放记录，确有用工不满足规定工资标准的。</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（2）接到有关签订劳动合同投诉属实的。</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（3）接到有关补贴不及时发放的投诉属实的。</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（4）接到有关保险按时缴纳的投诉属实的。</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（5）出现5人以上劳资纠纷的。</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（6）建立基础管理台帐，包括《人员作业情况登记本》、《日常检查情况登记本》、《信访处理登记本》，每缺1本扣1分，登记不及时的每本每次扣1分。</w:t>
      </w:r>
      <w:r/>
    </w:p>
    <w:p>
      <w:pPr>
        <w:ind w:firstLine="480"/>
        <w:spacing w:line="360" w:lineRule="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rPr>
        <w:t xml:space="preserve">(7）建立相关管理制度，包括行政管理制度、考勤制度、岗位责任制度、安全生产制度、考核制度，每缺1项制度扣1分。</w:t>
      </w:r>
      <w:r/>
    </w:p>
    <w:p>
      <w:pPr>
        <w:ind w:firstLine="41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（五）、镇以上检查考核及媒体曝光、群众投诉等情况</w:t>
      </w:r>
      <w:r/>
    </w:p>
    <w:p>
      <w:pPr>
        <w:ind w:firstLine="41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①在镇级督查考核中扣分的，作1.5倍扣分；在溧阳市城市长效综合管理考核中扣分的，作2倍扣分；在常州市级以上城乡长效综合管理考核中扣分的，作2.5倍扣分。</w:t>
      </w:r>
      <w:r/>
    </w:p>
    <w:p>
      <w:pPr>
        <w:ind w:firstLine="41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②媒体曝光属实的（以媒体最先曝光时间为扣分记录时间），每项扣3分；群众投诉举报属实的，每项扣2分。</w:t>
      </w:r>
      <w:r/>
    </w:p>
    <w:p>
      <w:pPr>
        <w:ind w:firstLine="41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③考评中发现及上级反馈问题通知整改的，在规定的时间内仍未整改的，以及未在一个工作日内反馈整改情况的（反馈情况以书面或电子文档为准），按标准2倍扣分。</w:t>
      </w:r>
      <w:r/>
    </w:p>
    <w:p>
      <w:pPr>
        <w:ind w:firstLine="41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④中标人未按时保质保量完成采购人交给的指令性任务，每次扣2分</w:t>
      </w:r>
      <w:r/>
    </w:p>
    <w:p>
      <w:pPr>
        <w:ind w:firstLine="41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5 \* GB3</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⑤</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中标人未按时保质保量完成采购人交给的指令性任务，每次扣1分。</w:t>
      </w:r>
      <w:r/>
    </w:p>
    <w:p>
      <w:pPr>
        <w:ind w:firstLine="41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（六）、考核实施办法</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①根据本考评细则组织月度考核，采购人采取样本抽查和现场随机检查的方式进行考核，每月不少于5次，按百分制计分；三个月的平均分为季度考核成绩。</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②采购人取证资料必须做到时间与地点清楚、背景清晰，便于中标人查证核对认可。当日的取证资料只保存七工作日，期内可供中标人查看或复制，过期视为默认。</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③根据月度考核结果，1分</w:t>
      </w: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00元扣除，每</w:t>
      </w:r>
      <w:r>
        <w:rPr>
          <w:rFonts w:hint="eastAsia" w:ascii="宋体" w:hAnsi="宋体" w:cs="宋体"/>
          <w:color w:val="auto"/>
          <w:sz w:val="24"/>
          <w:szCs w:val="24"/>
          <w:lang w:eastAsia="zh-CN"/>
        </w:rPr>
        <w:t xml:space="preserve">月</w:t>
      </w:r>
      <w:r>
        <w:rPr>
          <w:rFonts w:hint="eastAsia" w:ascii="宋体" w:hAnsi="宋体" w:eastAsia="宋体" w:cs="宋体"/>
          <w:color w:val="auto"/>
          <w:sz w:val="24"/>
          <w:szCs w:val="24"/>
        </w:rPr>
        <w:t xml:space="preserve">支付管理费。</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④中标人在</w:t>
      </w: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个月的试用期内考核结果在85分（不含85分）以下的，作试用期考核不合格处理。采购人将不与中标人签订正式作业服务合同。中标人不得以设备采购、人员招聘、办公经营场所租赁等任何理由向采购人提出经济补偿要求。</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⑤中标人在承包期内连续2次或累计3次考核结果在85分（不含85分）以下的，采购人在满足前述条件的次月底前与中标人解除合同。被解除合同的中标人在被解除合同时日起两年内不得参与本镇区环卫作业投标。</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⑥中标人在各类应急响应工作，市、区重大活动期间因工作不到位造成重大影响的，采购人有权在合同期内提前15天通知中标人解除合同。被解除合同的中标人在被解除合同时日起三年内不得参与本镇区环卫作业投标。</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⑦中标人不能按时支付本合同规定的各项人员支出的，采购人有权在合同期内提前15天通知中标人解除合同。被解除合同的中标人在被解除合同时日起三年内不得参与本镇区环卫作业投标。</w:t>
      </w:r>
      <w:r/>
    </w:p>
    <w:p>
      <w:pPr>
        <w:ind w:firstLine="48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⑧被解除合同后的标段由相邻标段中标单位临时代管，作业及考核要求与本合同一致。代管期限最长不得超过3个月，且代管期内遇合同到期则代管自动终止。</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（七）、本办法的贯彻执行由别桥镇人民政府委托</w:t>
      </w:r>
      <w:r>
        <w:rPr>
          <w:rFonts w:hint="eastAsia" w:ascii="宋体" w:hAnsi="宋体" w:eastAsia="宋体" w:cs="宋体"/>
          <w:b/>
          <w:color w:val="auto"/>
          <w:sz w:val="24"/>
          <w:szCs w:val="24"/>
          <w:highlight w:val="none"/>
        </w:rPr>
        <w:t xml:space="preserve">别桥镇长效管理办公室</w:t>
      </w:r>
      <w:r>
        <w:rPr>
          <w:rFonts w:hint="eastAsia" w:ascii="宋体" w:hAnsi="宋体" w:eastAsia="宋体" w:cs="宋体"/>
          <w:b/>
          <w:color w:val="auto"/>
          <w:sz w:val="24"/>
          <w:szCs w:val="24"/>
        </w:rPr>
        <w:t xml:space="preserve">负责监督和考核。</w:t>
      </w:r>
      <w:r/>
    </w:p>
    <w:p>
      <w:pPr>
        <w:ind w:firstLine="480"/>
        <w:spacing w:line="360" w:lineRule="auto"/>
        <w:rPr>
          <w:rFonts w:hint="eastAsia" w:ascii="宋体" w:hAnsi="宋体" w:eastAsia="宋体" w:cs="宋体"/>
          <w:color w:val="auto"/>
          <w:sz w:val="24"/>
          <w:szCs w:val="24"/>
        </w:rPr>
        <w:sectPr>
          <w:headerReference w:type="default" r:id="rId13"/>
          <w:footerReference w:type="default" r:id="rId23"/>
          <w:footnotePr/>
          <w:endnotePr/>
          <w:type w:val="nextPage"/>
          <w:pgSz w:w="11907" w:h="16839" w:orient="portrait"/>
          <w:pgMar w:top="1134" w:right="1134" w:bottom="1134" w:left="1134" w:header="737" w:footer="992" w:gutter="0"/>
          <w:cols w:num="1" w:sep="0" w:space="720" w:equalWidth="1"/>
          <w:docGrid w:linePitch="360"/>
        </w:sectPr>
      </w:pPr>
      <w:r>
        <w:rPr>
          <w:rFonts w:hint="eastAsia" w:ascii="宋体" w:hAnsi="宋体" w:eastAsia="宋体" w:cs="宋体"/>
          <w:color w:val="auto"/>
          <w:sz w:val="24"/>
          <w:szCs w:val="24"/>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垃圾中转站作业考评细则</w:t>
      </w:r>
      <w:r/>
    </w:p>
    <w:p>
      <w:pPr>
        <w:ind w:firstLine="482"/>
        <w:spacing w:line="360" w:lineRule="auto"/>
        <w:widowControl/>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（一）</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总体要求</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生活垃圾中转站作业考核实行百分制：安全文明生产90分，规范用工10分。同时，根据</w:t>
      </w:r>
      <w:r>
        <w:rPr>
          <w:rFonts w:hint="eastAsia" w:ascii="宋体" w:hAnsi="宋体" w:cs="宋体"/>
          <w:color w:val="auto"/>
          <w:sz w:val="24"/>
          <w:szCs w:val="24"/>
          <w:lang w:eastAsia="zh-CN"/>
        </w:rPr>
        <w:t xml:space="preserve">溧阳市城市管理行政执法大队别桥中队</w:t>
      </w:r>
      <w:r>
        <w:rPr>
          <w:rFonts w:hint="eastAsia" w:ascii="宋体" w:hAnsi="宋体" w:eastAsia="宋体" w:cs="宋体"/>
          <w:color w:val="auto"/>
          <w:sz w:val="24"/>
          <w:szCs w:val="24"/>
        </w:rPr>
        <w:t xml:space="preserve">考核结果、媒体曝光及群众投诉等情况在总分中直接扣减。</w:t>
      </w:r>
      <w:r/>
    </w:p>
    <w:p>
      <w:pPr>
        <w:ind w:firstLine="482"/>
        <w:spacing w:line="360" w:lineRule="auto"/>
        <w:widowControl/>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（二）</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安全文明生产90分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①服从主管部门工作安排：有下列情形之一的，每项或每处扣5分。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（1）不服从主管部门工作安排，未积极完成主管部门交给的各项工作任务。</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（2）未按时完成任务，遇特殊情况应未及时汇报主管部门，延时而导致工作被动或未按时转运完毕。</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（3）春冬季、夏秋季的作业时间未严格按照主管部门规定执行，不遵守工作时间影响中转站正常运行。</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（4）中转站工作人员未按要求着环卫标志服上班。</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②生活垃圾中转站内部管理：有下列情形之一的，每项或每处扣2分。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（1）未严格遵守安全防火制度，中转站内吸游烟，乱扔烟蒂。</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（2）中转站卫生保洁不到位，乱扔瓜壳纸屑。</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（3）中转站内有明显异味。</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③中转站安全文明生产：有下列情形之一的，每项或每处扣5分。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（1）严禁酒后上班，发现操作工违纪的。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（2）文明礼貌作业，严禁发生任何形式的纠纷，在工作中出现争吵、斗殴造成恶劣影响的。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（3）发现工作人员上班时间干私活。</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（4）未严格遵守操作规程，工作人员未做好垃圾倾倒工作，发生人为机械事故的。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（5）垃圾进站，工作人员在操作室休息的。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（6）操作室内、外的机械上污尘应每天清理，未及时清理的。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（7）操作人员未保持操作间液压站干净卫生，管道接口发现油污的。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（8）责任人未每天在垃圾压缩结束后及时清洗箱体的。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（9）操作人员未每天应检查油箱液位是否正常，检查液压站及油管有无外泄，遗漏检查而造成泄漏的。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（10）禁止非生活垃圾进入压缩设备，发现者未及时阻止的。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（11）一天工作结束，应将机械回到初始状态，切断电源。违反操作流程的。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（12）转运车辆违反相关交通法规，发生造成生命安全损失的事故，影响生活垃圾中转站的正常运行的。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（13）在设备和车辆正常下，压缩中转站垃圾未做到日产日清的。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（14）作业人员下坑作业时，应将保险销子插入，作业结束，及时将销子拔出。违反操作程序的。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（15）未按设备保养时间、流程进行保养的，每次扣10分。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（16）未严格管理，将非生活垃圾混入压缩设备中，造成机器损坏的，每次扣20分，并由乙方承担一切相应后果。</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（17）未严格管理，将非生活垃圾混入压缩设备中，出现送至终端处理中心时拒收或罚款现象时，扣20分，并由乙方承担一切相应后果。</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④渗滤液管理：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（1）渗滤液过滤池发生满溢未上报造成渗滤液满溢形成二次污染的每次扣20分，并由乙方承担一切相应后果。</w:t>
      </w:r>
      <w:r/>
    </w:p>
    <w:p>
      <w:pPr>
        <w:ind w:firstLine="482"/>
        <w:spacing w:line="360" w:lineRule="auto"/>
        <w:widowControl/>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规范用工10分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有下列情形之一的，每项或每人扣5分。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（1）抽查人员工资发放记录，确有用工不满足溧阳地区最低工资标准的（</w:t>
      </w:r>
      <w:r>
        <w:rPr>
          <w:rFonts w:hint="eastAsia" w:ascii="宋体" w:hAnsi="宋体" w:cs="宋体"/>
          <w:color w:val="auto"/>
          <w:sz w:val="24"/>
          <w:szCs w:val="24"/>
          <w:lang w:val="en-US" w:eastAsia="zh-CN"/>
        </w:rPr>
        <w:t xml:space="preserve">2490</w:t>
      </w:r>
      <w:r>
        <w:rPr>
          <w:rFonts w:hint="eastAsia" w:ascii="宋体" w:hAnsi="宋体" w:eastAsia="宋体" w:cs="宋体"/>
          <w:color w:val="auto"/>
          <w:sz w:val="24"/>
          <w:szCs w:val="24"/>
        </w:rPr>
        <w:t xml:space="preserve">元/月）。</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（2）接到有关不签订劳动合同投诉属实的。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（3）接到有关补贴（降温费等）不及时发放或不足额发放的投诉属实的。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（4）接到有关保险不按时缴纳的投诉属实的。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（5）出现5人以上劳资纠纷的。</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（6）建立基础管理台帐，包括《人员作业情况登记本》、《日常检查情况登记本》、《车辆检查维修登记本》，每缺1本或登记不及时的每本每次扣1分。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（7）建立相关管理制度，包括行政管理制度、考勤制度、岗位责任制度、安全生产制度、考核制度、计划生育管理制度，每缺1项制度扣1分。</w:t>
      </w:r>
      <w:r/>
    </w:p>
    <w:p>
      <w:pPr>
        <w:ind w:firstLine="482"/>
        <w:spacing w:line="360" w:lineRule="auto"/>
        <w:widowControl/>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（四）</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镇以上检查考核及媒体曝光、群众投诉等情况</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（1）在镇以上督查、各种考评等考核中扣分的，每项扣5分。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（2）媒体曝光属实的（以媒体最先曝光时间为扣分记录时间），每项扣5分。群众投诉及12319平台举报属实的，每项扣3分。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（3）上级部门派发的案件（包括</w:t>
      </w:r>
      <w:r>
        <w:rPr>
          <w:rFonts w:hint="eastAsia" w:ascii="宋体" w:hAnsi="宋体" w:cs="宋体"/>
          <w:color w:val="auto"/>
          <w:sz w:val="24"/>
          <w:szCs w:val="24"/>
          <w:lang w:eastAsia="zh-CN"/>
        </w:rPr>
        <w:t xml:space="preserve">溧阳市城市管理行政执法大队别桥中队</w:t>
      </w:r>
      <w:r>
        <w:rPr>
          <w:rFonts w:hint="eastAsia" w:ascii="宋体" w:hAnsi="宋体" w:eastAsia="宋体" w:cs="宋体"/>
          <w:color w:val="auto"/>
          <w:sz w:val="24"/>
          <w:szCs w:val="24"/>
        </w:rPr>
        <w:t xml:space="preserve">考核下发的整改通知或口头通知），需在规定时间内处置到位并及时回复，未及时完成的每次扣5分。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（4）考评中发现及上级反馈问题通知整改的，在规定的时间内仍未整改的，以及未在一个工作日内反馈整改情况的（反馈情况以书面或电子文档为准），扣10分。</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（5）中标人未按时保质保量完成招标人交给的指令性任务，每次扣10分。</w:t>
      </w:r>
      <w:r/>
    </w:p>
    <w:p>
      <w:pPr>
        <w:ind w:firstLine="482"/>
        <w:spacing w:line="360" w:lineRule="auto"/>
        <w:widowControl/>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（五）</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考核实施办法</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（1）根据本考评标细则组织月度考核，招标人采取样本抽查和现场随机检查的方式进行考核，每月至少4次, 以月为统计周期按百分制计分计算当月考核成绩。</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（2）招标人取证资料必须做到时间与地点清楚、背景清晰，便于中标人查证核对认可。当日的取证资料只保存七个工作日，期内可供中标人查看或复制，过期视为默认。</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（3）1分计100元。根据每月中转站作业质量通报在每月服务付款中扣除。</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（4）中标人在各类应急响应工作，市、镇重大活动期间因工作不到位造成重大影响的，招标人有权在合同期内提前15天通知中标人解除合同。</w:t>
      </w:r>
      <w:r/>
    </w:p>
    <w:p>
      <w:pPr>
        <w:ind w:firstLine="480"/>
        <w:spacing w:line="360" w:lineRule="auto"/>
        <w:widowControl/>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（5）中标人不能按时支付本合同规定的各项人员支出的，招标人有权在合同期内提前15天通知中标人解除合同。</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eastAsia="zh-CN"/>
        </w:rPr>
        <w:t xml:space="preserve">六</w:t>
      </w:r>
      <w:r>
        <w:rPr>
          <w:rFonts w:hint="eastAsia" w:ascii="宋体" w:hAnsi="宋体" w:eastAsia="宋体" w:cs="宋体"/>
          <w:b/>
          <w:bCs/>
          <w:color w:val="auto"/>
          <w:sz w:val="24"/>
          <w:szCs w:val="24"/>
        </w:rPr>
        <w:t xml:space="preserve">）</w:t>
      </w:r>
      <w:r>
        <w:rPr>
          <w:rFonts w:hint="eastAsia" w:ascii="宋体" w:hAnsi="宋体" w:cs="宋体"/>
          <w:b/>
          <w:bCs/>
          <w:color w:val="auto"/>
          <w:sz w:val="24"/>
          <w:szCs w:val="24"/>
          <w:lang w:eastAsia="zh-CN"/>
        </w:rPr>
        <w:t xml:space="preserve">、</w:t>
      </w:r>
      <w:r>
        <w:rPr>
          <w:rFonts w:hint="eastAsia" w:ascii="宋体" w:hAnsi="宋体" w:eastAsia="宋体" w:cs="宋体"/>
          <w:b/>
          <w:color w:val="auto"/>
          <w:sz w:val="24"/>
          <w:szCs w:val="24"/>
        </w:rPr>
        <w:t xml:space="preserve">本办法的贯彻执行由</w:t>
      </w:r>
      <w:r>
        <w:rPr>
          <w:rFonts w:hint="eastAsia" w:ascii="宋体" w:hAnsi="宋体" w:cs="宋体"/>
          <w:b/>
          <w:color w:val="auto"/>
          <w:sz w:val="24"/>
          <w:szCs w:val="24"/>
          <w:highlight w:val="none"/>
          <w:lang w:eastAsia="zh-CN"/>
        </w:rPr>
        <w:t xml:space="preserve">溧阳市城市管理行政执法大队别桥中队</w:t>
      </w:r>
      <w:r>
        <w:rPr>
          <w:rFonts w:hint="eastAsia" w:ascii="宋体" w:hAnsi="宋体" w:eastAsia="宋体" w:cs="宋体"/>
          <w:b/>
          <w:color w:val="auto"/>
          <w:sz w:val="24"/>
          <w:szCs w:val="24"/>
        </w:rPr>
        <w:t xml:space="preserve">考核督查组负责监督和考核。</w:t>
      </w:r>
      <w:r/>
    </w:p>
    <w:p>
      <w:pPr>
        <w:jc w:val="both"/>
        <w:spacing w:line="360" w:lineRule="auto"/>
        <w:rPr>
          <w:rFonts w:hint="eastAsia" w:ascii="仿宋" w:hAnsi="仿宋" w:eastAsia="仿宋" w:cs="仿宋"/>
          <w:b/>
          <w:bCs/>
          <w:color w:val="auto"/>
          <w:sz w:val="30"/>
          <w:szCs w:val="30"/>
          <w:lang w:val="en-US"/>
        </w:rPr>
      </w:pPr>
      <w:r>
        <w:rPr>
          <w:rFonts w:hint="eastAsia" w:ascii="仿宋" w:hAnsi="仿宋" w:eastAsia="仿宋" w:cs="仿宋"/>
          <w:b/>
          <w:bCs/>
          <w:color w:val="auto"/>
          <w:sz w:val="30"/>
          <w:szCs w:val="30"/>
          <w:lang w:val="en-US"/>
        </w:rPr>
      </w:r>
      <w:r/>
    </w:p>
    <w:p>
      <w:pPr>
        <w:jc w:val="center"/>
        <w:spacing w:line="360" w:lineRule="auto"/>
        <w:rPr>
          <w:b/>
          <w:color w:val="auto"/>
          <w:sz w:val="36"/>
          <w:szCs w:val="36"/>
          <w:highlight w:val="none"/>
        </w:rPr>
        <w:outlineLvl w:val="0"/>
      </w:pPr>
      <w:r>
        <w:rPr>
          <w:rFonts w:hint="eastAsia" w:ascii="宋体" w:hAnsi="宋体" w:cs="宋体"/>
          <w:b/>
          <w:color w:val="auto"/>
          <w:sz w:val="36"/>
          <w:szCs w:val="36"/>
          <w:highlight w:val="none"/>
        </w:rPr>
        <w:br w:type="page" w:clear="all"/>
      </w:r>
      <w:r>
        <w:rPr>
          <w:rFonts w:hint="eastAsia" w:ascii="Times New Roman" w:hAnsi="Times New Roman" w:eastAsia="宋体" w:cs="Times New Roman"/>
          <w:b/>
          <w:color w:val="auto"/>
          <w:sz w:val="36"/>
          <w:szCs w:val="36"/>
          <w:highlight w:val="none"/>
        </w:rPr>
        <w:t xml:space="preserve">第</w:t>
      </w:r>
      <w:r>
        <w:rPr>
          <w:rFonts w:hint="eastAsia" w:ascii="Times New Roman" w:hAnsi="Times New Roman" w:eastAsia="宋体" w:cs="Times New Roman"/>
          <w:b/>
          <w:color w:val="auto"/>
          <w:sz w:val="36"/>
          <w:szCs w:val="36"/>
          <w:highlight w:val="none"/>
          <w:lang w:val="en-US" w:eastAsia="zh-CN"/>
        </w:rPr>
        <w:t xml:space="preserve">六</w:t>
      </w:r>
      <w:r>
        <w:rPr>
          <w:rFonts w:hint="eastAsia" w:ascii="Times New Roman" w:hAnsi="Times New Roman" w:eastAsia="宋体" w:cs="Times New Roman"/>
          <w:b/>
          <w:color w:val="auto"/>
          <w:sz w:val="36"/>
          <w:szCs w:val="36"/>
          <w:highlight w:val="none"/>
        </w:rPr>
        <w:t xml:space="preserve">章   拟签订的合同文本</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815"/>
      <w:r/>
      <w:r/>
    </w:p>
    <w:p>
      <w:pPr>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jc w:val="both"/>
        <w:spacing w:line="480" w:lineRule="auto"/>
        <w:rPr>
          <w:rFonts w:hint="eastAsia" w:ascii="宋体" w:hAnsi="宋体" w:eastAsia="宋体" w:cs="宋体"/>
          <w:color w:val="auto"/>
          <w:sz w:val="24"/>
          <w:szCs w:val="24"/>
          <w:lang w:val="en-US"/>
        </w:rPr>
      </w:pPr>
      <w:r/>
      <w:bookmarkStart w:id="816" w:name="_Toc99301426"/>
      <w:r>
        <w:rPr>
          <w:rFonts w:hint="eastAsia" w:ascii="宋体" w:hAnsi="宋体" w:eastAsia="宋体" w:cs="宋体"/>
          <w:color w:val="auto"/>
          <w:sz w:val="24"/>
          <w:szCs w:val="24"/>
          <w:lang w:val="en-US"/>
        </w:rPr>
        <w:t xml:space="preserve">甲方：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en-US"/>
        </w:rPr>
        <w:t xml:space="preserve"> 合同编号：</w:t>
      </w:r>
      <w:r>
        <w:rPr>
          <w:rFonts w:hint="eastAsia" w:ascii="宋体" w:hAnsi="宋体" w:eastAsia="宋体" w:cs="宋体"/>
          <w:color w:val="auto"/>
          <w:sz w:val="24"/>
          <w:szCs w:val="24"/>
          <w:u w:val="single"/>
          <w:lang w:val="en-US"/>
        </w:rPr>
        <w:t xml:space="preserve">              </w:t>
      </w:r>
      <w:r/>
    </w:p>
    <w:p>
      <w:pPr>
        <w:jc w:val="both"/>
        <w:spacing w:line="48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乙方：                                            签订地点：</w:t>
      </w:r>
      <w:r>
        <w:rPr>
          <w:rFonts w:hint="eastAsia" w:ascii="宋体" w:hAnsi="宋体" w:eastAsia="宋体" w:cs="宋体"/>
          <w:color w:val="auto"/>
          <w:sz w:val="24"/>
          <w:szCs w:val="24"/>
          <w:u w:val="single"/>
          <w:lang w:val="en-US"/>
        </w:rPr>
        <w:t xml:space="preserve">              </w:t>
      </w:r>
      <w:r/>
    </w:p>
    <w:p>
      <w:pPr>
        <w:jc w:val="both"/>
        <w:spacing w:line="48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合同时间:</w:t>
      </w:r>
      <w:r>
        <w:rPr>
          <w:rFonts w:hint="eastAsia" w:ascii="宋体" w:hAnsi="宋体" w:eastAsia="宋体" w:cs="宋体"/>
          <w:color w:val="auto"/>
          <w:sz w:val="24"/>
          <w:szCs w:val="24"/>
          <w:u w:val="single"/>
          <w:lang w:val="en-US"/>
        </w:rPr>
        <w:t xml:space="preserve">    年   月   日</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依据《民法典》以及有关法律、法规的规定，甲乙双方经协商一致，订立本合同。</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一、合同内容：</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1、甲方确定乙方为</w:t>
      </w:r>
      <w:r>
        <w:rPr>
          <w:rFonts w:hint="eastAsia" w:ascii="宋体" w:hAnsi="宋体" w:eastAsia="宋体" w:cs="宋体"/>
          <w:color w:val="auto"/>
          <w:sz w:val="24"/>
          <w:szCs w:val="24"/>
          <w:u w:val="single"/>
          <w:lang w:val="en-US"/>
        </w:rPr>
        <w:t xml:space="preserve">                         </w:t>
      </w:r>
      <w:r>
        <w:rPr>
          <w:rFonts w:hint="eastAsia" w:ascii="宋体" w:hAnsi="宋体" w:eastAsia="宋体" w:cs="宋体"/>
          <w:color w:val="auto"/>
          <w:sz w:val="24"/>
          <w:szCs w:val="24"/>
          <w:u w:val="none"/>
          <w:lang w:val="en-US"/>
        </w:rPr>
        <w:t xml:space="preserve">采购</w:t>
      </w:r>
      <w:r>
        <w:rPr>
          <w:rFonts w:hint="eastAsia" w:ascii="宋体" w:hAnsi="宋体" w:eastAsia="宋体" w:cs="宋体"/>
          <w:color w:val="auto"/>
          <w:sz w:val="24"/>
          <w:szCs w:val="24"/>
          <w:lang w:val="en-US"/>
        </w:rPr>
        <w:t xml:space="preserve">项目的实施人。</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2、合同履行期限：一年，其中前3个月为试用期；试用期满且考核合格后签订正式合同</w:t>
      </w:r>
      <w:r>
        <w:rPr>
          <w:rFonts w:hint="eastAsia" w:ascii="宋体" w:hAnsi="宋体" w:eastAsia="宋体" w:cs="宋体"/>
          <w:color w:val="auto"/>
          <w:sz w:val="24"/>
          <w:szCs w:val="24"/>
          <w:lang w:val="en-US"/>
        </w:rPr>
        <w:t xml:space="preserve">，</w:t>
      </w:r>
      <w:r>
        <w:rPr>
          <w:rFonts w:hint="eastAsia" w:ascii="宋体" w:hAnsi="宋体" w:eastAsia="宋体" w:cs="宋体"/>
          <w:color w:val="auto"/>
          <w:sz w:val="24"/>
          <w:szCs w:val="24"/>
          <w:u w:val="single"/>
          <w:lang w:val="en-US"/>
        </w:rPr>
        <w:t xml:space="preserve">从   年  月  日至   年   月  日</w:t>
      </w:r>
      <w:r>
        <w:rPr>
          <w:rFonts w:hint="eastAsia" w:ascii="宋体" w:hAnsi="宋体" w:eastAsia="宋体" w:cs="宋体"/>
          <w:color w:val="auto"/>
          <w:sz w:val="24"/>
          <w:szCs w:val="24"/>
          <w:lang w:val="en-US"/>
        </w:rPr>
        <w:t xml:space="preserve">。</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en-US"/>
        </w:rPr>
        <w:t xml:space="preserve">、下列文件为本合同不可分割部分：</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①中标通知书；</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②乙方的投标文件；</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③招标文件（含作业服务要求、考核办法等）；</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④乙方在招标过程中所作的其它承诺、声明、书面澄清等。</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二、甲方权利和义务：</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1、根据《作业考评细则》，对乙方作业服务及履行合同情况进行考核和指导。</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2、就本标段作业考核结果，按月向乙方支付承包费。</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3、听取乙方提出的建议并给予答复。</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4、监督乙方履行承诺。</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5、有对《作业考评细则》的解释权。</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三、乙方权利和义务</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1、乙方的作业服务要求和《作业考评细则》和投标文件所作的承诺（根据中标内容及范围进行选择）：</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第</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lang w:val="en-US"/>
        </w:rPr>
        <w:t xml:space="preserve">包：</w:t>
      </w:r>
      <w:r>
        <w:rPr>
          <w:rFonts w:hint="eastAsia" w:ascii="宋体" w:hAnsi="宋体" w:cs="宋体"/>
          <w:color w:val="auto"/>
          <w:sz w:val="24"/>
          <w:szCs w:val="24"/>
          <w:lang w:val="en-US" w:eastAsia="zh-CN"/>
        </w:rPr>
        <w:t xml:space="preserve">2026年度别桥镇环卫服务采购项目</w:t>
      </w:r>
      <w:r>
        <w:rPr>
          <w:rFonts w:hint="eastAsia" w:ascii="宋体" w:hAnsi="宋体" w:eastAsia="宋体" w:cs="宋体"/>
          <w:color w:val="auto"/>
          <w:sz w:val="24"/>
          <w:szCs w:val="24"/>
          <w:lang w:val="en-US" w:eastAsia="zh-CN"/>
        </w:rPr>
        <w:t xml:space="preserve">（别桥片）</w:t>
      </w:r>
      <w:r>
        <w:rPr>
          <w:rFonts w:hint="eastAsia" w:ascii="宋体" w:hAnsi="宋体" w:eastAsia="宋体" w:cs="宋体"/>
          <w:color w:val="auto"/>
          <w:sz w:val="24"/>
          <w:szCs w:val="24"/>
          <w:lang w:val="en-US"/>
        </w:rPr>
        <w:t xml:space="preserve">：根据作业服务要求和《作业考评细则》和投标文件所作的承诺。确保含别桥集镇区、国省道道口、绿化带清捡、公厕管理、农贸市场2个（桥东1个、桥西1个）、集镇停车场（含镇政府）、集镇背街小巷（含散住楼）、一龙公园、市民广场及工业园区墙到墙路面、阁贴路北延伸段两边道板，绿化带及停车场、阳光茗苑小区南店面房门前道板及停车位，阳光茗苑西边路两边、应图路南延伸段两边、世俊路南延伸段两边、景观河及西延伸段两边、广惠东路及北延伸段绿化及道板</w:t>
      </w:r>
      <w:r>
        <w:rPr>
          <w:rFonts w:hint="eastAsia" w:ascii="宋体" w:hAnsi="宋体" w:eastAsia="宋体" w:cs="宋体"/>
          <w:color w:val="auto"/>
          <w:sz w:val="24"/>
          <w:szCs w:val="24"/>
          <w:lang w:val="en-US" w:eastAsia="zh-CN"/>
        </w:rPr>
        <w:t xml:space="preserve">、桥东菜场新建水产区及新建公厕清扫保洁</w:t>
      </w:r>
      <w:r>
        <w:rPr>
          <w:rFonts w:hint="eastAsia" w:ascii="宋体" w:hAnsi="宋体" w:eastAsia="宋体" w:cs="宋体"/>
          <w:color w:val="auto"/>
          <w:sz w:val="24"/>
          <w:szCs w:val="24"/>
          <w:lang w:val="en-US"/>
        </w:rPr>
        <w:t xml:space="preserve">、</w:t>
      </w:r>
      <w:r>
        <w:rPr>
          <w:rFonts w:hint="eastAsia" w:ascii="宋体" w:hAnsi="宋体" w:eastAsia="宋体" w:cs="宋体"/>
          <w:color w:val="auto"/>
          <w:sz w:val="24"/>
          <w:szCs w:val="24"/>
        </w:rPr>
        <w:t xml:space="preserve">垃圾收运、区域范围内的乱张贴乱涂写清理、河塘漂浮物打捞、非机动车的摆放等作业服务</w:t>
      </w:r>
      <w:r>
        <w:rPr>
          <w:rFonts w:hint="eastAsia" w:ascii="宋体" w:hAnsi="宋体" w:eastAsia="宋体" w:cs="宋体"/>
          <w:color w:val="auto"/>
          <w:sz w:val="24"/>
          <w:szCs w:val="24"/>
          <w:lang w:val="en-US"/>
        </w:rPr>
        <w:t xml:space="preserve">等均达到甲方要求。</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第</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val="en-US"/>
        </w:rPr>
        <w:t xml:space="preserve">包：</w:t>
      </w:r>
      <w:r>
        <w:rPr>
          <w:rFonts w:hint="eastAsia" w:ascii="宋体" w:hAnsi="宋体" w:cs="宋体"/>
          <w:color w:val="auto"/>
          <w:sz w:val="24"/>
          <w:szCs w:val="24"/>
          <w:lang w:val="en-US" w:eastAsia="zh-CN"/>
        </w:rPr>
        <w:t xml:space="preserve">2026年度别桥镇环卫服务采购项目</w:t>
      </w:r>
      <w:r>
        <w:rPr>
          <w:rFonts w:hint="eastAsia" w:ascii="宋体" w:hAnsi="宋体" w:eastAsia="宋体" w:cs="宋体"/>
          <w:color w:val="auto"/>
          <w:sz w:val="24"/>
          <w:szCs w:val="24"/>
          <w:lang w:val="en-US" w:eastAsia="zh-CN"/>
        </w:rPr>
        <w:t xml:space="preserve">（后周、绸缪片）</w:t>
      </w:r>
      <w:r>
        <w:rPr>
          <w:rFonts w:hint="eastAsia" w:ascii="宋体" w:hAnsi="宋体" w:eastAsia="宋体" w:cs="宋体"/>
          <w:color w:val="auto"/>
          <w:sz w:val="24"/>
          <w:szCs w:val="24"/>
          <w:lang w:val="en-US"/>
        </w:rPr>
        <w:t xml:space="preserve">：根据作业服务要求和《作业考评细则》和投标文件所作的承诺。确保组织道路清扫保洁、乱张贴清除、环卫设施清洗保洁、垃圾</w:t>
      </w:r>
      <w:r>
        <w:rPr>
          <w:rFonts w:hint="eastAsia" w:ascii="宋体" w:hAnsi="宋体" w:cs="宋体"/>
          <w:color w:val="auto"/>
          <w:sz w:val="24"/>
          <w:szCs w:val="24"/>
          <w:lang w:val="en-US" w:eastAsia="zh-CN"/>
        </w:rPr>
        <w:t xml:space="preserve">清</w:t>
      </w:r>
      <w:r>
        <w:rPr>
          <w:rFonts w:hint="eastAsia" w:ascii="宋体" w:hAnsi="宋体" w:eastAsia="宋体" w:cs="宋体"/>
          <w:color w:val="auto"/>
          <w:sz w:val="24"/>
          <w:szCs w:val="24"/>
          <w:lang w:val="en-US"/>
        </w:rPr>
        <w:t xml:space="preserve">运</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rPr>
        <w:t xml:space="preserve">公厕保洁</w:t>
      </w:r>
      <w:r>
        <w:rPr>
          <w:rFonts w:hint="eastAsia" w:ascii="宋体" w:hAnsi="宋体" w:cs="宋体"/>
          <w:color w:val="auto"/>
          <w:sz w:val="24"/>
          <w:szCs w:val="24"/>
          <w:lang w:val="en-US" w:eastAsia="zh-CN"/>
        </w:rPr>
        <w:t xml:space="preserve">、河塘漂浮物打捞、非机动车的摆放</w:t>
      </w:r>
      <w:r>
        <w:rPr>
          <w:rFonts w:hint="eastAsia" w:ascii="宋体" w:hAnsi="宋体" w:eastAsia="宋体" w:cs="宋体"/>
          <w:color w:val="auto"/>
          <w:sz w:val="24"/>
          <w:szCs w:val="24"/>
          <w:lang w:val="en-US"/>
        </w:rPr>
        <w:t xml:space="preserve">等环卫作业服务。确保作业的道路稳定呈现干净整洁的面貌，确保区域内乱张贴及时清除、环卫设施及公厕干净整洁、设施设备完好。确保作业的垃圾清运及时。严禁中标单位（招标人特殊约定的除外）和所有个人从事有偿服务。</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2、严禁乙方（甲方特殊约定的除外）和所有个人从事有偿服务。</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3、为保证作业的正常有效开展，乙方负责组成固定的专业服务队伍，按要求提交作业计划和预案，经甲方认可并备案。</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4、接受甲方和相关管理部门的考核及其结果。</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5、在作业过程中产生的安全事故，由乙方独立承担安全责任和经济赔偿。</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6、在任何情况下（如灾害天气期间或重大活动期间），乙方均应保质保量按时完成甲方或政府主管部门安排的指令性任务。</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7、自觉执行国家的法律、法规，按溧阳市有关规定及时缴纳“五金”，签订劳动用工合同，作业及管理人员工资不得低于溧阳市最低工资标准，独立处理劳资纠纷等工作。</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8、接受甲方和社会监督，对存在的问题在指定时间内整改到位，并将整改结果报甲方。</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9、准时参加甲方召开的会议。</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10、向甲方提出合理化建议。</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11、乙方收到中标通知书后，应在30日内签订合同。乙方不签订合同的，取消其中标资格，给甲方造成损失的，应当予以赔偿。</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四、价格与支付</w:t>
      </w:r>
      <w:r>
        <w:rPr>
          <w:rFonts w:hint="eastAsia" w:ascii="宋体" w:hAnsi="宋体" w:eastAsia="宋体" w:cs="宋体"/>
          <w:color w:val="auto"/>
          <w:sz w:val="24"/>
          <w:szCs w:val="24"/>
          <w:lang w:val="en-US"/>
        </w:rPr>
        <w:tab/>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1、合同基准价格按此次中标价格执行，合同总金额为人民币</w:t>
      </w:r>
      <w:r>
        <w:rPr>
          <w:rFonts w:hint="eastAsia" w:ascii="宋体" w:hAnsi="宋体" w:eastAsia="宋体" w:cs="宋体"/>
          <w:color w:val="auto"/>
          <w:sz w:val="24"/>
          <w:szCs w:val="24"/>
          <w:u w:val="single"/>
          <w:lang w:val="en-US"/>
        </w:rPr>
        <w:t xml:space="preserve">  元/年</w:t>
      </w:r>
      <w:r>
        <w:rPr>
          <w:rFonts w:hint="eastAsia" w:ascii="宋体" w:hAnsi="宋体" w:eastAsia="宋体" w:cs="宋体"/>
          <w:color w:val="auto"/>
          <w:sz w:val="24"/>
          <w:szCs w:val="24"/>
          <w:lang w:val="en-US"/>
        </w:rPr>
        <w:t xml:space="preserve">，（分解至每月支付金额为</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rPr>
        <w:t xml:space="preserve">元</w:t>
      </w:r>
      <w:r>
        <w:rPr>
          <w:rFonts w:hint="eastAsia" w:ascii="宋体" w:hAnsi="宋体" w:eastAsia="宋体" w:cs="宋体"/>
          <w:color w:val="auto"/>
          <w:sz w:val="24"/>
          <w:szCs w:val="24"/>
          <w:lang w:val="en-US"/>
        </w:rPr>
        <w:t xml:space="preserve">）。如按《考核办法》规定发生扣款，在月度作业服务款中扣除。</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①合同价不因本市最低工资标准的上调或下调、油价浮动而调整。</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2、付款及扣款方式：</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付款主体：甲方。</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扣款方式：因考核达不到规定分值等原因，按《考核办法》考核扣款后，作为最终的月度作业服务款。</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付款时间：甲方根据当月考核结果，于次月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US"/>
        </w:rPr>
        <w:t xml:space="preserve">日</w:t>
      </w:r>
      <w:r>
        <w:rPr>
          <w:rFonts w:hint="eastAsia" w:ascii="宋体" w:hAnsi="宋体" w:eastAsia="宋体" w:cs="宋体"/>
          <w:color w:val="auto"/>
          <w:sz w:val="24"/>
          <w:szCs w:val="24"/>
          <w:lang w:val="en-US"/>
        </w:rPr>
        <w:t xml:space="preserve">前（含当日）向乙方支付作业服务款。</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付款方式：以转账方式直接转入乙方银行账户。</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3、公厕用水和用电经费单独核算，具体方案根据环卫所的规定执行，由采购人承担。</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五、作业权的交付和回收</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甲方应于合同签订后，于</w:t>
      </w:r>
      <w:r>
        <w:rPr>
          <w:rFonts w:hint="eastAsia" w:ascii="宋体" w:hAnsi="宋体" w:eastAsia="宋体" w:cs="宋体"/>
          <w:color w:val="auto"/>
          <w:sz w:val="24"/>
          <w:szCs w:val="24"/>
          <w:u w:val="single"/>
          <w:lang w:val="en-US"/>
        </w:rPr>
        <w:t xml:space="preserve">    年  月  日</w:t>
      </w:r>
      <w:r>
        <w:rPr>
          <w:rFonts w:hint="eastAsia" w:ascii="宋体" w:hAnsi="宋体" w:eastAsia="宋体" w:cs="宋体"/>
          <w:color w:val="auto"/>
          <w:sz w:val="24"/>
          <w:szCs w:val="24"/>
          <w:lang w:val="en-US"/>
        </w:rPr>
        <w:t xml:space="preserve">乙方交付作业服务权，乙方应于合同期满当日24时无条件向甲方交还作业权。甲乙双方应提前15天进行交接手续和准备，确保准时交接。</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六、违约责任</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1、合同一方不履行合同义务或违反履行合同义务约定的，应当承担继续履行、采取补救措施或者赔偿损失等违约责任。</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2、在合同生效后，甲方无故拒绝乙方，应向乙方偿付合同总金额的5%，作为违约金，违约金不足以补偿损失的，乙方有权要求甲方补足。</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3、甲方逾期付款应按照逾期付款金额的每日万分之四支付逾期付款违约金，甲方逾期付款超过十五天乙方有权要求甲方另行补偿乙方损失。</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4、乙方出现下列情况之一的，乙方应承担相应违约责任并向甲方支付合同总金额5%的违约金。</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①由于自身管理不善发生群体性事件的；</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②发生重大违规违法现象的；</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③有媒体曝光、市长信箱等投诉且整改不到位的；</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④有严重侵犯工人利益的，如公司未按时缴纳社保或发放工资，经甲方督促在规定的时间段仍未缴纳或发放的；或合同期内出现两次未及时缴纳社保或发放工资的。</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七、不可抗力</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1、因不可抗力（或甲、乙双方不能控制的原因）不能履行合同的，根据不可抗力的影响，部分或者全部免除责任，但合同一方迟延履行后发生不可抗力的，不能免除其责任。</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2、合同一方因不可抗力不能履行合同的，应当及时通知对方，以减轻可能给对方造成的损失，并应当在合理期限内提供证明。</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八、合同生效及其它</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合同经双方签字并盖章后即生效。</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九、合同的解除和转让</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1、甲方和乙方协商一致，可以解除合同。</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2、有下列情况之一，合同一方可以要求解除合同：</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①因不可抗力致使不能实现合同目的，未受不可抗力影响的一方有权解除合同；</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②因合同一方违约导致合同不能履行，另一方有权解除合同。</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3、有权解除合同的一方，应当在违约事实或不可抗力发生之后30天内书面通知对方提出解除合同，合同在书面通知到达对方时解除。</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4、合同的部分或全部都不得转包或分包。</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5、如有下列情况，甲方有权单方面解除合同：</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①出现本合同第六条第四款，且情节严重，造成影响的；</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②将承包的作业服务部分或全部转包他人的。</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③经查实有利用公厕进行有偿服务现象累计满3次的。</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十、履约保证金</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①乙方应按规定提交履约保证金。</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②乙方必须在合同签订前向甲方提供金额为中标合同价10%的履约保证金或保函。</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③履约保证金将在项目完工并验收合格后二十八（28）天内（无息）退返乙方。</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十一、补充奖罚条款</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奖罚条款由甲乙双方另行协商并签订书面补充协议予以约定。</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十二、争议解决</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甲乙双方因履行本合同发生争议，协商未果，任何一方可向甲方所在地人民法院起诉。</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十三、本合同一式五份，甲乙双方各执两份，招标代理机构执一份。</w:t>
      </w:r>
      <w:r/>
    </w:p>
    <w:p>
      <w:pPr>
        <w:ind w:firstLine="480"/>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十四、本合同在执行过程中如出现未尽事宜，双方在不违背合同和投标文件的原则下协商解决，协商结果以书面记录在案，并经签名同意，作为本合同的附件，与本合同具有同等效力。</w:t>
      </w:r>
      <w:r/>
    </w:p>
    <w:p>
      <w:pPr>
        <w:jc w:val="both"/>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pStyle w:val="1224"/>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967"/>
        <w:tblpPr w:horzAnchor="text" w:tblpXSpec="center" w:vertAnchor="text" w:tblpY="1" w:leftFromText="180" w:topFromText="0" w:rightFromText="180" w:bottomFromText="0"/>
        <w:tblW w:w="8320" w:type="dxa"/>
        <w:jc w:val="center"/>
        <w:tblLayout w:type="fixed"/>
        <w:tblCellMar>
          <w:left w:w="108" w:type="dxa"/>
          <w:top w:w="0" w:type="dxa"/>
          <w:right w:w="108" w:type="dxa"/>
          <w:bottom w:w="0" w:type="dxa"/>
        </w:tblCellMar>
        <w:tblLook w:val="04A0" w:firstRow="1" w:lastRow="0" w:firstColumn="1" w:lastColumn="0" w:noHBand="0" w:noVBand="1"/>
      </w:tblPr>
      <w:tblGrid>
        <w:gridCol w:w="4470"/>
        <w:gridCol w:w="3850"/>
      </w:tblGrid>
      <w:tr>
        <w:trPr>
          <w:jc w:val="center"/>
          <w:trHeight w:val="567"/>
        </w:trPr>
        <w:tc>
          <w:tcPr>
            <w:tcBorders>
              <w:top w:val="none" w:color="000000" w:sz="4" w:space="0"/>
              <w:left w:val="none" w:color="000000" w:sz="4" w:space="0"/>
              <w:bottom w:val="none" w:color="000000" w:sz="4" w:space="0"/>
              <w:right w:val="none" w:color="000000" w:sz="4" w:space="0"/>
            </w:tcBorders>
            <w:tcW w:w="447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甲方：（盖章）</w:t>
            </w:r>
            <w:r/>
          </w:p>
        </w:tc>
        <w:tc>
          <w:tcPr>
            <w:tcBorders>
              <w:top w:val="none" w:color="000000" w:sz="4" w:space="0"/>
              <w:left w:val="none" w:color="000000" w:sz="4" w:space="0"/>
              <w:bottom w:val="none" w:color="000000" w:sz="4" w:space="0"/>
              <w:right w:val="none" w:color="000000" w:sz="4" w:space="0"/>
            </w:tcBorders>
            <w:tcW w:w="385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乙方（供应商）：（盖章）</w:t>
            </w:r>
            <w:r/>
          </w:p>
        </w:tc>
      </w:tr>
      <w:tr>
        <w:trPr>
          <w:jc w:val="center"/>
          <w:trHeight w:val="567"/>
        </w:trPr>
        <w:tc>
          <w:tcPr>
            <w:tcBorders>
              <w:top w:val="none" w:color="000000" w:sz="4" w:space="0"/>
              <w:left w:val="none" w:color="000000" w:sz="4" w:space="0"/>
              <w:bottom w:val="none" w:color="000000" w:sz="4" w:space="0"/>
              <w:right w:val="none" w:color="000000" w:sz="4" w:space="0"/>
            </w:tcBorders>
            <w:tcW w:w="447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代表人：</w:t>
            </w:r>
            <w:r/>
          </w:p>
        </w:tc>
        <w:tc>
          <w:tcPr>
            <w:tcBorders>
              <w:top w:val="none" w:color="000000" w:sz="4" w:space="0"/>
              <w:left w:val="none" w:color="000000" w:sz="4" w:space="0"/>
              <w:bottom w:val="none" w:color="000000" w:sz="4" w:space="0"/>
              <w:right w:val="none" w:color="000000" w:sz="4" w:space="0"/>
            </w:tcBorders>
            <w:tcW w:w="385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代表人：</w:t>
            </w:r>
            <w:r/>
          </w:p>
        </w:tc>
      </w:tr>
      <w:tr>
        <w:trPr>
          <w:jc w:val="center"/>
          <w:trHeight w:val="567"/>
        </w:trPr>
        <w:tc>
          <w:tcPr>
            <w:tcBorders>
              <w:top w:val="none" w:color="000000" w:sz="4" w:space="0"/>
              <w:left w:val="none" w:color="000000" w:sz="4" w:space="0"/>
              <w:bottom w:val="none" w:color="000000" w:sz="4" w:space="0"/>
              <w:right w:val="none" w:color="000000" w:sz="4" w:space="0"/>
            </w:tcBorders>
            <w:tcW w:w="447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电    话：</w:t>
            </w:r>
            <w:r/>
          </w:p>
        </w:tc>
        <w:tc>
          <w:tcPr>
            <w:tcBorders>
              <w:top w:val="none" w:color="000000" w:sz="4" w:space="0"/>
              <w:left w:val="none" w:color="000000" w:sz="4" w:space="0"/>
              <w:bottom w:val="none" w:color="000000" w:sz="4" w:space="0"/>
              <w:right w:val="none" w:color="000000" w:sz="4" w:space="0"/>
            </w:tcBorders>
            <w:tcW w:w="385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电    话：</w:t>
            </w:r>
            <w:r/>
          </w:p>
        </w:tc>
      </w:tr>
      <w:tr>
        <w:trPr>
          <w:jc w:val="center"/>
          <w:trHeight w:val="567"/>
        </w:trPr>
        <w:tc>
          <w:tcPr>
            <w:tcBorders>
              <w:top w:val="none" w:color="000000" w:sz="4" w:space="0"/>
              <w:left w:val="none" w:color="000000" w:sz="4" w:space="0"/>
              <w:bottom w:val="none" w:color="000000" w:sz="4" w:space="0"/>
              <w:right w:val="none" w:color="000000" w:sz="4" w:space="0"/>
            </w:tcBorders>
            <w:tcW w:w="447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开户银行：</w:t>
            </w:r>
            <w:r/>
          </w:p>
        </w:tc>
        <w:tc>
          <w:tcPr>
            <w:tcBorders>
              <w:top w:val="none" w:color="000000" w:sz="4" w:space="0"/>
              <w:left w:val="none" w:color="000000" w:sz="4" w:space="0"/>
              <w:bottom w:val="none" w:color="000000" w:sz="4" w:space="0"/>
              <w:right w:val="none" w:color="000000" w:sz="4" w:space="0"/>
            </w:tcBorders>
            <w:tcW w:w="385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开户银行：</w:t>
            </w:r>
            <w:r/>
          </w:p>
        </w:tc>
      </w:tr>
      <w:tr>
        <w:trPr>
          <w:jc w:val="center"/>
          <w:trHeight w:val="567"/>
        </w:trPr>
        <w:tc>
          <w:tcPr>
            <w:tcBorders>
              <w:top w:val="none" w:color="000000" w:sz="4" w:space="0"/>
              <w:left w:val="none" w:color="000000" w:sz="4" w:space="0"/>
              <w:bottom w:val="none" w:color="000000" w:sz="4" w:space="0"/>
              <w:right w:val="none" w:color="000000" w:sz="4" w:space="0"/>
            </w:tcBorders>
            <w:tcW w:w="447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帐    号：</w:t>
            </w:r>
            <w:r/>
          </w:p>
        </w:tc>
        <w:tc>
          <w:tcPr>
            <w:tcBorders>
              <w:top w:val="none" w:color="000000" w:sz="4" w:space="0"/>
              <w:left w:val="none" w:color="000000" w:sz="4" w:space="0"/>
              <w:bottom w:val="none" w:color="000000" w:sz="4" w:space="0"/>
              <w:right w:val="none" w:color="000000" w:sz="4" w:space="0"/>
            </w:tcBorders>
            <w:tcW w:w="385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帐    号：</w:t>
            </w:r>
            <w:r/>
          </w:p>
        </w:tc>
      </w:tr>
      <w:tr>
        <w:trPr>
          <w:jc w:val="center"/>
          <w:trHeight w:val="567"/>
        </w:trPr>
        <w:tc>
          <w:tcPr>
            <w:tcBorders>
              <w:top w:val="none" w:color="000000" w:sz="4" w:space="0"/>
              <w:left w:val="none" w:color="000000" w:sz="4" w:space="0"/>
              <w:bottom w:val="none" w:color="000000" w:sz="4" w:space="0"/>
              <w:right w:val="none" w:color="000000" w:sz="4" w:space="0"/>
            </w:tcBorders>
            <w:tcW w:w="447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日期： 年 月 日</w:t>
            </w:r>
            <w:r/>
          </w:p>
        </w:tc>
        <w:tc>
          <w:tcPr>
            <w:tcBorders>
              <w:top w:val="none" w:color="000000" w:sz="4" w:space="0"/>
              <w:left w:val="none" w:color="000000" w:sz="4" w:space="0"/>
              <w:bottom w:val="none" w:color="000000" w:sz="4" w:space="0"/>
              <w:right w:val="none" w:color="000000" w:sz="4" w:space="0"/>
            </w:tcBorders>
            <w:tcW w:w="3850" w:type="dxa"/>
            <w:vAlign w:val="center"/>
            <w:textDirection w:val="lrTb"/>
            <w:noWrap/>
          </w:tcPr>
          <w:p>
            <w:pPr>
              <w:ind w:firstLine="240"/>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日期：  年  月  日</w:t>
            </w:r>
            <w:r/>
          </w:p>
        </w:tc>
      </w:tr>
    </w:tbl>
    <w:p>
      <w:pPr>
        <w:jc w:val="center"/>
        <w:spacing w:line="360" w:lineRule="auto"/>
        <w:rPr>
          <w:rFonts w:hint="eastAsia" w:ascii="Times New Roman" w:hAnsi="Times New Roman" w:eastAsia="宋体" w:cs="Times New Roman"/>
          <w:b/>
          <w:sz w:val="36"/>
          <w:szCs w:val="36"/>
          <w:highlight w:val="none"/>
        </w:rPr>
        <w:sectPr>
          <w:footerReference w:type="default" r:id="rId24"/>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Times New Roman" w:hAnsi="Times New Roman" w:eastAsia="宋体" w:cs="Times New Roman"/>
          <w:b/>
          <w:sz w:val="36"/>
          <w:szCs w:val="36"/>
          <w:highlight w:val="none"/>
        </w:rPr>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16"/>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145"/>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rFonts w:hint="eastAsia"/>
          <w:highlight w:val="none"/>
        </w:rPr>
        <w:t xml:space="preserve">致：江苏溧投招标服务有限公司</w:t>
      </w:r>
      <w:r/>
    </w:p>
    <w:p>
      <w:pPr>
        <w:pStyle w:val="1165"/>
        <w:ind w:firstLine="960"/>
        <w:spacing w:line="460" w:lineRule="exact"/>
        <w:rPr>
          <w:highlight w:val="none"/>
          <w:u w:val="single"/>
        </w:rPr>
      </w:pPr>
      <w:r>
        <w:rPr>
          <w:rFonts w:hint="eastAsia"/>
          <w:highlight w:val="none"/>
          <w:u w:val="single"/>
        </w:rPr>
        <w:t xml:space="preserve">（采购人名称）</w:t>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65"/>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65"/>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65"/>
        <w:ind w:firstLine="480"/>
        <w:spacing w:line="460" w:lineRule="exact"/>
        <w:rPr>
          <w:highlight w:val="none"/>
        </w:rPr>
      </w:pPr>
      <w:r>
        <w:rPr>
          <w:rFonts w:hint="eastAsia"/>
          <w:highlight w:val="none"/>
        </w:rPr>
        <w:t xml:space="preserve">三、我单位依法进行纳税和社会保险申报并实际履行了义务。</w:t>
      </w:r>
      <w:r/>
    </w:p>
    <w:p>
      <w:pPr>
        <w:pStyle w:val="1165"/>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65"/>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65"/>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65"/>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65"/>
        <w:ind w:firstLine="480"/>
        <w:spacing w:line="460" w:lineRule="exact"/>
        <w:rPr>
          <w:highlight w:val="none"/>
        </w:rPr>
      </w:pPr>
      <w:r>
        <w:rPr>
          <w:rFonts w:hint="eastAsia"/>
          <w:highlight w:val="none"/>
        </w:rPr>
        <w:t xml:space="preserve">六、我单位具备法律、行政法规规定的其他条件。</w:t>
      </w:r>
      <w:r/>
    </w:p>
    <w:p>
      <w:pPr>
        <w:pStyle w:val="1165"/>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65"/>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65"/>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65"/>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65"/>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65"/>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65"/>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65"/>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65"/>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highlight w:val="none"/>
        </w:rPr>
      </w:r>
      <w:r/>
    </w:p>
    <w:p>
      <w:pPr>
        <w:pStyle w:val="1165"/>
        <w:ind w:firstLine="480"/>
        <w:spacing w:line="460" w:lineRule="exact"/>
        <w:rPr>
          <w:highlight w:val="none"/>
        </w:rPr>
      </w:pPr>
      <w:r>
        <w:rPr>
          <w:rFonts w:hint="eastAsia"/>
          <w:highlight w:val="none"/>
        </w:rPr>
        <w:t xml:space="preserve">                                            投标人：（加盖公章）</w:t>
      </w:r>
      <w:r/>
    </w:p>
    <w:p>
      <w:pPr>
        <w:pStyle w:val="1165"/>
        <w:ind w:firstLine="480"/>
        <w:spacing w:line="460" w:lineRule="exact"/>
        <w:rPr>
          <w:highlight w:val="none"/>
        </w:rPr>
      </w:pPr>
      <w:r>
        <w:rPr>
          <w:rFonts w:hint="eastAsia"/>
          <w:highlight w:val="none"/>
        </w:rPr>
        <w:t xml:space="preserve">                                           法定代表人（或单位负责人）签字或盖章：</w:t>
      </w:r>
      <w:r/>
    </w:p>
    <w:p>
      <w:pPr>
        <w:pStyle w:val="1165"/>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404"/>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57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404"/>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6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7" w:name="_Toc520356217"/>
      <w:r/>
      <w:bookmarkStart w:id="818" w:name="_Toc150774761"/>
      <w:r/>
      <w:bookmarkStart w:id="819" w:name="_Toc226965746"/>
      <w:r/>
      <w:bookmarkStart w:id="820" w:name="_Toc226309800"/>
      <w:r/>
      <w:bookmarkStart w:id="821" w:name="_Toc195842921"/>
      <w:r/>
      <w:bookmarkStart w:id="822" w:name="_Toc142311058"/>
      <w:r/>
      <w:bookmarkStart w:id="823" w:name="_Toc226965829"/>
      <w:r/>
      <w:bookmarkStart w:id="824" w:name="_Toc480942349"/>
      <w:r/>
      <w:bookmarkStart w:id="825" w:name="_Toc150480794"/>
      <w:r/>
      <w:bookmarkStart w:id="826" w:name="_Toc226337252"/>
      <w:r/>
      <w:bookmarkStart w:id="827" w:name="_Ref467988698"/>
      <w:r/>
      <w:bookmarkStart w:id="828" w:name="_Toc127151556"/>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9" w:name="_Hlt520355938"/>
      <w:r/>
      <w:bookmarkEnd w:id="829"/>
      <w:r/>
      <w:bookmarkStart w:id="830" w:name="_Hlt520356243"/>
      <w:r/>
      <w:bookmarkEnd w:id="830"/>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74"/>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6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9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1" w:name="_Hlt520343000"/>
      <w:r/>
      <w:bookmarkEnd w:id="831"/>
      <w:r/>
      <w:bookmarkStart w:id="832" w:name="_Hlt520271212"/>
      <w:r/>
      <w:bookmarkEnd w:id="832"/>
      <w:r/>
      <w:bookmarkStart w:id="833" w:name="_Hlt520350918"/>
      <w:r/>
      <w:bookmarkEnd w:id="833"/>
      <w:r/>
      <w:bookmarkStart w:id="834" w:name="_Hlt520343392"/>
      <w:r/>
      <w:bookmarkEnd w:id="834"/>
      <w:r/>
      <w:bookmarkStart w:id="835" w:name="_Hlt520355504"/>
      <w:r/>
      <w:bookmarkEnd w:id="835"/>
      <w:r/>
      <w:bookmarkStart w:id="836" w:name="_Hlt520274407"/>
      <w:r/>
      <w:bookmarkEnd w:id="836"/>
      <w:r/>
      <w:bookmarkStart w:id="837" w:name="_Hlt520274393"/>
      <w:r/>
      <w:bookmarkEnd w:id="837"/>
      <w:r/>
      <w:bookmarkStart w:id="838" w:name="_Hlt520273711"/>
      <w:r/>
      <w:bookmarkEnd w:id="838"/>
      <w:r/>
      <w:bookmarkStart w:id="839" w:name="_Hlt520274121"/>
      <w:r/>
      <w:bookmarkEnd w:id="839"/>
      <w:r/>
      <w:bookmarkStart w:id="840" w:name="_Hlt520274065"/>
      <w:r/>
      <w:bookmarkEnd w:id="840"/>
      <w:r/>
      <w:bookmarkStart w:id="841" w:name="_Toc520356218"/>
      <w:r/>
      <w:bookmarkStart w:id="842" w:name="_Toc150774762"/>
      <w:r/>
      <w:bookmarkStart w:id="843" w:name="_Toc305158899"/>
      <w:r/>
      <w:bookmarkStart w:id="844" w:name="_Toc195842922"/>
      <w:r/>
      <w:bookmarkStart w:id="845" w:name="_Toc127151557"/>
      <w:r/>
      <w:bookmarkStart w:id="846" w:name="_Toc264969247"/>
      <w:r/>
      <w:bookmarkStart w:id="847" w:name="_Toc305158825"/>
      <w:r/>
      <w:bookmarkStart w:id="848" w:name="_Toc226965747"/>
      <w:r/>
      <w:bookmarkStart w:id="849" w:name="_Toc480942350"/>
      <w:r/>
      <w:bookmarkStart w:id="850" w:name="_Toc150480795"/>
      <w:r/>
      <w:bookmarkStart w:id="851" w:name="_Toc226965830"/>
      <w:r/>
      <w:bookmarkStart w:id="852" w:name="_Toc226309801"/>
      <w:r/>
      <w:bookmarkStart w:id="853" w:name="_Ref467988705"/>
      <w:r/>
      <w:bookmarkStart w:id="854" w:name="_Toc226337253"/>
      <w:r/>
      <w:bookmarkStart w:id="855" w:name="_Toc142311059"/>
      <w:r/>
      <w:bookmarkStart w:id="856" w:name="_Toc265228395"/>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sz w:val="36"/>
          <w:szCs w:val="36"/>
          <w:highlight w:val="none"/>
        </w:rPr>
      </w:pPr>
      <w:r/>
      <w:bookmarkStart w:id="857" w:name="_Toc265228396"/>
      <w:r/>
      <w:bookmarkStart w:id="858" w:name="_Toc164608827"/>
      <w:r/>
      <w:bookmarkStart w:id="859" w:name="_Toc264969248"/>
      <w:r/>
      <w:bookmarkStart w:id="860" w:name="_Toc226309802"/>
      <w:r/>
      <w:bookmarkStart w:id="861" w:name="_Toc226965748"/>
      <w:r/>
      <w:bookmarkStart w:id="862" w:name="_Toc305158826"/>
      <w:r/>
      <w:bookmarkStart w:id="863" w:name="_Toc226965831"/>
      <w:r/>
      <w:bookmarkStart w:id="864" w:name="_Toc226337254"/>
      <w:r/>
      <w:bookmarkStart w:id="865" w:name="_Toc195842923"/>
      <w:r/>
      <w:bookmarkStart w:id="866" w:name="_Toc305158900"/>
      <w:r/>
      <w:bookmarkStart w:id="867" w:name="_Toc164608672"/>
      <w:r>
        <w:rPr>
          <w:rFonts w:hint="eastAsia"/>
          <w:b/>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67"/>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68" w:name="_Toc226965832"/>
      <w:r/>
      <w:bookmarkStart w:id="869" w:name="_Toc264969249"/>
      <w:r/>
      <w:bookmarkStart w:id="870" w:name="_Toc226965749"/>
      <w:r/>
      <w:bookmarkStart w:id="871" w:name="_Toc142311060"/>
      <w:r/>
      <w:bookmarkStart w:id="872" w:name="_Toc226337255"/>
      <w:r/>
      <w:bookmarkStart w:id="873" w:name="_Toc150774763"/>
      <w:r/>
      <w:bookmarkStart w:id="874" w:name="_Toc195842924"/>
      <w:r/>
      <w:bookmarkStart w:id="875" w:name="_Toc305158827"/>
      <w:r/>
      <w:bookmarkStart w:id="876" w:name="_Toc150480796"/>
      <w:r/>
      <w:bookmarkStart w:id="877" w:name="_Toc265228397"/>
      <w:r/>
      <w:bookmarkStart w:id="878" w:name="_Toc127151558"/>
      <w:r/>
      <w:bookmarkStart w:id="879" w:name="_Toc226309803"/>
      <w:r/>
      <w:bookmarkStart w:id="880" w:name="_Toc305158901"/>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127151562"/>
      <w:r/>
      <w:bookmarkStart w:id="882" w:name="_Toc195842927"/>
      <w:r/>
      <w:bookmarkStart w:id="883" w:name="_Toc142311062"/>
      <w:r/>
      <w:bookmarkStart w:id="884" w:name="_Toc226309806"/>
      <w:r/>
      <w:bookmarkStart w:id="885" w:name="_Toc150774765"/>
      <w:r/>
      <w:bookmarkStart w:id="886" w:name="_Toc226337258"/>
      <w:r/>
      <w:bookmarkStart w:id="887" w:name="_Toc305158830"/>
      <w:r/>
      <w:bookmarkStart w:id="888" w:name="_Toc226965835"/>
      <w:r/>
      <w:bookmarkStart w:id="889" w:name="_Toc265228400"/>
      <w:r/>
      <w:bookmarkStart w:id="890" w:name="_Toc305158904"/>
      <w:r/>
      <w:bookmarkStart w:id="891" w:name="_Toc264969252"/>
      <w:r/>
      <w:bookmarkStart w:id="892" w:name="_Toc226965752"/>
      <w:r/>
      <w:bookmarkStart w:id="893" w:name="_Toc150480798"/>
      <w:r/>
      <w:bookmarkStart w:id="894" w:name="_Toc305158903"/>
      <w:r/>
      <w:bookmarkStart w:id="895" w:name="_Toc150480797"/>
      <w:r/>
      <w:bookmarkStart w:id="896" w:name="_Toc226965834"/>
      <w:r/>
      <w:bookmarkStart w:id="897" w:name="_Toc142311061"/>
      <w:r/>
      <w:bookmarkStart w:id="898" w:name="_Toc226309805"/>
      <w:r/>
      <w:bookmarkStart w:id="899" w:name="_Toc305158829"/>
      <w:r/>
      <w:bookmarkStart w:id="900" w:name="_Toc226337257"/>
      <w:r/>
      <w:bookmarkStart w:id="901" w:name="_Toc226965751"/>
      <w:r/>
      <w:bookmarkStart w:id="902" w:name="_Toc150774764"/>
      <w:r/>
      <w:bookmarkStart w:id="903" w:name="_Toc265228399"/>
      <w:r/>
      <w:bookmarkStart w:id="904" w:name="_Toc195842926"/>
      <w:r/>
      <w:bookmarkStart w:id="905" w:name="_Toc127151561"/>
      <w:r/>
      <w:bookmarkStart w:id="906" w:name="_Toc26496925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tabs>
          <w:tab w:val="left" w:pos="1800" w:leader="none"/>
          <w:tab w:val="left" w:pos="5580" w:leader="none"/>
        </w:tabs>
        <w:rPr>
          <w:rFonts w:hint="eastAsia" w:cs="Times New Roman"/>
          <w:b/>
          <w:i/>
          <w:color w:val="ff0000"/>
          <w:sz w:val="24"/>
          <w:highlight w:val="none"/>
          <w:lang w:eastAsia="zh-CN"/>
        </w:rPr>
      </w:pPr>
      <w:r>
        <w:rPr>
          <w:rFonts w:hint="eastAsia" w:cs="Times New Roman"/>
          <w:b/>
          <w:i/>
          <w:color w:val="ff0000"/>
          <w:sz w:val="24"/>
          <w:highlight w:val="none"/>
          <w:lang w:eastAsia="zh-CN"/>
        </w:rPr>
      </w:r>
      <w:r/>
    </w:p>
    <w:p>
      <w:pPr>
        <w:tabs>
          <w:tab w:val="left" w:pos="1800" w:leader="none"/>
          <w:tab w:val="left" w:pos="5580" w:leader="none"/>
        </w:tabs>
        <w:rPr>
          <w:rFonts w:hint="eastAsia" w:cs="Times New Roman"/>
          <w:b/>
          <w:i/>
          <w:color w:val="ff0000"/>
          <w:sz w:val="24"/>
          <w:highlight w:val="none"/>
          <w:lang w:eastAsia="zh-CN"/>
        </w:rPr>
      </w:pPr>
      <w:r>
        <w:rPr>
          <w:rFonts w:hint="eastAsia" w:cs="Times New Roman"/>
          <w:b/>
          <w:i/>
          <w:color w:val="ff0000"/>
          <w:sz w:val="24"/>
          <w:highlight w:val="none"/>
          <w:lang w:eastAsia="zh-CN"/>
        </w:rPr>
        <w:t xml:space="preserve">（</w:t>
      </w:r>
      <w:r>
        <w:rPr>
          <w:rFonts w:ascii="Times New Roman" w:hAnsi="Times New Roman" w:eastAsia="宋体" w:cs="Times New Roman"/>
          <w:b/>
          <w:i/>
          <w:color w:val="ff0000"/>
          <w:sz w:val="24"/>
          <w:highlight w:val="none"/>
        </w:rPr>
        <w:t xml:space="preserve">适用于服务类项目</w:t>
      </w:r>
      <w:r>
        <w:rPr>
          <w:rFonts w:hint="eastAsia" w:ascii="Times New Roman" w:hAnsi="Times New Roman" w:eastAsia="宋体" w:cs="Times New Roman"/>
          <w:b/>
          <w:i/>
          <w:color w:val="ff0000"/>
          <w:sz w:val="24"/>
          <w:highlight w:val="none"/>
        </w:rPr>
        <w:t xml:space="preserve">，可以根据项目实际情况调整</w:t>
      </w:r>
      <w:r>
        <w:rPr>
          <w:rFonts w:hint="eastAsia" w:cs="Times New Roman"/>
          <w:b/>
          <w:i/>
          <w:color w:val="ff0000"/>
          <w:sz w:val="24"/>
          <w:highlight w:val="none"/>
          <w:lang w:eastAsia="zh-CN"/>
        </w:rPr>
        <w:t xml:space="preserve">）</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67"/>
        <w:tblW w:w="87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2100"/>
        <w:gridCol w:w="1997"/>
        <w:gridCol w:w="1042"/>
        <w:gridCol w:w="992"/>
        <w:gridCol w:w="919"/>
        <w:gridCol w:w="1072"/>
      </w:tblGrid>
      <w:tr>
        <w:trPr>
          <w:cantSplit/>
          <w:jc w:val="center"/>
          <w:trHeight w:val="285"/>
        </w:trPr>
        <w:tc>
          <w:tcPr>
            <w:tcW w:w="656"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210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1997"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56"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10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997"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1</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人员费用</w:t>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2</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车辆费用</w:t>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3</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中转站维护费（如有）</w:t>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4</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中转站垃圾转运费（如有）</w:t>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5</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经营管理费</w:t>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56" w:type="dxa"/>
            <w:vAlign w:val="center"/>
            <w:textDirection w:val="lrTb"/>
            <w:noWrap w:val="false"/>
          </w:tcPr>
          <w:p>
            <w:pPr>
              <w:jc w:val="center"/>
              <w:spacing w:line="360" w:lineRule="auto"/>
              <w:widowControl/>
              <w:rPr>
                <w:rFonts w:hint="eastAsia" w:ascii="宋体" w:hAnsi="宋体" w:eastAsia="宋体" w:cs="Arial"/>
                <w:sz w:val="18"/>
                <w:szCs w:val="18"/>
                <w:highlight w:val="none"/>
                <w:lang w:val="en-US" w:eastAsia="zh-CN"/>
              </w:rPr>
            </w:pPr>
            <w:r>
              <w:rPr>
                <w:rFonts w:hint="eastAsia" w:ascii="宋体" w:hAnsi="宋体" w:eastAsia="宋体" w:cs="Arial"/>
                <w:sz w:val="18"/>
                <w:szCs w:val="18"/>
                <w:highlight w:val="none"/>
                <w:lang w:val="en-US" w:eastAsia="zh-CN"/>
              </w:rPr>
              <w:t xml:space="preserve">6</w:t>
            </w:r>
            <w:r/>
          </w:p>
        </w:tc>
        <w:tc>
          <w:tcPr>
            <w:tcW w:w="2100" w:type="dxa"/>
            <w:vAlign w:val="center"/>
            <w:textDirection w:val="lrTb"/>
            <w:noWrap w:val="false"/>
          </w:tcPr>
          <w:p>
            <w:pPr>
              <w:jc w:val="center"/>
              <w:spacing w:line="360" w:lineRule="auto"/>
              <w:widowControl/>
              <w:rPr>
                <w:rFonts w:hint="default" w:ascii="宋体" w:hAnsi="宋体" w:eastAsia="宋体" w:cs="Arial"/>
                <w:sz w:val="24"/>
                <w:highlight w:val="none"/>
                <w:lang w:val="en-US" w:eastAsia="zh-CN"/>
              </w:rPr>
            </w:pPr>
            <w:r>
              <w:rPr>
                <w:rFonts w:hint="eastAsia" w:ascii="宋体" w:hAnsi="宋体" w:eastAsia="宋体" w:cs="Arial"/>
                <w:sz w:val="24"/>
                <w:highlight w:val="none"/>
                <w:lang w:val="en-US" w:eastAsia="zh-CN"/>
              </w:rPr>
              <w:t xml:space="preserve">税费</w:t>
            </w:r>
            <w:r/>
          </w:p>
        </w:tc>
        <w:tc>
          <w:tcPr>
            <w:tcW w:w="1997"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shd w:val="clear" w:color="auto" w:fill="auto"/>
            <w:tcW w:w="656" w:type="dxa"/>
            <w:vAlign w:val="center"/>
            <w:textDirection w:val="lrTb"/>
            <w:noWrap w:val="false"/>
          </w:tcPr>
          <w:p>
            <w:pPr>
              <w:jc w:val="center"/>
              <w:spacing w:line="240" w:lineRule="auto"/>
              <w:widowControl/>
              <w:rPr>
                <w:rFonts w:hint="eastAsia" w:ascii="宋体" w:hAnsi="宋体" w:eastAsia="宋体" w:cs="Arial"/>
                <w:sz w:val="24"/>
                <w:szCs w:val="24"/>
                <w:highlight w:val="none"/>
                <w:lang w:val="en-US" w:eastAsia="zh-CN" w:bidi="ar-SA"/>
              </w:rPr>
            </w:pPr>
            <w:r>
              <w:rPr>
                <w:rFonts w:hint="eastAsia" w:ascii="宋体" w:hAnsi="宋体" w:eastAsia="宋体" w:cs="Arial"/>
                <w:sz w:val="24"/>
                <w:highlight w:val="none"/>
              </w:rPr>
              <w:t xml:space="preserve">……</w:t>
            </w:r>
            <w:r/>
          </w:p>
        </w:tc>
        <w:tc>
          <w:tcPr>
            <w:shd w:val="clear" w:color="auto" w:fill="auto"/>
            <w:tcW w:w="2100" w:type="dxa"/>
            <w:vAlign w:val="center"/>
            <w:textDirection w:val="lrTb"/>
            <w:noWrap w:val="false"/>
          </w:tcPr>
          <w:p>
            <w:pPr>
              <w:jc w:val="center"/>
              <w:spacing w:line="360" w:lineRule="auto"/>
              <w:widowControl/>
              <w:rPr>
                <w:rFonts w:hint="eastAsia" w:ascii="宋体" w:hAnsi="宋体" w:eastAsia="宋体" w:cs="Arial"/>
                <w:b/>
                <w:bCs/>
                <w:sz w:val="24"/>
                <w:szCs w:val="24"/>
                <w:highlight w:val="none"/>
                <w:lang w:val="en-US" w:eastAsia="zh-CN" w:bidi="ar-SA"/>
              </w:rPr>
            </w:pPr>
            <w:r>
              <w:rPr>
                <w:rFonts w:hint="eastAsia" w:ascii="宋体" w:hAnsi="宋体" w:eastAsia="宋体" w:cs="Arial"/>
                <w:b/>
                <w:bCs/>
                <w:sz w:val="24"/>
                <w:szCs w:val="24"/>
                <w:highlight w:val="none"/>
                <w:lang w:val="en-US" w:eastAsia="zh-CN" w:bidi="ar-SA"/>
              </w:rPr>
            </w:r>
            <w:r/>
          </w:p>
        </w:tc>
        <w:tc>
          <w:tcPr>
            <w:shd w:val="clear" w:color="auto" w:fill="auto"/>
            <w:tcW w:w="1997"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1042"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992"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919"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c>
          <w:tcPr>
            <w:shd w:val="clear" w:color="auto" w:fill="auto"/>
            <w:tcW w:w="1072" w:type="dxa"/>
            <w:vAlign w:val="center"/>
            <w:textDirection w:val="lrTb"/>
            <w:noWrap w:val="false"/>
          </w:tcPr>
          <w:p>
            <w:pPr>
              <w:jc w:val="center"/>
              <w:spacing w:line="360" w:lineRule="auto"/>
              <w:widowControl/>
              <w:rPr>
                <w:rFonts w:hint="default" w:ascii="宋体" w:hAnsi="宋体" w:eastAsia="宋体" w:cs="Arial"/>
                <w:sz w:val="24"/>
                <w:szCs w:val="24"/>
                <w:highlight w:val="none"/>
                <w:lang w:val="en-US" w:eastAsia="zh-CN" w:bidi="ar-SA"/>
              </w:rPr>
            </w:pPr>
            <w:r>
              <w:rPr>
                <w:rFonts w:hint="default" w:ascii="宋体" w:hAnsi="宋体" w:eastAsia="宋体" w:cs="Arial"/>
                <w:sz w:val="24"/>
                <w:szCs w:val="24"/>
                <w:highlight w:val="none"/>
                <w:lang w:val="en-US" w:eastAsia="zh-CN" w:bidi="ar-SA"/>
              </w:rPr>
            </w:r>
            <w:r/>
          </w:p>
        </w:tc>
      </w:tr>
      <w:tr>
        <w:trPr>
          <w:jc w:val="center"/>
          <w:trHeight w:val="480"/>
        </w:trPr>
        <w:tc>
          <w:tcPr>
            <w:gridSpan w:val="3"/>
            <w:tcW w:w="4753"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ind w:firstLine="0"/>
        <w:jc w:val="left"/>
        <w:keepLines w:val="0"/>
        <w:keepNext w:val="0"/>
        <w:pageBreakBefore w:val="0"/>
        <w:spacing w:line="240" w:lineRule="auto"/>
        <w:widowControl w:val="off"/>
        <w:rPr>
          <w:rFonts w:hint="default" w:ascii="宋体" w:hAnsi="宋体" w:eastAsia="宋体" w:cs="Times New Roman"/>
          <w:b w:val="0"/>
          <w:bCs w:val="0"/>
          <w:color w:val="c00000"/>
          <w:sz w:val="24"/>
          <w:szCs w:val="22"/>
          <w:highlight w:val="none"/>
          <w:lang w:val="en-US" w:eastAsia="zh-CN"/>
        </w:rPr>
      </w:pPr>
      <w:r>
        <w:rPr>
          <w:rFonts w:ascii="Times New Roman" w:hAnsi="Times New Roman" w:eastAsia="宋体" w:cs="Times New Roman"/>
          <w:color w:val="000000"/>
          <w:sz w:val="24"/>
          <w:highlight w:val="none"/>
          <w:lang w:val="zh-CN"/>
        </w:rPr>
        <w:t xml:space="preserve">    </w:t>
      </w:r>
      <w:r>
        <w:rPr>
          <w:rFonts w:hint="eastAsia" w:cs="Times New Roman"/>
          <w:color w:val="000000"/>
          <w:sz w:val="24"/>
          <w:highlight w:val="none"/>
          <w:lang w:val="en-US" w:eastAsia="zh-CN"/>
        </w:rPr>
        <w:t xml:space="preserve">5</w:t>
      </w:r>
      <w:r>
        <w:rPr>
          <w:rFonts w:hint="eastAsia" w:cs="Times New Roman"/>
          <w:color w:val="auto"/>
          <w:sz w:val="24"/>
          <w:highlight w:val="none"/>
          <w:lang w:val="en-US" w:eastAsia="zh-CN"/>
        </w:rPr>
        <w:t xml:space="preserve">.</w:t>
      </w:r>
      <w:r>
        <w:rPr>
          <w:rFonts w:hint="eastAsia" w:ascii="宋体" w:hAnsi="宋体" w:eastAsia="宋体" w:cs="宋体"/>
          <w:b/>
          <w:bCs/>
          <w:color w:val="auto"/>
          <w:sz w:val="24"/>
          <w:szCs w:val="24"/>
          <w:lang w:val="en-US" w:eastAsia="zh-CN"/>
        </w:rPr>
        <w:t xml:space="preserve">报价应包括招标文件所确定的采购范围相应服务的提供、人员（包括工资和补贴）、设施设备、保险、劳保、管理、各种税费、利润、税金、政策性文件规定及合同包含的所有风险、责任等各项应有费用，以及为完成该项服务项目所涉及到的一切相关费用，采购方不再支付其他任何费用。</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6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6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7" w:name="_Toc288738839"/>
      <w:r/>
      <w:bookmarkStart w:id="908" w:name="_Toc288738397"/>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6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145"/>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4"/>
      <w:headerReference w:type="first" r:id="rId15"/>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7"/>
      </w:rPr>
    </w:pPr>
    <w:r/>
    <w:r/>
  </w:p>
  <w:p>
    <w:pPr>
      <w:pStyle w:val="119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7"/>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91"/>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1"/>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7"/>
      </w:rPr>
      <w:framePr w:wrap="around" w:vAnchor="text" w:hAnchor="margin" w:xAlign="right" w:y="1"/>
    </w:pPr>
    <w:r>
      <w:rPr>
        <w:rStyle w:val="1217"/>
      </w:rPr>
      <w:fldChar w:fldCharType="begin"/>
    </w:r>
    <w:r>
      <w:rPr>
        <w:rStyle w:val="1217"/>
      </w:rPr>
      <w:instrText xml:space="preserve">PAGE  </w:instrText>
    </w:r>
    <w:r>
      <w:rPr>
        <w:rStyle w:val="1217"/>
      </w:rPr>
      <w:fldChar w:fldCharType="end"/>
    </w:r>
    <w:r/>
  </w:p>
  <w:p>
    <w:pPr>
      <w:pStyle w:val="119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tabs>
        <w:tab w:val="center" w:pos="4153" w:leader="none"/>
        <w:tab w:val="clear" w:pos="7143" w:leader="none"/>
        <w:tab w:val="right" w:pos="8307"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txbxContent>
              </v:textbox>
            </v:shape>
          </w:pict>
        </mc:Fallback>
      </mc:AlternateContent>
    </w:r>
    <w:r/>
  </w:p>
  <w:p>
    <w:pPr>
      <w:pStyle w:val="980"/>
      <w:jc w:val="center"/>
      <w:tabs>
        <w:tab w:val="center" w:pos="4153" w:leader="none"/>
        <w:tab w:val="clear" w:pos="7143" w:leader="none"/>
        <w:tab w:val="right" w:pos="8306" w:leader="none"/>
        <w:tab w:val="clear" w:pos="14287" w:leader="none"/>
      </w:tabs>
      <w:rPr>
        <w:rFonts w:ascii="楷体_GB2312" w:hAnsi="楷体_GB2312"/>
      </w:rPr>
    </w:pPr>
    <w:r>
      <w:rPr>
        <w:rFonts w:ascii="楷体_GB2312" w:hAnsi="楷体_GB2312"/>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9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91"/>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rPr>
        <w:rStyle w:val="1217"/>
      </w:rPr>
      <w:framePr w:wrap="around" w:vAnchor="text" w:hAnchor="margin" w:xAlign="right" w:y="1"/>
    </w:pPr>
    <w:r>
      <w:rPr>
        <w:rStyle w:val="1217"/>
      </w:rPr>
      <w:fldChar w:fldCharType="begin"/>
    </w:r>
    <w:r>
      <w:rPr>
        <w:rStyle w:val="1217"/>
      </w:rPr>
      <w:instrText xml:space="preserve">PAGE  </w:instrText>
    </w:r>
    <w:r>
      <w:rPr>
        <w:rStyle w:val="1217"/>
      </w:rPr>
      <w:fldChar w:fldCharType="end"/>
    </w:r>
    <w:r/>
  </w:p>
  <w:p>
    <w:pPr>
      <w:pStyle w:val="1191"/>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spacing w:line="440" w:lineRule="exact"/>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30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5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4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4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3"/>
      <w:isLgl w:val="false"/>
      <w:suff w:val="nothing"/>
      <w:lvlText w:val="%1.%2.%3.%4.%5.%6　"/>
      <w:lvlJc w:val="left"/>
      <w:pPr>
        <w:ind w:left="-25" w:firstLine="0"/>
      </w:pPr>
      <w:rPr>
        <w:rFonts w:ascii="Times New Roman" w:hAnsi="Times New Roman" w:eastAsia="宋体"/>
        <w:b/>
        <w:i w:val="0"/>
        <w:sz w:val="28"/>
      </w:rPr>
    </w:lvl>
    <w:lvl w:ilvl="6">
      <w:start w:val="1"/>
      <w:numFmt w:val="lowerLetter"/>
      <w:pStyle w:val="130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6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32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54"/>
      <w:isLgl w:val="false"/>
      <w:suff w:val="tab"/>
      <w:lvlText w:val="%1"/>
      <w:lvlJc w:val="left"/>
      <w:pPr>
        <w:ind w:left="680" w:hanging="680"/>
      </w:pPr>
      <w:rPr>
        <w:rFonts w:hint="eastAsia" w:ascii="宋体" w:hAnsi="宋体" w:eastAsia="宋体"/>
      </w:rPr>
    </w:lvl>
    <w:lvl w:ilvl="1">
      <w:start w:val="1"/>
      <w:numFmt w:val="decimal"/>
      <w:pStyle w:val="1355"/>
      <w:isLgl w:val="false"/>
      <w:suff w:val="tab"/>
      <w:lvlText w:val="%1.%2"/>
      <w:lvlJc w:val="left"/>
      <w:pPr>
        <w:ind w:left="851" w:hanging="851"/>
      </w:pPr>
      <w:rPr>
        <w:rFonts w:hint="eastAsia" w:ascii="宋体" w:hAnsi="宋体" w:eastAsia="宋体"/>
        <w:color w:val="000000"/>
      </w:rPr>
    </w:lvl>
    <w:lvl w:ilvl="2">
      <w:start w:val="1"/>
      <w:numFmt w:val="decimal"/>
      <w:pStyle w:val="13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pStyle w:val="12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3"/>
  </w:num>
  <w:num w:numId="13">
    <w:abstractNumId w:val="3"/>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6" w:default="1">
    <w:name w:val="Normal"/>
    <w:next w:val="968"/>
    <w:link w:val="14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name w:val="Heading 1"/>
    <w:basedOn w:val="956"/>
    <w:next w:val="956"/>
    <w:link w:val="995"/>
    <w:uiPriority w:val="9"/>
    <w:qFormat/>
    <w:pPr>
      <w:keepLines/>
      <w:keepNext/>
      <w:spacing w:before="480" w:after="200"/>
      <w:outlineLvl w:val="0"/>
    </w:pPr>
    <w:rPr>
      <w:rFonts w:ascii="Arial" w:hAnsi="Arial" w:eastAsia="Arial" w:cs="Arial"/>
      <w:sz w:val="40"/>
      <w:szCs w:val="40"/>
    </w:rPr>
  </w:style>
  <w:style w:type="paragraph" w:styleId="958">
    <w:name w:val="Heading 2"/>
    <w:basedOn w:val="956"/>
    <w:next w:val="956"/>
    <w:link w:val="996"/>
    <w:uiPriority w:val="9"/>
    <w:unhideWhenUsed/>
    <w:qFormat/>
    <w:pPr>
      <w:keepLines/>
      <w:keepNext/>
      <w:spacing w:before="360" w:after="200"/>
      <w:outlineLvl w:val="1"/>
    </w:pPr>
    <w:rPr>
      <w:rFonts w:ascii="Arial" w:hAnsi="Arial" w:eastAsia="Arial" w:cs="Arial"/>
      <w:sz w:val="34"/>
    </w:rPr>
  </w:style>
  <w:style w:type="paragraph" w:styleId="959">
    <w:name w:val="Heading 3"/>
    <w:basedOn w:val="956"/>
    <w:next w:val="956"/>
    <w:link w:val="997"/>
    <w:uiPriority w:val="9"/>
    <w:unhideWhenUsed/>
    <w:qFormat/>
    <w:pPr>
      <w:keepLines/>
      <w:keepNext/>
      <w:spacing w:before="320" w:after="200"/>
      <w:outlineLvl w:val="2"/>
    </w:pPr>
    <w:rPr>
      <w:rFonts w:ascii="Arial" w:hAnsi="Arial" w:eastAsia="Arial" w:cs="Arial"/>
      <w:sz w:val="30"/>
      <w:szCs w:val="30"/>
    </w:rPr>
  </w:style>
  <w:style w:type="paragraph" w:styleId="960">
    <w:name w:val="Heading 4"/>
    <w:basedOn w:val="956"/>
    <w:next w:val="956"/>
    <w:link w:val="998"/>
    <w:uiPriority w:val="9"/>
    <w:unhideWhenUsed/>
    <w:qFormat/>
    <w:pPr>
      <w:keepLines/>
      <w:keepNext/>
      <w:spacing w:before="320" w:after="200"/>
      <w:outlineLvl w:val="3"/>
    </w:pPr>
    <w:rPr>
      <w:rFonts w:ascii="Arial" w:hAnsi="Arial" w:eastAsia="Arial" w:cs="Arial"/>
      <w:b/>
      <w:bCs/>
      <w:sz w:val="26"/>
      <w:szCs w:val="26"/>
    </w:rPr>
  </w:style>
  <w:style w:type="paragraph" w:styleId="961">
    <w:name w:val="Heading 5"/>
    <w:basedOn w:val="956"/>
    <w:next w:val="956"/>
    <w:link w:val="999"/>
    <w:uiPriority w:val="9"/>
    <w:unhideWhenUsed/>
    <w:qFormat/>
    <w:pPr>
      <w:keepLines/>
      <w:keepNext/>
      <w:spacing w:before="320" w:after="200"/>
      <w:outlineLvl w:val="4"/>
    </w:pPr>
    <w:rPr>
      <w:rFonts w:ascii="Arial" w:hAnsi="Arial" w:eastAsia="Arial" w:cs="Arial"/>
      <w:b/>
      <w:bCs/>
      <w:sz w:val="24"/>
      <w:szCs w:val="24"/>
    </w:rPr>
  </w:style>
  <w:style w:type="paragraph" w:styleId="962">
    <w:name w:val="Heading 6"/>
    <w:basedOn w:val="956"/>
    <w:next w:val="956"/>
    <w:link w:val="1000"/>
    <w:uiPriority w:val="9"/>
    <w:unhideWhenUsed/>
    <w:qFormat/>
    <w:pPr>
      <w:keepLines/>
      <w:keepNext/>
      <w:spacing w:before="320" w:after="200"/>
      <w:outlineLvl w:val="5"/>
    </w:pPr>
    <w:rPr>
      <w:rFonts w:ascii="Arial" w:hAnsi="Arial" w:eastAsia="Arial" w:cs="Arial"/>
      <w:b/>
      <w:bCs/>
      <w:sz w:val="22"/>
      <w:szCs w:val="22"/>
    </w:rPr>
  </w:style>
  <w:style w:type="paragraph" w:styleId="963">
    <w:name w:val="Heading 7"/>
    <w:basedOn w:val="956"/>
    <w:next w:val="956"/>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964">
    <w:name w:val="Heading 8"/>
    <w:basedOn w:val="956"/>
    <w:next w:val="956"/>
    <w:link w:val="1002"/>
    <w:uiPriority w:val="9"/>
    <w:unhideWhenUsed/>
    <w:qFormat/>
    <w:pPr>
      <w:keepLines/>
      <w:keepNext/>
      <w:spacing w:before="320" w:after="200"/>
      <w:outlineLvl w:val="7"/>
    </w:pPr>
    <w:rPr>
      <w:rFonts w:ascii="Arial" w:hAnsi="Arial" w:eastAsia="Arial" w:cs="Arial"/>
      <w:i/>
      <w:iCs/>
      <w:sz w:val="22"/>
      <w:szCs w:val="22"/>
    </w:rPr>
  </w:style>
  <w:style w:type="paragraph" w:styleId="965">
    <w:name w:val="Heading 9"/>
    <w:basedOn w:val="956"/>
    <w:next w:val="956"/>
    <w:link w:val="1003"/>
    <w:uiPriority w:val="9"/>
    <w:unhideWhenUsed/>
    <w:qFormat/>
    <w:pPr>
      <w:keepLines/>
      <w:keepNext/>
      <w:spacing w:before="320" w:after="200"/>
      <w:outlineLvl w:val="8"/>
    </w:pPr>
    <w:rPr>
      <w:rFonts w:ascii="Arial" w:hAnsi="Arial" w:eastAsia="Arial" w:cs="Arial"/>
      <w:i/>
      <w:iCs/>
      <w:sz w:val="21"/>
      <w:szCs w:val="21"/>
    </w:rPr>
  </w:style>
  <w:style w:type="character" w:styleId="966" w:default="1">
    <w:name w:val="Default Paragraph Font"/>
    <w:uiPriority w:val="1"/>
    <w:semiHidden/>
    <w:unhideWhenUsed/>
    <w:qFormat/>
  </w:style>
  <w:style w:type="table" w:styleId="967" w:default="1">
    <w:name w:val="Normal Table"/>
    <w:uiPriority w:val="99"/>
    <w:semiHidden/>
    <w:unhideWhenUsed/>
    <w:qFormat/>
    <w:tblPr>
      <w:tblCellMar>
        <w:left w:w="108" w:type="dxa"/>
        <w:top w:w="0" w:type="dxa"/>
        <w:right w:w="108" w:type="dxa"/>
        <w:bottom w:w="0" w:type="dxa"/>
      </w:tblCellMar>
    </w:tblPr>
  </w:style>
  <w:style w:type="paragraph" w:styleId="968">
    <w:name w:val="Body Text First Indent 2"/>
    <w:basedOn w:val="969"/>
    <w:next w:val="956"/>
    <w:uiPriority w:val="99"/>
    <w:qFormat/>
    <w:pPr>
      <w:ind w:left="420" w:firstLine="420"/>
      <w:spacing w:after="120" w:line="360" w:lineRule="auto"/>
      <w:tabs>
        <w:tab w:val="left" w:pos="0" w:leader="none"/>
        <w:tab w:val="left" w:pos="993" w:leader="none"/>
        <w:tab w:val="left" w:pos="1134" w:leader="none"/>
      </w:tabs>
    </w:pPr>
    <w:rPr>
      <w:color w:val="000000"/>
      <w:sz w:val="20"/>
    </w:rPr>
  </w:style>
  <w:style w:type="paragraph" w:styleId="969">
    <w:name w:val="Body Text Indent"/>
    <w:basedOn w:val="956"/>
    <w:next w:val="956"/>
    <w:uiPriority w:val="0"/>
    <w:qFormat/>
    <w:pPr>
      <w:ind w:firstLine="196"/>
      <w:jc w:val="both"/>
      <w:spacing w:line="440" w:lineRule="exact"/>
    </w:pPr>
    <w:rPr>
      <w:rFonts w:cs="Century"/>
      <w:spacing w:val="2"/>
      <w:sz w:val="21"/>
      <w:szCs w:val="24"/>
      <w:lang w:val="en-US" w:bidi="ar-SA"/>
    </w:rPr>
  </w:style>
  <w:style w:type="paragraph" w:styleId="970">
    <w:name w:val="toc 7"/>
    <w:basedOn w:val="956"/>
    <w:next w:val="956"/>
    <w:uiPriority w:val="39"/>
    <w:unhideWhenUsed/>
    <w:qFormat/>
    <w:pPr>
      <w:ind w:left="1701" w:right="0" w:firstLine="0"/>
      <w:spacing w:after="57"/>
    </w:pPr>
  </w:style>
  <w:style w:type="paragraph" w:styleId="971">
    <w:name w:val="Normal Indent"/>
    <w:basedOn w:val="956"/>
    <w:next w:val="972"/>
    <w:uiPriority w:val="0"/>
    <w:qFormat/>
    <w:pPr>
      <w:ind w:firstLine="420"/>
    </w:pPr>
    <w:rPr>
      <w:b/>
      <w:sz w:val="24"/>
    </w:rPr>
  </w:style>
  <w:style w:type="paragraph" w:styleId="972">
    <w:name w:val="Balloon Text"/>
    <w:basedOn w:val="956"/>
    <w:uiPriority w:val="0"/>
    <w:semiHidden/>
    <w:qFormat/>
    <w:rPr>
      <w:sz w:val="18"/>
      <w:szCs w:val="18"/>
    </w:rPr>
  </w:style>
  <w:style w:type="paragraph" w:styleId="973">
    <w:name w:val="Caption"/>
    <w:basedOn w:val="956"/>
    <w:next w:val="9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4">
    <w:name w:val="Body Text"/>
    <w:basedOn w:val="956"/>
    <w:next w:val="956"/>
    <w:uiPriority w:val="0"/>
    <w:qFormat/>
    <w:pPr>
      <w:spacing w:before="120" w:line="22" w:lineRule="atLeast"/>
      <w:tabs>
        <w:tab w:val="left" w:pos="567" w:leader="none"/>
      </w:tabs>
    </w:pPr>
    <w:rPr>
      <w:rFonts w:ascii="宋体" w:hAnsi="宋体"/>
      <w:sz w:val="24"/>
    </w:rPr>
  </w:style>
  <w:style w:type="paragraph" w:styleId="975">
    <w:name w:val="toc 5"/>
    <w:basedOn w:val="956"/>
    <w:next w:val="956"/>
    <w:uiPriority w:val="39"/>
    <w:unhideWhenUsed/>
    <w:qFormat/>
    <w:pPr>
      <w:ind w:left="1134" w:right="0" w:firstLine="0"/>
      <w:spacing w:after="57"/>
    </w:pPr>
  </w:style>
  <w:style w:type="paragraph" w:styleId="976">
    <w:name w:val="toc 3"/>
    <w:basedOn w:val="956"/>
    <w:next w:val="956"/>
    <w:uiPriority w:val="39"/>
    <w:unhideWhenUsed/>
    <w:qFormat/>
    <w:pPr>
      <w:ind w:left="567" w:right="0" w:firstLine="0"/>
      <w:spacing w:after="57"/>
    </w:pPr>
  </w:style>
  <w:style w:type="paragraph" w:styleId="977">
    <w:name w:val="Plain Text"/>
    <w:basedOn w:val="956"/>
    <w:next w:val="971"/>
    <w:uiPriority w:val="0"/>
    <w:qFormat/>
    <w:rPr>
      <w:rFonts w:hAnsi="Courier New"/>
      <w:szCs w:val="20"/>
    </w:rPr>
  </w:style>
  <w:style w:type="paragraph" w:styleId="978">
    <w:name w:val="toc 8"/>
    <w:basedOn w:val="956"/>
    <w:next w:val="956"/>
    <w:uiPriority w:val="39"/>
    <w:unhideWhenUsed/>
    <w:qFormat/>
    <w:pPr>
      <w:ind w:left="1984" w:right="0" w:firstLine="0"/>
      <w:spacing w:after="57"/>
    </w:pPr>
  </w:style>
  <w:style w:type="paragraph" w:styleId="979">
    <w:name w:val="endnote text"/>
    <w:basedOn w:val="956"/>
    <w:link w:val="1141"/>
    <w:uiPriority w:val="99"/>
    <w:semiHidden/>
    <w:unhideWhenUsed/>
    <w:qFormat/>
    <w:pPr>
      <w:spacing w:after="0" w:line="240" w:lineRule="auto"/>
    </w:pPr>
    <w:rPr>
      <w:sz w:val="20"/>
    </w:rPr>
  </w:style>
  <w:style w:type="paragraph" w:styleId="980">
    <w:name w:val="Footer"/>
    <w:basedOn w:val="956"/>
    <w:link w:val="1014"/>
    <w:uiPriority w:val="99"/>
    <w:unhideWhenUsed/>
    <w:qFormat/>
    <w:pPr>
      <w:spacing w:after="0" w:line="240" w:lineRule="auto"/>
      <w:tabs>
        <w:tab w:val="center" w:pos="7143" w:leader="none"/>
        <w:tab w:val="right" w:pos="14287" w:leader="none"/>
      </w:tabs>
    </w:pPr>
  </w:style>
  <w:style w:type="paragraph" w:styleId="981">
    <w:name w:val="Header"/>
    <w:basedOn w:val="956"/>
    <w:link w:val="1012"/>
    <w:uiPriority w:val="99"/>
    <w:unhideWhenUsed/>
    <w:qFormat/>
    <w:pPr>
      <w:spacing w:after="0" w:line="240" w:lineRule="auto"/>
      <w:tabs>
        <w:tab w:val="center" w:pos="7143" w:leader="none"/>
        <w:tab w:val="right" w:pos="14287" w:leader="none"/>
      </w:tabs>
    </w:pPr>
  </w:style>
  <w:style w:type="paragraph" w:styleId="982">
    <w:name w:val="toc 1"/>
    <w:basedOn w:val="956"/>
    <w:next w:val="956"/>
    <w:uiPriority w:val="39"/>
    <w:unhideWhenUsed/>
    <w:qFormat/>
    <w:pPr>
      <w:ind w:left="0" w:right="0" w:firstLine="0"/>
      <w:spacing w:after="57"/>
    </w:pPr>
  </w:style>
  <w:style w:type="paragraph" w:styleId="983">
    <w:name w:val="toc 4"/>
    <w:basedOn w:val="956"/>
    <w:next w:val="956"/>
    <w:uiPriority w:val="39"/>
    <w:unhideWhenUsed/>
    <w:qFormat/>
    <w:pPr>
      <w:ind w:left="850" w:right="0" w:firstLine="0"/>
      <w:spacing w:after="57"/>
    </w:pPr>
  </w:style>
  <w:style w:type="paragraph" w:styleId="984">
    <w:name w:val="Subtitle"/>
    <w:basedOn w:val="956"/>
    <w:next w:val="956"/>
    <w:link w:val="1007"/>
    <w:uiPriority w:val="11"/>
    <w:qFormat/>
    <w:pPr>
      <w:spacing w:before="200" w:after="200"/>
    </w:pPr>
    <w:rPr>
      <w:sz w:val="24"/>
      <w:szCs w:val="24"/>
    </w:rPr>
  </w:style>
  <w:style w:type="paragraph" w:styleId="985">
    <w:name w:val="footnote text"/>
    <w:basedOn w:val="956"/>
    <w:link w:val="1140"/>
    <w:uiPriority w:val="99"/>
    <w:semiHidden/>
    <w:unhideWhenUsed/>
    <w:qFormat/>
    <w:pPr>
      <w:spacing w:after="40" w:line="240" w:lineRule="auto"/>
    </w:pPr>
    <w:rPr>
      <w:sz w:val="18"/>
    </w:rPr>
  </w:style>
  <w:style w:type="paragraph" w:styleId="986">
    <w:name w:val="toc 6"/>
    <w:basedOn w:val="956"/>
    <w:next w:val="956"/>
    <w:uiPriority w:val="39"/>
    <w:unhideWhenUsed/>
    <w:qFormat/>
    <w:pPr>
      <w:ind w:left="1417" w:right="0" w:firstLine="0"/>
      <w:spacing w:after="57"/>
    </w:pPr>
  </w:style>
  <w:style w:type="paragraph" w:styleId="987">
    <w:name w:val="table of figures"/>
    <w:basedOn w:val="956"/>
    <w:next w:val="956"/>
    <w:uiPriority w:val="99"/>
    <w:unhideWhenUsed/>
    <w:qFormat/>
    <w:pPr>
      <w:spacing w:after="0" w:afterAutospacing="0"/>
    </w:pPr>
  </w:style>
  <w:style w:type="paragraph" w:styleId="988">
    <w:name w:val="toc 2"/>
    <w:basedOn w:val="956"/>
    <w:next w:val="956"/>
    <w:uiPriority w:val="39"/>
    <w:unhideWhenUsed/>
    <w:qFormat/>
    <w:pPr>
      <w:ind w:left="283" w:right="0" w:firstLine="0"/>
      <w:spacing w:after="57"/>
    </w:pPr>
  </w:style>
  <w:style w:type="paragraph" w:styleId="989">
    <w:name w:val="toc 9"/>
    <w:basedOn w:val="956"/>
    <w:next w:val="956"/>
    <w:uiPriority w:val="39"/>
    <w:unhideWhenUsed/>
    <w:qFormat/>
    <w:pPr>
      <w:ind w:left="2268" w:right="0" w:firstLine="0"/>
      <w:spacing w:after="57"/>
    </w:pPr>
  </w:style>
  <w:style w:type="paragraph" w:styleId="990">
    <w:name w:val="Title"/>
    <w:basedOn w:val="956"/>
    <w:next w:val="956"/>
    <w:link w:val="1006"/>
    <w:uiPriority w:val="10"/>
    <w:qFormat/>
    <w:pPr>
      <w:contextualSpacing/>
      <w:spacing w:before="300" w:after="200"/>
    </w:pPr>
    <w:rPr>
      <w:sz w:val="48"/>
      <w:szCs w:val="48"/>
    </w:rPr>
  </w:style>
  <w:style w:type="table" w:styleId="9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2">
    <w:name w:val="endnote reference"/>
    <w:uiPriority w:val="99"/>
    <w:semiHidden/>
    <w:unhideWhenUsed/>
    <w:qFormat/>
    <w:rPr>
      <w:vertAlign w:val="superscript"/>
    </w:rPr>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footnote reference"/>
    <w:uiPriority w:val="99"/>
    <w:unhideWhenUsed/>
    <w:qFormat/>
    <w:rPr>
      <w:vertAlign w:val="superscript"/>
    </w:rPr>
  </w:style>
  <w:style w:type="character" w:styleId="995" w:customStyle="1">
    <w:name w:val="Heading 1 Char"/>
    <w:link w:val="957"/>
    <w:uiPriority w:val="9"/>
    <w:qFormat/>
    <w:rPr>
      <w:rFonts w:ascii="Arial" w:hAnsi="Arial" w:eastAsia="Arial" w:cs="Arial"/>
      <w:sz w:val="40"/>
      <w:szCs w:val="40"/>
    </w:rPr>
  </w:style>
  <w:style w:type="character" w:styleId="996" w:customStyle="1">
    <w:name w:val="Heading 2 Char"/>
    <w:link w:val="958"/>
    <w:uiPriority w:val="9"/>
    <w:qFormat/>
    <w:rPr>
      <w:rFonts w:ascii="Arial" w:hAnsi="Arial" w:eastAsia="Arial" w:cs="Arial"/>
      <w:sz w:val="34"/>
    </w:rPr>
  </w:style>
  <w:style w:type="character" w:styleId="997" w:customStyle="1">
    <w:name w:val="Heading 3 Char"/>
    <w:link w:val="959"/>
    <w:uiPriority w:val="9"/>
    <w:qFormat/>
    <w:rPr>
      <w:rFonts w:ascii="Arial" w:hAnsi="Arial" w:eastAsia="Arial" w:cs="Arial"/>
      <w:sz w:val="30"/>
      <w:szCs w:val="30"/>
    </w:rPr>
  </w:style>
  <w:style w:type="character" w:styleId="998" w:customStyle="1">
    <w:name w:val="Heading 4 Char"/>
    <w:link w:val="960"/>
    <w:uiPriority w:val="9"/>
    <w:qFormat/>
    <w:rPr>
      <w:rFonts w:ascii="Arial" w:hAnsi="Arial" w:eastAsia="Arial" w:cs="Arial"/>
      <w:b/>
      <w:bCs/>
      <w:sz w:val="26"/>
      <w:szCs w:val="26"/>
    </w:rPr>
  </w:style>
  <w:style w:type="character" w:styleId="999" w:customStyle="1">
    <w:name w:val="Heading 5 Char"/>
    <w:link w:val="961"/>
    <w:uiPriority w:val="9"/>
    <w:qFormat/>
    <w:rPr>
      <w:rFonts w:ascii="Arial" w:hAnsi="Arial" w:eastAsia="Arial" w:cs="Arial"/>
      <w:b/>
      <w:bCs/>
      <w:sz w:val="24"/>
      <w:szCs w:val="24"/>
    </w:rPr>
  </w:style>
  <w:style w:type="character" w:styleId="1000" w:customStyle="1">
    <w:name w:val="Heading 6 Char"/>
    <w:link w:val="962"/>
    <w:uiPriority w:val="9"/>
    <w:qFormat/>
    <w:rPr>
      <w:rFonts w:ascii="Arial" w:hAnsi="Arial" w:eastAsia="Arial" w:cs="Arial"/>
      <w:b/>
      <w:bCs/>
      <w:sz w:val="22"/>
      <w:szCs w:val="22"/>
    </w:rPr>
  </w:style>
  <w:style w:type="character" w:styleId="1001" w:customStyle="1">
    <w:name w:val="Heading 7 Char"/>
    <w:link w:val="963"/>
    <w:uiPriority w:val="9"/>
    <w:qFormat/>
    <w:rPr>
      <w:rFonts w:ascii="Arial" w:hAnsi="Arial" w:eastAsia="Arial" w:cs="Arial"/>
      <w:b/>
      <w:bCs/>
      <w:i/>
      <w:iCs/>
      <w:sz w:val="22"/>
      <w:szCs w:val="22"/>
    </w:rPr>
  </w:style>
  <w:style w:type="character" w:styleId="1002" w:customStyle="1">
    <w:name w:val="Heading 8 Char"/>
    <w:link w:val="964"/>
    <w:uiPriority w:val="9"/>
    <w:qFormat/>
    <w:rPr>
      <w:rFonts w:ascii="Arial" w:hAnsi="Arial" w:eastAsia="Arial" w:cs="Arial"/>
      <w:i/>
      <w:iCs/>
      <w:sz w:val="22"/>
      <w:szCs w:val="22"/>
    </w:rPr>
  </w:style>
  <w:style w:type="character" w:styleId="1003" w:customStyle="1">
    <w:name w:val="Heading 9 Char"/>
    <w:link w:val="965"/>
    <w:uiPriority w:val="9"/>
    <w:qFormat/>
    <w:rPr>
      <w:rFonts w:ascii="Arial" w:hAnsi="Arial" w:eastAsia="Arial" w:cs="Arial"/>
      <w:i/>
      <w:iCs/>
      <w:sz w:val="21"/>
      <w:szCs w:val="21"/>
    </w:rPr>
  </w:style>
  <w:style w:type="paragraph" w:styleId="1004">
    <w:name w:val="List Paragraph"/>
    <w:basedOn w:val="956"/>
    <w:uiPriority w:val="34"/>
    <w:qFormat/>
    <w:pPr>
      <w:contextualSpacing/>
      <w:ind w:left="720"/>
    </w:pPr>
  </w:style>
  <w:style w:type="paragraph" w:styleId="1005">
    <w:name w:val="No Spacing"/>
    <w:uiPriority w:val="1"/>
    <w:qFormat/>
    <w:pPr>
      <w:spacing w:before="0" w:after="0" w:line="240" w:lineRule="auto"/>
    </w:pPr>
    <w:rPr>
      <w:rFonts w:hint="default" w:ascii="Times New Roman" w:hAnsi="Times New Roman" w:eastAsia="宋体" w:cs="Times New Roman"/>
    </w:rPr>
  </w:style>
  <w:style w:type="character" w:styleId="1006" w:customStyle="1">
    <w:name w:val="Title Char"/>
    <w:link w:val="990"/>
    <w:uiPriority w:val="10"/>
    <w:qFormat/>
    <w:rPr>
      <w:sz w:val="48"/>
      <w:szCs w:val="48"/>
    </w:rPr>
  </w:style>
  <w:style w:type="character" w:styleId="1007" w:customStyle="1">
    <w:name w:val="Subtitle Char"/>
    <w:link w:val="984"/>
    <w:uiPriority w:val="11"/>
    <w:qFormat/>
    <w:rPr>
      <w:sz w:val="24"/>
      <w:szCs w:val="24"/>
    </w:rPr>
  </w:style>
  <w:style w:type="paragraph" w:styleId="1008">
    <w:name w:val="Quote"/>
    <w:basedOn w:val="956"/>
    <w:next w:val="956"/>
    <w:link w:val="1009"/>
    <w:uiPriority w:val="29"/>
    <w:qFormat/>
    <w:pPr>
      <w:ind w:left="720" w:right="720"/>
    </w:pPr>
    <w:rPr>
      <w:i/>
    </w:rPr>
  </w:style>
  <w:style w:type="character" w:styleId="1009" w:customStyle="1">
    <w:name w:val="Quote Char"/>
    <w:link w:val="1008"/>
    <w:uiPriority w:val="29"/>
    <w:qFormat/>
    <w:rPr>
      <w:i/>
    </w:rPr>
  </w:style>
  <w:style w:type="paragraph" w:styleId="1010">
    <w:name w:val="Intense Quote"/>
    <w:basedOn w:val="956"/>
    <w:next w:val="956"/>
    <w:link w:val="10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1" w:customStyle="1">
    <w:name w:val="Intense Quote Char"/>
    <w:link w:val="1010"/>
    <w:uiPriority w:val="30"/>
    <w:qFormat/>
    <w:rPr>
      <w:i/>
    </w:rPr>
  </w:style>
  <w:style w:type="character" w:styleId="1012" w:customStyle="1">
    <w:name w:val="Header Char"/>
    <w:link w:val="981"/>
    <w:uiPriority w:val="99"/>
    <w:qFormat/>
  </w:style>
  <w:style w:type="character" w:styleId="1013" w:customStyle="1">
    <w:name w:val="Footer Char"/>
    <w:link w:val="980"/>
    <w:uiPriority w:val="99"/>
    <w:qFormat/>
  </w:style>
  <w:style w:type="character" w:styleId="1014" w:customStyle="1">
    <w:name w:val="Caption Char"/>
    <w:link w:val="980"/>
    <w:uiPriority w:val="99"/>
    <w:qFormat/>
  </w:style>
  <w:style w:type="table" w:styleId="10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0" w:customStyle="1">
    <w:name w:val="Footnote Text Char"/>
    <w:link w:val="985"/>
    <w:uiPriority w:val="99"/>
    <w:qFormat/>
    <w:rPr>
      <w:sz w:val="18"/>
    </w:rPr>
  </w:style>
  <w:style w:type="character" w:styleId="1141" w:customStyle="1">
    <w:name w:val="Endnote Text Char"/>
    <w:link w:val="979"/>
    <w:uiPriority w:val="99"/>
    <w:qFormat/>
    <w:rPr>
      <w:sz w:val="20"/>
    </w:rPr>
  </w:style>
  <w:style w:type="paragraph" w:styleId="1142" w:customStyle="1">
    <w:name w:val="TOC Heading"/>
    <w:uiPriority w:val="39"/>
    <w:unhideWhenUsed/>
    <w:qFormat/>
    <w:rPr>
      <w:rFonts w:hint="default" w:ascii="Times New Roman" w:hAnsi="Times New Roman" w:eastAsia="宋体" w:cs="Times New Roman"/>
    </w:rPr>
  </w:style>
  <w:style w:type="paragraph" w:styleId="1143" w:customStyle="1">
    <w:name w:val="标题 11"/>
    <w:basedOn w:val="956"/>
    <w:next w:val="956"/>
    <w:link w:val="1155"/>
    <w:uiPriority w:val="0"/>
    <w:qFormat/>
    <w:pPr>
      <w:jc w:val="center"/>
      <w:keepLines/>
      <w:keepNext/>
      <w:spacing w:before="240" w:after="120" w:line="300" w:lineRule="auto"/>
      <w:outlineLvl w:val="0"/>
    </w:pPr>
    <w:rPr>
      <w:rFonts w:ascii="宋体"/>
      <w:b/>
      <w:sz w:val="32"/>
      <w:szCs w:val="20"/>
    </w:rPr>
  </w:style>
  <w:style w:type="paragraph" w:styleId="1144" w:customStyle="1">
    <w:name w:val="标题 21"/>
    <w:basedOn w:val="956"/>
    <w:next w:val="956"/>
    <w:link w:val="1156"/>
    <w:uiPriority w:val="0"/>
    <w:qFormat/>
    <w:pPr>
      <w:jc w:val="center"/>
      <w:keepLines/>
      <w:keepNext/>
      <w:spacing w:before="120" w:line="300" w:lineRule="auto"/>
      <w:outlineLvl w:val="1"/>
    </w:pPr>
    <w:rPr>
      <w:rFonts w:ascii="Arial" w:hAnsi="Arial" w:eastAsia="黑体"/>
      <w:b/>
      <w:sz w:val="30"/>
      <w:szCs w:val="20"/>
    </w:rPr>
  </w:style>
  <w:style w:type="paragraph" w:styleId="1145" w:customStyle="1">
    <w:name w:val="标题 31"/>
    <w:basedOn w:val="956"/>
    <w:next w:val="956"/>
    <w:link w:val="1154"/>
    <w:uiPriority w:val="0"/>
    <w:qFormat/>
    <w:pPr>
      <w:jc w:val="left"/>
      <w:keepLines/>
      <w:keepNext/>
      <w:spacing w:before="360" w:after="120"/>
      <w:outlineLvl w:val="2"/>
    </w:pPr>
    <w:rPr>
      <w:rFonts w:ascii="宋体"/>
      <w:b/>
      <w:sz w:val="24"/>
      <w:szCs w:val="20"/>
      <w:u w:val="single"/>
    </w:rPr>
  </w:style>
  <w:style w:type="paragraph" w:styleId="1146" w:customStyle="1">
    <w:name w:val="标题 41"/>
    <w:basedOn w:val="956"/>
    <w:next w:val="956"/>
    <w:link w:val="1157"/>
    <w:uiPriority w:val="0"/>
    <w:qFormat/>
    <w:pPr>
      <w:keepLines/>
      <w:keepNext/>
      <w:spacing w:before="280" w:after="290" w:line="376" w:lineRule="atLeast"/>
      <w:outlineLvl w:val="3"/>
    </w:pPr>
    <w:rPr>
      <w:rFonts w:ascii="Arial" w:hAnsi="Arial" w:eastAsia="黑体"/>
      <w:b/>
      <w:sz w:val="28"/>
      <w:szCs w:val="20"/>
    </w:rPr>
  </w:style>
  <w:style w:type="paragraph" w:styleId="1147" w:customStyle="1">
    <w:name w:val="标题 51"/>
    <w:basedOn w:val="956"/>
    <w:next w:val="956"/>
    <w:link w:val="1158"/>
    <w:uiPriority w:val="0"/>
    <w:qFormat/>
    <w:pPr>
      <w:keepLines/>
      <w:keepNext/>
      <w:spacing w:before="280" w:after="290" w:line="376" w:lineRule="atLeast"/>
      <w:outlineLvl w:val="4"/>
    </w:pPr>
    <w:rPr>
      <w:b/>
      <w:sz w:val="28"/>
      <w:szCs w:val="20"/>
    </w:rPr>
  </w:style>
  <w:style w:type="paragraph" w:styleId="1148" w:customStyle="1">
    <w:name w:val="标题 61"/>
    <w:basedOn w:val="956"/>
    <w:next w:val="956"/>
    <w:link w:val="1159"/>
    <w:uiPriority w:val="0"/>
    <w:qFormat/>
    <w:pPr>
      <w:keepLines/>
      <w:keepNext/>
      <w:spacing w:before="240" w:after="64" w:line="320" w:lineRule="atLeast"/>
      <w:outlineLvl w:val="5"/>
    </w:pPr>
    <w:rPr>
      <w:rFonts w:ascii="Arial" w:hAnsi="Arial" w:eastAsia="黑体"/>
      <w:b/>
      <w:sz w:val="24"/>
      <w:szCs w:val="20"/>
    </w:rPr>
  </w:style>
  <w:style w:type="paragraph" w:styleId="1149" w:customStyle="1">
    <w:name w:val="标题 71"/>
    <w:basedOn w:val="956"/>
    <w:next w:val="956"/>
    <w:link w:val="1160"/>
    <w:uiPriority w:val="0"/>
    <w:qFormat/>
    <w:pPr>
      <w:keepLines/>
      <w:keepNext/>
      <w:spacing w:before="240" w:after="64" w:line="320" w:lineRule="atLeast"/>
      <w:outlineLvl w:val="6"/>
    </w:pPr>
    <w:rPr>
      <w:b/>
      <w:sz w:val="24"/>
      <w:szCs w:val="20"/>
    </w:rPr>
  </w:style>
  <w:style w:type="paragraph" w:styleId="1150" w:customStyle="1">
    <w:name w:val="标题 81"/>
    <w:basedOn w:val="956"/>
    <w:next w:val="956"/>
    <w:link w:val="1161"/>
    <w:uiPriority w:val="0"/>
    <w:qFormat/>
    <w:pPr>
      <w:keepLines/>
      <w:keepNext/>
      <w:spacing w:before="240" w:after="64" w:line="320" w:lineRule="atLeast"/>
      <w:outlineLvl w:val="7"/>
    </w:pPr>
    <w:rPr>
      <w:rFonts w:ascii="Arial" w:hAnsi="Arial" w:eastAsia="黑体"/>
      <w:sz w:val="24"/>
      <w:szCs w:val="20"/>
    </w:rPr>
  </w:style>
  <w:style w:type="paragraph" w:styleId="1151" w:customStyle="1">
    <w:name w:val="标题 91"/>
    <w:basedOn w:val="956"/>
    <w:next w:val="956"/>
    <w:link w:val="1162"/>
    <w:uiPriority w:val="0"/>
    <w:qFormat/>
    <w:pPr>
      <w:keepLines/>
      <w:keepNext/>
      <w:spacing w:before="240" w:after="64" w:line="320" w:lineRule="atLeast"/>
      <w:outlineLvl w:val="8"/>
    </w:pPr>
    <w:rPr>
      <w:rFonts w:ascii="Arial" w:hAnsi="Arial" w:eastAsia="黑体"/>
      <w:szCs w:val="20"/>
    </w:rPr>
  </w:style>
  <w:style w:type="character" w:styleId="1152" w:customStyle="1">
    <w:name w:val="默认段落字体1"/>
    <w:link w:val="956"/>
    <w:uiPriority w:val="1"/>
    <w:unhideWhenUsed/>
    <w:qFormat/>
  </w:style>
  <w:style w:type="table" w:styleId="1153" w:customStyle="1">
    <w:name w:val="普通表格1"/>
    <w:uiPriority w:val="99"/>
    <w:unhideWhenUsed/>
    <w:qFormat/>
    <w:tblPr/>
  </w:style>
  <w:style w:type="character" w:styleId="1154" w:customStyle="1">
    <w:name w:val="标题 3 字符"/>
    <w:link w:val="1145"/>
    <w:uiPriority w:val="0"/>
    <w:qFormat/>
    <w:rPr>
      <w:rFonts w:ascii="宋体" w:eastAsia="宋体"/>
      <w:b/>
      <w:sz w:val="24"/>
      <w:u w:val="single"/>
      <w:lang w:val="en-US" w:eastAsia="zh-CN" w:bidi="ar-SA"/>
    </w:rPr>
  </w:style>
  <w:style w:type="character" w:styleId="1155" w:customStyle="1">
    <w:name w:val="标题 1 字符"/>
    <w:link w:val="1143"/>
    <w:uiPriority w:val="0"/>
    <w:qFormat/>
    <w:rPr>
      <w:rFonts w:ascii="宋体"/>
      <w:b/>
      <w:sz w:val="32"/>
    </w:rPr>
  </w:style>
  <w:style w:type="character" w:styleId="1156" w:customStyle="1">
    <w:name w:val="标题 2 字符"/>
    <w:link w:val="1144"/>
    <w:uiPriority w:val="0"/>
    <w:qFormat/>
    <w:rPr>
      <w:rFonts w:ascii="Arial" w:hAnsi="Arial" w:eastAsia="黑体"/>
      <w:b/>
      <w:sz w:val="30"/>
      <w:lang w:val="en-US" w:eastAsia="zh-CN" w:bidi="ar-SA"/>
    </w:rPr>
  </w:style>
  <w:style w:type="character" w:styleId="1157" w:customStyle="1">
    <w:name w:val="标题 4 字符"/>
    <w:link w:val="1146"/>
    <w:uiPriority w:val="0"/>
    <w:qFormat/>
    <w:rPr>
      <w:rFonts w:ascii="Arial" w:hAnsi="Arial" w:eastAsia="黑体"/>
      <w:b/>
      <w:sz w:val="28"/>
    </w:rPr>
  </w:style>
  <w:style w:type="character" w:styleId="1158" w:customStyle="1">
    <w:name w:val="标题 5 字符"/>
    <w:link w:val="1147"/>
    <w:uiPriority w:val="0"/>
    <w:qFormat/>
    <w:rPr>
      <w:b/>
      <w:sz w:val="28"/>
    </w:rPr>
  </w:style>
  <w:style w:type="character" w:styleId="1159" w:customStyle="1">
    <w:name w:val="标题 6 字符"/>
    <w:link w:val="1148"/>
    <w:uiPriority w:val="0"/>
    <w:qFormat/>
    <w:rPr>
      <w:rFonts w:ascii="Arial" w:hAnsi="Arial" w:eastAsia="黑体"/>
      <w:b/>
      <w:sz w:val="24"/>
    </w:rPr>
  </w:style>
  <w:style w:type="character" w:styleId="1160" w:customStyle="1">
    <w:name w:val="标题 7 字符"/>
    <w:link w:val="1149"/>
    <w:uiPriority w:val="0"/>
    <w:qFormat/>
    <w:rPr>
      <w:b/>
      <w:sz w:val="24"/>
    </w:rPr>
  </w:style>
  <w:style w:type="character" w:styleId="1161" w:customStyle="1">
    <w:name w:val="标题 8 字符"/>
    <w:link w:val="1150"/>
    <w:uiPriority w:val="0"/>
    <w:qFormat/>
    <w:rPr>
      <w:rFonts w:ascii="Arial" w:hAnsi="Arial" w:eastAsia="黑体"/>
      <w:sz w:val="24"/>
    </w:rPr>
  </w:style>
  <w:style w:type="character" w:styleId="1162" w:customStyle="1">
    <w:name w:val="标题 9 字符"/>
    <w:link w:val="1151"/>
    <w:uiPriority w:val="0"/>
    <w:qFormat/>
    <w:rPr>
      <w:rFonts w:ascii="Arial" w:hAnsi="Arial" w:eastAsia="黑体"/>
      <w:sz w:val="21"/>
    </w:rPr>
  </w:style>
  <w:style w:type="paragraph" w:styleId="1163" w:customStyle="1">
    <w:name w:val="目录 71"/>
    <w:basedOn w:val="956"/>
    <w:next w:val="956"/>
    <w:uiPriority w:val="0"/>
    <w:qFormat/>
    <w:pPr>
      <w:ind w:left="2520"/>
    </w:pPr>
  </w:style>
  <w:style w:type="paragraph" w:styleId="1164" w:customStyle="1">
    <w:name w:val="引文目录1"/>
    <w:next w:val="956"/>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65" w:customStyle="1">
    <w:name w:val="正文缩进11"/>
    <w:basedOn w:val="956"/>
    <w:link w:val="1166"/>
    <w:uiPriority w:val="0"/>
    <w:qFormat/>
    <w:pPr>
      <w:ind w:firstLine="420"/>
      <w:jc w:val="left"/>
    </w:pPr>
    <w:rPr>
      <w:rFonts w:ascii="宋体"/>
      <w:sz w:val="24"/>
    </w:rPr>
  </w:style>
  <w:style w:type="character" w:styleId="1166" w:customStyle="1">
    <w:name w:val="正文缩进 字符"/>
    <w:link w:val="1165"/>
    <w:uiPriority w:val="0"/>
    <w:qFormat/>
    <w:rPr>
      <w:rFonts w:ascii="宋体" w:eastAsia="宋体"/>
      <w:sz w:val="24"/>
      <w:szCs w:val="24"/>
      <w:lang w:val="en-US" w:eastAsia="zh-CN" w:bidi="ar-SA"/>
    </w:rPr>
  </w:style>
  <w:style w:type="paragraph" w:styleId="1167" w:customStyle="1">
    <w:name w:val="题注1"/>
    <w:basedOn w:val="956"/>
    <w:next w:val="956"/>
    <w:uiPriority w:val="0"/>
    <w:qFormat/>
    <w:pPr>
      <w:spacing w:line="480" w:lineRule="auto"/>
    </w:pPr>
    <w:rPr>
      <w:rFonts w:ascii="华文中宋" w:hAnsi="华文中宋" w:eastAsia="华文中宋"/>
      <w:sz w:val="36"/>
      <w:szCs w:val="20"/>
    </w:rPr>
  </w:style>
  <w:style w:type="paragraph" w:styleId="1168" w:customStyle="1">
    <w:name w:val="文档结构图1"/>
    <w:basedOn w:val="956"/>
    <w:link w:val="1169"/>
    <w:uiPriority w:val="0"/>
    <w:qFormat/>
    <w:pPr>
      <w:shd w:val="clear" w:color="auto" w:fill="000080"/>
    </w:pPr>
  </w:style>
  <w:style w:type="character" w:styleId="1169" w:customStyle="1">
    <w:name w:val="文档结构图 字符"/>
    <w:link w:val="1168"/>
    <w:uiPriority w:val="0"/>
    <w:qFormat/>
    <w:rPr>
      <w:sz w:val="21"/>
      <w:szCs w:val="24"/>
      <w:shd w:val="clear" w:color="auto" w:fill="000080"/>
    </w:rPr>
  </w:style>
  <w:style w:type="paragraph" w:styleId="1170" w:customStyle="1">
    <w:name w:val="批注文字1"/>
    <w:basedOn w:val="956"/>
    <w:link w:val="1171"/>
    <w:uiPriority w:val="99"/>
    <w:qFormat/>
    <w:pPr>
      <w:jc w:val="left"/>
    </w:pPr>
  </w:style>
  <w:style w:type="character" w:styleId="1171" w:customStyle="1">
    <w:name w:val="批注文字 字符1"/>
    <w:link w:val="1170"/>
    <w:uiPriority w:val="99"/>
    <w:qFormat/>
    <w:rPr>
      <w:sz w:val="21"/>
      <w:szCs w:val="24"/>
    </w:rPr>
  </w:style>
  <w:style w:type="paragraph" w:styleId="1172" w:customStyle="1">
    <w:name w:val="正文文本 31"/>
    <w:basedOn w:val="956"/>
    <w:link w:val="1173"/>
    <w:uiPriority w:val="0"/>
    <w:qFormat/>
    <w:pPr>
      <w:spacing w:after="120"/>
    </w:pPr>
    <w:rPr>
      <w:sz w:val="16"/>
      <w:szCs w:val="16"/>
    </w:rPr>
  </w:style>
  <w:style w:type="character" w:styleId="1173" w:customStyle="1">
    <w:name w:val="正文文本 3 字符"/>
    <w:link w:val="1172"/>
    <w:uiPriority w:val="0"/>
    <w:qFormat/>
    <w:rPr>
      <w:sz w:val="16"/>
      <w:szCs w:val="16"/>
    </w:rPr>
  </w:style>
  <w:style w:type="paragraph" w:styleId="1174" w:customStyle="1">
    <w:name w:val="正文文本1"/>
    <w:basedOn w:val="956"/>
    <w:link w:val="1175"/>
    <w:uiPriority w:val="0"/>
    <w:qFormat/>
    <w:pPr>
      <w:spacing w:before="120" w:line="22" w:lineRule="atLeast"/>
      <w:tabs>
        <w:tab w:val="left" w:pos="567" w:leader="none"/>
      </w:tabs>
    </w:pPr>
    <w:rPr>
      <w:rFonts w:ascii="宋体" w:hAnsi="宋体"/>
      <w:sz w:val="24"/>
    </w:rPr>
  </w:style>
  <w:style w:type="character" w:styleId="1175" w:customStyle="1">
    <w:name w:val="正文文本 字符"/>
    <w:link w:val="1174"/>
    <w:uiPriority w:val="0"/>
    <w:qFormat/>
    <w:rPr>
      <w:rFonts w:ascii="宋体" w:hAnsi="宋体"/>
      <w:sz w:val="24"/>
      <w:szCs w:val="24"/>
    </w:rPr>
  </w:style>
  <w:style w:type="paragraph" w:styleId="1176" w:customStyle="1">
    <w:name w:val="正文文本缩进11"/>
    <w:basedOn w:val="956"/>
    <w:link w:val="1177"/>
    <w:uiPriority w:val="0"/>
    <w:qFormat/>
    <w:pPr>
      <w:ind w:firstLine="570"/>
      <w:spacing w:line="360" w:lineRule="auto"/>
    </w:pPr>
    <w:rPr>
      <w:sz w:val="24"/>
    </w:rPr>
  </w:style>
  <w:style w:type="character" w:styleId="1177" w:customStyle="1">
    <w:name w:val="正文文本缩进 字符"/>
    <w:link w:val="1176"/>
    <w:uiPriority w:val="0"/>
    <w:qFormat/>
    <w:rPr>
      <w:rFonts w:eastAsia="宋体"/>
      <w:sz w:val="24"/>
      <w:szCs w:val="24"/>
      <w:lang w:val="en-US" w:eastAsia="zh-CN" w:bidi="ar-SA"/>
    </w:rPr>
  </w:style>
  <w:style w:type="paragraph" w:styleId="1178" w:customStyle="1">
    <w:name w:val="列表 21"/>
    <w:basedOn w:val="956"/>
    <w:uiPriority w:val="0"/>
    <w:qFormat/>
    <w:pPr>
      <w:ind w:left="100" w:hanging="200"/>
    </w:pPr>
  </w:style>
  <w:style w:type="paragraph" w:styleId="1179" w:customStyle="1">
    <w:name w:val="文本块1"/>
    <w:basedOn w:val="956"/>
    <w:uiPriority w:val="0"/>
    <w:qFormat/>
    <w:pPr>
      <w:ind w:left="480" w:right="-341" w:firstLine="513"/>
      <w:widowControl/>
    </w:pPr>
    <w:rPr>
      <w:sz w:val="24"/>
      <w:szCs w:val="20"/>
    </w:rPr>
  </w:style>
  <w:style w:type="paragraph" w:styleId="1180" w:customStyle="1">
    <w:name w:val="目录 51"/>
    <w:basedOn w:val="956"/>
    <w:next w:val="956"/>
    <w:uiPriority w:val="0"/>
    <w:qFormat/>
    <w:pPr>
      <w:ind w:left="1680"/>
    </w:pPr>
  </w:style>
  <w:style w:type="paragraph" w:styleId="1181" w:customStyle="1">
    <w:name w:val="目录 31"/>
    <w:basedOn w:val="956"/>
    <w:next w:val="956"/>
    <w:uiPriority w:val="39"/>
    <w:qFormat/>
    <w:pPr>
      <w:ind w:left="840"/>
    </w:pPr>
  </w:style>
  <w:style w:type="paragraph" w:styleId="1182" w:customStyle="1">
    <w:name w:val="纯文本1"/>
    <w:basedOn w:val="956"/>
    <w:link w:val="1183"/>
    <w:uiPriority w:val="0"/>
    <w:qFormat/>
    <w:rPr>
      <w:rFonts w:hint="eastAsia" w:ascii="宋体" w:hAnsi="Courier New"/>
      <w:szCs w:val="20"/>
    </w:rPr>
  </w:style>
  <w:style w:type="character" w:styleId="1183" w:customStyle="1">
    <w:name w:val="纯文本 字符2"/>
    <w:link w:val="1182"/>
    <w:uiPriority w:val="0"/>
    <w:qFormat/>
    <w:rPr>
      <w:rFonts w:hint="eastAsia" w:ascii="宋体" w:hAnsi="Courier New" w:eastAsia="宋体" w:cs="宋体"/>
      <w:sz w:val="21"/>
    </w:rPr>
  </w:style>
  <w:style w:type="paragraph" w:styleId="1184" w:customStyle="1">
    <w:name w:val="目录 81"/>
    <w:basedOn w:val="956"/>
    <w:next w:val="956"/>
    <w:uiPriority w:val="0"/>
    <w:qFormat/>
    <w:pPr>
      <w:ind w:left="2940"/>
    </w:pPr>
  </w:style>
  <w:style w:type="paragraph" w:styleId="1185" w:customStyle="1">
    <w:name w:val="日期1"/>
    <w:basedOn w:val="956"/>
    <w:next w:val="956"/>
    <w:link w:val="1186"/>
    <w:uiPriority w:val="0"/>
    <w:qFormat/>
    <w:pPr>
      <w:ind w:left="100"/>
    </w:pPr>
    <w:rPr>
      <w:rFonts w:ascii="仿宋_GB2312" w:hAnsi="宋体" w:eastAsia="仿宋_GB2312"/>
      <w:color w:val="000000"/>
      <w:sz w:val="24"/>
    </w:rPr>
  </w:style>
  <w:style w:type="character" w:styleId="1186" w:customStyle="1">
    <w:name w:val="日期 字符"/>
    <w:link w:val="1185"/>
    <w:uiPriority w:val="0"/>
    <w:qFormat/>
    <w:rPr>
      <w:rFonts w:ascii="仿宋_GB2312" w:hAnsi="宋体" w:eastAsia="仿宋_GB2312"/>
      <w:color w:val="000000"/>
      <w:sz w:val="24"/>
      <w:szCs w:val="24"/>
    </w:rPr>
  </w:style>
  <w:style w:type="paragraph" w:styleId="1187" w:customStyle="1">
    <w:name w:val="正文文本缩进 21"/>
    <w:basedOn w:val="956"/>
    <w:link w:val="1188"/>
    <w:uiPriority w:val="0"/>
    <w:qFormat/>
    <w:pPr>
      <w:ind w:firstLine="480"/>
    </w:pPr>
    <w:rPr>
      <w:rFonts w:ascii="仿宋_GB2312" w:eastAsia="仿宋_GB2312"/>
      <w:sz w:val="24"/>
    </w:rPr>
  </w:style>
  <w:style w:type="character" w:styleId="1188" w:customStyle="1">
    <w:name w:val="正文文本缩进 2 字符"/>
    <w:link w:val="1187"/>
    <w:uiPriority w:val="0"/>
    <w:qFormat/>
    <w:rPr>
      <w:rFonts w:ascii="仿宋_GB2312" w:eastAsia="仿宋_GB2312"/>
      <w:sz w:val="24"/>
      <w:szCs w:val="24"/>
    </w:rPr>
  </w:style>
  <w:style w:type="paragraph" w:styleId="1189" w:customStyle="1">
    <w:name w:val="批注框文本1"/>
    <w:basedOn w:val="956"/>
    <w:link w:val="1190"/>
    <w:uiPriority w:val="0"/>
    <w:qFormat/>
    <w:rPr>
      <w:sz w:val="18"/>
      <w:szCs w:val="18"/>
    </w:rPr>
  </w:style>
  <w:style w:type="character" w:styleId="1190" w:customStyle="1">
    <w:name w:val="批注框文本 字符"/>
    <w:link w:val="1189"/>
    <w:uiPriority w:val="0"/>
    <w:qFormat/>
    <w:rPr>
      <w:sz w:val="18"/>
      <w:szCs w:val="18"/>
    </w:rPr>
  </w:style>
  <w:style w:type="paragraph" w:styleId="1191" w:customStyle="1">
    <w:name w:val="页脚1"/>
    <w:basedOn w:val="956"/>
    <w:link w:val="1192"/>
    <w:uiPriority w:val="99"/>
    <w:qFormat/>
    <w:pPr>
      <w:jc w:val="left"/>
      <w:tabs>
        <w:tab w:val="center" w:pos="4153" w:leader="none"/>
        <w:tab w:val="right" w:pos="8306" w:leader="none"/>
      </w:tabs>
    </w:pPr>
    <w:rPr>
      <w:rFonts w:ascii="宋体"/>
      <w:sz w:val="18"/>
      <w:szCs w:val="20"/>
    </w:rPr>
  </w:style>
  <w:style w:type="character" w:styleId="1192" w:customStyle="1">
    <w:name w:val="页脚 字符"/>
    <w:link w:val="1191"/>
    <w:uiPriority w:val="99"/>
    <w:qFormat/>
    <w:rPr>
      <w:rFonts w:ascii="宋体" w:eastAsia="宋体"/>
      <w:sz w:val="18"/>
      <w:lang w:val="en-US" w:eastAsia="zh-CN" w:bidi="ar-SA"/>
    </w:rPr>
  </w:style>
  <w:style w:type="paragraph" w:styleId="1193" w:customStyle="1">
    <w:name w:val="寄信人地址1"/>
    <w:basedOn w:val="956"/>
    <w:uiPriority w:val="0"/>
    <w:qFormat/>
    <w:rPr>
      <w:rFonts w:ascii="Arial" w:hAnsi="Arial" w:eastAsia="宋体" w:cs="Times New Roman"/>
    </w:rPr>
  </w:style>
  <w:style w:type="paragraph" w:styleId="1194" w:customStyle="1">
    <w:name w:val="页眉1"/>
    <w:basedOn w:val="956"/>
    <w:link w:val="1195"/>
    <w:uiPriority w:val="0"/>
    <w:qFormat/>
    <w:pPr>
      <w:jc w:val="center"/>
      <w:tabs>
        <w:tab w:val="center" w:pos="4153" w:leader="none"/>
        <w:tab w:val="right" w:pos="8306" w:leader="none"/>
      </w:tabs>
      <w:pBdr>
        <w:bottom w:val="single" w:color="000000" w:sz="6" w:space="1"/>
      </w:pBdr>
    </w:pPr>
    <w:rPr>
      <w:sz w:val="18"/>
      <w:szCs w:val="18"/>
    </w:rPr>
  </w:style>
  <w:style w:type="character" w:styleId="1195" w:customStyle="1">
    <w:name w:val="页眉 字符"/>
    <w:link w:val="1194"/>
    <w:uiPriority w:val="0"/>
    <w:qFormat/>
    <w:rPr>
      <w:rFonts w:eastAsia="宋体"/>
      <w:sz w:val="18"/>
      <w:szCs w:val="18"/>
      <w:lang w:val="en-US" w:eastAsia="zh-CN" w:bidi="ar-SA"/>
    </w:rPr>
  </w:style>
  <w:style w:type="paragraph" w:styleId="1196" w:customStyle="1">
    <w:name w:val="目录 11"/>
    <w:basedOn w:val="956"/>
    <w:next w:val="956"/>
    <w:uiPriority w:val="39"/>
    <w:qFormat/>
    <w:pPr>
      <w:spacing w:line="300" w:lineRule="auto"/>
      <w:tabs>
        <w:tab w:val="left" w:pos="1050" w:leader="none"/>
        <w:tab w:val="right" w:pos="8937" w:leader="dot"/>
      </w:tabs>
    </w:pPr>
    <w:rPr>
      <w:rFonts w:ascii="宋体" w:hAnsi="宋体"/>
      <w:b/>
      <w:sz w:val="24"/>
    </w:rPr>
  </w:style>
  <w:style w:type="paragraph" w:styleId="1197" w:customStyle="1">
    <w:name w:val="目录 41"/>
    <w:basedOn w:val="956"/>
    <w:next w:val="956"/>
    <w:uiPriority w:val="0"/>
    <w:qFormat/>
    <w:pPr>
      <w:ind w:left="1260"/>
    </w:pPr>
  </w:style>
  <w:style w:type="paragraph" w:styleId="1198" w:customStyle="1">
    <w:name w:val="目录 61"/>
    <w:basedOn w:val="956"/>
    <w:next w:val="956"/>
    <w:uiPriority w:val="0"/>
    <w:qFormat/>
    <w:pPr>
      <w:ind w:left="2100"/>
    </w:pPr>
  </w:style>
  <w:style w:type="paragraph" w:styleId="1199" w:customStyle="1">
    <w:name w:val="正文文本缩进 31"/>
    <w:basedOn w:val="956"/>
    <w:link w:val="1200"/>
    <w:uiPriority w:val="0"/>
    <w:qFormat/>
    <w:pPr>
      <w:ind w:left="720" w:firstLine="480"/>
      <w:jc w:val="left"/>
      <w:spacing w:before="120" w:line="22" w:lineRule="atLeast"/>
    </w:pPr>
    <w:rPr>
      <w:rFonts w:ascii="宋体"/>
      <w:sz w:val="24"/>
      <w:szCs w:val="20"/>
    </w:rPr>
  </w:style>
  <w:style w:type="character" w:styleId="1200" w:customStyle="1">
    <w:name w:val="正文文本缩进 3 字符"/>
    <w:link w:val="1199"/>
    <w:uiPriority w:val="0"/>
    <w:qFormat/>
    <w:rPr>
      <w:rFonts w:ascii="宋体"/>
      <w:sz w:val="24"/>
    </w:rPr>
  </w:style>
  <w:style w:type="paragraph" w:styleId="1201" w:customStyle="1">
    <w:name w:val="目录 21"/>
    <w:basedOn w:val="956"/>
    <w:next w:val="956"/>
    <w:uiPriority w:val="39"/>
    <w:qFormat/>
    <w:pPr>
      <w:ind w:left="420"/>
      <w:spacing w:line="312" w:lineRule="auto"/>
      <w:tabs>
        <w:tab w:val="right" w:pos="8937" w:leader="dot"/>
      </w:tabs>
    </w:pPr>
  </w:style>
  <w:style w:type="paragraph" w:styleId="1202" w:customStyle="1">
    <w:name w:val="目录 91"/>
    <w:basedOn w:val="956"/>
    <w:next w:val="956"/>
    <w:uiPriority w:val="0"/>
    <w:qFormat/>
    <w:pPr>
      <w:ind w:left="3360"/>
    </w:pPr>
  </w:style>
  <w:style w:type="paragraph" w:styleId="1203" w:customStyle="1">
    <w:name w:val="HTML 预设格式1"/>
    <w:basedOn w:val="956"/>
    <w:link w:val="12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04" w:customStyle="1">
    <w:name w:val="HTML 预设格式 字符"/>
    <w:link w:val="1203"/>
    <w:uiPriority w:val="0"/>
    <w:qFormat/>
    <w:rPr>
      <w:rFonts w:ascii="宋体" w:hAnsi="宋体" w:cs="宋体"/>
      <w:sz w:val="24"/>
      <w:szCs w:val="24"/>
    </w:rPr>
  </w:style>
  <w:style w:type="paragraph" w:styleId="1205" w:customStyle="1">
    <w:name w:val="普通(网站)1"/>
    <w:basedOn w:val="956"/>
    <w:uiPriority w:val="99"/>
    <w:unhideWhenUsed/>
    <w:qFormat/>
    <w:pPr>
      <w:jc w:val="left"/>
      <w:spacing w:before="100" w:beforeAutospacing="1" w:after="100" w:afterAutospacing="1"/>
      <w:widowControl/>
    </w:pPr>
    <w:rPr>
      <w:rFonts w:ascii="宋体" w:hAnsi="宋体" w:cs="宋体"/>
      <w:sz w:val="24"/>
    </w:rPr>
  </w:style>
  <w:style w:type="paragraph" w:styleId="1206" w:customStyle="1">
    <w:name w:val="索引 11"/>
    <w:basedOn w:val="956"/>
    <w:next w:val="956"/>
    <w:uiPriority w:val="0"/>
    <w:qFormat/>
    <w:rPr>
      <w:szCs w:val="20"/>
    </w:rPr>
  </w:style>
  <w:style w:type="paragraph" w:styleId="1207" w:customStyle="1">
    <w:name w:val="标题1"/>
    <w:basedOn w:val="956"/>
    <w:link w:val="1208"/>
    <w:uiPriority w:val="0"/>
    <w:qFormat/>
    <w:pPr>
      <w:jc w:val="center"/>
      <w:outlineLvl w:val="0"/>
    </w:pPr>
    <w:rPr>
      <w:b/>
      <w:sz w:val="32"/>
      <w:szCs w:val="20"/>
    </w:rPr>
  </w:style>
  <w:style w:type="character" w:styleId="1208" w:customStyle="1">
    <w:name w:val="标题 字符"/>
    <w:link w:val="1207"/>
    <w:uiPriority w:val="0"/>
    <w:qFormat/>
    <w:rPr>
      <w:b/>
      <w:sz w:val="32"/>
    </w:rPr>
  </w:style>
  <w:style w:type="paragraph" w:styleId="1209" w:customStyle="1">
    <w:name w:val="批注主题1"/>
    <w:basedOn w:val="1170"/>
    <w:next w:val="1170"/>
    <w:link w:val="1210"/>
    <w:uiPriority w:val="0"/>
    <w:qFormat/>
    <w:rPr>
      <w:b/>
      <w:bCs/>
    </w:rPr>
  </w:style>
  <w:style w:type="character" w:styleId="1210" w:customStyle="1">
    <w:name w:val="批注主题 字符"/>
    <w:link w:val="1209"/>
    <w:uiPriority w:val="0"/>
    <w:qFormat/>
    <w:rPr>
      <w:rFonts w:ascii="Times New Roman" w:hAnsi="Times New Roman" w:eastAsia="宋体" w:cs="Times New Roman"/>
      <w:b/>
      <w:bCs/>
      <w:sz w:val="21"/>
      <w:szCs w:val="24"/>
      <w:lang w:val="en-US" w:eastAsia="zh-CN" w:bidi="ar-SA"/>
    </w:rPr>
  </w:style>
  <w:style w:type="paragraph" w:styleId="1211" w:customStyle="1">
    <w:name w:val="正文首行缩进1"/>
    <w:basedOn w:val="1174"/>
    <w:next w:val="956"/>
    <w:uiPriority w:val="99"/>
    <w:unhideWhenUsed/>
    <w:qFormat/>
    <w:pPr>
      <w:ind w:firstLine="420"/>
    </w:pPr>
  </w:style>
  <w:style w:type="paragraph" w:styleId="1212" w:customStyle="1">
    <w:name w:val="正文首行缩进 21"/>
    <w:basedOn w:val="1176"/>
    <w:link w:val="1213"/>
    <w:uiPriority w:val="0"/>
    <w:qFormat/>
    <w:pPr>
      <w:ind w:left="420" w:firstLine="420"/>
      <w:spacing w:after="120" w:line="480" w:lineRule="exact"/>
    </w:pPr>
    <w:rPr>
      <w:szCs w:val="20"/>
    </w:rPr>
  </w:style>
  <w:style w:type="character" w:styleId="1213" w:customStyle="1">
    <w:name w:val="正文文本首行缩进 2 字符"/>
    <w:link w:val="1212"/>
    <w:uiPriority w:val="0"/>
    <w:qFormat/>
    <w:rPr>
      <w:rFonts w:eastAsia="宋体"/>
      <w:sz w:val="24"/>
      <w:szCs w:val="24"/>
      <w:lang w:val="en-US" w:eastAsia="zh-CN" w:bidi="ar-SA"/>
    </w:rPr>
  </w:style>
  <w:style w:type="table" w:styleId="1214" w:customStyle="1">
    <w:name w:val="网格型1"/>
    <w:basedOn w:val="1153"/>
    <w:uiPriority w:val="39"/>
    <w:qFormat/>
    <w:tblPr/>
  </w:style>
  <w:style w:type="table" w:styleId="1215" w:customStyle="1">
    <w:name w:val="中等深浅网格 1 - 强调文字颜色 21"/>
    <w:basedOn w:val="1153"/>
    <w:uiPriority w:val="0"/>
    <w:qFormat/>
    <w:rPr>
      <w:sz w:val="21"/>
      <w:szCs w:val="24"/>
    </w:rPr>
    <w:tblPr/>
  </w:style>
  <w:style w:type="character" w:styleId="1216" w:customStyle="1">
    <w:name w:val="要点1"/>
    <w:link w:val="956"/>
    <w:uiPriority w:val="0"/>
    <w:qFormat/>
    <w:rPr>
      <w:b/>
      <w:bCs/>
    </w:rPr>
  </w:style>
  <w:style w:type="character" w:styleId="1217" w:customStyle="1">
    <w:name w:val="页码1"/>
    <w:link w:val="956"/>
    <w:uiPriority w:val="0"/>
    <w:qFormat/>
  </w:style>
  <w:style w:type="character" w:styleId="1218" w:customStyle="1">
    <w:name w:val="已访问的超链接1"/>
    <w:link w:val="956"/>
    <w:uiPriority w:val="0"/>
    <w:qFormat/>
    <w:rPr>
      <w:color w:val="800080"/>
      <w:u w:val="single"/>
    </w:rPr>
  </w:style>
  <w:style w:type="character" w:styleId="1219" w:customStyle="1">
    <w:name w:val="强调1"/>
    <w:link w:val="956"/>
    <w:uiPriority w:val="0"/>
    <w:qFormat/>
    <w:rPr>
      <w:color w:val="cc0033"/>
    </w:rPr>
  </w:style>
  <w:style w:type="character" w:styleId="1220" w:customStyle="1">
    <w:name w:val="超链接1"/>
    <w:link w:val="956"/>
    <w:uiPriority w:val="99"/>
    <w:qFormat/>
    <w:rPr>
      <w:color w:val="0000ff"/>
      <w:u w:val="single"/>
    </w:rPr>
  </w:style>
  <w:style w:type="character" w:styleId="1221" w:customStyle="1">
    <w:name w:val="批注引用1"/>
    <w:link w:val="956"/>
    <w:uiPriority w:val="99"/>
    <w:qFormat/>
    <w:rPr>
      <w:sz w:val="21"/>
      <w:szCs w:val="21"/>
    </w:rPr>
  </w:style>
  <w:style w:type="character" w:styleId="1222" w:customStyle="1">
    <w:name w:val="HTML 引文1"/>
    <w:link w:val="956"/>
    <w:uiPriority w:val="0"/>
    <w:qFormat/>
    <w:rPr>
      <w:i/>
      <w:iCs/>
    </w:rPr>
  </w:style>
  <w:style w:type="paragraph" w:styleId="1223" w:customStyle="1">
    <w:name w:val="首行缩进"/>
    <w:basedOn w:val="956"/>
    <w:uiPriority w:val="0"/>
    <w:qFormat/>
    <w:pPr>
      <w:ind w:firstLine="420"/>
      <w:spacing w:line="360" w:lineRule="auto"/>
    </w:pPr>
    <w:rPr>
      <w:sz w:val="20"/>
    </w:rPr>
  </w:style>
  <w:style w:type="paragraph" w:styleId="122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225" w:customStyle="1">
    <w:name w:val="批注文字 字符"/>
    <w:link w:val="956"/>
    <w:uiPriority w:val="99"/>
    <w:qFormat/>
    <w:rPr>
      <w:rFonts w:ascii="Times New Roman" w:hAnsi="Times New Roman" w:eastAsia="宋体" w:cs="Times New Roman"/>
      <w:sz w:val="24"/>
      <w:lang w:val="en-US" w:eastAsia="zh-CN" w:bidi="ar-SA"/>
    </w:rPr>
  </w:style>
  <w:style w:type="character" w:styleId="1226" w:customStyle="1">
    <w:name w:val="c21"/>
    <w:link w:val="956"/>
    <w:uiPriority w:val="0"/>
    <w:qFormat/>
    <w:rPr>
      <w:rFonts w:ascii="ˎ̥" w:hAnsi="ˎ̥"/>
      <w:color w:val="000000"/>
      <w:sz w:val="20"/>
      <w:szCs w:val="20"/>
      <w:u w:val="none"/>
    </w:rPr>
  </w:style>
  <w:style w:type="character" w:styleId="1227" w:customStyle="1">
    <w:name w:val="title4"/>
    <w:link w:val="956"/>
    <w:uiPriority w:val="0"/>
    <w:qFormat/>
    <w:rPr>
      <w:b/>
      <w:bCs/>
      <w:color w:val="1d87b3"/>
      <w:sz w:val="15"/>
      <w:szCs w:val="15"/>
    </w:rPr>
  </w:style>
  <w:style w:type="character" w:styleId="1228" w:customStyle="1">
    <w:name w:val="标题 2 Char Char"/>
    <w:link w:val="956"/>
    <w:uiPriority w:val="0"/>
    <w:qFormat/>
    <w:rPr>
      <w:rFonts w:ascii="Arial" w:hAnsi="Arial" w:eastAsia="黑体"/>
      <w:b/>
      <w:bCs/>
      <w:sz w:val="32"/>
      <w:szCs w:val="32"/>
      <w:lang w:val="en-US" w:eastAsia="zh-CN" w:bidi="ar-SA"/>
    </w:rPr>
  </w:style>
  <w:style w:type="character" w:styleId="1229" w:customStyle="1">
    <w:name w:val="black1"/>
    <w:link w:val="956"/>
    <w:uiPriority w:val="0"/>
    <w:qFormat/>
    <w:rPr>
      <w:color w:val="000000"/>
    </w:rPr>
  </w:style>
  <w:style w:type="character" w:styleId="1230" w:customStyle="1">
    <w:name w:val="street-address"/>
    <w:link w:val="956"/>
    <w:uiPriority w:val="0"/>
    <w:qFormat/>
  </w:style>
  <w:style w:type="character" w:styleId="1231" w:customStyle="1">
    <w:name w:val="locality"/>
    <w:link w:val="956"/>
    <w:uiPriority w:val="0"/>
    <w:qFormat/>
  </w:style>
  <w:style w:type="character" w:styleId="1232" w:customStyle="1">
    <w:name w:val="正文文本缩进 Char1"/>
    <w:link w:val="1233"/>
    <w:uiPriority w:val="0"/>
    <w:qFormat/>
    <w:rPr>
      <w:rFonts w:ascii="宋体" w:hAnsi="宋体" w:eastAsia="宋体"/>
      <w:sz w:val="24"/>
      <w:szCs w:val="24"/>
      <w:lang w:bidi="ar-SA"/>
    </w:rPr>
  </w:style>
  <w:style w:type="paragraph" w:styleId="1233" w:customStyle="1">
    <w:name w:val="正文文本缩进1"/>
    <w:basedOn w:val="956"/>
    <w:link w:val="1232"/>
    <w:uiPriority w:val="0"/>
    <w:qFormat/>
    <w:pPr>
      <w:ind w:firstLine="480"/>
      <w:spacing w:line="480" w:lineRule="exact"/>
    </w:pPr>
    <w:rPr>
      <w:rFonts w:ascii="宋体" w:hAnsi="宋体"/>
      <w:sz w:val="24"/>
    </w:rPr>
  </w:style>
  <w:style w:type="character" w:styleId="1234" w:customStyle="1">
    <w:name w:val="Char Char11"/>
    <w:link w:val="956"/>
    <w:uiPriority w:val="0"/>
    <w:qFormat/>
    <w:rPr>
      <w:rFonts w:ascii="宋体" w:eastAsia="宋体"/>
      <w:b/>
      <w:sz w:val="24"/>
      <w:u w:val="single"/>
      <w:lang w:val="en-US" w:eastAsia="zh-CN" w:bidi="ar-SA"/>
    </w:rPr>
  </w:style>
  <w:style w:type="character" w:styleId="1235" w:customStyle="1">
    <w:name w:val="txt"/>
    <w:link w:val="956"/>
    <w:uiPriority w:val="0"/>
    <w:qFormat/>
  </w:style>
  <w:style w:type="character" w:styleId="1236" w:customStyle="1">
    <w:name w:val="正文缩进 Char Char"/>
    <w:link w:val="1237"/>
    <w:uiPriority w:val="0"/>
    <w:qFormat/>
    <w:rPr>
      <w:rFonts w:ascii="宋体" w:eastAsia="宋体"/>
      <w:color w:val="000000"/>
      <w:sz w:val="28"/>
      <w:lang w:bidi="ar-SA"/>
    </w:rPr>
  </w:style>
  <w:style w:type="paragraph" w:styleId="1237" w:customStyle="1">
    <w:name w:val="正文缩进1"/>
    <w:basedOn w:val="956"/>
    <w:link w:val="1236"/>
    <w:uiPriority w:val="0"/>
    <w:qFormat/>
    <w:pPr>
      <w:ind w:firstLine="567"/>
      <w:spacing w:line="480" w:lineRule="exact"/>
      <w:widowControl/>
    </w:pPr>
    <w:rPr>
      <w:rFonts w:ascii="宋体"/>
      <w:color w:val="000000"/>
      <w:sz w:val="28"/>
      <w:szCs w:val="20"/>
    </w:rPr>
  </w:style>
  <w:style w:type="character" w:styleId="1238" w:customStyle="1">
    <w:name w:val="普通文字1 Char1"/>
    <w:link w:val="956"/>
    <w:uiPriority w:val="0"/>
    <w:qFormat/>
    <w:rPr>
      <w:rFonts w:ascii="宋体" w:hAnsi="Courier New" w:eastAsia="宋体"/>
      <w:sz w:val="21"/>
      <w:lang w:val="en-US" w:eastAsia="zh-CN" w:bidi="ar-SA"/>
    </w:rPr>
  </w:style>
  <w:style w:type="character" w:styleId="1239" w:customStyle="1">
    <w:name w:val="chanpin1"/>
    <w:link w:val="956"/>
    <w:uiPriority w:val="0"/>
    <w:qFormat/>
    <w:rPr>
      <w:rFonts w:ascii="ˎ̥" w:hAnsi="ˎ̥"/>
      <w:color w:val="000000"/>
      <w:sz w:val="20"/>
      <w:szCs w:val="20"/>
      <w:u w:val="none"/>
    </w:rPr>
  </w:style>
  <w:style w:type="character" w:styleId="1240" w:customStyle="1">
    <w:name w:val="列表段落 字符"/>
    <w:link w:val="1241"/>
    <w:uiPriority w:val="34"/>
    <w:qFormat/>
    <w:rPr>
      <w:rFonts w:ascii="Calibri" w:hAnsi="Calibri" w:eastAsia="宋体"/>
      <w:sz w:val="21"/>
      <w:szCs w:val="22"/>
      <w:lang w:val="en-US" w:eastAsia="zh-CN" w:bidi="ar-SA"/>
    </w:rPr>
  </w:style>
  <w:style w:type="paragraph" w:styleId="1241" w:customStyle="1">
    <w:name w:val="列表段落"/>
    <w:basedOn w:val="956"/>
    <w:link w:val="1240"/>
    <w:uiPriority w:val="34"/>
    <w:qFormat/>
    <w:pPr>
      <w:ind w:firstLine="420"/>
    </w:pPr>
    <w:rPr>
      <w:rFonts w:ascii="Calibri" w:hAnsi="Calibri"/>
      <w:szCs w:val="22"/>
    </w:rPr>
  </w:style>
  <w:style w:type="character" w:styleId="1242" w:customStyle="1">
    <w:name w:val="标题 3 Char Char"/>
    <w:link w:val="956"/>
    <w:uiPriority w:val="0"/>
    <w:qFormat/>
    <w:rPr>
      <w:rFonts w:eastAsia="宋体"/>
      <w:b/>
      <w:bCs/>
      <w:sz w:val="32"/>
      <w:szCs w:val="32"/>
      <w:lang w:val="en-US" w:eastAsia="zh-CN" w:bidi="ar-SA"/>
    </w:rPr>
  </w:style>
  <w:style w:type="character" w:styleId="1243" w:customStyle="1">
    <w:name w:val="段1 Char"/>
    <w:link w:val="956"/>
    <w:uiPriority w:val="0"/>
    <w:qFormat/>
    <w:rPr>
      <w:rFonts w:ascii="宋体" w:eastAsia="宋体"/>
      <w:sz w:val="24"/>
      <w:lang w:val="en-US" w:eastAsia="zh-CN" w:bidi="ar-SA"/>
    </w:rPr>
  </w:style>
  <w:style w:type="character" w:styleId="1244" w:customStyle="1">
    <w:name w:val="chanpin拷贝"/>
    <w:link w:val="956"/>
    <w:uiPriority w:val="0"/>
    <w:qFormat/>
  </w:style>
  <w:style w:type="character" w:styleId="1245" w:customStyle="1">
    <w:name w:val="纯文本 Char1"/>
    <w:link w:val="956"/>
    <w:uiPriority w:val="0"/>
    <w:qFormat/>
    <w:rPr>
      <w:rFonts w:ascii="宋体" w:hAnsi="Courier New" w:eastAsia="宋体"/>
      <w:sz w:val="21"/>
      <w:lang w:val="en-US" w:eastAsia="zh-CN" w:bidi="ar-SA"/>
    </w:rPr>
  </w:style>
  <w:style w:type="character" w:styleId="1246" w:customStyle="1">
    <w:name w:val="apple-style-span"/>
    <w:link w:val="956"/>
    <w:uiPriority w:val="0"/>
    <w:qFormat/>
    <w:rPr>
      <w:rFonts w:cs="Times New Roman"/>
    </w:rPr>
  </w:style>
  <w:style w:type="paragraph" w:styleId="1247" w:customStyle="1">
    <w:name w:val="二级条标题"/>
    <w:basedOn w:val="1248"/>
    <w:next w:val="95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48" w:customStyle="1">
    <w:name w:val="一级条标题"/>
    <w:basedOn w:val="1249"/>
    <w:next w:val="956"/>
    <w:uiPriority w:val="0"/>
    <w:qFormat/>
    <w:pPr>
      <w:numPr>
        <w:ilvl w:val="1"/>
      </w:numPr>
      <w:ind w:left="0" w:hanging="840"/>
      <w:tabs>
        <w:tab w:val="left" w:pos="360" w:leader="none"/>
        <w:tab w:val="left" w:pos="840" w:leader="none"/>
      </w:tabs>
      <w:outlineLvl w:val="1"/>
    </w:pPr>
  </w:style>
  <w:style w:type="paragraph" w:styleId="1249" w:customStyle="1">
    <w:name w:val="章标题"/>
    <w:next w:val="95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50" w:customStyle="1">
    <w:name w:val="font7"/>
    <w:basedOn w:val="956"/>
    <w:uiPriority w:val="0"/>
    <w:qFormat/>
    <w:pPr>
      <w:jc w:val="left"/>
      <w:spacing w:before="100" w:beforeAutospacing="1" w:after="100" w:afterAutospacing="1"/>
      <w:widowControl/>
    </w:pPr>
    <w:rPr>
      <w:rFonts w:eastAsia="Arial Unicode MS"/>
      <w:b/>
      <w:bCs/>
      <w:color w:val="000000"/>
      <w:sz w:val="20"/>
      <w:szCs w:val="20"/>
    </w:rPr>
  </w:style>
  <w:style w:type="paragraph" w:styleId="1251" w:customStyle="1">
    <w:name w:val="字元 字元"/>
    <w:basedOn w:val="956"/>
    <w:uiPriority w:val="0"/>
    <w:qFormat/>
    <w:rPr>
      <w:rFonts w:ascii="Tahoma" w:hAnsi="Tahoma"/>
      <w:sz w:val="24"/>
      <w:szCs w:val="20"/>
    </w:rPr>
  </w:style>
  <w:style w:type="paragraph" w:styleId="1252" w:customStyle="1">
    <w:name w:val="Char3 Char Char Char"/>
    <w:basedOn w:val="956"/>
    <w:uiPriority w:val="0"/>
    <w:qFormat/>
    <w:rPr>
      <w:rFonts w:ascii="Tahoma" w:hAnsi="Tahoma"/>
      <w:sz w:val="24"/>
      <w:szCs w:val="20"/>
    </w:rPr>
  </w:style>
  <w:style w:type="paragraph" w:styleId="1253" w:customStyle="1">
    <w:name w:val="font6"/>
    <w:basedOn w:val="956"/>
    <w:uiPriority w:val="0"/>
    <w:qFormat/>
    <w:pPr>
      <w:jc w:val="left"/>
      <w:spacing w:before="100" w:beforeAutospacing="1" w:after="100" w:afterAutospacing="1"/>
      <w:widowControl/>
    </w:pPr>
    <w:rPr>
      <w:rFonts w:ascii="宋体" w:hAnsi="宋体" w:cs="宋体"/>
      <w:sz w:val="20"/>
      <w:szCs w:val="20"/>
    </w:rPr>
  </w:style>
  <w:style w:type="paragraph" w:styleId="1254" w:customStyle="1">
    <w:name w:val="项目编号2"/>
    <w:basedOn w:val="1255"/>
    <w:uiPriority w:val="0"/>
    <w:qFormat/>
    <w:pPr>
      <w:numPr>
        <w:numId w:val="2"/>
      </w:numPr>
    </w:pPr>
  </w:style>
  <w:style w:type="paragraph" w:styleId="1255" w:customStyle="1">
    <w:name w:val="项目编号1"/>
    <w:basedOn w:val="956"/>
    <w:uiPriority w:val="0"/>
    <w:qFormat/>
    <w:pPr>
      <w:numPr>
        <w:ilvl w:val="0"/>
        <w:numId w:val="3"/>
      </w:numPr>
      <w:spacing w:before="100" w:beforeAutospacing="1" w:after="100" w:afterAutospacing="1" w:line="360" w:lineRule="auto"/>
    </w:pPr>
    <w:rPr>
      <w:sz w:val="24"/>
    </w:rPr>
  </w:style>
  <w:style w:type="paragraph" w:styleId="1256" w:customStyle="1">
    <w:name w:val="图中文字"/>
    <w:basedOn w:val="956"/>
    <w:uiPriority w:val="0"/>
    <w:qFormat/>
    <w:pPr>
      <w:jc w:val="center"/>
      <w:spacing w:line="0" w:lineRule="atLeast"/>
    </w:pPr>
    <w:rPr>
      <w:sz w:val="24"/>
      <w:szCs w:val="20"/>
    </w:rPr>
  </w:style>
  <w:style w:type="paragraph" w:styleId="1257" w:customStyle="1">
    <w:name w:val="xl46"/>
    <w:basedOn w:val="95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8" w:customStyle="1">
    <w:name w:val="xl25"/>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9" w:customStyle="1">
    <w:name w:val="Char2"/>
    <w:basedOn w:val="956"/>
    <w:uiPriority w:val="0"/>
    <w:qFormat/>
    <w:rPr>
      <w:rFonts w:ascii="Tahoma" w:hAnsi="Tahoma"/>
      <w:sz w:val="24"/>
      <w:szCs w:val="20"/>
    </w:rPr>
  </w:style>
  <w:style w:type="paragraph" w:styleId="1260" w:customStyle="1">
    <w:name w:val="xl35"/>
    <w:basedOn w:val="9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1" w:customStyle="1">
    <w:name w:val="xl40"/>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2" w:customStyle="1">
    <w:name w:val="xl52"/>
    <w:basedOn w:val="9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3" w:customStyle="1">
    <w:name w:val="xl43"/>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4" w:customStyle="1">
    <w:name w:val="background1"/>
    <w:basedOn w:val="956"/>
    <w:uiPriority w:val="0"/>
    <w:qFormat/>
    <w:pPr>
      <w:jc w:val="left"/>
      <w:spacing w:before="100" w:beforeAutospacing="1" w:after="100" w:afterAutospacing="1"/>
      <w:widowControl/>
    </w:pPr>
    <w:rPr>
      <w:rFonts w:ascii="宋体" w:hAnsi="宋体" w:cs="宋体"/>
      <w:sz w:val="24"/>
    </w:rPr>
  </w:style>
  <w:style w:type="paragraph" w:styleId="1265" w:customStyle="1">
    <w:name w:val="Char Char Char Char Char Char Char"/>
    <w:basedOn w:val="956"/>
    <w:uiPriority w:val="0"/>
    <w:qFormat/>
    <w:pPr>
      <w:ind w:firstLine="200"/>
      <w:spacing w:line="360" w:lineRule="auto"/>
    </w:pPr>
    <w:rPr>
      <w:rFonts w:eastAsia="仿宋_GB2312"/>
      <w:sz w:val="24"/>
    </w:rPr>
  </w:style>
  <w:style w:type="paragraph" w:styleId="1266" w:customStyle="1">
    <w:name w:val="xl38"/>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67" w:customStyle="1">
    <w:name w:val="xl36"/>
    <w:basedOn w:val="95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8" w:customStyle="1">
    <w:name w:val="正文 + 宋体"/>
    <w:basedOn w:val="956"/>
    <w:uiPriority w:val="0"/>
    <w:qFormat/>
    <w:pPr>
      <w:ind w:left="360" w:hanging="360"/>
      <w:jc w:val="left"/>
      <w:widowControl/>
    </w:pPr>
    <w:rPr>
      <w:rFonts w:ascii="宋体" w:hAnsi="宋体" w:cs="宋体"/>
      <w:b/>
      <w:bCs/>
      <w:color w:val="000000"/>
      <w:sz w:val="18"/>
      <w:szCs w:val="18"/>
    </w:rPr>
  </w:style>
  <w:style w:type="paragraph" w:styleId="1269" w:customStyle="1">
    <w:name w:val="正文列项_数字"/>
    <w:basedOn w:val="95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0" w:customStyle="1">
    <w:name w:val="xl39"/>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customStyle="1">
    <w:name w:val="xl37"/>
    <w:basedOn w:val="95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2" w:customStyle="1">
    <w:name w:val="xl32"/>
    <w:basedOn w:val="9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3" w:customStyle="1">
    <w:name w:val="font8"/>
    <w:basedOn w:val="956"/>
    <w:uiPriority w:val="0"/>
    <w:qFormat/>
    <w:pPr>
      <w:jc w:val="left"/>
      <w:spacing w:before="100" w:beforeAutospacing="1" w:after="100" w:afterAutospacing="1"/>
      <w:widowControl/>
    </w:pPr>
    <w:rPr>
      <w:sz w:val="36"/>
      <w:szCs w:val="36"/>
    </w:rPr>
  </w:style>
  <w:style w:type="paragraph" w:styleId="1274" w:customStyle="1">
    <w:name w:val="Char"/>
    <w:basedOn w:val="956"/>
    <w:uiPriority w:val="0"/>
    <w:qFormat/>
    <w:pPr>
      <w:tabs>
        <w:tab w:val="left" w:pos="360" w:leader="none"/>
      </w:tabs>
    </w:pPr>
    <w:rPr>
      <w:sz w:val="24"/>
    </w:rPr>
  </w:style>
  <w:style w:type="paragraph" w:styleId="1275" w:customStyle="1">
    <w:name w:val="Char Char Char Char Char Char Char Char Char Char Char Char Char Char Char Char"/>
    <w:basedOn w:val="956"/>
    <w:uiPriority w:val="0"/>
    <w:qFormat/>
    <w:pPr>
      <w:jc w:val="center"/>
      <w:spacing w:after="160" w:line="240" w:lineRule="exact"/>
      <w:widowControl/>
    </w:pPr>
    <w:rPr>
      <w:rFonts w:ascii="宋体" w:hAnsi="宋体"/>
      <w:b/>
      <w:sz w:val="30"/>
      <w:szCs w:val="30"/>
      <w:lang w:eastAsia="en-US"/>
    </w:rPr>
  </w:style>
  <w:style w:type="paragraph" w:styleId="1276" w:customStyle="1">
    <w:name w:val="xl45"/>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7" w:customStyle="1">
    <w:name w:val="Char Char1 Char Char Char Char Char Char"/>
    <w:basedOn w:val="956"/>
    <w:uiPriority w:val="0"/>
    <w:qFormat/>
    <w:pPr>
      <w:jc w:val="left"/>
      <w:spacing w:after="160" w:line="240" w:lineRule="exact"/>
      <w:widowControl/>
    </w:pPr>
    <w:rPr>
      <w:rFonts w:ascii="Verdana" w:hAnsi="Verdana" w:eastAsia="仿宋_GB2312"/>
      <w:sz w:val="24"/>
      <w:szCs w:val="20"/>
      <w:lang w:eastAsia="en-US"/>
    </w:rPr>
  </w:style>
  <w:style w:type="paragraph" w:styleId="1278" w:customStyle="1">
    <w:name w:val="Char Char1"/>
    <w:basedOn w:val="1168"/>
    <w:uiPriority w:val="0"/>
    <w:qFormat/>
    <w:rPr>
      <w:rFonts w:ascii="Tahoma" w:hAnsi="Tahoma"/>
      <w:sz w:val="24"/>
    </w:rPr>
  </w:style>
  <w:style w:type="paragraph" w:styleId="1279" w:customStyle="1">
    <w:name w:val="xl26"/>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0" w:customStyle="1">
    <w:name w:val="xl30"/>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1" w:customStyle="1">
    <w:name w:val="xl41"/>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2" w:customStyle="1">
    <w:name w:val="样式 宋体 五号 行距: 单倍行距"/>
    <w:basedOn w:val="956"/>
    <w:uiPriority w:val="0"/>
    <w:qFormat/>
    <w:pPr>
      <w:jc w:val="left"/>
    </w:pPr>
    <w:rPr>
      <w:rFonts w:ascii="宋体" w:hAnsi="宋体"/>
      <w:szCs w:val="20"/>
    </w:rPr>
  </w:style>
  <w:style w:type="paragraph" w:styleId="1283" w:customStyle="1">
    <w:name w:val="Char1 Char Char Char1"/>
    <w:basedOn w:val="956"/>
    <w:uiPriority w:val="0"/>
    <w:qFormat/>
    <w:rPr>
      <w:rFonts w:ascii="Tahoma" w:hAnsi="Tahoma" w:cs="仿宋_GB2312"/>
      <w:sz w:val="24"/>
      <w:szCs w:val="28"/>
    </w:rPr>
  </w:style>
  <w:style w:type="paragraph" w:styleId="1284" w:customStyle="1">
    <w:name w:val="四级条标题"/>
    <w:basedOn w:val="1285"/>
    <w:next w:val="956"/>
    <w:uiPriority w:val="0"/>
    <w:qFormat/>
    <w:pPr>
      <w:numPr>
        <w:ilvl w:val="4"/>
      </w:numPr>
      <w:ind w:left="0" w:hanging="840"/>
      <w:tabs>
        <w:tab w:val="left" w:pos="360" w:leader="none"/>
        <w:tab w:val="left" w:pos="840" w:leader="none"/>
      </w:tabs>
      <w:outlineLvl w:val="4"/>
    </w:pPr>
  </w:style>
  <w:style w:type="paragraph" w:styleId="1285" w:customStyle="1">
    <w:name w:val="三级条标题"/>
    <w:basedOn w:val="1247"/>
    <w:next w:val="956"/>
    <w:uiPriority w:val="0"/>
    <w:qFormat/>
    <w:pPr>
      <w:numPr>
        <w:ilvl w:val="3"/>
        <w:numId w:val="1"/>
      </w:numPr>
      <w:ind w:left="0" w:hanging="840"/>
      <w:outlineLvl w:val="3"/>
    </w:pPr>
  </w:style>
  <w:style w:type="paragraph" w:styleId="128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87" w:customStyle="1">
    <w:name w:val="样式 标题 2 + 宋体 五号 行距: 单倍行距"/>
    <w:basedOn w:val="1144"/>
    <w:uiPriority w:val="0"/>
    <w:qFormat/>
    <w:pPr>
      <w:numPr>
        <w:ilvl w:val="1"/>
        <w:numId w:val="4"/>
      </w:numPr>
      <w:jc w:val="left"/>
      <w:spacing w:before="260" w:after="260" w:line="240" w:lineRule="auto"/>
    </w:pPr>
    <w:rPr>
      <w:rFonts w:ascii="宋体" w:hAnsi="宋体" w:eastAsia="宋体"/>
      <w:bCs/>
      <w:sz w:val="21"/>
    </w:rPr>
  </w:style>
  <w:style w:type="paragraph" w:styleId="1288" w:customStyle="1">
    <w:name w:val="List Paragraph1"/>
    <w:basedOn w:val="956"/>
    <w:uiPriority w:val="0"/>
    <w:qFormat/>
    <w:pPr>
      <w:ind w:firstLine="420"/>
    </w:pPr>
    <w:rPr>
      <w:rFonts w:ascii="Calibri" w:hAnsi="Calibri"/>
      <w:szCs w:val="22"/>
    </w:rPr>
  </w:style>
  <w:style w:type="paragraph" w:styleId="1289" w:customStyle="1">
    <w:name w:val="项目符号1"/>
    <w:basedOn w:val="1290"/>
    <w:uiPriority w:val="0"/>
    <w:qFormat/>
    <w:pPr>
      <w:ind w:left="-25" w:firstLine="0"/>
    </w:pPr>
  </w:style>
  <w:style w:type="paragraph" w:styleId="1290" w:customStyle="1">
    <w:name w:val="正文文本样式"/>
    <w:basedOn w:val="956"/>
    <w:uiPriority w:val="0"/>
    <w:qFormat/>
    <w:pPr>
      <w:ind w:firstLine="482"/>
      <w:spacing w:line="360" w:lineRule="auto"/>
    </w:pPr>
    <w:rPr>
      <w:rFonts w:cs="宋体"/>
      <w:sz w:val="24"/>
      <w:szCs w:val="20"/>
    </w:rPr>
  </w:style>
  <w:style w:type="paragraph" w:styleId="1291" w:customStyle="1">
    <w:name w:val="xl27"/>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2" w:customStyle="1">
    <w:name w:val="font5"/>
    <w:basedOn w:val="956"/>
    <w:uiPriority w:val="0"/>
    <w:qFormat/>
    <w:pPr>
      <w:jc w:val="left"/>
      <w:spacing w:before="100" w:beforeAutospacing="1" w:after="100" w:afterAutospacing="1"/>
      <w:widowControl/>
    </w:pPr>
    <w:rPr>
      <w:rFonts w:ascii="宋体" w:hAnsi="宋体" w:cs="宋体"/>
      <w:sz w:val="18"/>
      <w:szCs w:val="18"/>
    </w:rPr>
  </w:style>
  <w:style w:type="paragraph" w:styleId="1293" w:customStyle="1">
    <w:name w:val="五级条标题"/>
    <w:basedOn w:val="1284"/>
    <w:next w:val="956"/>
    <w:uiPriority w:val="0"/>
    <w:qFormat/>
    <w:pPr>
      <w:numPr>
        <w:ilvl w:val="5"/>
      </w:numPr>
      <w:ind w:left="0" w:hanging="840"/>
      <w:outlineLvl w:val="5"/>
    </w:pPr>
  </w:style>
  <w:style w:type="paragraph" w:styleId="1294" w:customStyle="1">
    <w:name w:val="xl49"/>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5" w:customStyle="1">
    <w:name w:val="文档正文"/>
    <w:basedOn w:val="956"/>
    <w:uiPriority w:val="0"/>
    <w:qFormat/>
    <w:pPr>
      <w:spacing w:before="120" w:after="120" w:line="180" w:lineRule="auto"/>
    </w:pPr>
    <w:rPr>
      <w:rFonts w:ascii="Arial" w:hAnsi="Arial"/>
      <w:szCs w:val="20"/>
    </w:rPr>
  </w:style>
  <w:style w:type="paragraph" w:styleId="1296" w:customStyle="1">
    <w:name w:val="xl33"/>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7" w:customStyle="1">
    <w:name w:val="xl42"/>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98" w:customStyle="1">
    <w:name w:val="Char Char Char1 Char"/>
    <w:basedOn w:val="956"/>
    <w:uiPriority w:val="0"/>
    <w:qFormat/>
    <w:rPr>
      <w:rFonts w:ascii="Tahoma" w:hAnsi="Tahoma"/>
      <w:sz w:val="24"/>
      <w:szCs w:val="20"/>
    </w:rPr>
  </w:style>
  <w:style w:type="paragraph" w:styleId="1299" w:customStyle="1">
    <w:name w:val="xl44"/>
    <w:basedOn w:val="9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0" w:customStyle="1">
    <w:name w:val="1名"/>
    <w:basedOn w:val="956"/>
    <w:uiPriority w:val="0"/>
    <w:qFormat/>
    <w:pPr>
      <w:numPr>
        <w:ilvl w:val="0"/>
        <w:numId w:val="5"/>
      </w:numPr>
      <w:spacing w:before="120"/>
    </w:pPr>
    <w:rPr>
      <w:rFonts w:ascii="宋体"/>
      <w:sz w:val="28"/>
      <w:szCs w:val="20"/>
    </w:rPr>
  </w:style>
  <w:style w:type="paragraph" w:styleId="1301" w:customStyle="1">
    <w:name w:val="font9"/>
    <w:basedOn w:val="95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2" w:customStyle="1">
    <w:name w:val="Char Char Char1 Char1"/>
    <w:basedOn w:val="956"/>
    <w:uiPriority w:val="0"/>
    <w:qFormat/>
    <w:rPr>
      <w:rFonts w:ascii="Tahoma" w:hAnsi="Tahoma"/>
      <w:sz w:val="24"/>
      <w:szCs w:val="20"/>
    </w:rPr>
  </w:style>
  <w:style w:type="paragraph" w:styleId="1303" w:customStyle="1">
    <w:name w:val="Char Char Char Char Char Char Char Char Char Char"/>
    <w:basedOn w:val="956"/>
    <w:uiPriority w:val="0"/>
    <w:qFormat/>
  </w:style>
  <w:style w:type="paragraph" w:styleId="1304" w:customStyle="1">
    <w:name w:val="Char Char1 Char Char Char Char Char Char Char Char"/>
    <w:basedOn w:val="956"/>
    <w:uiPriority w:val="0"/>
    <w:qFormat/>
    <w:pPr>
      <w:jc w:val="left"/>
      <w:spacing w:after="160" w:line="240" w:lineRule="exact"/>
      <w:widowControl/>
    </w:pPr>
    <w:rPr>
      <w:rFonts w:ascii="Verdana" w:hAnsi="Verdana"/>
      <w:sz w:val="20"/>
      <w:szCs w:val="20"/>
      <w:lang w:eastAsia="en-US"/>
    </w:rPr>
  </w:style>
  <w:style w:type="paragraph" w:styleId="1305" w:customStyle="1">
    <w:name w:val="Char1"/>
    <w:basedOn w:val="956"/>
    <w:uiPriority w:val="0"/>
    <w:qFormat/>
    <w:pPr>
      <w:tabs>
        <w:tab w:val="left" w:pos="360" w:leader="none"/>
      </w:tabs>
    </w:pPr>
    <w:rPr>
      <w:sz w:val="24"/>
    </w:rPr>
  </w:style>
  <w:style w:type="paragraph" w:styleId="1306" w:customStyle="1">
    <w:name w:val="正文列项_字母"/>
    <w:basedOn w:val="95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07" w:customStyle="1">
    <w:name w:val="xl28"/>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8" w:customStyle="1">
    <w:name w:val="xl47"/>
    <w:basedOn w:val="9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customStyle="1">
    <w:name w:val="默认段落字体 Para Char Char Char Char"/>
    <w:basedOn w:val="956"/>
    <w:uiPriority w:val="0"/>
    <w:qFormat/>
    <w:rPr>
      <w:rFonts w:ascii="Arial" w:hAnsi="Arial" w:cs="Arial"/>
      <w:szCs w:val="21"/>
    </w:rPr>
  </w:style>
  <w:style w:type="paragraph" w:styleId="1310" w:customStyle="1">
    <w:name w:val="xl48"/>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1" w:customStyle="1">
    <w:name w:val="xl31"/>
    <w:basedOn w:val="9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2" w:customStyle="1">
    <w:name w:val="xl53"/>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3" w:customStyle="1">
    <w:name w:val="Char Char Char"/>
    <w:basedOn w:val="956"/>
    <w:uiPriority w:val="0"/>
    <w:qFormat/>
    <w:rPr>
      <w:rFonts w:ascii="Tahoma" w:hAnsi="Tahoma"/>
      <w:sz w:val="24"/>
      <w:szCs w:val="20"/>
    </w:rPr>
  </w:style>
  <w:style w:type="paragraph" w:styleId="1314" w:customStyle="1">
    <w:name w:val="xl50"/>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5" w:customStyle="1">
    <w:name w:val="缺省文本"/>
    <w:basedOn w:val="956"/>
    <w:uiPriority w:val="0"/>
    <w:qFormat/>
    <w:pPr>
      <w:jc w:val="left"/>
    </w:pPr>
    <w:rPr>
      <w:sz w:val="24"/>
    </w:rPr>
  </w:style>
  <w:style w:type="paragraph" w:styleId="1316" w:customStyle="1">
    <w:name w:val="Char Char Char1"/>
    <w:basedOn w:val="956"/>
    <w:uiPriority w:val="0"/>
    <w:qFormat/>
    <w:rPr>
      <w:rFonts w:ascii="Tahoma" w:hAnsi="Tahoma"/>
      <w:sz w:val="24"/>
      <w:szCs w:val="20"/>
    </w:rPr>
  </w:style>
  <w:style w:type="paragraph" w:styleId="1317" w:customStyle="1">
    <w:name w:val="Char Char Char Char Char Char Char1"/>
    <w:basedOn w:val="956"/>
    <w:uiPriority w:val="0"/>
    <w:qFormat/>
    <w:pPr>
      <w:ind w:firstLine="200"/>
      <w:spacing w:line="360" w:lineRule="auto"/>
    </w:pPr>
    <w:rPr>
      <w:rFonts w:eastAsia="仿宋_GB2312"/>
      <w:sz w:val="24"/>
    </w:rPr>
  </w:style>
  <w:style w:type="paragraph" w:styleId="1318" w:customStyle="1">
    <w:name w:val="xl51"/>
    <w:basedOn w:val="95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9" w:customStyle="1">
    <w:name w:val="样式2"/>
    <w:basedOn w:val="1206"/>
    <w:uiPriority w:val="0"/>
    <w:qFormat/>
    <w:pPr>
      <w:jc w:val="center"/>
      <w:spacing w:line="360" w:lineRule="auto"/>
    </w:pPr>
    <w:rPr>
      <w:sz w:val="24"/>
    </w:rPr>
  </w:style>
  <w:style w:type="paragraph" w:styleId="1320" w:customStyle="1">
    <w:name w:val="xl24"/>
    <w:basedOn w:val="9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1" w:customStyle="1">
    <w:name w:val="xl29"/>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2" w:customStyle="1">
    <w:name w:val="正文 + 楷体_GB2312"/>
    <w:basedOn w:val="956"/>
    <w:uiPriority w:val="0"/>
    <w:qFormat/>
    <w:pPr>
      <w:jc w:val="left"/>
      <w:widowControl/>
    </w:pPr>
    <w:rPr>
      <w:rFonts w:ascii="楷体_GB2312" w:eastAsia="楷体_GB2312" w:cs="Arial"/>
      <w:sz w:val="24"/>
    </w:rPr>
  </w:style>
  <w:style w:type="paragraph" w:styleId="1323" w:customStyle="1">
    <w:name w:val="xl34"/>
    <w:basedOn w:val="9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4" w:customStyle="1">
    <w:name w:val="1 Char Char Char Char"/>
    <w:basedOn w:val="956"/>
    <w:uiPriority w:val="0"/>
    <w:qFormat/>
    <w:rPr>
      <w:rFonts w:ascii="Tahoma" w:hAnsi="Tahoma"/>
      <w:sz w:val="24"/>
      <w:szCs w:val="20"/>
    </w:rPr>
  </w:style>
  <w:style w:type="paragraph" w:styleId="1325" w:customStyle="1">
    <w:name w:val="列出段落1"/>
    <w:basedOn w:val="956"/>
    <w:uiPriority w:val="0"/>
    <w:qFormat/>
    <w:pPr>
      <w:ind w:firstLine="420"/>
    </w:pPr>
    <w:rPr>
      <w:rFonts w:ascii="Calibri" w:hAnsi="Calibri"/>
      <w:szCs w:val="22"/>
    </w:rPr>
  </w:style>
  <w:style w:type="paragraph" w:styleId="1326" w:customStyle="1">
    <w:name w:val="default"/>
    <w:basedOn w:val="956"/>
    <w:uiPriority w:val="0"/>
    <w:qFormat/>
    <w:pPr>
      <w:jc w:val="left"/>
      <w:spacing w:before="100" w:beforeAutospacing="1" w:after="100" w:afterAutospacing="1"/>
      <w:widowControl/>
    </w:pPr>
    <w:rPr>
      <w:rFonts w:ascii="宋体" w:hAnsi="宋体" w:cs="宋体"/>
      <w:sz w:val="24"/>
    </w:rPr>
  </w:style>
  <w:style w:type="paragraph" w:styleId="1327" w:customStyle="1">
    <w:name w:val="字元 字元1"/>
    <w:basedOn w:val="956"/>
    <w:uiPriority w:val="0"/>
    <w:qFormat/>
    <w:rPr>
      <w:rFonts w:ascii="Tahoma" w:hAnsi="Tahoma"/>
      <w:sz w:val="24"/>
      <w:szCs w:val="20"/>
    </w:rPr>
  </w:style>
  <w:style w:type="paragraph" w:styleId="1328" w:customStyle="1">
    <w:name w:val="_Style 160"/>
    <w:uiPriority w:val="0"/>
    <w:qFormat/>
    <w:rPr>
      <w:rFonts w:hint="default" w:ascii="Times New Roman" w:hAnsi="Times New Roman" w:eastAsia="宋体" w:cs="Times New Roman"/>
      <w:sz w:val="21"/>
      <w:szCs w:val="24"/>
      <w:lang w:val="en-US" w:eastAsia="zh-CN" w:bidi="ar-SA"/>
    </w:rPr>
  </w:style>
  <w:style w:type="paragraph" w:styleId="1329" w:customStyle="1">
    <w:name w:val="项目编号3"/>
    <w:basedOn w:val="1290"/>
    <w:uiPriority w:val="0"/>
    <w:qFormat/>
    <w:pPr>
      <w:numPr>
        <w:ilvl w:val="0"/>
        <w:numId w:val="6"/>
      </w:numPr>
    </w:pPr>
  </w:style>
  <w:style w:type="paragraph" w:styleId="1330" w:customStyle="1">
    <w:name w:val="Char21"/>
    <w:basedOn w:val="956"/>
    <w:uiPriority w:val="0"/>
    <w:qFormat/>
    <w:rPr>
      <w:rFonts w:ascii="Tahoma" w:hAnsi="Tahoma"/>
      <w:sz w:val="24"/>
      <w:szCs w:val="20"/>
    </w:rPr>
  </w:style>
  <w:style w:type="paragraph" w:styleId="1331" w:customStyle="1">
    <w:name w:val="表格文字"/>
    <w:basedOn w:val="1176"/>
    <w:uiPriority w:val="0"/>
    <w:qFormat/>
    <w:pPr>
      <w:ind w:firstLine="0"/>
      <w:spacing w:before="20" w:after="20" w:line="240" w:lineRule="auto"/>
    </w:pPr>
    <w:rPr>
      <w:rFonts w:ascii="Century Gothic" w:hAnsi="Century Gothic"/>
      <w:sz w:val="20"/>
      <w:szCs w:val="20"/>
    </w:rPr>
  </w:style>
  <w:style w:type="paragraph" w:styleId="1332" w:customStyle="1">
    <w:name w:val="Char Char Char Char Char Char Char Char Char Char1"/>
    <w:basedOn w:val="956"/>
    <w:uiPriority w:val="0"/>
    <w:qFormat/>
    <w:rPr>
      <w:rFonts w:ascii="宋体" w:hAnsi="宋体" w:cs="Courier New"/>
      <w:sz w:val="32"/>
      <w:szCs w:val="32"/>
    </w:rPr>
  </w:style>
  <w:style w:type="paragraph" w:styleId="1333" w:customStyle="1">
    <w:name w:val="正文文本样式 加粗"/>
    <w:basedOn w:val="1290"/>
    <w:uiPriority w:val="0"/>
    <w:qFormat/>
    <w:rPr>
      <w:b/>
    </w:rPr>
  </w:style>
  <w:style w:type="paragraph" w:styleId="1334" w:customStyle="1">
    <w:name w:val="Char2 Char Char Char Char Char Char"/>
    <w:basedOn w:val="956"/>
    <w:uiPriority w:val="0"/>
    <w:qFormat/>
    <w:pPr>
      <w:jc w:val="center"/>
      <w:spacing w:line="400" w:lineRule="exact"/>
      <w:widowControl/>
    </w:pPr>
  </w:style>
  <w:style w:type="paragraph" w:styleId="1335" w:customStyle="1">
    <w:name w:val="Char Char4"/>
    <w:basedOn w:val="956"/>
    <w:uiPriority w:val="0"/>
    <w:qFormat/>
    <w:pPr>
      <w:jc w:val="center"/>
      <w:spacing w:line="400" w:lineRule="exact"/>
      <w:widowControl/>
    </w:pPr>
  </w:style>
  <w:style w:type="paragraph" w:styleId="1336" w:customStyle="1">
    <w:name w:val="Char3 Char Char Char1"/>
    <w:basedOn w:val="956"/>
    <w:uiPriority w:val="0"/>
    <w:qFormat/>
    <w:rPr>
      <w:rFonts w:ascii="Tahoma" w:hAnsi="Tahoma"/>
      <w:sz w:val="24"/>
      <w:szCs w:val="20"/>
    </w:rPr>
  </w:style>
  <w:style w:type="paragraph" w:styleId="13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22222222222222"/>
    <w:basedOn w:val="956"/>
    <w:uiPriority w:val="0"/>
    <w:qFormat/>
    <w:pPr>
      <w:ind w:firstLine="480"/>
      <w:jc w:val="left"/>
      <w:spacing w:line="360" w:lineRule="auto"/>
      <w:widowControl/>
    </w:pPr>
    <w:rPr>
      <w:color w:val="ff0000"/>
      <w:sz w:val="24"/>
      <w:szCs w:val="20"/>
    </w:rPr>
  </w:style>
  <w:style w:type="character" w:styleId="1339" w:customStyle="1">
    <w:name w:val="中等深浅网格 1 - 强调文字颜色 2 Char"/>
    <w:link w:val="1340"/>
    <w:uiPriority w:val="0"/>
    <w:qFormat/>
    <w:rPr>
      <w:sz w:val="21"/>
      <w:szCs w:val="24"/>
      <w:lang w:val="zh-CN" w:eastAsia="zh-CN" w:bidi="ar-SA"/>
    </w:rPr>
  </w:style>
  <w:style w:type="paragraph" w:styleId="1340" w:customStyle="1">
    <w:name w:val="1"/>
    <w:link w:val="1339"/>
    <w:uiPriority w:val="0"/>
    <w:qFormat/>
    <w:rPr>
      <w:rFonts w:hint="default" w:ascii="Times New Roman" w:hAnsi="Times New Roman" w:eastAsia="宋体" w:cs="Times New Roman"/>
      <w:sz w:val="21"/>
      <w:szCs w:val="24"/>
      <w:lang w:val="zh-CN" w:eastAsia="zh-CN" w:bidi="ar-SA"/>
    </w:rPr>
  </w:style>
  <w:style w:type="paragraph" w:styleId="1341" w:customStyle="1">
    <w:name w:val="图文"/>
    <w:basedOn w:val="956"/>
    <w:uiPriority w:val="0"/>
    <w:qFormat/>
    <w:pPr>
      <w:spacing w:after="50" w:line="360" w:lineRule="auto"/>
    </w:pPr>
    <w:rPr>
      <w:sz w:val="24"/>
    </w:rPr>
  </w:style>
  <w:style w:type="paragraph" w:styleId="1342" w:customStyle="1">
    <w:name w:val="xl23"/>
    <w:basedOn w:val="956"/>
    <w:uiPriority w:val="0"/>
    <w:qFormat/>
    <w:pPr>
      <w:spacing w:before="100" w:beforeAutospacing="1" w:after="100" w:afterAutospacing="1" w:line="360" w:lineRule="auto"/>
      <w:widowControl/>
    </w:pPr>
    <w:rPr>
      <w:sz w:val="24"/>
      <w:szCs w:val="20"/>
    </w:rPr>
  </w:style>
  <w:style w:type="paragraph" w:styleId="1343" w:customStyle="1">
    <w:name w:val="正文表格"/>
    <w:basedOn w:val="956"/>
    <w:link w:val="1344"/>
    <w:uiPriority w:val="0"/>
    <w:qFormat/>
    <w:pPr>
      <w:jc w:val="left"/>
    </w:pPr>
    <w:rPr>
      <w:rFonts w:ascii="宋体" w:hAnsi="宋体"/>
      <w:color w:val="000000"/>
      <w:szCs w:val="21"/>
    </w:rPr>
  </w:style>
  <w:style w:type="character" w:styleId="1344" w:customStyle="1">
    <w:name w:val="正文表格 Char"/>
    <w:link w:val="1343"/>
    <w:uiPriority w:val="0"/>
    <w:qFormat/>
    <w:rPr>
      <w:rFonts w:ascii="宋体" w:hAnsi="宋体"/>
      <w:color w:val="000000"/>
      <w:sz w:val="21"/>
      <w:szCs w:val="21"/>
    </w:rPr>
  </w:style>
  <w:style w:type="paragraph" w:styleId="1345" w:customStyle="1">
    <w:name w:val="正文重点"/>
    <w:basedOn w:val="956"/>
    <w:link w:val="1346"/>
    <w:uiPriority w:val="0"/>
    <w:qFormat/>
    <w:pPr>
      <w:ind w:firstLine="482"/>
      <w:jc w:val="left"/>
      <w:spacing w:line="360" w:lineRule="auto"/>
    </w:pPr>
    <w:rPr>
      <w:b/>
      <w:sz w:val="24"/>
      <w:szCs w:val="20"/>
    </w:rPr>
  </w:style>
  <w:style w:type="character" w:styleId="1346" w:customStyle="1">
    <w:name w:val="正文重点 Char"/>
    <w:link w:val="1345"/>
    <w:uiPriority w:val="0"/>
    <w:qFormat/>
    <w:rPr>
      <w:b/>
      <w:sz w:val="24"/>
    </w:rPr>
  </w:style>
  <w:style w:type="paragraph" w:styleId="1347" w:customStyle="1">
    <w:name w:val="标题1-附件"/>
    <w:basedOn w:val="1143"/>
    <w:uiPriority w:val="0"/>
    <w:qFormat/>
    <w:pPr>
      <w:jc w:val="left"/>
    </w:pPr>
    <w:rPr>
      <w:sz w:val="24"/>
      <w:szCs w:val="24"/>
    </w:rPr>
  </w:style>
  <w:style w:type="paragraph" w:styleId="1348" w:customStyle="1">
    <w:name w:val="正文小标题"/>
    <w:basedOn w:val="956"/>
    <w:next w:val="1165"/>
    <w:link w:val="1349"/>
    <w:uiPriority w:val="0"/>
    <w:qFormat/>
    <w:pPr>
      <w:ind w:firstLine="482"/>
      <w:jc w:val="left"/>
      <w:spacing w:before="312" w:after="312"/>
    </w:pPr>
    <w:rPr>
      <w:rFonts w:ascii="宋体" w:hAnsi="宋体"/>
      <w:b/>
      <w:i/>
      <w:color w:val="ff0000"/>
      <w:sz w:val="24"/>
      <w:szCs w:val="20"/>
    </w:rPr>
  </w:style>
  <w:style w:type="character" w:styleId="1349" w:customStyle="1">
    <w:name w:val="正文小标题 Char"/>
    <w:link w:val="1348"/>
    <w:uiPriority w:val="0"/>
    <w:qFormat/>
    <w:rPr>
      <w:rFonts w:ascii="宋体" w:hAnsi="宋体"/>
      <w:b/>
      <w:i/>
      <w:color w:val="ff0000"/>
      <w:sz w:val="24"/>
    </w:rPr>
  </w:style>
  <w:style w:type="paragraph" w:styleId="1350" w:customStyle="1">
    <w:name w:val="正文大标题"/>
    <w:basedOn w:val="1348"/>
    <w:next w:val="1165"/>
    <w:link w:val="1351"/>
    <w:uiPriority w:val="0"/>
    <w:qFormat/>
    <w:pPr>
      <w:jc w:val="center"/>
    </w:pPr>
    <w:rPr>
      <w:i w:val="0"/>
      <w:color w:val="000000"/>
      <w:sz w:val="28"/>
      <w:szCs w:val="21"/>
    </w:rPr>
  </w:style>
  <w:style w:type="character" w:styleId="1351" w:customStyle="1">
    <w:name w:val="正文大标题 Char"/>
    <w:link w:val="1350"/>
    <w:uiPriority w:val="0"/>
    <w:qFormat/>
    <w:rPr>
      <w:rFonts w:ascii="宋体" w:hAnsi="宋体"/>
      <w:b/>
      <w:color w:val="000000"/>
      <w:sz w:val="28"/>
      <w:szCs w:val="21"/>
    </w:rPr>
  </w:style>
  <w:style w:type="paragraph" w:styleId="1352" w:customStyle="1">
    <w:name w:val="注释"/>
    <w:basedOn w:val="956"/>
    <w:link w:val="1353"/>
    <w:uiPriority w:val="0"/>
    <w:qFormat/>
    <w:pPr>
      <w:ind w:left="420" w:hanging="420"/>
      <w:jc w:val="left"/>
    </w:pPr>
    <w:rPr>
      <w:rFonts w:ascii="宋体" w:hAnsi="宋体"/>
      <w:szCs w:val="21"/>
    </w:rPr>
  </w:style>
  <w:style w:type="character" w:styleId="1353" w:customStyle="1">
    <w:name w:val="注释 Char"/>
    <w:link w:val="1352"/>
    <w:uiPriority w:val="0"/>
    <w:qFormat/>
    <w:rPr>
      <w:rFonts w:ascii="宋体" w:hAnsi="宋体"/>
      <w:sz w:val="21"/>
      <w:szCs w:val="21"/>
    </w:rPr>
  </w:style>
  <w:style w:type="paragraph" w:styleId="1354" w:customStyle="1">
    <w:name w:val="正文须知-1级"/>
    <w:basedOn w:val="956"/>
    <w:next w:val="956"/>
    <w:uiPriority w:val="0"/>
    <w:qFormat/>
    <w:pPr>
      <w:numPr>
        <w:ilvl w:val="0"/>
        <w:numId w:val="7"/>
      </w:numPr>
      <w:spacing w:line="300" w:lineRule="auto"/>
    </w:pPr>
    <w:rPr>
      <w:rFonts w:ascii="宋体" w:hAnsi="Calibri"/>
      <w:sz w:val="24"/>
      <w:szCs w:val="21"/>
    </w:rPr>
  </w:style>
  <w:style w:type="paragraph" w:styleId="1355" w:customStyle="1">
    <w:name w:val="正文须知-2级"/>
    <w:basedOn w:val="956"/>
    <w:uiPriority w:val="0"/>
    <w:qFormat/>
    <w:pPr>
      <w:numPr>
        <w:ilvl w:val="1"/>
        <w:numId w:val="7"/>
      </w:numPr>
      <w:spacing w:line="300" w:lineRule="auto"/>
    </w:pPr>
    <w:rPr>
      <w:rFonts w:ascii="宋体" w:hAnsi="Calibri"/>
      <w:sz w:val="24"/>
      <w:szCs w:val="21"/>
    </w:rPr>
  </w:style>
  <w:style w:type="paragraph" w:styleId="1356" w:customStyle="1">
    <w:name w:val="正文须知-3级"/>
    <w:basedOn w:val="956"/>
    <w:uiPriority w:val="0"/>
    <w:qFormat/>
    <w:pPr>
      <w:numPr>
        <w:ilvl w:val="2"/>
        <w:numId w:val="7"/>
      </w:numPr>
      <w:ind w:hanging="355"/>
      <w:spacing w:line="300" w:lineRule="auto"/>
    </w:pPr>
    <w:rPr>
      <w:rFonts w:ascii="宋体" w:hAnsi="Calibri"/>
      <w:sz w:val="24"/>
      <w:szCs w:val="21"/>
    </w:rPr>
  </w:style>
  <w:style w:type="character" w:styleId="1357" w:customStyle="1">
    <w:name w:val="纯文本 字符"/>
    <w:link w:val="956"/>
    <w:uiPriority w:val="99"/>
    <w:qFormat/>
    <w:rPr>
      <w:rFonts w:ascii="宋体" w:hAnsi="Courier New" w:eastAsia="宋体" w:cs="Times New Roman"/>
      <w:sz w:val="21"/>
      <w:szCs w:val="21"/>
      <w:lang w:val="en-US" w:eastAsia="zh-CN" w:bidi="ar-SA"/>
    </w:rPr>
  </w:style>
  <w:style w:type="paragraph" w:styleId="1358" w:customStyle="1">
    <w:name w:val="表格1"/>
    <w:basedOn w:val="956"/>
    <w:uiPriority w:val="0"/>
    <w:qFormat/>
    <w:pPr>
      <w:ind w:firstLine="480"/>
      <w:jc w:val="center"/>
    </w:pPr>
    <w:rPr>
      <w:sz w:val="24"/>
      <w:szCs w:val="20"/>
    </w:rPr>
  </w:style>
  <w:style w:type="character" w:styleId="1359" w:customStyle="1">
    <w:name w:val="纯文本 字符1"/>
    <w:link w:val="956"/>
    <w:uiPriority w:val="0"/>
    <w:qFormat/>
    <w:rPr>
      <w:rFonts w:ascii="宋体" w:hAnsi="Courier New"/>
    </w:rPr>
  </w:style>
  <w:style w:type="character" w:styleId="1360" w:customStyle="1">
    <w:name w:val="bjh-p"/>
    <w:link w:val="956"/>
    <w:uiPriority w:val="0"/>
    <w:qFormat/>
  </w:style>
  <w:style w:type="paragraph" w:styleId="1361" w:customStyle="1">
    <w:name w:val="无标题条"/>
    <w:next w:val="956"/>
    <w:uiPriority w:val="0"/>
    <w:qFormat/>
    <w:pPr>
      <w:jc w:val="both"/>
    </w:pPr>
    <w:rPr>
      <w:rFonts w:hint="default" w:ascii="Times New Roman" w:hAnsi="Times New Roman" w:eastAsia="宋体" w:cs="Times New Roman"/>
      <w:sz w:val="21"/>
      <w:lang w:val="en-US" w:eastAsia="zh-CN" w:bidi="ar-SA"/>
    </w:rPr>
  </w:style>
  <w:style w:type="character" w:styleId="1362" w:customStyle="1">
    <w:name w:val="正文格式 Char"/>
    <w:link w:val="1363"/>
    <w:uiPriority w:val="0"/>
    <w:qFormat/>
    <w:rPr>
      <w:rFonts w:ascii="宋体" w:hAnsi="宋体"/>
      <w:sz w:val="24"/>
      <w:szCs w:val="24"/>
      <w:lang w:val="en-GB"/>
    </w:rPr>
  </w:style>
  <w:style w:type="paragraph" w:styleId="1363" w:customStyle="1">
    <w:name w:val="正文格式"/>
    <w:basedOn w:val="956"/>
    <w:link w:val="1362"/>
    <w:uiPriority w:val="0"/>
    <w:qFormat/>
    <w:pPr>
      <w:ind w:firstLine="480"/>
      <w:spacing w:line="360" w:lineRule="auto"/>
    </w:pPr>
    <w:rPr>
      <w:rFonts w:ascii="宋体" w:hAnsi="宋体"/>
      <w:sz w:val="24"/>
      <w:lang w:val="en-GB"/>
    </w:rPr>
  </w:style>
  <w:style w:type="character" w:styleId="1364" w:customStyle="1">
    <w:name w:val="标题 3 Char"/>
    <w:link w:val="956"/>
    <w:uiPriority w:val="0"/>
    <w:qFormat/>
    <w:rPr>
      <w:rFonts w:ascii="宋体" w:eastAsia="宋体"/>
      <w:b/>
      <w:sz w:val="24"/>
      <w:u w:val="single"/>
      <w:lang w:val="en-US" w:eastAsia="zh-CN" w:bidi="ar-SA"/>
    </w:rPr>
  </w:style>
  <w:style w:type="character" w:styleId="1365" w:customStyle="1">
    <w:name w:val="正文缩进 Char"/>
    <w:link w:val="956"/>
    <w:uiPriority w:val="0"/>
    <w:qFormat/>
    <w:rPr>
      <w:rFonts w:ascii="宋体" w:eastAsia="宋体"/>
      <w:sz w:val="24"/>
      <w:szCs w:val="24"/>
      <w:lang w:val="en-US" w:eastAsia="zh-CN" w:bidi="ar-SA"/>
    </w:rPr>
  </w:style>
  <w:style w:type="character" w:styleId="1366" w:customStyle="1">
    <w:name w:val="Char Char111"/>
    <w:link w:val="956"/>
    <w:uiPriority w:val="0"/>
    <w:qFormat/>
    <w:rPr>
      <w:rFonts w:ascii="宋体" w:eastAsia="宋体"/>
      <w:b/>
      <w:sz w:val="24"/>
      <w:u w:val="single"/>
      <w:lang w:val="en-US" w:eastAsia="zh-CN" w:bidi="ar-SA"/>
    </w:rPr>
  </w:style>
  <w:style w:type="character" w:styleId="1367" w:customStyle="1">
    <w:name w:val="正文文本缩进 Char"/>
    <w:link w:val="956"/>
    <w:uiPriority w:val="0"/>
    <w:qFormat/>
    <w:rPr>
      <w:rFonts w:eastAsia="宋体"/>
      <w:sz w:val="24"/>
      <w:szCs w:val="24"/>
      <w:lang w:val="en-US" w:eastAsia="zh-CN" w:bidi="ar-SA"/>
    </w:rPr>
  </w:style>
  <w:style w:type="character" w:styleId="1368" w:customStyle="1">
    <w:name w:val="列出段落 Char"/>
    <w:link w:val="956"/>
    <w:uiPriority w:val="0"/>
    <w:qFormat/>
    <w:rPr>
      <w:rFonts w:ascii="Calibri" w:hAnsi="Calibri" w:eastAsia="宋体"/>
      <w:sz w:val="21"/>
      <w:szCs w:val="22"/>
      <w:lang w:val="en-US" w:eastAsia="zh-CN" w:bidi="ar-SA"/>
    </w:rPr>
  </w:style>
  <w:style w:type="character" w:styleId="1369" w:customStyle="1">
    <w:name w:val="页眉 Char"/>
    <w:link w:val="956"/>
    <w:uiPriority w:val="0"/>
    <w:qFormat/>
    <w:rPr>
      <w:rFonts w:eastAsia="宋体"/>
      <w:sz w:val="18"/>
      <w:szCs w:val="18"/>
      <w:lang w:val="en-US" w:eastAsia="zh-CN" w:bidi="ar-SA"/>
    </w:rPr>
  </w:style>
  <w:style w:type="character" w:styleId="1370" w:customStyle="1">
    <w:name w:val="标题 2 Char"/>
    <w:link w:val="956"/>
    <w:uiPriority w:val="0"/>
    <w:qFormat/>
    <w:rPr>
      <w:rFonts w:ascii="Arial" w:hAnsi="Arial" w:eastAsia="黑体"/>
      <w:b/>
      <w:sz w:val="30"/>
      <w:lang w:val="en-US" w:eastAsia="zh-CN" w:bidi="ar-SA"/>
    </w:rPr>
  </w:style>
  <w:style w:type="paragraph" w:styleId="1371" w:customStyle="1">
    <w:name w:val="字元 字元2"/>
    <w:basedOn w:val="956"/>
    <w:uiPriority w:val="0"/>
    <w:qFormat/>
    <w:rPr>
      <w:rFonts w:ascii="Tahoma" w:hAnsi="Tahoma"/>
      <w:sz w:val="24"/>
      <w:szCs w:val="20"/>
    </w:rPr>
  </w:style>
  <w:style w:type="paragraph" w:styleId="1372" w:customStyle="1">
    <w:name w:val="Char3 Char Char Char2"/>
    <w:basedOn w:val="956"/>
    <w:uiPriority w:val="0"/>
    <w:qFormat/>
    <w:rPr>
      <w:rFonts w:ascii="Tahoma" w:hAnsi="Tahoma"/>
      <w:sz w:val="24"/>
      <w:szCs w:val="20"/>
    </w:rPr>
  </w:style>
  <w:style w:type="paragraph" w:styleId="1373" w:customStyle="1">
    <w:name w:val="正文文本缩进2"/>
    <w:basedOn w:val="956"/>
    <w:uiPriority w:val="0"/>
    <w:qFormat/>
    <w:pPr>
      <w:ind w:firstLine="480"/>
      <w:spacing w:line="480" w:lineRule="exact"/>
    </w:pPr>
    <w:rPr>
      <w:rFonts w:ascii="宋体" w:hAnsi="宋体"/>
      <w:sz w:val="24"/>
      <w:lang w:val="zh-CN" w:eastAsia="zh-CN"/>
    </w:rPr>
  </w:style>
  <w:style w:type="paragraph" w:styleId="1374" w:customStyle="1">
    <w:name w:val="Char3"/>
    <w:basedOn w:val="956"/>
    <w:uiPriority w:val="0"/>
    <w:qFormat/>
    <w:pPr>
      <w:tabs>
        <w:tab w:val="left" w:pos="360" w:leader="none"/>
      </w:tabs>
    </w:pPr>
    <w:rPr>
      <w:sz w:val="24"/>
    </w:rPr>
  </w:style>
  <w:style w:type="paragraph" w:styleId="1375" w:customStyle="1">
    <w:name w:val="Char Char Char Char Char Char Char Char Char Char Char Char Char Char Char Char1"/>
    <w:basedOn w:val="956"/>
    <w:uiPriority w:val="0"/>
    <w:qFormat/>
    <w:pPr>
      <w:jc w:val="center"/>
      <w:spacing w:after="160" w:line="240" w:lineRule="exact"/>
      <w:widowControl/>
    </w:pPr>
    <w:rPr>
      <w:rFonts w:ascii="宋体" w:hAnsi="宋体"/>
      <w:b/>
      <w:sz w:val="30"/>
      <w:szCs w:val="30"/>
      <w:lang w:eastAsia="en-US"/>
    </w:rPr>
  </w:style>
  <w:style w:type="paragraph" w:styleId="1376" w:customStyle="1">
    <w:name w:val="Char Char1 Char Char Char Char Char Char1"/>
    <w:basedOn w:val="956"/>
    <w:uiPriority w:val="0"/>
    <w:qFormat/>
    <w:pPr>
      <w:jc w:val="left"/>
      <w:spacing w:after="160" w:line="240" w:lineRule="exact"/>
      <w:widowControl/>
    </w:pPr>
    <w:rPr>
      <w:rFonts w:ascii="Verdana" w:hAnsi="Verdana" w:eastAsia="仿宋_GB2312"/>
      <w:sz w:val="24"/>
      <w:szCs w:val="20"/>
      <w:lang w:eastAsia="en-US"/>
    </w:rPr>
  </w:style>
  <w:style w:type="paragraph" w:styleId="1377" w:customStyle="1">
    <w:name w:val="列出段落2"/>
    <w:basedOn w:val="956"/>
    <w:uiPriority w:val="0"/>
    <w:qFormat/>
    <w:pPr>
      <w:ind w:firstLine="420"/>
    </w:pPr>
    <w:rPr>
      <w:rFonts w:ascii="Calibri" w:hAnsi="Calibri"/>
      <w:szCs w:val="22"/>
    </w:rPr>
  </w:style>
  <w:style w:type="paragraph" w:styleId="1378" w:customStyle="1">
    <w:name w:val="Char Char Char1 Char2"/>
    <w:basedOn w:val="956"/>
    <w:uiPriority w:val="0"/>
    <w:qFormat/>
    <w:rPr>
      <w:rFonts w:ascii="Tahoma" w:hAnsi="Tahoma"/>
      <w:sz w:val="24"/>
      <w:szCs w:val="20"/>
    </w:rPr>
  </w:style>
  <w:style w:type="paragraph" w:styleId="1379" w:customStyle="1">
    <w:name w:val="Char Char Char2"/>
    <w:basedOn w:val="956"/>
    <w:uiPriority w:val="0"/>
    <w:qFormat/>
    <w:rPr>
      <w:rFonts w:ascii="Tahoma" w:hAnsi="Tahoma"/>
      <w:sz w:val="24"/>
      <w:szCs w:val="20"/>
    </w:rPr>
  </w:style>
  <w:style w:type="paragraph" w:styleId="1380" w:customStyle="1">
    <w:name w:val="Char Char Char Char Char Char Char2"/>
    <w:basedOn w:val="956"/>
    <w:uiPriority w:val="0"/>
    <w:qFormat/>
    <w:pPr>
      <w:ind w:firstLine="200"/>
      <w:spacing w:line="360" w:lineRule="auto"/>
    </w:pPr>
    <w:rPr>
      <w:rFonts w:eastAsia="仿宋_GB2312"/>
      <w:sz w:val="24"/>
    </w:rPr>
  </w:style>
  <w:style w:type="paragraph" w:styleId="1381" w:customStyle="1">
    <w:name w:val="正文缩进2"/>
    <w:basedOn w:val="956"/>
    <w:uiPriority w:val="0"/>
    <w:qFormat/>
    <w:pPr>
      <w:ind w:firstLine="567"/>
      <w:spacing w:line="480" w:lineRule="exact"/>
      <w:widowControl/>
    </w:pPr>
    <w:rPr>
      <w:rFonts w:ascii="宋体"/>
      <w:color w:val="000000"/>
      <w:sz w:val="28"/>
      <w:szCs w:val="20"/>
      <w:lang w:val="zh-CN" w:eastAsia="zh-CN"/>
    </w:rPr>
  </w:style>
  <w:style w:type="paragraph" w:styleId="1382" w:customStyle="1">
    <w:name w:val="Revision"/>
    <w:uiPriority w:val="0"/>
    <w:qFormat/>
    <w:rPr>
      <w:rFonts w:hint="default" w:ascii="Times New Roman" w:hAnsi="Times New Roman" w:eastAsia="宋体" w:cs="Times New Roman"/>
      <w:sz w:val="21"/>
      <w:szCs w:val="24"/>
      <w:lang w:val="en-US" w:eastAsia="zh-CN" w:bidi="ar-SA"/>
    </w:rPr>
  </w:style>
  <w:style w:type="paragraph" w:styleId="1383" w:customStyle="1">
    <w:name w:val="Char22"/>
    <w:basedOn w:val="956"/>
    <w:uiPriority w:val="0"/>
    <w:qFormat/>
    <w:rPr>
      <w:rFonts w:ascii="Tahoma" w:hAnsi="Tahoma"/>
      <w:sz w:val="24"/>
      <w:szCs w:val="20"/>
    </w:rPr>
  </w:style>
  <w:style w:type="paragraph" w:styleId="1384" w:customStyle="1">
    <w:name w:val="Char Char Char Char Char Char Char Char Char Char2"/>
    <w:basedOn w:val="956"/>
    <w:uiPriority w:val="0"/>
    <w:qFormat/>
    <w:rPr>
      <w:rFonts w:ascii="宋体" w:hAnsi="宋体" w:cs="Courier New"/>
      <w:sz w:val="32"/>
      <w:szCs w:val="32"/>
    </w:rPr>
  </w:style>
  <w:style w:type="paragraph" w:styleId="1385" w:customStyle="1">
    <w:name w:val="Char2 Char Char Char Char Char Char1"/>
    <w:basedOn w:val="956"/>
    <w:uiPriority w:val="0"/>
    <w:qFormat/>
    <w:pPr>
      <w:jc w:val="center"/>
      <w:spacing w:line="400" w:lineRule="exact"/>
      <w:widowControl/>
    </w:pPr>
  </w:style>
  <w:style w:type="character" w:styleId="1386" w:customStyle="1">
    <w:name w:val="页脚 Char"/>
    <w:link w:val="956"/>
    <w:uiPriority w:val="0"/>
    <w:qFormat/>
    <w:rPr>
      <w:rFonts w:ascii="宋体" w:eastAsia="宋体"/>
      <w:sz w:val="18"/>
      <w:lang w:val="en-US" w:eastAsia="zh-CN" w:bidi="ar-SA"/>
    </w:rPr>
  </w:style>
  <w:style w:type="paragraph" w:styleId="1387" w:customStyle="1">
    <w:name w:val="Char Char41"/>
    <w:basedOn w:val="956"/>
    <w:uiPriority w:val="0"/>
    <w:qFormat/>
    <w:pPr>
      <w:jc w:val="center"/>
      <w:spacing w:line="400" w:lineRule="exact"/>
      <w:widowControl/>
    </w:pPr>
  </w:style>
  <w:style w:type="character" w:styleId="1388" w:customStyle="1">
    <w:name w:val="批注文字 Char"/>
    <w:link w:val="956"/>
    <w:uiPriority w:val="99"/>
    <w:qFormat/>
    <w:rPr>
      <w:sz w:val="21"/>
      <w:szCs w:val="24"/>
    </w:rPr>
  </w:style>
  <w:style w:type="character" w:styleId="1389" w:customStyle="1">
    <w:name w:val="标题 Char"/>
    <w:link w:val="956"/>
    <w:uiPriority w:val="0"/>
    <w:qFormat/>
    <w:rPr>
      <w:b/>
      <w:sz w:val="32"/>
    </w:rPr>
  </w:style>
  <w:style w:type="paragraph" w:styleId="1390" w:customStyle="1">
    <w:name w:val="图例"/>
    <w:basedOn w:val="956"/>
    <w:uiPriority w:val="0"/>
    <w:qFormat/>
    <w:pPr>
      <w:jc w:val="center"/>
      <w:spacing w:before="120" w:after="120" w:line="360" w:lineRule="auto"/>
    </w:pPr>
    <w:rPr>
      <w:rFonts w:eastAsia="仿宋_GB2312"/>
      <w:b/>
      <w:sz w:val="24"/>
      <w:szCs w:val="20"/>
    </w:rPr>
  </w:style>
  <w:style w:type="table" w:styleId="1391" w:customStyle="1">
    <w:name w:val="Table Normal"/>
    <w:uiPriority w:val="2"/>
    <w:unhideWhenUsed/>
    <w:qFormat/>
    <w:pPr>
      <w:widowControl w:val="off"/>
    </w:pPr>
    <w:rPr>
      <w:rFonts w:ascii="Calibri" w:hAnsi="Calibri"/>
      <w:sz w:val="22"/>
      <w:szCs w:val="22"/>
      <w:lang w:val="en-US" w:eastAsia="en-US" w:bidi="ar-SA"/>
    </w:rPr>
    <w:tblPr/>
  </w:style>
  <w:style w:type="paragraph" w:styleId="1392" w:customStyle="1">
    <w:name w:val="Table Paragraph"/>
    <w:basedOn w:val="956"/>
    <w:uiPriority w:val="1"/>
    <w:qFormat/>
    <w:pPr>
      <w:jc w:val="left"/>
    </w:pPr>
    <w:rPr>
      <w:rFonts w:ascii="宋体" w:hAnsi="宋体" w:cs="宋体"/>
      <w:sz w:val="22"/>
      <w:szCs w:val="22"/>
      <w:lang w:eastAsia="en-US"/>
    </w:rPr>
  </w:style>
  <w:style w:type="paragraph" w:styleId="1393" w:customStyle="1">
    <w:name w:val="成文日期"/>
    <w:basedOn w:val="956"/>
    <w:link w:val="1394"/>
    <w:uiPriority w:val="0"/>
    <w:qFormat/>
    <w:pPr>
      <w:ind w:right="400" w:firstLine="200"/>
      <w:jc w:val="right"/>
      <w:spacing w:line="570" w:lineRule="exact"/>
    </w:pPr>
    <w:rPr>
      <w:rFonts w:ascii="仿宋_GB2312" w:eastAsia="仿宋_GB2312"/>
      <w:sz w:val="32"/>
      <w:szCs w:val="20"/>
    </w:rPr>
  </w:style>
  <w:style w:type="character" w:styleId="1394" w:customStyle="1">
    <w:name w:val="成文日期 Char"/>
    <w:link w:val="1393"/>
    <w:uiPriority w:val="0"/>
    <w:qFormat/>
    <w:rPr>
      <w:rFonts w:ascii="仿宋_GB2312" w:eastAsia="仿宋_GB2312"/>
      <w:sz w:val="32"/>
    </w:rPr>
  </w:style>
  <w:style w:type="paragraph" w:styleId="1395"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96" w:customStyle="1">
    <w:name w:val="段"/>
    <w:basedOn w:val="956"/>
    <w:next w:val="956"/>
    <w:uiPriority w:val="0"/>
    <w:qFormat/>
    <w:pPr>
      <w:ind w:firstLine="200"/>
      <w:widowControl/>
    </w:pPr>
    <w:rPr>
      <w:rFonts w:hint="eastAsia" w:ascii="宋体"/>
    </w:rPr>
  </w:style>
  <w:style w:type="paragraph" w:styleId="1397" w:customStyle="1">
    <w:name w:val="Body text|1"/>
    <w:basedOn w:val="956"/>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98" w:customStyle="1">
    <w:name w:val="Other|1"/>
    <w:basedOn w:val="956"/>
    <w:uiPriority w:val="0"/>
    <w:qFormat/>
    <w:pPr>
      <w:jc w:val="center"/>
    </w:pPr>
    <w:rPr>
      <w:sz w:val="19"/>
      <w:szCs w:val="19"/>
      <w:lang w:val="zh-TW" w:eastAsia="zh-TW" w:bidi="zh-TW"/>
    </w:rPr>
  </w:style>
  <w:style w:type="paragraph" w:styleId="1399" w:customStyle="1">
    <w:name w:val="_Style 4"/>
    <w:basedOn w:val="956"/>
    <w:next w:val="1241"/>
    <w:uiPriority w:val="34"/>
    <w:qFormat/>
    <w:pPr>
      <w:ind w:firstLine="420"/>
    </w:pPr>
    <w:rPr>
      <w:rFonts w:ascii="Calibri" w:hAnsi="Calibri"/>
      <w:szCs w:val="22"/>
    </w:rPr>
  </w:style>
  <w:style w:type="character" w:styleId="1400" w:customStyle="1">
    <w:name w:val="font01"/>
    <w:basedOn w:val="1152"/>
    <w:link w:val="956"/>
    <w:uiPriority w:val="0"/>
    <w:qFormat/>
    <w:rPr>
      <w:rFonts w:hint="eastAsia" w:ascii="宋体" w:hAnsi="宋体" w:eastAsia="宋体" w:cs="宋体"/>
      <w:color w:val="000000"/>
      <w:sz w:val="24"/>
      <w:szCs w:val="24"/>
      <w:u w:val="none"/>
    </w:rPr>
  </w:style>
  <w:style w:type="paragraph" w:styleId="1401" w:customStyle="1">
    <w:name w:val="正文1"/>
    <w:basedOn w:val="956"/>
    <w:next w:val="956"/>
    <w:uiPriority w:val="0"/>
    <w:qFormat/>
    <w:pPr>
      <w:ind w:left="420" w:firstLine="527"/>
      <w:spacing w:before="120" w:line="360" w:lineRule="auto"/>
    </w:pPr>
    <w:rPr>
      <w:rFonts w:ascii="宋体" w:hAnsi="宋体" w:eastAsia="宋体"/>
      <w:sz w:val="21"/>
      <w:szCs w:val="24"/>
    </w:rPr>
  </w:style>
  <w:style w:type="paragraph" w:styleId="14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03"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404" w:customStyle="1">
    <w:name w:val="null3"/>
    <w:uiPriority w:val="0"/>
    <w:qFormat/>
    <w:rPr>
      <w:rFonts w:hint="eastAsia" w:ascii="Calibri" w:hAnsi="Calibri" w:eastAsia="宋体" w:cs="Times New Roman"/>
      <w:lang w:val="en-US" w:eastAsia="zh-CN" w:bidi="ar-SA"/>
    </w:rPr>
  </w:style>
  <w:style w:type="paragraph" w:styleId="1405"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8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5</cp:revision>
  <dcterms:created xsi:type="dcterms:W3CDTF">2022-05-30T08:08:00Z</dcterms:created>
  <dcterms:modified xsi:type="dcterms:W3CDTF">2026-06-02T05:38:47Z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eyJoZGlkIjoiZjM2NDJhYmE5NTNiNjRiYmIyYjY2NzkxZGRlNTA5NDUiLCJ1c2VySWQiOiI1MDQ3NTQxODkifQ==</vt:lpwstr>
  </property>
  <property fmtid="{D5CDD505-2E9C-101B-9397-08002B2CF9AE}" pid="3" name="KSOProductBuildVer">
    <vt:lpwstr>2052-12.1.0.26375</vt:lpwstr>
  </property>
  <property fmtid="{D5CDD505-2E9C-101B-9397-08002B2CF9AE}" pid="4" name="ICV">
    <vt:lpwstr>C8B9E9773AA940C58547D2E5EEC23C73_13</vt:lpwstr>
  </property>
</Properties>
</file>