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5"/>
        <w:ind w:firstLine="0"/>
        <w:rPr>
          <w:rFonts w:ascii="Times New Roman" w:hAnsi="Times New Roman" w:eastAsia="华文楷体"/>
          <w:color w:val="000000" w:themeColor="text1"/>
          <w14:textFill>
            <w14:solidFill>
              <w14:schemeClr w14:val="tx1"/>
            </w14:solidFill>
          </w14:textFill>
        </w:rPr>
      </w:pPr>
      <w:r>
        <w:rPr>
          <w:rFonts w:ascii="Times New Roman" w:hAnsi="Times New Roman" w:eastAsia="华文楷体"/>
          <w:color w:val="000000" w:themeColor="text1"/>
          <w14:textFill>
            <w14:solidFill>
              <w14:schemeClr w14:val="tx1"/>
            </w14:solidFill>
          </w14:textFill>
        </w:rPr>
      </w:r>
      <w:r/>
    </w:p>
    <w:p>
      <w:pPr>
        <w:pStyle w:val="845"/>
        <w:ind w:firstLine="0"/>
        <w:rPr>
          <w:rFonts w:ascii="Times New Roman" w:hAnsi="Times New Roman" w:eastAsia="华文楷体"/>
          <w:color w:val="000000" w:themeColor="text1"/>
          <w14:textFill>
            <w14:solidFill>
              <w14:schemeClr w14:val="tx1"/>
            </w14:solidFill>
          </w14:textFill>
        </w:rPr>
      </w:pPr>
      <w:r>
        <w:rPr>
          <w:rFonts w:ascii="Times New Roman" w:hAnsi="Times New Roman" w:eastAsia="华文楷体"/>
          <w:color w:val="000000" w:themeColor="text1"/>
          <w14:textFill>
            <w14:solidFill>
              <w14:schemeClr w14:val="tx1"/>
            </w14:solidFill>
          </w14:textFill>
        </w:rPr>
      </w:r>
      <w:r/>
    </w:p>
    <w:p>
      <w:pPr>
        <w:pStyle w:val="845"/>
        <w:ind w:firstLine="0"/>
        <w:jc w:val="center"/>
        <w:rPr>
          <w:rFonts w:ascii="Times New Roman" w:hAnsi="Times New Roman" w:eastAsia="华文中宋"/>
          <w:b/>
          <w:bCs/>
          <w:color w:val="000000" w:themeColor="text1"/>
          <w:spacing w:val="-48"/>
          <w:sz w:val="72"/>
          <w:szCs w:val="72"/>
          <w14:textFill>
            <w14:solidFill>
              <w14:schemeClr w14:val="tx1"/>
            </w14:solidFill>
          </w14:textFill>
        </w:rPr>
      </w:pPr>
      <w:r>
        <w:rPr>
          <w:rFonts w:ascii="Times New Roman" w:hAnsi="Times New Roman" w:eastAsia="华文中宋"/>
          <w:b/>
          <w:bCs/>
          <w:color w:val="000000" w:themeColor="text1"/>
          <w:spacing w:val="-48"/>
          <w:sz w:val="72"/>
          <w:szCs w:val="72"/>
          <w14:textFill>
            <w14:solidFill>
              <w14:schemeClr w14:val="tx1"/>
            </w14:solidFill>
          </w14:textFill>
        </w:rPr>
      </w:r>
      <w:r/>
    </w:p>
    <w:p>
      <w:pPr>
        <w:jc w:val="center"/>
        <w:rPr>
          <w:rFonts w:eastAsia="华文中宋"/>
          <w:b/>
          <w:color w:val="000000" w:themeColor="text1"/>
          <w:spacing w:val="10"/>
          <w:sz w:val="72"/>
          <w:szCs w:val="72"/>
          <w14:textFill>
            <w14:solidFill>
              <w14:schemeClr w14:val="tx1"/>
            </w14:solidFill>
          </w14:textFill>
        </w:rPr>
      </w:pPr>
      <w:r>
        <w:rPr>
          <w:rFonts w:eastAsia="华文中宋"/>
          <w:b/>
          <w:color w:val="000000" w:themeColor="text1"/>
          <w:spacing w:val="10"/>
          <w:sz w:val="72"/>
          <w:szCs w:val="72"/>
          <w14:textFill>
            <w14:solidFill>
              <w14:schemeClr w14:val="tx1"/>
            </w14:solidFill>
          </w14:textFill>
        </w:rPr>
        <w:t xml:space="preserve">南京市产品质量监督检验院</w:t>
      </w:r>
      <w:r/>
    </w:p>
    <w:p>
      <w:pPr>
        <w:jc w:val="center"/>
        <w:rPr>
          <w:rFonts w:eastAsia="华文中宋"/>
          <w:b/>
          <w:color w:val="000000" w:themeColor="text1"/>
          <w:spacing w:val="-20"/>
          <w:sz w:val="48"/>
          <w:szCs w:val="48"/>
          <w14:textFill>
            <w14:solidFill>
              <w14:schemeClr w14:val="tx1"/>
            </w14:solidFill>
          </w14:textFill>
        </w:rPr>
      </w:pPr>
      <w:r>
        <w:rPr>
          <w:rFonts w:eastAsia="华文中宋"/>
          <w:b/>
          <w:color w:val="000000" w:themeColor="text1"/>
          <w:spacing w:val="-20"/>
          <w:sz w:val="48"/>
          <w:szCs w:val="48"/>
          <w14:textFill>
            <w14:solidFill>
              <w14:schemeClr w14:val="tx1"/>
            </w14:solidFill>
          </w14:textFill>
        </w:rPr>
        <w:t xml:space="preserve">（南京市质量发展与先进技术应用研究院）</w:t>
      </w:r>
      <w:r/>
    </w:p>
    <w:p>
      <w:pPr>
        <w:pStyle w:val="845"/>
        <w:ind w:firstLine="800"/>
        <w:jc w:val="center"/>
        <w:spacing w:before="312" w:after="156"/>
        <w:rPr>
          <w:rFonts w:ascii="Times New Roman" w:hAnsi="Times New Roman" w:eastAsia="华文中宋"/>
          <w:bCs/>
          <w:color w:val="000000" w:themeColor="text1"/>
          <w:sz w:val="40"/>
          <w:szCs w:val="40"/>
          <w14:textFill>
            <w14:solidFill>
              <w14:schemeClr w14:val="tx1"/>
            </w14:solidFill>
          </w14:textFill>
        </w:rPr>
      </w:pPr>
      <w:r>
        <w:rPr>
          <w:rFonts w:ascii="Times New Roman" w:hAnsi="Times New Roman" w:eastAsia="华文中宋"/>
          <w:bCs/>
          <w:color w:val="000000" w:themeColor="text1"/>
          <w:sz w:val="40"/>
          <w:szCs w:val="40"/>
          <w14:textFill>
            <w14:solidFill>
              <w14:schemeClr w14:val="tx1"/>
            </w14:solidFill>
          </w14:textFill>
        </w:rPr>
      </w:r>
      <w:r/>
    </w:p>
    <w:p>
      <w:pPr>
        <w:pStyle w:val="845"/>
        <w:ind w:firstLine="1680"/>
        <w:spacing w:before="312" w:after="156"/>
        <w:rPr>
          <w:rFonts w:ascii="Times New Roman" w:hAnsi="Times New Roman" w:eastAsia="华文中宋"/>
          <w:bCs/>
          <w:color w:val="000000" w:themeColor="text1"/>
          <w:sz w:val="84"/>
          <w14:textFill>
            <w14:solidFill>
              <w14:schemeClr w14:val="tx1"/>
            </w14:solidFill>
          </w14:textFill>
        </w:rPr>
      </w:pPr>
      <w:r>
        <w:rPr>
          <w:rFonts w:ascii="Times New Roman" w:hAnsi="Times New Roman" w:eastAsia="华文中宋"/>
          <w:bCs/>
          <w:color w:val="000000" w:themeColor="text1"/>
          <w:sz w:val="84"/>
          <w14:textFill>
            <w14:solidFill>
              <w14:schemeClr w14:val="tx1"/>
            </w14:solidFill>
          </w14:textFill>
        </w:rPr>
        <w:t xml:space="preserve">公开招标文件</w:t>
      </w:r>
      <w:r/>
    </w:p>
    <w:p>
      <w:pPr>
        <w:pStyle w:val="802"/>
        <w:ind w:firstLine="56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pStyle w:val="803"/>
        <w:ind w:firstLine="60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pStyle w:val="845"/>
        <w:ind w:firstLine="0"/>
        <w:spacing w:before="0" w:after="0"/>
        <w:rPr>
          <w:rFonts w:hint="eastAsia" w:ascii="Times New Roman" w:hAnsi="Times New Roman" w:eastAsia="宋体"/>
          <w:b/>
          <w:bCs/>
          <w:color w:val="000000" w:themeColor="text1"/>
          <w:sz w:val="36"/>
          <w:szCs w:val="36"/>
          <w:lang w:eastAsia="zh-CN"/>
          <w14:textFill>
            <w14:solidFill>
              <w14:schemeClr w14:val="tx1"/>
            </w14:solidFill>
          </w14:textFill>
        </w:rPr>
      </w:pPr>
      <w:r>
        <w:rPr>
          <w:rFonts w:ascii="Times New Roman" w:hAnsi="Times New Roman"/>
          <w:b/>
          <w:bCs/>
          <w:color w:val="000000" w:themeColor="text1"/>
          <w:sz w:val="36"/>
          <w:szCs w:val="36"/>
          <w14:textFill>
            <w14:solidFill>
              <w14:schemeClr w14:val="tx1"/>
            </w14:solidFill>
          </w14:textFill>
        </w:rPr>
        <w:t xml:space="preserve">项目名称：</w:t>
      </w:r>
      <w:r>
        <w:rPr>
          <w:rFonts w:hint="eastAsia" w:ascii="Times New Roman" w:hAnsi="Times New Roman"/>
          <w:b/>
          <w:bCs/>
          <w:color w:val="000000" w:themeColor="text1"/>
          <w:sz w:val="36"/>
          <w:szCs w:val="36"/>
          <w:lang w:eastAsia="zh-CN"/>
          <w14:textFill>
            <w14:solidFill>
              <w14:schemeClr w14:val="tx1"/>
            </w14:solidFill>
          </w14:textFill>
        </w:rPr>
        <w:t xml:space="preserve">2026年南京市质检院检验检测设备(二)</w:t>
      </w:r>
      <w:r/>
    </w:p>
    <w:p>
      <w:pPr>
        <w:ind w:firstLine="0"/>
        <w:jc w:val="left"/>
        <w:rPr>
          <w:rFonts w:hint="eastAsia" w:eastAsia="宋体"/>
          <w:color w:val="000000" w:themeColor="text1"/>
          <w:sz w:val="36"/>
          <w:szCs w:val="36"/>
          <w:lang w:val="en-US" w:eastAsia="zh-CN"/>
          <w14:textFill>
            <w14:solidFill>
              <w14:schemeClr w14:val="tx1"/>
            </w14:solidFill>
          </w14:textFill>
        </w:rPr>
      </w:pPr>
      <w:r>
        <w:rPr>
          <w:b/>
          <w:bCs/>
          <w:color w:val="000000" w:themeColor="text1"/>
          <w:sz w:val="36"/>
          <w:szCs w:val="36"/>
          <w14:textFill>
            <w14:solidFill>
              <w14:schemeClr w14:val="tx1"/>
            </w14:solidFill>
          </w14:textFill>
        </w:rPr>
        <w:t xml:space="preserve">项目编号：</w:t>
      </w:r>
      <w:r>
        <w:rPr>
          <w:rFonts w:hint="eastAsia"/>
          <w:b/>
          <w:bCs/>
          <w:color w:val="000000" w:themeColor="text1"/>
          <w:sz w:val="36"/>
          <w:szCs w:val="36"/>
          <w:lang w:eastAsia="zh-CN"/>
          <w14:textFill>
            <w14:solidFill>
              <w14:schemeClr w14:val="tx1"/>
            </w14:solidFill>
          </w14:textFill>
        </w:rPr>
        <w:t xml:space="preserve">JSZC-320100-LBZB-G2026-0004</w:t>
      </w:r>
      <w:r/>
    </w:p>
    <w:p>
      <w:pPr>
        <w:ind w:firstLine="1440"/>
        <w:jc w:val="center"/>
        <w:spacing w:line="360" w:lineRule="auto"/>
        <w:rPr>
          <w:rFonts w:eastAsia="隶书"/>
          <w:color w:val="000000" w:themeColor="text1"/>
          <w:sz w:val="72"/>
          <w14:textFill>
            <w14:solidFill>
              <w14:schemeClr w14:val="tx1"/>
            </w14:solidFill>
          </w14:textFill>
        </w:rPr>
      </w:pPr>
      <w:r>
        <w:rPr>
          <w:color w:val="000000" w:themeColor="text1"/>
          <w:sz w:val="72"/>
          <w14:textFill>
            <w14:solidFill>
              <w14:schemeClr w14:val="tx1"/>
            </w14:solidFill>
          </w14:textFill>
        </w:rPr>
        <w:tab/>
      </w:r>
      <w:r>
        <w:rPr>
          <w:color w:val="000000" w:themeColor="text1"/>
          <w:sz w:val="72"/>
          <w14:textFill>
            <w14:solidFill>
              <w14:schemeClr w14:val="tx1"/>
            </w14:solidFill>
          </w14:textFill>
        </w:rPr>
        <w:t xml:space="preserve"> </w:t>
      </w:r>
      <w:r/>
    </w:p>
    <w:p>
      <w:pPr>
        <w:spacing w:line="360" w:lineRule="auto"/>
        <w:rPr>
          <w:rFonts w:eastAsia="隶书"/>
          <w:color w:val="000000" w:themeColor="text1"/>
          <w14:textFill>
            <w14:solidFill>
              <w14:schemeClr w14:val="tx1"/>
            </w14:solidFill>
          </w14:textFill>
        </w:rPr>
      </w:pPr>
      <w:r>
        <w:rPr>
          <w:rFonts w:eastAsia="隶书"/>
          <w:color w:val="000000" w:themeColor="text1"/>
          <w14:textFill>
            <w14:solidFill>
              <w14:schemeClr w14:val="tx1"/>
            </w14:solidFill>
          </w14:textFill>
        </w:rPr>
      </w:r>
      <w:r/>
    </w:p>
    <w:p>
      <w:pPr>
        <w:ind w:firstLine="640"/>
        <w:spacing w:line="360" w:lineRule="auto"/>
        <w:rPr>
          <w:rFonts w:eastAsia="隶书"/>
          <w:color w:val="000000" w:themeColor="text1"/>
          <w:sz w:val="32"/>
          <w14:textFill>
            <w14:solidFill>
              <w14:schemeClr w14:val="tx1"/>
            </w14:solidFill>
          </w14:textFill>
        </w:rPr>
      </w:pPr>
      <w:r>
        <w:rPr>
          <w:rFonts w:eastAsia="隶书"/>
          <w:color w:val="000000" w:themeColor="text1"/>
          <w:sz w:val="32"/>
          <w14:textFill>
            <w14:solidFill>
              <w14:schemeClr w14:val="tx1"/>
            </w14:solidFill>
          </w14:textFill>
        </w:rPr>
      </w:r>
      <w:r/>
    </w:p>
    <w:p>
      <w:pPr>
        <w:ind w:firstLine="643"/>
        <w:jc w:val="center"/>
        <w:spacing w:line="360" w:lineRule="auto"/>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t xml:space="preserve">采购代理机构：江苏励邦招标代理有限公司</w:t>
      </w:r>
      <w:r/>
    </w:p>
    <w:p>
      <w:pPr>
        <w:ind w:firstLine="643"/>
        <w:jc w:val="center"/>
        <w:spacing w:line="360" w:lineRule="auto"/>
        <w:rPr>
          <w:b/>
          <w:bCs/>
          <w:color w:val="000000" w:themeColor="text1"/>
          <w:sz w:val="32"/>
          <w:szCs w:val="32"/>
          <w14:textFill>
            <w14:solidFill>
              <w14:schemeClr w14:val="tx1"/>
            </w14:solidFill>
          </w14:textFill>
        </w:rPr>
      </w:pPr>
      <w:r>
        <w:rPr>
          <w:rFonts w:hint="eastAsia"/>
          <w:b/>
          <w:bCs/>
          <w:color w:val="000000" w:themeColor="text1"/>
          <w:sz w:val="32"/>
          <w:szCs w:val="32"/>
          <w:lang w:eastAsia="zh-CN"/>
          <w14:textFill>
            <w14:solidFill>
              <w14:schemeClr w14:val="tx1"/>
            </w14:solidFill>
          </w14:textFill>
        </w:rPr>
        <w:t xml:space="preserve">2026</w:t>
      </w:r>
      <w:r>
        <w:rPr>
          <w:b/>
          <w:bCs/>
          <w:color w:val="000000" w:themeColor="text1"/>
          <w:sz w:val="32"/>
          <w:szCs w:val="32"/>
          <w14:textFill>
            <w14:solidFill>
              <w14:schemeClr w14:val="tx1"/>
            </w14:solidFill>
          </w14:textFill>
        </w:rPr>
        <w:t xml:space="preserve">年</w:t>
      </w:r>
      <w:r>
        <w:rPr>
          <w:rFonts w:hint="eastAsia"/>
          <w:b/>
          <w:bCs/>
          <w:color w:val="000000" w:themeColor="text1"/>
          <w:sz w:val="32"/>
          <w:szCs w:val="32"/>
          <w:lang w:val="en-US" w:eastAsia="zh-CN"/>
          <w14:textFill>
            <w14:solidFill>
              <w14:schemeClr w14:val="tx1"/>
            </w14:solidFill>
          </w14:textFill>
        </w:rPr>
        <w:t xml:space="preserve">4</w:t>
      </w:r>
      <w:r>
        <w:rPr>
          <w:b/>
          <w:bCs/>
          <w:color w:val="000000" w:themeColor="text1"/>
          <w:sz w:val="32"/>
          <w:szCs w:val="32"/>
          <w14:textFill>
            <w14:solidFill>
              <w14:schemeClr w14:val="tx1"/>
            </w14:solidFill>
          </w14:textFill>
        </w:rPr>
        <w:t xml:space="preserve">月</w:t>
      </w:r>
      <w:r/>
    </w:p>
    <w:p>
      <w:pPr>
        <w:pStyle w:val="802"/>
        <w:ind w:firstLine="560"/>
        <w:jc w:val="center"/>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spacing w:line="480" w:lineRule="auto"/>
        <w:rPr>
          <w:rFonts w:eastAsia="仿宋_GB2312"/>
          <w:b/>
          <w:color w:val="000000" w:themeColor="text1"/>
          <w:sz w:val="72"/>
          <w:szCs w:val="52"/>
          <w14:textFill>
            <w14:solidFill>
              <w14:schemeClr w14:val="tx1"/>
            </w14:solidFill>
          </w14:textFill>
        </w:rPr>
        <w:outlineLvl w:val="9"/>
      </w:pPr>
      <w:r/>
      <w:bookmarkStart w:id="0" w:name="_Toc120614210"/>
      <w:r/>
      <w:bookmarkStart w:id="1" w:name="_Toc20823272"/>
      <w:r/>
      <w:bookmarkStart w:id="2" w:name="_Toc523127445"/>
      <w:r/>
      <w:bookmarkStart w:id="3" w:name="_Toc16938516"/>
      <w:r/>
      <w:bookmarkStart w:id="4" w:name="_Toc479757206"/>
      <w:r/>
      <w:bookmarkStart w:id="5" w:name="_Toc513029200"/>
      <w:r/>
      <w:r/>
    </w:p>
    <w:sdt>
      <w:sdtPr>
        <w15:appearance w15:val="boundingBox"/>
        <w15:color w:val="dbdbdb"/>
        <w:id w:val="147467151"/>
        <w:docPartObj>
          <w:docPartGallery w:val="Table of Contents"/>
          <w:docPartUnique w:val="true"/>
        </w:docPartObj>
        <w:rPr>
          <w:rFonts w:hint="default" w:ascii="宋体" w:hAnsi="宋体" w:eastAsia="宋体" w:cs="Times New Roman"/>
          <w:sz w:val="44"/>
          <w:szCs w:val="44"/>
          <w:lang w:val="en-US" w:eastAsia="zh-CN" w:bidi="ar-SA"/>
        </w:rPr>
      </w:sdtPr>
      <w:sdtContent>
        <w:p>
          <w:pPr>
            <w:ind w:left="0" w:right="0" w:firstLine="0"/>
            <w:jc w:val="center"/>
            <w:spacing w:before="0" w:after="0" w:line="240" w:lineRule="auto"/>
            <w:rPr>
              <w:sz w:val="44"/>
              <w:szCs w:val="44"/>
            </w:rPr>
          </w:pPr>
          <w:r>
            <w:rPr>
              <w:rFonts w:hint="eastAsia" w:ascii="宋体" w:hAnsi="宋体" w:eastAsia="宋体" w:cs="Times New Roman"/>
              <w:sz w:val="44"/>
              <w:szCs w:val="44"/>
              <w:lang w:val="en-US" w:eastAsia="zh-CN" w:bidi="ar-SA"/>
            </w:rPr>
            <w:t xml:space="preserve">总</w:t>
          </w:r>
          <w:r>
            <w:rPr>
              <w:rFonts w:ascii="宋体" w:hAnsi="宋体" w:eastAsia="宋体"/>
              <w:sz w:val="44"/>
              <w:szCs w:val="44"/>
            </w:rPr>
            <w:t xml:space="preserve">目录</w:t>
          </w:r>
          <w:r/>
        </w:p>
        <w:p>
          <w:pPr>
            <w:pStyle w:val="816"/>
            <w:spacing w:line="360" w:lineRule="auto"/>
            <w:tabs>
              <w:tab w:val="clear" w:pos="8720" w:leader="none"/>
              <w:tab w:val="right" w:pos="8953" w:leader="dot"/>
            </w:tabs>
            <w:rPr>
              <w:sz w:val="32"/>
              <w:szCs w:val="32"/>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TOC \o "1-1" \h \u </w:instrText>
          </w:r>
          <w:r>
            <w:rPr>
              <w:color w:val="000000" w:themeColor="text1"/>
              <w14:textFill>
                <w14:solidFill>
                  <w14:schemeClr w14:val="tx1"/>
                </w14:solidFill>
              </w14:textFill>
            </w:rPr>
            <w:fldChar w:fldCharType="separate"/>
          </w:r>
          <w:r>
            <w:rPr>
              <w:color w:val="000000" w:themeColor="text1"/>
              <w:sz w:val="32"/>
              <w:szCs w:val="32"/>
              <w14:textFill>
                <w14:solidFill>
                  <w14:schemeClr w14:val="tx1"/>
                </w14:solidFill>
              </w14:textFill>
            </w:rPr>
            <w:fldChar w:fldCharType="begin"/>
          </w:r>
          <w:r>
            <w:rPr>
              <w:sz w:val="32"/>
              <w:szCs w:val="32"/>
            </w:rPr>
            <w:instrText xml:space="preserve"> HYPERLINK \l _Toc9561 </w:instrText>
          </w:r>
          <w:r>
            <w:rPr>
              <w:sz w:val="32"/>
              <w:szCs w:val="32"/>
            </w:rPr>
            <w:fldChar w:fldCharType="separate"/>
          </w:r>
          <w:r>
            <w:rPr>
              <w:rFonts w:ascii="Times New Roman" w:eastAsia="黑体"/>
              <w:sz w:val="32"/>
              <w:szCs w:val="52"/>
            </w:rPr>
            <w:t xml:space="preserve">第一章  </w:t>
          </w:r>
          <w:r>
            <w:rPr>
              <w:rFonts w:hint="eastAsia" w:ascii="Times New Roman" w:eastAsia="黑体"/>
              <w:sz w:val="32"/>
              <w:szCs w:val="52"/>
              <w:lang w:val="en-US" w:eastAsia="zh-CN"/>
            </w:rPr>
            <w:t xml:space="preserve"> </w:t>
          </w:r>
          <w:r>
            <w:rPr>
              <w:rFonts w:ascii="Times New Roman" w:eastAsia="黑体"/>
              <w:sz w:val="32"/>
              <w:szCs w:val="52"/>
            </w:rPr>
            <w:t xml:space="preserve">投标邀请</w:t>
          </w:r>
          <w:r>
            <w:rPr>
              <w:sz w:val="32"/>
              <w:szCs w:val="32"/>
            </w:rPr>
            <w:tab/>
          </w:r>
          <w:r>
            <w:rPr>
              <w:sz w:val="32"/>
              <w:szCs w:val="32"/>
            </w:rPr>
            <w:fldChar w:fldCharType="begin"/>
          </w:r>
          <w:r>
            <w:rPr>
              <w:sz w:val="32"/>
              <w:szCs w:val="32"/>
            </w:rPr>
            <w:instrText xml:space="preserve"> PAGEREF _Toc9561 \h </w:instrText>
          </w:r>
          <w:r>
            <w:rPr>
              <w:sz w:val="32"/>
              <w:szCs w:val="32"/>
            </w:rPr>
            <w:fldChar w:fldCharType="separate"/>
          </w:r>
          <w:r>
            <w:rPr>
              <w:sz w:val="32"/>
              <w:szCs w:val="32"/>
            </w:rPr>
            <w:t xml:space="preserve">1</w:t>
          </w:r>
          <w:r>
            <w:rPr>
              <w:sz w:val="32"/>
              <w:szCs w:val="32"/>
            </w:rPr>
            <w:fldChar w:fldCharType="end"/>
          </w:r>
          <w:r>
            <w:rPr>
              <w:color w:val="000000" w:themeColor="text1"/>
              <w:sz w:val="32"/>
              <w:szCs w:val="32"/>
              <w14:textFill>
                <w14:solidFill>
                  <w14:schemeClr w14:val="tx1"/>
                </w14:solidFill>
              </w14:textFill>
            </w:rPr>
            <w:fldChar w:fldCharType="end"/>
          </w:r>
          <w:r/>
        </w:p>
        <w:p>
          <w:pPr>
            <w:pStyle w:val="816"/>
            <w:spacing w:line="360" w:lineRule="auto"/>
            <w:tabs>
              <w:tab w:val="clear" w:pos="8720" w:leader="none"/>
              <w:tab w:val="right" w:pos="8953" w:leader="dot"/>
            </w:tabs>
            <w:rPr>
              <w:sz w:val="32"/>
              <w:szCs w:val="32"/>
            </w:rPr>
          </w:pPr>
          <w:r>
            <w:rPr>
              <w:color w:val="000000" w:themeColor="text1"/>
              <w:sz w:val="32"/>
              <w:szCs w:val="32"/>
              <w14:textFill>
                <w14:solidFill>
                  <w14:schemeClr w14:val="tx1"/>
                </w14:solidFill>
              </w14:textFill>
            </w:rPr>
            <w:fldChar w:fldCharType="begin"/>
          </w:r>
          <w:r>
            <w:rPr>
              <w:sz w:val="32"/>
              <w:szCs w:val="32"/>
            </w:rPr>
            <w:instrText xml:space="preserve"> HYPERLINK \l _Toc20854 </w:instrText>
          </w:r>
          <w:r>
            <w:rPr>
              <w:sz w:val="32"/>
              <w:szCs w:val="32"/>
            </w:rPr>
            <w:fldChar w:fldCharType="separate"/>
          </w:r>
          <w:r>
            <w:rPr>
              <w:rFonts w:eastAsia="黑体"/>
              <w:bCs/>
              <w:sz w:val="32"/>
              <w:szCs w:val="52"/>
            </w:rPr>
            <w:t xml:space="preserve">第二章  投标人须知</w:t>
          </w:r>
          <w:r>
            <w:rPr>
              <w:sz w:val="32"/>
              <w:szCs w:val="32"/>
            </w:rPr>
            <w:tab/>
          </w:r>
          <w:r>
            <w:rPr>
              <w:sz w:val="32"/>
              <w:szCs w:val="32"/>
            </w:rPr>
            <w:fldChar w:fldCharType="begin"/>
          </w:r>
          <w:r>
            <w:rPr>
              <w:sz w:val="32"/>
              <w:szCs w:val="32"/>
            </w:rPr>
            <w:instrText xml:space="preserve"> PAGEREF _Toc20854 \h </w:instrText>
          </w:r>
          <w:r>
            <w:rPr>
              <w:sz w:val="32"/>
              <w:szCs w:val="32"/>
            </w:rPr>
            <w:fldChar w:fldCharType="separate"/>
          </w:r>
          <w:r>
            <w:rPr>
              <w:sz w:val="32"/>
              <w:szCs w:val="32"/>
            </w:rPr>
            <w:t xml:space="preserve">5</w:t>
          </w:r>
          <w:r>
            <w:rPr>
              <w:sz w:val="32"/>
              <w:szCs w:val="32"/>
            </w:rPr>
            <w:fldChar w:fldCharType="end"/>
          </w:r>
          <w:r>
            <w:rPr>
              <w:color w:val="000000" w:themeColor="text1"/>
              <w:sz w:val="32"/>
              <w:szCs w:val="32"/>
              <w14:textFill>
                <w14:solidFill>
                  <w14:schemeClr w14:val="tx1"/>
                </w14:solidFill>
              </w14:textFill>
            </w:rPr>
            <w:fldChar w:fldCharType="end"/>
          </w:r>
          <w:r/>
        </w:p>
        <w:p>
          <w:pPr>
            <w:pStyle w:val="816"/>
            <w:spacing w:line="360" w:lineRule="auto"/>
            <w:tabs>
              <w:tab w:val="clear" w:pos="8720" w:leader="none"/>
              <w:tab w:val="right" w:pos="8953" w:leader="dot"/>
            </w:tabs>
            <w:rPr>
              <w:sz w:val="32"/>
              <w:szCs w:val="32"/>
            </w:rPr>
          </w:pPr>
          <w:r>
            <w:rPr>
              <w:color w:val="000000" w:themeColor="text1"/>
              <w:sz w:val="32"/>
              <w:szCs w:val="32"/>
              <w14:textFill>
                <w14:solidFill>
                  <w14:schemeClr w14:val="tx1"/>
                </w14:solidFill>
              </w14:textFill>
            </w:rPr>
            <w:fldChar w:fldCharType="begin"/>
          </w:r>
          <w:r>
            <w:rPr>
              <w:sz w:val="32"/>
              <w:szCs w:val="32"/>
            </w:rPr>
            <w:instrText xml:space="preserve"> HYPERLINK \l _Toc4016 </w:instrText>
          </w:r>
          <w:r>
            <w:rPr>
              <w:sz w:val="32"/>
              <w:szCs w:val="32"/>
            </w:rPr>
            <w:fldChar w:fldCharType="separate"/>
          </w:r>
          <w:r>
            <w:rPr>
              <w:rFonts w:ascii="Times New Roman" w:eastAsia="黑体"/>
              <w:bCs/>
              <w:sz w:val="32"/>
              <w:szCs w:val="32"/>
            </w:rPr>
            <w:t xml:space="preserve">第三章 </w:t>
          </w:r>
          <w:r>
            <w:rPr>
              <w:rFonts w:hint="eastAsia" w:ascii="Times New Roman" w:eastAsia="黑体"/>
              <w:bCs/>
              <w:sz w:val="32"/>
              <w:szCs w:val="32"/>
              <w:lang w:val="en-US" w:eastAsia="zh-CN"/>
            </w:rPr>
            <w:t xml:space="preserve">  </w:t>
          </w:r>
          <w:r>
            <w:rPr>
              <w:rFonts w:ascii="Times New Roman" w:eastAsia="黑体"/>
              <w:bCs/>
              <w:sz w:val="32"/>
              <w:szCs w:val="32"/>
            </w:rPr>
            <w:t xml:space="preserve">合同文本</w:t>
          </w:r>
          <w:r>
            <w:rPr>
              <w:sz w:val="32"/>
              <w:szCs w:val="32"/>
            </w:rPr>
            <w:tab/>
          </w:r>
          <w:r>
            <w:rPr>
              <w:sz w:val="32"/>
              <w:szCs w:val="32"/>
            </w:rPr>
            <w:fldChar w:fldCharType="begin"/>
          </w:r>
          <w:r>
            <w:rPr>
              <w:sz w:val="32"/>
              <w:szCs w:val="32"/>
            </w:rPr>
            <w:instrText xml:space="preserve"> PAGEREF _Toc4016 \h </w:instrText>
          </w:r>
          <w:r>
            <w:rPr>
              <w:sz w:val="32"/>
              <w:szCs w:val="32"/>
            </w:rPr>
            <w:fldChar w:fldCharType="separate"/>
          </w:r>
          <w:r>
            <w:rPr>
              <w:sz w:val="32"/>
              <w:szCs w:val="32"/>
            </w:rPr>
            <w:t xml:space="preserve">14</w:t>
          </w:r>
          <w:r>
            <w:rPr>
              <w:sz w:val="32"/>
              <w:szCs w:val="32"/>
            </w:rPr>
            <w:fldChar w:fldCharType="end"/>
          </w:r>
          <w:r>
            <w:rPr>
              <w:color w:val="000000" w:themeColor="text1"/>
              <w:sz w:val="32"/>
              <w:szCs w:val="32"/>
              <w14:textFill>
                <w14:solidFill>
                  <w14:schemeClr w14:val="tx1"/>
                </w14:solidFill>
              </w14:textFill>
            </w:rPr>
            <w:fldChar w:fldCharType="end"/>
          </w:r>
          <w:r/>
        </w:p>
        <w:p>
          <w:pPr>
            <w:pStyle w:val="816"/>
            <w:spacing w:line="360" w:lineRule="auto"/>
            <w:tabs>
              <w:tab w:val="clear" w:pos="8720" w:leader="none"/>
              <w:tab w:val="right" w:pos="8953" w:leader="dot"/>
            </w:tabs>
            <w:rPr>
              <w:sz w:val="32"/>
              <w:szCs w:val="32"/>
            </w:rPr>
          </w:pPr>
          <w:r>
            <w:rPr>
              <w:color w:val="000000" w:themeColor="text1"/>
              <w:sz w:val="32"/>
              <w:szCs w:val="32"/>
              <w14:textFill>
                <w14:solidFill>
                  <w14:schemeClr w14:val="tx1"/>
                </w14:solidFill>
              </w14:textFill>
            </w:rPr>
            <w:fldChar w:fldCharType="begin"/>
          </w:r>
          <w:r>
            <w:rPr>
              <w:sz w:val="32"/>
              <w:szCs w:val="32"/>
            </w:rPr>
            <w:instrText xml:space="preserve"> HYPERLINK \l _Toc4416 </w:instrText>
          </w:r>
          <w:r>
            <w:rPr>
              <w:sz w:val="32"/>
              <w:szCs w:val="32"/>
            </w:rPr>
            <w:fldChar w:fldCharType="separate"/>
          </w:r>
          <w:r>
            <w:rPr>
              <w:rFonts w:ascii="Times New Roman" w:hAnsi="Times New Roman" w:eastAsia="黑体" w:cs="Times New Roman"/>
              <w:bCs/>
              <w:sz w:val="32"/>
              <w:szCs w:val="32"/>
            </w:rPr>
            <w:t xml:space="preserve">第四章 </w:t>
          </w:r>
          <w:r>
            <w:rPr>
              <w:rFonts w:hint="eastAsia" w:ascii="Times New Roman" w:hAnsi="Times New Roman" w:eastAsia="黑体" w:cs="Times New Roman"/>
              <w:bCs/>
              <w:sz w:val="32"/>
              <w:szCs w:val="32"/>
              <w:lang w:val="en-US" w:eastAsia="zh-CN"/>
            </w:rPr>
            <w:t xml:space="preserve">  </w:t>
          </w:r>
          <w:r>
            <w:rPr>
              <w:rFonts w:ascii="Times New Roman" w:hAnsi="Times New Roman" w:eastAsia="黑体" w:cs="Times New Roman"/>
              <w:bCs/>
              <w:sz w:val="32"/>
              <w:szCs w:val="32"/>
            </w:rPr>
            <w:t xml:space="preserve">采购需求</w:t>
          </w:r>
          <w:r>
            <w:rPr>
              <w:sz w:val="32"/>
              <w:szCs w:val="32"/>
            </w:rPr>
            <w:tab/>
          </w:r>
          <w:r>
            <w:rPr>
              <w:sz w:val="32"/>
              <w:szCs w:val="32"/>
            </w:rPr>
            <w:fldChar w:fldCharType="begin"/>
          </w:r>
          <w:r>
            <w:rPr>
              <w:sz w:val="32"/>
              <w:szCs w:val="32"/>
            </w:rPr>
            <w:instrText xml:space="preserve"> PAGEREF _Toc4416 \h </w:instrText>
          </w:r>
          <w:r>
            <w:rPr>
              <w:sz w:val="32"/>
              <w:szCs w:val="32"/>
            </w:rPr>
            <w:fldChar w:fldCharType="separate"/>
          </w:r>
          <w:r>
            <w:rPr>
              <w:sz w:val="32"/>
              <w:szCs w:val="32"/>
            </w:rPr>
            <w:t xml:space="preserve">20</w:t>
          </w:r>
          <w:r>
            <w:rPr>
              <w:sz w:val="32"/>
              <w:szCs w:val="32"/>
            </w:rPr>
            <w:fldChar w:fldCharType="end"/>
          </w:r>
          <w:r>
            <w:rPr>
              <w:color w:val="000000" w:themeColor="text1"/>
              <w:sz w:val="32"/>
              <w:szCs w:val="32"/>
              <w14:textFill>
                <w14:solidFill>
                  <w14:schemeClr w14:val="tx1"/>
                </w14:solidFill>
              </w14:textFill>
            </w:rPr>
            <w:fldChar w:fldCharType="end"/>
          </w:r>
          <w:r/>
        </w:p>
        <w:p>
          <w:pPr>
            <w:pStyle w:val="816"/>
            <w:spacing w:line="360" w:lineRule="auto"/>
            <w:tabs>
              <w:tab w:val="clear" w:pos="8720" w:leader="none"/>
              <w:tab w:val="right" w:pos="8953" w:leader="dot"/>
            </w:tabs>
            <w:rPr>
              <w:sz w:val="32"/>
              <w:szCs w:val="32"/>
            </w:rPr>
          </w:pPr>
          <w:r>
            <w:rPr>
              <w:color w:val="000000" w:themeColor="text1"/>
              <w:sz w:val="32"/>
              <w:szCs w:val="32"/>
              <w14:textFill>
                <w14:solidFill>
                  <w14:schemeClr w14:val="tx1"/>
                </w14:solidFill>
              </w14:textFill>
            </w:rPr>
            <w:fldChar w:fldCharType="begin"/>
          </w:r>
          <w:r>
            <w:rPr>
              <w:sz w:val="32"/>
              <w:szCs w:val="32"/>
            </w:rPr>
            <w:instrText xml:space="preserve"> HYPERLINK \l _Toc3075 </w:instrText>
          </w:r>
          <w:r>
            <w:rPr>
              <w:sz w:val="32"/>
              <w:szCs w:val="32"/>
            </w:rPr>
            <w:fldChar w:fldCharType="separate"/>
          </w:r>
          <w:r>
            <w:rPr>
              <w:rFonts w:ascii="Times New Roman" w:eastAsia="黑体"/>
              <w:bCs/>
              <w:sz w:val="32"/>
              <w:szCs w:val="32"/>
            </w:rPr>
            <w:t xml:space="preserve">第五章 </w:t>
          </w:r>
          <w:r>
            <w:rPr>
              <w:rFonts w:hint="eastAsia" w:ascii="Times New Roman" w:eastAsia="黑体"/>
              <w:bCs/>
              <w:sz w:val="32"/>
              <w:szCs w:val="32"/>
              <w:lang w:val="en-US" w:eastAsia="zh-CN"/>
            </w:rPr>
            <w:t xml:space="preserve"> </w:t>
          </w:r>
          <w:r>
            <w:rPr>
              <w:rFonts w:ascii="Times New Roman" w:eastAsia="黑体"/>
              <w:bCs/>
              <w:sz w:val="32"/>
              <w:szCs w:val="32"/>
            </w:rPr>
            <w:t xml:space="preserve"> 评标方法与评标标准</w:t>
          </w:r>
          <w:r>
            <w:rPr>
              <w:sz w:val="32"/>
              <w:szCs w:val="32"/>
            </w:rPr>
            <w:tab/>
          </w:r>
          <w:r>
            <w:rPr>
              <w:sz w:val="32"/>
              <w:szCs w:val="32"/>
            </w:rPr>
            <w:fldChar w:fldCharType="begin"/>
          </w:r>
          <w:r>
            <w:rPr>
              <w:sz w:val="32"/>
              <w:szCs w:val="32"/>
            </w:rPr>
            <w:instrText xml:space="preserve"> PAGEREF _Toc3075 \h </w:instrText>
          </w:r>
          <w:r>
            <w:rPr>
              <w:sz w:val="32"/>
              <w:szCs w:val="32"/>
            </w:rPr>
            <w:fldChar w:fldCharType="separate"/>
          </w:r>
          <w:r>
            <w:rPr>
              <w:sz w:val="32"/>
              <w:szCs w:val="32"/>
            </w:rPr>
            <w:t xml:space="preserve">24</w:t>
          </w:r>
          <w:r>
            <w:rPr>
              <w:sz w:val="32"/>
              <w:szCs w:val="32"/>
            </w:rPr>
            <w:fldChar w:fldCharType="end"/>
          </w:r>
          <w:r>
            <w:rPr>
              <w:color w:val="000000" w:themeColor="text1"/>
              <w:sz w:val="32"/>
              <w:szCs w:val="32"/>
              <w14:textFill>
                <w14:solidFill>
                  <w14:schemeClr w14:val="tx1"/>
                </w14:solidFill>
              </w14:textFill>
            </w:rPr>
            <w:fldChar w:fldCharType="end"/>
          </w:r>
          <w:r/>
        </w:p>
        <w:p>
          <w:pPr>
            <w:pStyle w:val="816"/>
            <w:spacing w:line="360" w:lineRule="auto"/>
            <w:tabs>
              <w:tab w:val="clear" w:pos="8720" w:leader="none"/>
              <w:tab w:val="right" w:pos="8953" w:leader="dot"/>
            </w:tabs>
          </w:pPr>
          <w:r>
            <w:rPr>
              <w:color w:val="000000" w:themeColor="text1"/>
              <w:sz w:val="32"/>
              <w:szCs w:val="32"/>
              <w14:textFill>
                <w14:solidFill>
                  <w14:schemeClr w14:val="tx1"/>
                </w14:solidFill>
              </w14:textFill>
            </w:rPr>
            <w:fldChar w:fldCharType="begin"/>
          </w:r>
          <w:r>
            <w:rPr>
              <w:sz w:val="32"/>
              <w:szCs w:val="32"/>
            </w:rPr>
            <w:instrText xml:space="preserve"> HYPERLINK \l _Toc16595 </w:instrText>
          </w:r>
          <w:r>
            <w:rPr>
              <w:sz w:val="32"/>
              <w:szCs w:val="32"/>
            </w:rPr>
            <w:fldChar w:fldCharType="separate"/>
          </w:r>
          <w:r>
            <w:rPr>
              <w:rFonts w:eastAsia="黑体"/>
              <w:sz w:val="32"/>
              <w:szCs w:val="52"/>
            </w:rPr>
            <w:t xml:space="preserve">第六章  投标文件格式</w:t>
          </w:r>
          <w:r>
            <w:rPr>
              <w:sz w:val="32"/>
              <w:szCs w:val="32"/>
            </w:rPr>
            <w:tab/>
          </w:r>
          <w:r>
            <w:rPr>
              <w:sz w:val="32"/>
              <w:szCs w:val="32"/>
            </w:rPr>
            <w:fldChar w:fldCharType="begin"/>
          </w:r>
          <w:r>
            <w:rPr>
              <w:sz w:val="32"/>
              <w:szCs w:val="32"/>
            </w:rPr>
            <w:instrText xml:space="preserve"> PAGEREF _Toc16595 \h </w:instrText>
          </w:r>
          <w:r>
            <w:rPr>
              <w:sz w:val="32"/>
              <w:szCs w:val="32"/>
            </w:rPr>
            <w:fldChar w:fldCharType="separate"/>
          </w:r>
          <w:r>
            <w:rPr>
              <w:sz w:val="32"/>
              <w:szCs w:val="32"/>
            </w:rPr>
            <w:t xml:space="preserve">28</w:t>
          </w:r>
          <w:r>
            <w:rPr>
              <w:sz w:val="32"/>
              <w:szCs w:val="32"/>
            </w:rPr>
            <w:fldChar w:fldCharType="end"/>
          </w:r>
          <w:r>
            <w:rPr>
              <w:color w:val="000000" w:themeColor="text1"/>
              <w:sz w:val="32"/>
              <w:szCs w:val="32"/>
              <w14:textFill>
                <w14:solidFill>
                  <w14:schemeClr w14:val="tx1"/>
                </w14:solidFill>
              </w14:textFill>
            </w:rPr>
            <w:fldChar w:fldCharType="end"/>
          </w:r>
          <w:r/>
        </w:p>
        <w:p>
          <w:pPr>
            <w:rPr>
              <w:rFonts w:ascii="Times New Roman" w:hAnsi="Times New Roman" w:eastAsia="宋体" w:cs="Times New Roman"/>
              <w:color w:val="000000" w:themeColor="text1"/>
              <w:sz w:val="21"/>
              <w:szCs w:val="21"/>
              <w:lang w:val="en-US" w:eastAsia="zh-CN" w:bidi="ar-SA"/>
              <w14:textFill>
                <w14:solidFill>
                  <w14:schemeClr w14:val="tx1"/>
                </w14:solidFill>
              </w14:textFill>
            </w:rPr>
          </w:pPr>
          <w:r>
            <w:rPr>
              <w:color w:val="000000" w:themeColor="text1"/>
              <w14:textFill>
                <w14:solidFill>
                  <w14:schemeClr w14:val="tx1"/>
                </w14:solidFill>
              </w14:textFill>
            </w:rPr>
            <w:fldChar w:fldCharType="end"/>
          </w:r>
          <w:r/>
        </w:p>
      </w:sdtContent>
    </w:sdt>
    <w:p>
      <w:pPr>
        <w:rPr>
          <w:rFonts w:ascii="Times New Roman" w:hAnsi="Times New Roman" w:eastAsia="宋体" w:cs="Times New Roman"/>
          <w:color w:val="000000" w:themeColor="text1"/>
          <w:sz w:val="21"/>
          <w:szCs w:val="21"/>
          <w:lang w:val="en-US" w:eastAsia="zh-CN" w:bidi="ar-SA"/>
          <w14:textFill>
            <w14:solidFill>
              <w14:schemeClr w14:val="tx1"/>
            </w14:solidFill>
          </w14:textFill>
        </w:rPr>
      </w:pPr>
      <w:r>
        <w:rPr>
          <w:rFonts w:ascii="Times New Roman" w:hAnsi="Times New Roman" w:eastAsia="宋体" w:cs="Times New Roman"/>
          <w:color w:val="000000" w:themeColor="text1"/>
          <w:sz w:val="21"/>
          <w:szCs w:val="21"/>
          <w:lang w:val="en-US" w:eastAsia="zh-CN" w:bidi="ar-SA"/>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pgBorders w:display="allPages" w:offsetFrom="page" w:zOrder="front">
            <w:bottom w:color="auto" w:space="1" w:sz="4" w:val="single"/>
            <w:left w:color="auto" w:space="1" w:sz="4" w:val="single"/>
            <w:right w:color="auto" w:space="1" w:sz="4" w:val="single"/>
            <w:top w:color="auto" w:space="1" w:sz="4" w:val="single"/>
          </w:pgBorders>
          <w:pgNumType w:start="0"/>
          <w:cols w:num="1" w:sep="0" w:space="720" w:equalWidth="1"/>
          <w:docGrid w:linePitch="360"/>
          <w:titlePg/>
        </w:sect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85"/>
        <w:rPr>
          <w:rFonts w:ascii="Times New Roman" w:eastAsia="黑体"/>
          <w:bCs/>
          <w:color w:val="000000" w:themeColor="text1"/>
          <w:sz w:val="44"/>
          <w:szCs w:val="44"/>
          <w14:textFill>
            <w14:solidFill>
              <w14:schemeClr w14:val="tx1"/>
            </w14:solidFill>
          </w14:textFill>
        </w:rPr>
      </w:pPr>
      <w:r/>
      <w:bookmarkStart w:id="6" w:name="_Toc9561"/>
      <w:r>
        <w:rPr>
          <w:rFonts w:ascii="Times New Roman" w:eastAsia="黑体"/>
          <w:color w:val="000000" w:themeColor="text1"/>
          <w:sz w:val="44"/>
          <w:szCs w:val="44"/>
          <w14:textFill>
            <w14:solidFill>
              <w14:schemeClr w14:val="tx1"/>
            </w14:solidFill>
          </w14:textFill>
        </w:rPr>
        <w:t xml:space="preserve">第一章  </w:t>
      </w:r>
      <w:bookmarkEnd w:id="0"/>
      <w:r>
        <w:rPr>
          <w:rFonts w:ascii="Times New Roman" w:eastAsia="黑体"/>
          <w:color w:val="000000" w:themeColor="text1"/>
          <w:sz w:val="44"/>
          <w:szCs w:val="44"/>
          <w14:textFill>
            <w14:solidFill>
              <w14:schemeClr w14:val="tx1"/>
            </w14:solidFill>
          </w14:textFill>
        </w:rPr>
        <w:t xml:space="preserve">投标邀请</w:t>
      </w:r>
      <w:bookmarkEnd w:id="6"/>
      <w:r/>
      <w:r/>
    </w:p>
    <w:p>
      <w:pPr>
        <w:ind w:firstLine="480"/>
        <w:spacing w:line="400" w:lineRule="exact"/>
        <w:rPr>
          <w:color w:val="000000" w:themeColor="text1"/>
          <w:sz w:val="24"/>
          <w:szCs w:val="24"/>
          <w14:textFill>
            <w14:solidFill>
              <w14:schemeClr w14:val="tx1"/>
            </w14:solidFill>
          </w14:textFill>
        </w:rPr>
        <w:outlineLvl w:val="9"/>
      </w:pPr>
      <w:r>
        <w:rPr>
          <w:color w:val="000000" w:themeColor="text1"/>
          <w:sz w:val="24"/>
          <w:szCs w:val="24"/>
          <w14:textFill>
            <w14:solidFill>
              <w14:schemeClr w14:val="tx1"/>
            </w14:solidFill>
          </w14:textFill>
        </w:rPr>
      </w:r>
      <w:r/>
    </w:p>
    <w:p>
      <w:pPr>
        <w:ind w:firstLine="420"/>
        <w:spacing w:line="380" w:lineRule="exact"/>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受南京市产品质量监督检验院的委托，</w:t>
      </w:r>
      <w:r>
        <w:rPr>
          <w:color w:val="000000" w:themeColor="text1"/>
          <w:u w:val="single"/>
          <w14:textFill>
            <w14:solidFill>
              <w14:schemeClr w14:val="tx1"/>
            </w14:solidFill>
          </w14:textFill>
        </w:rPr>
        <w:t xml:space="preserve">江苏励邦招标代理有限公司</w:t>
      </w:r>
      <w:r>
        <w:rPr>
          <w:color w:val="000000" w:themeColor="text1"/>
          <w14:textFill>
            <w14:solidFill>
              <w14:schemeClr w14:val="tx1"/>
            </w14:solidFill>
          </w14:textFill>
        </w:rPr>
        <w:t xml:space="preserve">就</w:t>
      </w:r>
      <w:r>
        <w:rPr>
          <w:rFonts w:hint="eastAsia"/>
          <w:bCs/>
          <w:color w:val="000000" w:themeColor="text1"/>
          <w:u w:val="single"/>
          <w:lang w:eastAsia="zh-CN"/>
          <w14:textFill>
            <w14:solidFill>
              <w14:schemeClr w14:val="tx1"/>
            </w14:solidFill>
          </w14:textFill>
        </w:rPr>
        <w:t xml:space="preserve">2026年南京市质检院检验检测设备(二)</w:t>
      </w:r>
      <w:r>
        <w:rPr>
          <w:color w:val="000000" w:themeColor="text1"/>
          <w14:textFill>
            <w14:solidFill>
              <w14:schemeClr w14:val="tx1"/>
            </w14:solidFill>
          </w14:textFill>
        </w:rPr>
        <w:t xml:space="preserve">（项目编号：</w:t>
      </w:r>
      <w:r>
        <w:rPr>
          <w:rFonts w:hint="eastAsia"/>
          <w:color w:val="000000" w:themeColor="text1"/>
          <w:lang w:eastAsia="zh-CN"/>
          <w14:textFill>
            <w14:solidFill>
              <w14:schemeClr w14:val="tx1"/>
            </w14:solidFill>
          </w14:textFill>
        </w:rPr>
        <w:t xml:space="preserve">JSZC-320100-LBZB-G2026-0004</w:t>
      </w:r>
      <w:r>
        <w:rPr>
          <w:color w:val="000000" w:themeColor="text1"/>
          <w14:textFill>
            <w14:solidFill>
              <w14:schemeClr w14:val="tx1"/>
            </w14:solidFill>
          </w14:textFill>
        </w:rPr>
        <w:t xml:space="preserve">）项目进行公开招标采购，欢迎符合条件的供应商投标。</w:t>
      </w:r>
      <w:r/>
    </w:p>
    <w:p>
      <w:pPr>
        <w:ind w:firstLine="420"/>
        <w:spacing w:line="400" w:lineRule="exact"/>
        <w:rPr>
          <w:color w:val="000000" w:themeColor="text1"/>
          <w14:textFill>
            <w14:solidFill>
              <w14:schemeClr w14:val="tx1"/>
            </w14:solidFill>
          </w14:textFill>
        </w:rPr>
        <w:pBdr>
          <w:top w:val="single" w:color="auto" w:sz="4" w:space="1"/>
          <w:left w:val="single" w:color="auto" w:sz="4" w:space="4"/>
          <w:bottom w:val="single" w:color="auto" w:sz="4" w:space="1"/>
          <w:right w:val="single" w:color="auto" w:sz="4" w:space="4"/>
        </w:pBdr>
        <w:outlineLvl w:val="9"/>
      </w:pPr>
      <w:r/>
      <w:bookmarkStart w:id="7" w:name="_Toc28359079"/>
      <w:r/>
      <w:bookmarkStart w:id="8" w:name="_Toc35393621"/>
      <w:r/>
      <w:bookmarkStart w:id="9" w:name="_Toc35393790"/>
      <w:r/>
      <w:bookmarkStart w:id="10" w:name="_Toc38985263"/>
      <w:r/>
      <w:bookmarkStart w:id="11" w:name="_Toc28359002"/>
      <w:r/>
      <w:bookmarkStart w:id="12" w:name="_Hlk24379207"/>
      <w:r>
        <w:rPr>
          <w:color w:val="000000" w:themeColor="text1"/>
          <w14:textFill>
            <w14:solidFill>
              <w14:schemeClr w14:val="tx1"/>
            </w14:solidFill>
          </w14:textFill>
        </w:rPr>
        <w:t xml:space="preserve">项目概况</w:t>
      </w:r>
      <w:r/>
    </w:p>
    <w:p>
      <w:pPr>
        <w:ind w:firstLine="420"/>
        <w:spacing w:line="400" w:lineRule="exact"/>
        <w:rPr>
          <w:color w:val="000000" w:themeColor="text1"/>
          <w14:textFill>
            <w14:solidFill>
              <w14:schemeClr w14:val="tx1"/>
            </w14:solidFill>
          </w14:textFill>
        </w:rPr>
        <w:pBdr>
          <w:top w:val="single" w:color="auto" w:sz="4" w:space="1"/>
          <w:left w:val="single" w:color="auto" w:sz="4" w:space="4"/>
          <w:bottom w:val="single" w:color="auto" w:sz="4" w:space="1"/>
          <w:right w:val="single" w:color="auto" w:sz="4" w:space="4"/>
        </w:pBdr>
        <w:outlineLvl w:val="9"/>
      </w:pPr>
      <w:r>
        <w:rPr>
          <w:rFonts w:hint="eastAsia"/>
          <w:bCs/>
          <w:color w:val="000000" w:themeColor="text1"/>
          <w:u w:val="single"/>
          <w:lang w:eastAsia="zh-CN"/>
          <w14:textFill>
            <w14:solidFill>
              <w14:schemeClr w14:val="tx1"/>
            </w14:solidFill>
          </w14:textFill>
        </w:rPr>
        <w:t xml:space="preserve">2026年南京市质检院检验检测设备(二)</w:t>
      </w:r>
      <w:r>
        <w:rPr>
          <w:color w:val="000000" w:themeColor="text1"/>
          <w14:textFill>
            <w14:solidFill>
              <w14:schemeClr w14:val="tx1"/>
            </w14:solidFill>
          </w14:textFill>
        </w:rPr>
        <w:t xml:space="preserve">的潜在供应商应在</w:t>
      </w:r>
      <w:r>
        <w:rPr>
          <w:rFonts w:hint="eastAsia"/>
          <w:color w:val="000000" w:themeColor="text1"/>
          <w:u w:val="single"/>
          <w:lang w:eastAsia="zh-CN"/>
          <w14:textFill>
            <w14:solidFill>
              <w14:schemeClr w14:val="tx1"/>
            </w14:solidFill>
          </w14:textFill>
        </w:rPr>
        <w:t xml:space="preserve">江苏省南京市鼓楼区集庆门大街268号苏宁慧谷E08-1幢2205、2206室</w:t>
      </w:r>
      <w:r>
        <w:rPr>
          <w:color w:val="000000" w:themeColor="text1"/>
          <w14:textFill>
            <w14:solidFill>
              <w14:schemeClr w14:val="tx1"/>
            </w14:solidFill>
          </w14:textFill>
        </w:rPr>
        <w:t xml:space="preserve">获取采购文件，并于</w:t>
      </w:r>
      <w:r>
        <w:rPr>
          <w:rFonts w:hint="eastAsia"/>
          <w:color w:val="000000" w:themeColor="text1"/>
          <w:highlight w:val="none"/>
          <w:lang w:eastAsia="zh-CN"/>
          <w14:textFill>
            <w14:solidFill>
              <w14:schemeClr w14:val="tx1"/>
            </w14:solidFill>
          </w14:textFill>
        </w:rPr>
        <w:t xml:space="preserve">2026</w:t>
      </w:r>
      <w:r>
        <w:rPr>
          <w:color w:val="000000" w:themeColor="text1"/>
          <w:highlight w:val="none"/>
          <w14:textFill>
            <w14:solidFill>
              <w14:schemeClr w14:val="tx1"/>
            </w14:solidFill>
          </w14:textFill>
        </w:rPr>
        <w:t xml:space="preserve">年</w:t>
      </w:r>
      <w:r>
        <w:rPr>
          <w:rFonts w:hint="eastAsia"/>
          <w:color w:val="000000" w:themeColor="text1"/>
          <w:highlight w:val="none"/>
          <w:lang w:val="en-US" w:eastAsia="zh-CN"/>
          <w14:textFill>
            <w14:solidFill>
              <w14:schemeClr w14:val="tx1"/>
            </w14:solidFill>
          </w14:textFill>
        </w:rPr>
        <w:t xml:space="preserve">6</w:t>
      </w:r>
      <w:r>
        <w:rPr>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18</w:t>
      </w:r>
      <w:r>
        <w:rPr>
          <w:color w:val="000000" w:themeColor="text1"/>
          <w:highlight w:val="none"/>
          <w14:textFill>
            <w14:solidFill>
              <w14:schemeClr w14:val="tx1"/>
            </w14:solidFill>
          </w14:textFill>
        </w:rPr>
        <w:t xml:space="preserve">日14点</w:t>
      </w:r>
      <w:r>
        <w:rPr>
          <w:rFonts w:hint="eastAsia"/>
          <w:color w:val="000000" w:themeColor="text1"/>
          <w:highlight w:val="none"/>
          <w:lang w:val="en-US" w:eastAsia="zh-CN"/>
          <w14:textFill>
            <w14:solidFill>
              <w14:schemeClr w14:val="tx1"/>
            </w14:solidFill>
          </w14:textFill>
        </w:rPr>
        <w:t xml:space="preserve">00</w:t>
      </w:r>
      <w:r>
        <w:rPr>
          <w:color w:val="000000" w:themeColor="text1"/>
          <w:highlight w:val="none"/>
          <w14:textFill>
            <w14:solidFill>
              <w14:schemeClr w14:val="tx1"/>
            </w14:solidFill>
          </w14:textFill>
        </w:rPr>
        <w:t xml:space="preserve">分</w:t>
      </w:r>
      <w:r>
        <w:rPr>
          <w:bCs/>
          <w:color w:val="000000" w:themeColor="text1"/>
          <w14:textFill>
            <w14:solidFill>
              <w14:schemeClr w14:val="tx1"/>
            </w14:solidFill>
          </w14:textFill>
        </w:rPr>
        <w:t xml:space="preserve">（北京时间）前提交响应文件</w:t>
      </w:r>
      <w:r>
        <w:rPr>
          <w:color w:val="000000" w:themeColor="text1"/>
          <w14:textFill>
            <w14:solidFill>
              <w14:schemeClr w14:val="tx1"/>
            </w14:solidFill>
          </w14:textFill>
        </w:rPr>
        <w:t xml:space="preserve">。</w:t>
      </w:r>
      <w:r/>
    </w:p>
    <w:p>
      <w:pPr>
        <w:ind w:firstLine="315"/>
        <w:spacing w:before="0" w:after="0" w:line="380" w:lineRule="exact"/>
        <w:rPr>
          <w:rFonts w:ascii="Times New Roman" w:hAnsi="Times New Roman" w:cs="Times New Roman"/>
          <w:b w:val="0"/>
          <w:bCs w:val="0"/>
          <w:color w:val="000000" w:themeColor="text1"/>
          <w:sz w:val="21"/>
          <w:szCs w:val="21"/>
          <w14:textFill>
            <w14:solidFill>
              <w14:schemeClr w14:val="tx1"/>
            </w14:solidFill>
          </w14:textFill>
        </w:rPr>
        <w:outlineLvl w:val="9"/>
      </w:pPr>
      <w:r>
        <w:rPr>
          <w:rFonts w:ascii="Times New Roman" w:hAnsi="Times New Roman" w:cs="Times New Roman"/>
          <w:b w:val="0"/>
          <w:bCs w:val="0"/>
          <w:color w:val="000000" w:themeColor="text1"/>
          <w:sz w:val="21"/>
          <w:szCs w:val="21"/>
          <w14:textFill>
            <w14:solidFill>
              <w14:schemeClr w14:val="tx1"/>
            </w14:solidFill>
          </w14:textFill>
        </w:rPr>
        <w:t xml:space="preserve">一、项目基本情况</w:t>
      </w:r>
      <w:bookmarkEnd w:id="7"/>
      <w:r/>
      <w:bookmarkEnd w:id="8"/>
      <w:r/>
      <w:bookmarkEnd w:id="9"/>
      <w:r/>
      <w:bookmarkEnd w:id="10"/>
      <w:r/>
      <w:bookmarkEnd w:id="11"/>
      <w:r/>
      <w:r/>
    </w:p>
    <w:p>
      <w:pPr>
        <w:ind w:firstLine="420"/>
        <w:spacing w:line="380" w:lineRule="exact"/>
        <w:rPr>
          <w:rFonts w:hint="eastAsia" w:eastAsia="宋体"/>
          <w:color w:val="000000" w:themeColor="text1"/>
          <w:lang w:val="en-US" w:eastAsia="zh-CN"/>
          <w14:textFill>
            <w14:solidFill>
              <w14:schemeClr w14:val="tx1"/>
            </w14:solidFill>
          </w14:textFill>
        </w:rPr>
        <w:outlineLvl w:val="9"/>
      </w:pPr>
      <w:r>
        <w:rPr>
          <w:color w:val="000000" w:themeColor="text1"/>
          <w14:textFill>
            <w14:solidFill>
              <w14:schemeClr w14:val="tx1"/>
            </w14:solidFill>
          </w14:textFill>
        </w:rPr>
        <w:t xml:space="preserve">1、项目编号：</w:t>
      </w:r>
      <w:r>
        <w:rPr>
          <w:rFonts w:hint="eastAsia"/>
          <w:color w:val="000000" w:themeColor="text1"/>
          <w:lang w:eastAsia="zh-CN"/>
          <w14:textFill>
            <w14:solidFill>
              <w14:schemeClr w14:val="tx1"/>
            </w14:solidFill>
          </w14:textFill>
        </w:rPr>
        <w:t xml:space="preserve">JSZC-320100-LBZB-G2026-0004</w:t>
      </w:r>
      <w:r/>
    </w:p>
    <w:p>
      <w:pPr>
        <w:ind w:firstLine="420"/>
        <w:spacing w:line="380" w:lineRule="exact"/>
        <w:rPr>
          <w:rFonts w:hint="eastAsia" w:eastAsia="宋体"/>
          <w:color w:val="000000" w:themeColor="text1"/>
          <w:lang w:eastAsia="zh-CN"/>
          <w14:textFill>
            <w14:solidFill>
              <w14:schemeClr w14:val="tx1"/>
            </w14:solidFill>
          </w14:textFill>
        </w:rPr>
        <w:outlineLvl w:val="9"/>
      </w:pPr>
      <w:r>
        <w:rPr>
          <w:color w:val="000000" w:themeColor="text1"/>
          <w14:textFill>
            <w14:solidFill>
              <w14:schemeClr w14:val="tx1"/>
            </w14:solidFill>
          </w14:textFill>
        </w:rPr>
        <w:t xml:space="preserve">2、项目名称：</w:t>
      </w:r>
      <w:bookmarkEnd w:id="12"/>
      <w:r>
        <w:rPr>
          <w:rFonts w:hint="eastAsia"/>
          <w:color w:val="000000" w:themeColor="text1"/>
          <w:lang w:eastAsia="zh-CN"/>
          <w14:textFill>
            <w14:solidFill>
              <w14:schemeClr w14:val="tx1"/>
            </w14:solidFill>
          </w14:textFill>
        </w:rPr>
        <w:t xml:space="preserve">2026年南京市质检院检验检测设备(二)</w:t>
      </w:r>
      <w:r/>
    </w:p>
    <w:p>
      <w:pPr>
        <w:ind w:firstLine="420"/>
        <w:spacing w:line="380" w:lineRule="exact"/>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3、预算金额及最高限价：预算金额</w:t>
      </w:r>
      <w:r>
        <w:rPr>
          <w:rFonts w:hint="eastAsia"/>
          <w:color w:val="000000" w:themeColor="text1"/>
          <w:lang w:val="en-US" w:eastAsia="zh-CN"/>
          <w14:textFill>
            <w14:solidFill>
              <w14:schemeClr w14:val="tx1"/>
            </w14:solidFill>
          </w14:textFill>
        </w:rPr>
        <w:t xml:space="preserve">人民142万元，最高限价</w:t>
      </w:r>
      <w:r>
        <w:rPr>
          <w:color w:val="000000" w:themeColor="text1"/>
          <w14:textFill>
            <w14:solidFill>
              <w14:schemeClr w14:val="tx1"/>
            </w14:solidFill>
          </w14:textFill>
        </w:rPr>
        <w:t xml:space="preserve">人民币</w:t>
      </w:r>
      <w:r>
        <w:rPr>
          <w:rFonts w:hint="eastAsia"/>
          <w:color w:val="000000" w:themeColor="text1"/>
          <w:lang w:val="en-US" w:eastAsia="zh-CN"/>
          <w14:textFill>
            <w14:solidFill>
              <w14:schemeClr w14:val="tx1"/>
            </w14:solidFill>
          </w14:textFill>
        </w:rPr>
        <w:t xml:space="preserve">139.9</w:t>
      </w:r>
      <w:r>
        <w:rPr>
          <w:color w:val="000000" w:themeColor="text1"/>
          <w14:textFill>
            <w14:solidFill>
              <w14:schemeClr w14:val="tx1"/>
            </w14:solidFill>
          </w14:textFill>
        </w:rPr>
        <w:t xml:space="preserve">万元。</w:t>
      </w:r>
      <w:r/>
    </w:p>
    <w:p>
      <w:pPr>
        <w:ind w:firstLine="420"/>
        <w:spacing w:line="380" w:lineRule="exact"/>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5、采购需求：拟采购</w:t>
      </w:r>
      <w:r>
        <w:rPr>
          <w:rFonts w:hint="eastAsia"/>
          <w:color w:val="000000" w:themeColor="text1"/>
          <w:lang w:val="en-US" w:eastAsia="zh-CN"/>
          <w14:textFill>
            <w14:solidFill>
              <w14:schemeClr w14:val="tx1"/>
            </w14:solidFill>
          </w14:textFill>
        </w:rPr>
        <w:t xml:space="preserve">激光跟踪仪</w:t>
      </w:r>
      <w:r>
        <w:rPr>
          <w:color w:val="000000" w:themeColor="text1"/>
          <w14:textFill>
            <w14:solidFill>
              <w14:schemeClr w14:val="tx1"/>
            </w14:solidFill>
          </w14:textFill>
        </w:rPr>
        <w:t xml:space="preserve">等</w:t>
      </w:r>
      <w:r>
        <w:rPr>
          <w:rFonts w:hint="eastAsia"/>
          <w:color w:val="000000" w:themeColor="text1"/>
          <w:lang w:val="en-US" w:eastAsia="zh-CN"/>
          <w14:textFill>
            <w14:solidFill>
              <w14:schemeClr w14:val="tx1"/>
            </w14:solidFill>
          </w14:textFill>
        </w:rPr>
        <w:t xml:space="preserve">检验检测</w:t>
      </w:r>
      <w:r>
        <w:rPr>
          <w:color w:val="000000" w:themeColor="text1"/>
          <w14:textFill>
            <w14:solidFill>
              <w14:schemeClr w14:val="tx1"/>
            </w14:solidFill>
          </w14:textFill>
        </w:rPr>
        <w:t xml:space="preserve">设备，满足实验室检验检测能力提升和科研需求。主要货物清单简要情况如下：</w:t>
      </w:r>
      <w:r/>
    </w:p>
    <w:tbl>
      <w:tblPr>
        <w:tblStyle w:val="79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2702"/>
        <w:gridCol w:w="824"/>
        <w:gridCol w:w="2303"/>
        <w:gridCol w:w="1266"/>
        <w:gridCol w:w="1069"/>
      </w:tblGrid>
      <w:tr>
        <w:trPr>
          <w:jc w:val="center"/>
          <w:trHeight w:val="861"/>
        </w:trPr>
        <w:tc>
          <w:tcPr>
            <w:tcW w:w="432" w:type="pct"/>
            <w:vAlign w:val="center"/>
            <w:textDirection w:val="lrTb"/>
            <w:noWrap w:val="false"/>
          </w:tcPr>
          <w:p>
            <w:pPr>
              <w:ind w:firstLine="0"/>
              <w:jc w:val="center"/>
              <w:spacing w:line="240" w:lineRule="auto"/>
              <w:rPr>
                <w:rFonts w:hint="eastAsia"/>
                <w:highlight w:val="none"/>
              </w:rPr>
              <w:outlineLvl w:val="9"/>
            </w:pPr>
            <w:r>
              <w:rPr>
                <w:rFonts w:hint="eastAsia"/>
                <w:highlight w:val="none"/>
                <w:lang w:val="en-US" w:eastAsia="zh-CN"/>
              </w:rPr>
              <w:t xml:space="preserve">序号</w:t>
            </w:r>
            <w:r/>
          </w:p>
        </w:tc>
        <w:tc>
          <w:tcPr>
            <w:tcW w:w="1511" w:type="pct"/>
            <w:vAlign w:val="center"/>
            <w:textDirection w:val="lrTb"/>
            <w:noWrap w:val="false"/>
          </w:tcPr>
          <w:p>
            <w:pPr>
              <w:ind w:firstLine="0"/>
              <w:jc w:val="center"/>
              <w:spacing w:line="240" w:lineRule="auto"/>
              <w:rPr>
                <w:rFonts w:hint="eastAsia"/>
                <w:highlight w:val="none"/>
              </w:rPr>
              <w:outlineLvl w:val="9"/>
            </w:pPr>
            <w:r>
              <w:rPr>
                <w:rFonts w:hint="eastAsia"/>
                <w:highlight w:val="none"/>
                <w:lang w:val="en-US" w:eastAsia="zh-CN"/>
              </w:rPr>
              <w:t xml:space="preserve">设备名称</w:t>
            </w:r>
            <w:r/>
          </w:p>
        </w:tc>
        <w:tc>
          <w:tcPr>
            <w:tcW w:w="461" w:type="pct"/>
            <w:vAlign w:val="center"/>
            <w:textDirection w:val="lrTb"/>
            <w:noWrap w:val="false"/>
          </w:tcPr>
          <w:p>
            <w:pPr>
              <w:ind w:firstLine="0"/>
              <w:jc w:val="center"/>
              <w:spacing w:line="240" w:lineRule="auto"/>
              <w:rPr>
                <w:rFonts w:hint="eastAsia"/>
                <w:highlight w:val="none"/>
              </w:rPr>
              <w:outlineLvl w:val="9"/>
            </w:pPr>
            <w:r>
              <w:rPr>
                <w:rFonts w:hint="eastAsia"/>
                <w:highlight w:val="none"/>
                <w:lang w:val="en-US" w:eastAsia="zh-CN"/>
              </w:rPr>
              <w:t xml:space="preserve">数量</w:t>
            </w:r>
            <w:r/>
          </w:p>
        </w:tc>
        <w:tc>
          <w:tcPr>
            <w:tcW w:w="1288" w:type="pct"/>
            <w:vAlign w:val="center"/>
            <w:textDirection w:val="lrTb"/>
            <w:noWrap w:val="false"/>
          </w:tcPr>
          <w:p>
            <w:pPr>
              <w:ind w:firstLine="0"/>
              <w:jc w:val="center"/>
              <w:spacing w:line="240" w:lineRule="auto"/>
              <w:rPr>
                <w:rFonts w:hint="eastAsia"/>
                <w:highlight w:val="none"/>
              </w:rPr>
              <w:outlineLvl w:val="9"/>
            </w:pPr>
            <w:r>
              <w:rPr>
                <w:rFonts w:hint="eastAsia"/>
                <w:highlight w:val="none"/>
              </w:rPr>
              <w:t xml:space="preserve">最高限价</w:t>
            </w:r>
            <w:r/>
          </w:p>
          <w:p>
            <w:pPr>
              <w:ind w:firstLine="0"/>
              <w:jc w:val="center"/>
              <w:spacing w:line="240" w:lineRule="auto"/>
              <w:rPr>
                <w:rFonts w:hint="eastAsia"/>
                <w:highlight w:val="none"/>
                <w:lang w:eastAsia="zh-CN"/>
              </w:rPr>
              <w:outlineLvl w:val="9"/>
            </w:pPr>
            <w:r>
              <w:rPr>
                <w:rFonts w:hint="eastAsia"/>
                <w:highlight w:val="none"/>
                <w:lang w:eastAsia="zh-CN"/>
              </w:rPr>
              <w:t xml:space="preserve">（</w:t>
            </w:r>
            <w:r>
              <w:rPr>
                <w:rFonts w:hint="eastAsia"/>
                <w:highlight w:val="none"/>
              </w:rPr>
              <w:t xml:space="preserve">万元/人民币</w:t>
            </w:r>
            <w:r>
              <w:rPr>
                <w:rFonts w:hint="eastAsia"/>
                <w:highlight w:val="none"/>
                <w:lang w:eastAsia="zh-CN"/>
              </w:rPr>
              <w:t xml:space="preserve">）</w:t>
            </w:r>
            <w:r/>
          </w:p>
        </w:tc>
        <w:tc>
          <w:tcPr>
            <w:tcW w:w="708" w:type="pct"/>
            <w:vAlign w:val="center"/>
            <w:textDirection w:val="lrTb"/>
            <w:noWrap w:val="false"/>
          </w:tcPr>
          <w:p>
            <w:pPr>
              <w:ind w:firstLine="0"/>
              <w:jc w:val="center"/>
              <w:spacing w:line="240" w:lineRule="auto"/>
              <w:rPr>
                <w:rFonts w:hint="eastAsia"/>
                <w:highlight w:val="none"/>
                <w:lang w:val="en-US" w:eastAsia="zh-CN"/>
              </w:rPr>
              <w:outlineLvl w:val="9"/>
            </w:pPr>
            <w:r>
              <w:rPr>
                <w:rFonts w:hint="eastAsia"/>
                <w:highlight w:val="none"/>
                <w:lang w:val="en-US" w:eastAsia="zh-CN"/>
              </w:rPr>
              <w:t xml:space="preserve">是否接受进口产品投标</w:t>
            </w:r>
            <w:r/>
          </w:p>
        </w:tc>
        <w:tc>
          <w:tcPr>
            <w:tcW w:w="598" w:type="pct"/>
            <w:vAlign w:val="center"/>
            <w:textDirection w:val="lrTb"/>
            <w:noWrap w:val="false"/>
          </w:tcPr>
          <w:p>
            <w:pPr>
              <w:ind w:firstLine="0"/>
              <w:jc w:val="center"/>
              <w:spacing w:line="240" w:lineRule="auto"/>
              <w:rPr>
                <w:rFonts w:hint="eastAsia"/>
                <w:highlight w:val="none"/>
              </w:rPr>
              <w:outlineLvl w:val="9"/>
            </w:pPr>
            <w:r>
              <w:rPr>
                <w:rFonts w:hint="eastAsia"/>
                <w:highlight w:val="none"/>
              </w:rPr>
              <w:t xml:space="preserve">是否为核心产品</w:t>
            </w:r>
            <w:r/>
          </w:p>
        </w:tc>
      </w:tr>
      <w:tr>
        <w:trPr>
          <w:jc w:val="center"/>
          <w:trHeight w:val="497"/>
        </w:trPr>
        <w:tc>
          <w:tcPr>
            <w:tcW w:w="432" w:type="pct"/>
            <w:vAlign w:val="center"/>
            <w:textDirection w:val="lrTb"/>
            <w:noWrap w:val="false"/>
          </w:tcPr>
          <w:p>
            <w:pPr>
              <w:ind w:firstLine="0"/>
              <w:jc w:val="center"/>
              <w:spacing w:line="240" w:lineRule="auto"/>
              <w:rPr>
                <w:rFonts w:hint="eastAsia"/>
                <w:highlight w:val="none"/>
              </w:rPr>
              <w:outlineLvl w:val="9"/>
            </w:pPr>
            <w:r>
              <w:rPr>
                <w:rFonts w:hint="eastAsia"/>
                <w:highlight w:val="none"/>
                <w:lang w:val="en-US" w:eastAsia="zh-CN"/>
              </w:rPr>
              <w:t xml:space="preserve">1</w:t>
            </w:r>
            <w:r/>
          </w:p>
        </w:tc>
        <w:tc>
          <w:tcPr>
            <w:tcW w:w="1511" w:type="pct"/>
            <w:vAlign w:val="center"/>
            <w:textDirection w:val="lrTb"/>
            <w:noWrap w:val="false"/>
          </w:tcPr>
          <w:p>
            <w:pPr>
              <w:ind w:firstLine="0"/>
              <w:spacing w:line="240" w:lineRule="auto"/>
              <w:rPr>
                <w:rFonts w:hint="eastAsia"/>
                <w:highlight w:val="none"/>
                <w:lang w:val="en-US"/>
              </w:rPr>
              <w:outlineLvl w:val="9"/>
            </w:pPr>
            <w:r>
              <w:rPr>
                <w:rFonts w:hint="eastAsia"/>
                <w:highlight w:val="none"/>
                <w:lang w:val="en-US" w:eastAsia="zh-CN"/>
              </w:rPr>
              <w:t xml:space="preserve">激光跟踪仪</w:t>
            </w:r>
            <w:r/>
          </w:p>
        </w:tc>
        <w:tc>
          <w:tcPr>
            <w:tcW w:w="461" w:type="pct"/>
            <w:vAlign w:val="center"/>
            <w:textDirection w:val="lrTb"/>
            <w:noWrap w:val="false"/>
          </w:tcPr>
          <w:p>
            <w:pPr>
              <w:ind w:firstLine="0"/>
              <w:jc w:val="center"/>
              <w:spacing w:line="240" w:lineRule="auto"/>
              <w:rPr>
                <w:rFonts w:hint="eastAsia"/>
                <w:highlight w:val="none"/>
                <w:lang w:val="en-US" w:eastAsia="zh-CN"/>
              </w:rPr>
              <w:outlineLvl w:val="9"/>
            </w:pPr>
            <w:r>
              <w:rPr>
                <w:rFonts w:hint="eastAsia"/>
                <w:highlight w:val="none"/>
                <w:lang w:val="en-US" w:eastAsia="zh-CN"/>
              </w:rPr>
              <w:t xml:space="preserve">1</w:t>
            </w:r>
            <w:r/>
          </w:p>
        </w:tc>
        <w:tc>
          <w:tcPr>
            <w:tcW w:w="1288" w:type="pct"/>
            <w:vAlign w:val="center"/>
            <w:textDirection w:val="lrTb"/>
            <w:noWrap w:val="false"/>
          </w:tcPr>
          <w:p>
            <w:pPr>
              <w:ind w:firstLine="0"/>
              <w:jc w:val="center"/>
              <w:spacing w:line="240" w:lineRule="auto"/>
              <w:rPr>
                <w:rFonts w:hint="eastAsia"/>
                <w:highlight w:val="none"/>
                <w:lang w:val="en-US" w:eastAsia="zh-CN"/>
              </w:rPr>
              <w:outlineLvl w:val="9"/>
            </w:pPr>
            <w:r>
              <w:rPr>
                <w:rFonts w:hint="eastAsia"/>
                <w:highlight w:val="none"/>
                <w:lang w:val="en-US" w:eastAsia="zh-CN"/>
              </w:rPr>
              <w:t xml:space="preserve">86.8</w:t>
            </w:r>
            <w:r/>
          </w:p>
        </w:tc>
        <w:tc>
          <w:tcPr>
            <w:tcW w:w="708" w:type="pct"/>
            <w:vAlign w:val="center"/>
            <w:textDirection w:val="lrTb"/>
            <w:noWrap w:val="false"/>
          </w:tcPr>
          <w:p>
            <w:pPr>
              <w:ind w:firstLine="0"/>
              <w:jc w:val="center"/>
              <w:spacing w:line="240" w:lineRule="auto"/>
              <w:rPr>
                <w:rFonts w:hint="default"/>
                <w:highlight w:val="none"/>
                <w:lang w:val="en-US" w:eastAsia="zh-CN"/>
              </w:rPr>
              <w:outlineLvl w:val="9"/>
            </w:pPr>
            <w:r>
              <w:rPr>
                <w:rFonts w:hint="eastAsia"/>
                <w:highlight w:val="none"/>
                <w:lang w:val="en-US" w:eastAsia="zh-CN"/>
              </w:rPr>
              <w:t xml:space="preserve">否</w:t>
            </w:r>
            <w:r/>
          </w:p>
        </w:tc>
        <w:tc>
          <w:tcPr>
            <w:tcW w:w="598" w:type="pct"/>
            <w:vAlign w:val="center"/>
            <w:textDirection w:val="lrTb"/>
            <w:noWrap w:val="false"/>
          </w:tcPr>
          <w:p>
            <w:pPr>
              <w:ind w:firstLine="0"/>
              <w:jc w:val="center"/>
              <w:spacing w:line="240" w:lineRule="auto"/>
              <w:rPr>
                <w:rFonts w:hint="eastAsia"/>
                <w:highlight w:val="none"/>
                <w:lang w:val="en-US" w:eastAsia="zh-CN"/>
              </w:rPr>
              <w:outlineLvl w:val="9"/>
            </w:pPr>
            <w:r>
              <w:rPr>
                <w:rFonts w:hint="eastAsia"/>
                <w:highlight w:val="none"/>
                <w:lang w:val="en-US" w:eastAsia="zh-CN"/>
              </w:rPr>
              <w:t xml:space="preserve">是</w:t>
            </w:r>
            <w:r/>
          </w:p>
        </w:tc>
      </w:tr>
      <w:tr>
        <w:trPr>
          <w:jc w:val="center"/>
          <w:trHeight w:val="497"/>
        </w:trPr>
        <w:tc>
          <w:tcPr>
            <w:tcW w:w="432" w:type="pct"/>
            <w:vAlign w:val="center"/>
            <w:textDirection w:val="lrTb"/>
            <w:noWrap w:val="false"/>
          </w:tcPr>
          <w:p>
            <w:pPr>
              <w:ind w:firstLine="0"/>
              <w:jc w:val="center"/>
              <w:spacing w:line="240" w:lineRule="auto"/>
              <w:rPr>
                <w:rFonts w:hint="eastAsia"/>
                <w:highlight w:val="none"/>
                <w:lang w:val="en-US" w:eastAsia="zh-CN"/>
              </w:rPr>
              <w:outlineLvl w:val="9"/>
            </w:pPr>
            <w:r>
              <w:rPr>
                <w:rFonts w:hint="eastAsia"/>
                <w:highlight w:val="none"/>
                <w:lang w:val="en-US" w:eastAsia="zh-CN"/>
              </w:rPr>
              <w:t xml:space="preserve">2</w:t>
            </w:r>
            <w:r/>
          </w:p>
        </w:tc>
        <w:tc>
          <w:tcPr>
            <w:tcW w:w="1511" w:type="pct"/>
            <w:vAlign w:val="center"/>
            <w:textDirection w:val="lrTb"/>
            <w:noWrap w:val="false"/>
          </w:tcPr>
          <w:p>
            <w:pPr>
              <w:ind w:firstLine="0"/>
              <w:spacing w:line="240" w:lineRule="auto"/>
              <w:rPr>
                <w:rFonts w:hint="eastAsia"/>
                <w:highlight w:val="none"/>
              </w:rPr>
              <w:outlineLvl w:val="9"/>
            </w:pPr>
            <w:r>
              <w:rPr>
                <w:rFonts w:hint="eastAsia"/>
                <w:highlight w:val="none"/>
                <w:lang w:val="en-US" w:eastAsia="zh-CN"/>
              </w:rPr>
              <w:t xml:space="preserve">激光干涉仪</w:t>
            </w:r>
            <w:r/>
          </w:p>
        </w:tc>
        <w:tc>
          <w:tcPr>
            <w:tcW w:w="461" w:type="pct"/>
            <w:vAlign w:val="center"/>
            <w:textDirection w:val="lrTb"/>
            <w:noWrap w:val="false"/>
          </w:tcPr>
          <w:p>
            <w:pPr>
              <w:ind w:firstLine="0"/>
              <w:jc w:val="center"/>
              <w:spacing w:line="240" w:lineRule="auto"/>
              <w:rPr>
                <w:rFonts w:hint="eastAsia"/>
                <w:highlight w:val="none"/>
                <w:lang w:val="en-US" w:eastAsia="zh-CN"/>
              </w:rPr>
              <w:outlineLvl w:val="9"/>
            </w:pPr>
            <w:r>
              <w:rPr>
                <w:rFonts w:hint="eastAsia"/>
                <w:highlight w:val="none"/>
                <w:lang w:val="en-US" w:eastAsia="zh-CN"/>
              </w:rPr>
              <w:t xml:space="preserve">1</w:t>
            </w:r>
            <w:r/>
          </w:p>
        </w:tc>
        <w:tc>
          <w:tcPr>
            <w:tcW w:w="1288" w:type="pct"/>
            <w:vAlign w:val="center"/>
            <w:textDirection w:val="lrTb"/>
            <w:noWrap w:val="false"/>
          </w:tcPr>
          <w:p>
            <w:pPr>
              <w:ind w:firstLine="0"/>
              <w:jc w:val="center"/>
              <w:spacing w:line="240" w:lineRule="auto"/>
              <w:rPr>
                <w:rFonts w:hint="eastAsia"/>
                <w:highlight w:val="none"/>
                <w:lang w:val="en-US" w:eastAsia="zh-CN"/>
              </w:rPr>
              <w:outlineLvl w:val="9"/>
            </w:pPr>
            <w:r>
              <w:rPr>
                <w:rFonts w:hint="eastAsia"/>
                <w:highlight w:val="none"/>
                <w:lang w:val="en-US" w:eastAsia="zh-CN"/>
              </w:rPr>
              <w:t xml:space="preserve">39.2</w:t>
            </w:r>
            <w:r/>
          </w:p>
        </w:tc>
        <w:tc>
          <w:tcPr>
            <w:tcW w:w="708" w:type="pct"/>
            <w:vAlign w:val="center"/>
            <w:textDirection w:val="lrTb"/>
            <w:noWrap w:val="false"/>
          </w:tcPr>
          <w:p>
            <w:pPr>
              <w:ind w:firstLine="0"/>
              <w:jc w:val="center"/>
              <w:spacing w:line="240" w:lineRule="auto"/>
              <w:rPr>
                <w:rFonts w:hint="eastAsia"/>
                <w:highlight w:val="none"/>
                <w:lang w:val="en-US" w:eastAsia="zh-CN"/>
              </w:rPr>
              <w:outlineLvl w:val="9"/>
            </w:pPr>
            <w:r>
              <w:rPr>
                <w:rFonts w:hint="eastAsia"/>
                <w:highlight w:val="none"/>
                <w:lang w:val="en-US" w:eastAsia="zh-CN"/>
              </w:rPr>
              <w:t xml:space="preserve">否</w:t>
            </w:r>
            <w:r/>
          </w:p>
        </w:tc>
        <w:tc>
          <w:tcPr>
            <w:tcW w:w="598" w:type="pct"/>
            <w:vAlign w:val="center"/>
            <w:textDirection w:val="lrTb"/>
            <w:noWrap w:val="false"/>
          </w:tcPr>
          <w:p>
            <w:pPr>
              <w:ind w:firstLine="0"/>
              <w:jc w:val="center"/>
              <w:spacing w:line="240" w:lineRule="auto"/>
              <w:rPr>
                <w:rFonts w:hint="eastAsia"/>
                <w:highlight w:val="none"/>
              </w:rPr>
              <w:outlineLvl w:val="9"/>
            </w:pPr>
            <w:r>
              <w:rPr>
                <w:rFonts w:hint="eastAsia"/>
                <w:highlight w:val="none"/>
                <w:lang w:val="en-US" w:eastAsia="zh-CN"/>
              </w:rPr>
              <w:t xml:space="preserve">否</w:t>
            </w:r>
            <w:r/>
          </w:p>
        </w:tc>
      </w:tr>
      <w:tr>
        <w:trPr>
          <w:jc w:val="center"/>
          <w:trHeight w:val="497"/>
        </w:trPr>
        <w:tc>
          <w:tcPr>
            <w:tcW w:w="432" w:type="pct"/>
            <w:vAlign w:val="center"/>
            <w:textDirection w:val="lrTb"/>
            <w:noWrap w:val="false"/>
          </w:tcPr>
          <w:p>
            <w:pPr>
              <w:ind w:firstLine="0"/>
              <w:jc w:val="center"/>
              <w:spacing w:line="240" w:lineRule="auto"/>
              <w:rPr>
                <w:rFonts w:hint="eastAsia"/>
                <w:highlight w:val="none"/>
                <w:lang w:val="en-US" w:eastAsia="zh-CN"/>
              </w:rPr>
              <w:outlineLvl w:val="9"/>
            </w:pPr>
            <w:r>
              <w:rPr>
                <w:rFonts w:hint="eastAsia"/>
                <w:highlight w:val="none"/>
                <w:lang w:val="en-US" w:eastAsia="zh-CN"/>
              </w:rPr>
              <w:t xml:space="preserve">3</w:t>
            </w:r>
            <w:r/>
          </w:p>
        </w:tc>
        <w:tc>
          <w:tcPr>
            <w:tcW w:w="1511" w:type="pct"/>
            <w:vAlign w:val="center"/>
            <w:textDirection w:val="lrTb"/>
            <w:noWrap w:val="false"/>
          </w:tcPr>
          <w:p>
            <w:pPr>
              <w:ind w:firstLine="0"/>
              <w:spacing w:line="240" w:lineRule="auto"/>
              <w:rPr>
                <w:rFonts w:hint="eastAsia"/>
                <w:highlight w:val="none"/>
              </w:rPr>
              <w:outlineLvl w:val="9"/>
            </w:pPr>
            <w:r>
              <w:rPr>
                <w:rFonts w:hint="eastAsia"/>
                <w:highlight w:val="none"/>
                <w:lang w:val="en-US" w:eastAsia="zh-CN"/>
              </w:rPr>
              <w:t xml:space="preserve">浪涌信号线耦合去耦网络</w:t>
            </w:r>
            <w:r/>
          </w:p>
        </w:tc>
        <w:tc>
          <w:tcPr>
            <w:tcW w:w="461" w:type="pct"/>
            <w:vAlign w:val="center"/>
            <w:textDirection w:val="lrTb"/>
            <w:noWrap w:val="false"/>
          </w:tcPr>
          <w:p>
            <w:pPr>
              <w:ind w:firstLine="0"/>
              <w:jc w:val="center"/>
              <w:spacing w:line="240" w:lineRule="auto"/>
              <w:rPr>
                <w:rFonts w:hint="eastAsia"/>
                <w:highlight w:val="none"/>
                <w:lang w:val="en-US" w:eastAsia="zh-CN"/>
              </w:rPr>
              <w:outlineLvl w:val="9"/>
            </w:pPr>
            <w:r>
              <w:rPr>
                <w:rFonts w:hint="eastAsia"/>
                <w:highlight w:val="none"/>
                <w:lang w:val="en-US" w:eastAsia="zh-CN"/>
              </w:rPr>
              <w:t xml:space="preserve">1</w:t>
            </w:r>
            <w:r/>
          </w:p>
        </w:tc>
        <w:tc>
          <w:tcPr>
            <w:tcW w:w="1288" w:type="pct"/>
            <w:vAlign w:val="center"/>
            <w:textDirection w:val="lrTb"/>
            <w:noWrap w:val="false"/>
          </w:tcPr>
          <w:p>
            <w:pPr>
              <w:ind w:firstLine="0"/>
              <w:jc w:val="center"/>
              <w:spacing w:line="240" w:lineRule="auto"/>
              <w:rPr>
                <w:rFonts w:hint="eastAsia"/>
                <w:highlight w:val="none"/>
                <w:lang w:val="en-US" w:eastAsia="zh-CN"/>
              </w:rPr>
              <w:outlineLvl w:val="9"/>
            </w:pPr>
            <w:r>
              <w:rPr>
                <w:rFonts w:hint="eastAsia"/>
                <w:highlight w:val="none"/>
                <w:lang w:val="en-US" w:eastAsia="zh-CN"/>
              </w:rPr>
              <w:t xml:space="preserve">8.24</w:t>
            </w:r>
            <w:r/>
          </w:p>
        </w:tc>
        <w:tc>
          <w:tcPr>
            <w:tcW w:w="708" w:type="pct"/>
            <w:vAlign w:val="center"/>
            <w:textDirection w:val="lrTb"/>
            <w:noWrap w:val="false"/>
          </w:tcPr>
          <w:p>
            <w:pPr>
              <w:ind w:firstLine="0"/>
              <w:jc w:val="center"/>
              <w:spacing w:line="240" w:lineRule="auto"/>
              <w:rPr>
                <w:rFonts w:hint="eastAsia"/>
                <w:highlight w:val="none"/>
                <w:lang w:val="en-US" w:eastAsia="zh-CN"/>
              </w:rPr>
              <w:outlineLvl w:val="9"/>
            </w:pPr>
            <w:r>
              <w:rPr>
                <w:rFonts w:hint="eastAsia"/>
                <w:highlight w:val="none"/>
                <w:lang w:val="en-US" w:eastAsia="zh-CN"/>
              </w:rPr>
              <w:t xml:space="preserve">否</w:t>
            </w:r>
            <w:r/>
          </w:p>
        </w:tc>
        <w:tc>
          <w:tcPr>
            <w:tcW w:w="598" w:type="pct"/>
            <w:vAlign w:val="center"/>
            <w:textDirection w:val="lrTb"/>
            <w:noWrap w:val="false"/>
          </w:tcPr>
          <w:p>
            <w:pPr>
              <w:ind w:firstLine="0"/>
              <w:jc w:val="center"/>
              <w:spacing w:line="240" w:lineRule="auto"/>
              <w:rPr>
                <w:rFonts w:hint="eastAsia"/>
                <w:highlight w:val="none"/>
              </w:rPr>
              <w:outlineLvl w:val="9"/>
            </w:pPr>
            <w:r>
              <w:rPr>
                <w:rFonts w:hint="eastAsia"/>
                <w:highlight w:val="none"/>
                <w:lang w:val="en-US" w:eastAsia="zh-CN"/>
              </w:rPr>
              <w:t xml:space="preserve">否</w:t>
            </w:r>
            <w:r/>
          </w:p>
        </w:tc>
      </w:tr>
      <w:tr>
        <w:trPr>
          <w:jc w:val="center"/>
          <w:trHeight w:val="497"/>
        </w:trPr>
        <w:tc>
          <w:tcPr>
            <w:tcW w:w="432" w:type="pct"/>
            <w:vAlign w:val="center"/>
            <w:textDirection w:val="lrTb"/>
            <w:noWrap w:val="false"/>
          </w:tcPr>
          <w:p>
            <w:pPr>
              <w:ind w:firstLine="0"/>
              <w:jc w:val="center"/>
              <w:spacing w:line="240" w:lineRule="auto"/>
              <w:rPr>
                <w:rFonts w:hint="eastAsia"/>
                <w:highlight w:val="none"/>
                <w:lang w:val="en-US" w:eastAsia="zh-CN"/>
              </w:rPr>
              <w:outlineLvl w:val="9"/>
            </w:pPr>
            <w:r>
              <w:rPr>
                <w:rFonts w:hint="eastAsia"/>
                <w:highlight w:val="none"/>
                <w:lang w:val="en-US" w:eastAsia="zh-CN"/>
              </w:rPr>
              <w:t xml:space="preserve">4</w:t>
            </w:r>
            <w:r/>
          </w:p>
        </w:tc>
        <w:tc>
          <w:tcPr>
            <w:tcW w:w="1511" w:type="pct"/>
            <w:vAlign w:val="center"/>
            <w:textDirection w:val="lrTb"/>
            <w:noWrap w:val="false"/>
          </w:tcPr>
          <w:p>
            <w:pPr>
              <w:ind w:firstLine="0"/>
              <w:spacing w:line="240" w:lineRule="auto"/>
              <w:rPr>
                <w:rFonts w:hint="eastAsia"/>
                <w:highlight w:val="none"/>
              </w:rPr>
              <w:outlineLvl w:val="9"/>
            </w:pPr>
            <w:r>
              <w:rPr>
                <w:rFonts w:hint="eastAsia"/>
                <w:highlight w:val="none"/>
                <w:lang w:val="en-US" w:eastAsia="zh-CN"/>
              </w:rPr>
              <w:t xml:space="preserve">噪声传感器（含前置放大器）</w:t>
            </w:r>
            <w:r/>
          </w:p>
        </w:tc>
        <w:tc>
          <w:tcPr>
            <w:tcW w:w="461" w:type="pct"/>
            <w:vAlign w:val="center"/>
            <w:textDirection w:val="lrTb"/>
            <w:noWrap w:val="false"/>
          </w:tcPr>
          <w:p>
            <w:pPr>
              <w:ind w:firstLine="0"/>
              <w:jc w:val="center"/>
              <w:spacing w:line="240" w:lineRule="auto"/>
              <w:rPr>
                <w:rFonts w:hint="eastAsia"/>
                <w:highlight w:val="none"/>
                <w:lang w:val="en-US" w:eastAsia="zh-CN"/>
              </w:rPr>
              <w:outlineLvl w:val="9"/>
            </w:pPr>
            <w:r>
              <w:rPr>
                <w:rFonts w:hint="eastAsia"/>
                <w:highlight w:val="none"/>
                <w:lang w:val="en-US" w:eastAsia="zh-CN"/>
              </w:rPr>
              <w:t xml:space="preserve">2</w:t>
            </w:r>
            <w:r/>
          </w:p>
        </w:tc>
        <w:tc>
          <w:tcPr>
            <w:tcW w:w="1288" w:type="pct"/>
            <w:vAlign w:val="center"/>
            <w:textDirection w:val="lrTb"/>
            <w:noWrap w:val="false"/>
          </w:tcPr>
          <w:p>
            <w:pPr>
              <w:ind w:firstLine="0"/>
              <w:jc w:val="center"/>
              <w:spacing w:line="240" w:lineRule="auto"/>
              <w:rPr>
                <w:rFonts w:hint="eastAsia"/>
                <w:highlight w:val="none"/>
                <w:lang w:val="en-US" w:eastAsia="zh-CN"/>
              </w:rPr>
              <w:outlineLvl w:val="9"/>
            </w:pPr>
            <w:r>
              <w:rPr>
                <w:rFonts w:hint="eastAsia"/>
                <w:highlight w:val="none"/>
                <w:lang w:val="en-US" w:eastAsia="zh-CN"/>
              </w:rPr>
              <w:t xml:space="preserve">5.66</w:t>
            </w:r>
            <w:r/>
          </w:p>
        </w:tc>
        <w:tc>
          <w:tcPr>
            <w:tcW w:w="708" w:type="pct"/>
            <w:vAlign w:val="center"/>
            <w:textDirection w:val="lrTb"/>
            <w:noWrap w:val="false"/>
          </w:tcPr>
          <w:p>
            <w:pPr>
              <w:ind w:firstLine="0"/>
              <w:jc w:val="center"/>
              <w:spacing w:line="240" w:lineRule="auto"/>
              <w:rPr>
                <w:rFonts w:hint="eastAsia"/>
                <w:highlight w:val="none"/>
                <w:lang w:val="en-US" w:eastAsia="zh-CN"/>
              </w:rPr>
              <w:outlineLvl w:val="9"/>
            </w:pPr>
            <w:r>
              <w:rPr>
                <w:rFonts w:hint="eastAsia"/>
                <w:highlight w:val="none"/>
                <w:lang w:val="en-US" w:eastAsia="zh-CN"/>
              </w:rPr>
              <w:t xml:space="preserve">否</w:t>
            </w:r>
            <w:r/>
          </w:p>
        </w:tc>
        <w:tc>
          <w:tcPr>
            <w:tcW w:w="598" w:type="pct"/>
            <w:vAlign w:val="center"/>
            <w:textDirection w:val="lrTb"/>
            <w:noWrap w:val="false"/>
          </w:tcPr>
          <w:p>
            <w:pPr>
              <w:ind w:firstLine="0"/>
              <w:jc w:val="center"/>
              <w:spacing w:line="240" w:lineRule="auto"/>
              <w:rPr>
                <w:rFonts w:hint="eastAsia"/>
                <w:highlight w:val="none"/>
                <w:lang w:val="en-US" w:eastAsia="zh-CN"/>
              </w:rPr>
              <w:outlineLvl w:val="9"/>
            </w:pPr>
            <w:r>
              <w:rPr>
                <w:rFonts w:hint="eastAsia"/>
                <w:highlight w:val="none"/>
                <w:lang w:val="en-US" w:eastAsia="zh-CN"/>
              </w:rPr>
              <w:t xml:space="preserve">否</w:t>
            </w:r>
            <w:r/>
          </w:p>
        </w:tc>
      </w:tr>
      <w:tr>
        <w:trPr>
          <w:jc w:val="center"/>
          <w:trHeight w:val="382"/>
        </w:trPr>
        <w:tc>
          <w:tcPr>
            <w:gridSpan w:val="2"/>
            <w:tcW w:w="1943" w:type="pct"/>
            <w:vAlign w:val="center"/>
            <w:textDirection w:val="lrTb"/>
            <w:noWrap w:val="false"/>
          </w:tcPr>
          <w:p>
            <w:pPr>
              <w:ind w:firstLine="0"/>
              <w:jc w:val="center"/>
              <w:spacing w:line="240" w:lineRule="auto"/>
              <w:rPr>
                <w:rFonts w:hint="eastAsia"/>
                <w:highlight w:val="none"/>
              </w:rPr>
              <w:outlineLvl w:val="9"/>
            </w:pPr>
            <w:r>
              <w:rPr>
                <w:rFonts w:hint="eastAsia"/>
                <w:highlight w:val="none"/>
              </w:rPr>
              <w:t xml:space="preserve">合计</w:t>
            </w:r>
            <w:r/>
          </w:p>
        </w:tc>
        <w:tc>
          <w:tcPr>
            <w:tcW w:w="461" w:type="pct"/>
            <w:vAlign w:val="center"/>
            <w:textDirection w:val="lrTb"/>
            <w:noWrap w:val="false"/>
          </w:tcPr>
          <w:p>
            <w:pPr>
              <w:ind w:firstLine="0"/>
              <w:jc w:val="center"/>
              <w:spacing w:line="240" w:lineRule="auto"/>
              <w:rPr>
                <w:rFonts w:hint="eastAsia"/>
                <w:highlight w:val="none"/>
                <w:lang w:val="en-US" w:eastAsia="zh-CN"/>
              </w:rPr>
              <w:outlineLvl w:val="9"/>
            </w:pPr>
            <w:r>
              <w:rPr>
                <w:rFonts w:hint="eastAsia"/>
                <w:highlight w:val="none"/>
                <w:lang w:val="en-US" w:eastAsia="zh-CN"/>
              </w:rPr>
              <w:t xml:space="preserve">5</w:t>
            </w:r>
            <w:r/>
          </w:p>
        </w:tc>
        <w:tc>
          <w:tcPr>
            <w:tcW w:w="1288" w:type="pct"/>
            <w:vAlign w:val="center"/>
            <w:textDirection w:val="lrTb"/>
            <w:noWrap w:val="false"/>
          </w:tcPr>
          <w:p>
            <w:pPr>
              <w:ind w:firstLine="0"/>
              <w:jc w:val="center"/>
              <w:spacing w:line="240" w:lineRule="auto"/>
              <w:rPr>
                <w:rFonts w:hint="eastAsia"/>
                <w:highlight w:val="none"/>
                <w:lang w:val="en-US"/>
              </w:rPr>
              <w:outlineLvl w:val="9"/>
            </w:pPr>
            <w:r>
              <w:rPr>
                <w:rFonts w:hint="eastAsia"/>
                <w:highlight w:val="none"/>
                <w:lang w:val="en-US"/>
              </w:rPr>
              <w:t xml:space="preserve">139.9</w:t>
            </w:r>
            <w:r/>
          </w:p>
        </w:tc>
        <w:tc>
          <w:tcPr>
            <w:tcW w:w="708" w:type="pct"/>
            <w:vAlign w:val="center"/>
            <w:textDirection w:val="lrTb"/>
            <w:noWrap w:val="false"/>
          </w:tcPr>
          <w:p>
            <w:pPr>
              <w:ind w:firstLine="0"/>
              <w:spacing w:line="240" w:lineRule="auto"/>
              <w:rPr>
                <w:rFonts w:hint="eastAsia"/>
                <w:highlight w:val="none"/>
              </w:rPr>
              <w:outlineLvl w:val="9"/>
            </w:pPr>
            <w:r>
              <w:rPr>
                <w:rFonts w:hint="eastAsia"/>
                <w:highlight w:val="none"/>
              </w:rPr>
            </w:r>
            <w:r/>
          </w:p>
        </w:tc>
        <w:tc>
          <w:tcPr>
            <w:tcW w:w="598" w:type="pct"/>
            <w:vAlign w:val="center"/>
            <w:textDirection w:val="lrTb"/>
            <w:noWrap w:val="false"/>
          </w:tcPr>
          <w:p>
            <w:pPr>
              <w:ind w:firstLine="0"/>
              <w:spacing w:line="240" w:lineRule="auto"/>
              <w:rPr>
                <w:rFonts w:hint="eastAsia"/>
                <w:highlight w:val="none"/>
              </w:rPr>
              <w:outlineLvl w:val="9"/>
            </w:pPr>
            <w:r>
              <w:rPr>
                <w:rFonts w:hint="eastAsia"/>
                <w:highlight w:val="none"/>
              </w:rPr>
            </w:r>
            <w:r/>
          </w:p>
        </w:tc>
      </w:tr>
    </w:tbl>
    <w:p>
      <w:pPr>
        <w:ind w:firstLine="420"/>
        <w:spacing w:line="380" w:lineRule="exact"/>
        <w:rPr>
          <w:rFonts w:hint="eastAsia" w:eastAsia="宋体"/>
          <w:color w:val="000000" w:themeColor="text1"/>
          <w:lang w:eastAsia="zh-CN"/>
          <w14:textFill>
            <w14:solidFill>
              <w14:schemeClr w14:val="tx1"/>
            </w14:solidFill>
          </w14:textFill>
        </w:rPr>
        <w:outlineLvl w:val="9"/>
      </w:pPr>
      <w:r>
        <w:rPr>
          <w:color w:val="000000" w:themeColor="text1"/>
          <w14:textFill>
            <w14:solidFill>
              <w14:schemeClr w14:val="tx1"/>
            </w14:solidFill>
          </w14:textFill>
        </w:rPr>
        <w:t xml:space="preserve">详见第四章采购需求</w:t>
      </w:r>
      <w:r>
        <w:rPr>
          <w:rFonts w:hint="eastAsia"/>
          <w:color w:val="000000" w:themeColor="text1"/>
          <w:lang w:eastAsia="zh-CN"/>
          <w14:textFill>
            <w14:solidFill>
              <w14:schemeClr w14:val="tx1"/>
            </w14:solidFill>
          </w14:textFill>
        </w:rPr>
        <w:t xml:space="preserve">。</w:t>
      </w:r>
      <w:r/>
    </w:p>
    <w:p>
      <w:pPr>
        <w:numPr>
          <w:ilvl w:val="0"/>
          <w:numId w:val="2"/>
        </w:numPr>
        <w:ind w:firstLine="420"/>
        <w:spacing w:line="400" w:lineRule="exac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合同履行期限：自合同签订之日起</w:t>
      </w:r>
      <w:r>
        <w:rPr>
          <w:rFonts w:hint="eastAsia"/>
          <w:color w:val="000000" w:themeColor="text1"/>
          <w:highlight w:val="none"/>
          <w:lang w:val="en-US" w:eastAsia="zh-CN"/>
          <w14:textFill>
            <w14:solidFill>
              <w14:schemeClr w14:val="tx1"/>
            </w14:solidFill>
          </w14:textFill>
        </w:rPr>
        <w:t xml:space="preserve">80</w:t>
      </w:r>
      <w:r>
        <w:rPr>
          <w:color w:val="000000" w:themeColor="text1"/>
          <w:highlight w:val="none"/>
          <w14:textFill>
            <w14:solidFill>
              <w14:schemeClr w14:val="tx1"/>
            </w14:solidFill>
          </w14:textFill>
        </w:rPr>
        <w:t xml:space="preserve">天内完成货物交付。</w:t>
      </w:r>
      <w:r/>
    </w:p>
    <w:p>
      <w:pPr>
        <w:ind w:firstLine="420"/>
        <w:spacing w:line="400" w:lineRule="exact"/>
        <w:rPr>
          <w:color w:val="000000" w:themeColor="text1"/>
          <w14:textFill>
            <w14:solidFill>
              <w14:schemeClr w14:val="tx1"/>
            </w14:solidFill>
          </w14:textFill>
        </w:rPr>
        <w:outlineLvl w:val="9"/>
      </w:pPr>
      <w:r>
        <w:rPr>
          <w:rFonts w:hint="eastAsia"/>
          <w:color w:val="000000" w:themeColor="text1"/>
          <w:lang w:val="en-US" w:eastAsia="zh-CN"/>
          <w14:textFill>
            <w14:solidFill>
              <w14:schemeClr w14:val="tx1"/>
            </w14:solidFill>
          </w14:textFill>
        </w:rPr>
        <w:t xml:space="preserve">7</w:t>
      </w:r>
      <w:r>
        <w:rPr>
          <w:color w:val="000000" w:themeColor="text1"/>
          <w14:textFill>
            <w14:solidFill>
              <w14:schemeClr w14:val="tx1"/>
            </w14:solidFill>
          </w14:textFill>
        </w:rPr>
        <w:t xml:space="preserve">、本项目所属行业：工业（制造业）。</w:t>
      </w:r>
      <w:r/>
    </w:p>
    <w:p>
      <w:pPr>
        <w:ind w:firstLine="315"/>
        <w:spacing w:before="0" w:after="0" w:line="380" w:lineRule="exact"/>
        <w:rPr>
          <w:rFonts w:ascii="Times New Roman" w:hAnsi="Times New Roman" w:cs="Times New Roman"/>
          <w:b w:val="0"/>
          <w:bCs w:val="0"/>
          <w:color w:val="000000" w:themeColor="text1"/>
          <w:sz w:val="21"/>
          <w:szCs w:val="21"/>
          <w14:textFill>
            <w14:solidFill>
              <w14:schemeClr w14:val="tx1"/>
            </w14:solidFill>
          </w14:textFill>
        </w:rPr>
        <w:outlineLvl w:val="9"/>
      </w:pPr>
      <w:r/>
      <w:bookmarkStart w:id="13" w:name="_Toc38985264"/>
      <w:r/>
      <w:bookmarkStart w:id="14" w:name="_Toc28359003"/>
      <w:r/>
      <w:bookmarkStart w:id="15" w:name="_Toc35393622"/>
      <w:r/>
      <w:bookmarkStart w:id="16" w:name="_Toc28359080"/>
      <w:r/>
      <w:bookmarkStart w:id="17" w:name="_Toc35393791"/>
      <w:r>
        <w:rPr>
          <w:rFonts w:ascii="Times New Roman" w:hAnsi="Times New Roman" w:cs="Times New Roman"/>
          <w:b w:val="0"/>
          <w:bCs w:val="0"/>
          <w:color w:val="000000" w:themeColor="text1"/>
          <w:sz w:val="21"/>
          <w:szCs w:val="21"/>
          <w14:textFill>
            <w14:solidFill>
              <w14:schemeClr w14:val="tx1"/>
            </w14:solidFill>
          </w14:textFill>
        </w:rPr>
        <w:t xml:space="preserve">二、申请人的资格要求</w:t>
      </w:r>
      <w:bookmarkEnd w:id="13"/>
      <w:r/>
      <w:bookmarkEnd w:id="14"/>
      <w:r/>
      <w:bookmarkEnd w:id="15"/>
      <w:r/>
      <w:bookmarkEnd w:id="16"/>
      <w:r/>
      <w:bookmarkEnd w:id="17"/>
      <w:r/>
      <w:r/>
    </w:p>
    <w:p>
      <w:pPr>
        <w:ind w:firstLine="404"/>
        <w:jc w:val="left"/>
        <w:spacing w:line="380" w:lineRule="exact"/>
        <w:shd w:val="clear" w:color="auto" w:fill="ffffff"/>
        <w:widowControl/>
        <w:rPr>
          <w:color w:val="000000" w:themeColor="text1"/>
          <w:spacing w:val="-4"/>
          <w14:textFill>
            <w14:solidFill>
              <w14:schemeClr w14:val="tx1"/>
            </w14:solidFill>
          </w14:textFill>
        </w:rPr>
        <w:outlineLvl w:val="9"/>
      </w:pPr>
      <w:r/>
      <w:bookmarkStart w:id="18" w:name="_Toc35393623"/>
      <w:r/>
      <w:bookmarkStart w:id="19" w:name="_Toc35393792"/>
      <w:r/>
      <w:bookmarkStart w:id="20" w:name="_Toc28359081"/>
      <w:r/>
      <w:bookmarkStart w:id="21" w:name="_Toc38985265"/>
      <w:r/>
      <w:bookmarkStart w:id="22" w:name="_Toc28359004"/>
      <w:r>
        <w:rPr>
          <w:color w:val="000000" w:themeColor="text1"/>
          <w:spacing w:val="-4"/>
          <w14:textFill>
            <w14:solidFill>
              <w14:schemeClr w14:val="tx1"/>
            </w14:solidFill>
          </w14:textFill>
        </w:rPr>
        <w:t xml:space="preserve">（一）通用资格要求</w:t>
      </w:r>
      <w:r/>
    </w:p>
    <w:p>
      <w:pPr>
        <w:ind w:firstLine="404"/>
        <w:jc w:val="left"/>
        <w:spacing w:line="380" w:lineRule="exact"/>
        <w:shd w:val="clear" w:color="auto" w:fill="ffffff"/>
        <w:widowControl/>
        <w:rPr>
          <w:color w:val="000000" w:themeColor="text1"/>
          <w:spacing w:val="-4"/>
          <w14:textFill>
            <w14:solidFill>
              <w14:schemeClr w14:val="tx1"/>
            </w14:solidFill>
          </w14:textFill>
        </w:rPr>
        <w:outlineLvl w:val="9"/>
      </w:pPr>
      <w:r>
        <w:rPr>
          <w:color w:val="000000" w:themeColor="text1"/>
          <w:spacing w:val="-4"/>
          <w14:textFill>
            <w14:solidFill>
              <w14:schemeClr w14:val="tx1"/>
            </w14:solidFill>
          </w14:textFill>
        </w:rPr>
        <w:t xml:space="preserve">1、满足《中华人民共和国政府采购法》第二十二条规定：</w:t>
      </w:r>
      <w:r/>
    </w:p>
    <w:p>
      <w:pPr>
        <w:ind w:firstLine="404"/>
        <w:jc w:val="left"/>
        <w:spacing w:line="380" w:lineRule="exact"/>
        <w:shd w:val="clear" w:color="auto" w:fill="ffffff"/>
        <w:widowControl/>
        <w:rPr>
          <w:color w:val="000000" w:themeColor="text1"/>
          <w:spacing w:val="-4"/>
          <w14:textFill>
            <w14:solidFill>
              <w14:schemeClr w14:val="tx1"/>
            </w14:solidFill>
          </w14:textFill>
        </w:rPr>
        <w:outlineLvl w:val="9"/>
      </w:pPr>
      <w:r>
        <w:rPr>
          <w:color w:val="000000" w:themeColor="text1"/>
          <w:spacing w:val="-4"/>
          <w14:textFill>
            <w14:solidFill>
              <w14:schemeClr w14:val="tx1"/>
            </w14:solidFill>
          </w14:textFill>
        </w:rPr>
        <w:t xml:space="preserve">1.1 具有独立承担民事责任的能力（提供法人或者其他组织的营业执照等证明材料， 自然人的身份证明）；</w:t>
      </w:r>
      <w:r/>
    </w:p>
    <w:p>
      <w:pPr>
        <w:ind w:firstLine="404"/>
        <w:jc w:val="left"/>
        <w:spacing w:line="380" w:lineRule="exact"/>
        <w:shd w:val="clear" w:color="auto" w:fill="ffffff"/>
        <w:widowControl/>
        <w:rPr>
          <w:color w:val="000000" w:themeColor="text1"/>
          <w:spacing w:val="-4"/>
          <w14:textFill>
            <w14:solidFill>
              <w14:schemeClr w14:val="tx1"/>
            </w14:solidFill>
          </w14:textFill>
        </w:rPr>
        <w:outlineLvl w:val="9"/>
      </w:pPr>
      <w:r>
        <w:rPr>
          <w:color w:val="000000" w:themeColor="text1"/>
          <w:spacing w:val="-4"/>
          <w14:textFill>
            <w14:solidFill>
              <w14:schemeClr w14:val="tx1"/>
            </w14:solidFill>
          </w14:textFill>
        </w:rPr>
        <w:t xml:space="preserve">1.2 具有良好的商业信誉和健全的财务会计制度（提供提交响应文件截止时间前 1 年内的经审计的财务报告或银行出具的资信证明或其他会计报表等，成立不满</w:t>
      </w:r>
      <w:r>
        <w:rPr>
          <w:color w:val="000000" w:themeColor="text1"/>
          <w:spacing w:val="-4"/>
          <w:highlight w:val="none"/>
          <w14:textFill>
            <w14:solidFill>
              <w14:schemeClr w14:val="tx1"/>
            </w14:solidFill>
          </w14:textFill>
        </w:rPr>
        <w:t xml:space="preserve">一</w:t>
      </w:r>
      <w:r>
        <w:rPr>
          <w:rFonts w:hint="eastAsia"/>
          <w:color w:val="000000" w:themeColor="text1"/>
          <w:spacing w:val="-4"/>
          <w:highlight w:val="none"/>
          <w:lang w:val="en-US" w:eastAsia="zh-CN"/>
          <w14:textFill>
            <w14:solidFill>
              <w14:schemeClr w14:val="tx1"/>
            </w14:solidFill>
          </w14:textFill>
        </w:rPr>
        <w:t xml:space="preserve">年</w:t>
      </w:r>
      <w:r>
        <w:rPr>
          <w:color w:val="000000" w:themeColor="text1"/>
          <w:spacing w:val="-4"/>
          <w14:textFill>
            <w14:solidFill>
              <w14:schemeClr w14:val="tx1"/>
            </w14:solidFill>
          </w14:textFill>
        </w:rPr>
        <w:t xml:space="preserve">不需提供）；</w:t>
      </w:r>
      <w:r/>
    </w:p>
    <w:p>
      <w:pPr>
        <w:ind w:firstLine="404"/>
        <w:jc w:val="left"/>
        <w:spacing w:line="380" w:lineRule="exact"/>
        <w:shd w:val="clear" w:color="auto" w:fill="ffffff"/>
        <w:widowControl/>
        <w:rPr>
          <w:color w:val="000000" w:themeColor="text1"/>
          <w:spacing w:val="-4"/>
          <w14:textFill>
            <w14:solidFill>
              <w14:schemeClr w14:val="tx1"/>
            </w14:solidFill>
          </w14:textFill>
        </w:rPr>
        <w:outlineLvl w:val="9"/>
      </w:pPr>
      <w:r>
        <w:rPr>
          <w:color w:val="000000" w:themeColor="text1"/>
          <w:spacing w:val="-4"/>
          <w14:textFill>
            <w14:solidFill>
              <w14:schemeClr w14:val="tx1"/>
            </w14:solidFill>
          </w14:textFill>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04"/>
        <w:jc w:val="left"/>
        <w:spacing w:line="380" w:lineRule="exact"/>
        <w:shd w:val="clear" w:color="auto" w:fill="ffffff"/>
        <w:widowControl/>
        <w:rPr>
          <w:color w:val="000000" w:themeColor="text1"/>
          <w:spacing w:val="-4"/>
          <w14:textFill>
            <w14:solidFill>
              <w14:schemeClr w14:val="tx1"/>
            </w14:solidFill>
          </w14:textFill>
        </w:rPr>
        <w:outlineLvl w:val="9"/>
      </w:pPr>
      <w:r>
        <w:rPr>
          <w:color w:val="000000" w:themeColor="text1"/>
          <w:spacing w:val="-4"/>
          <w14:textFill>
            <w14:solidFill>
              <w14:schemeClr w14:val="tx1"/>
            </w14:solidFill>
          </w14:textFill>
        </w:rPr>
        <w:t xml:space="preserve">1.4具备履行合同所必需的设备和专业技术能力的证明材料；</w:t>
      </w:r>
      <w:r/>
    </w:p>
    <w:p>
      <w:pPr>
        <w:ind w:firstLine="404"/>
        <w:jc w:val="left"/>
        <w:spacing w:line="380" w:lineRule="exact"/>
        <w:shd w:val="clear" w:color="auto" w:fill="ffffff"/>
        <w:widowControl/>
        <w:rPr>
          <w:color w:val="000000" w:themeColor="text1"/>
          <w:spacing w:val="-4"/>
          <w14:textFill>
            <w14:solidFill>
              <w14:schemeClr w14:val="tx1"/>
            </w14:solidFill>
          </w14:textFill>
        </w:rPr>
        <w:outlineLvl w:val="9"/>
      </w:pPr>
      <w:r>
        <w:rPr>
          <w:color w:val="000000" w:themeColor="text1"/>
          <w:spacing w:val="-4"/>
          <w14:textFill>
            <w14:solidFill>
              <w14:schemeClr w14:val="tx1"/>
            </w14:solidFill>
          </w14:textFill>
        </w:rPr>
        <w:t xml:space="preserve">1.5参加本项目采购活动前3年内（距提交响应文件截止之日前）在经营活动中没有重大违法记录的书面证明材料；</w:t>
      </w:r>
      <w:r/>
    </w:p>
    <w:p>
      <w:pPr>
        <w:ind w:firstLine="404"/>
        <w:jc w:val="left"/>
        <w:spacing w:line="380" w:lineRule="exact"/>
        <w:shd w:val="clear" w:color="auto" w:fill="ffffff"/>
        <w:widowControl/>
        <w:rPr>
          <w:color w:val="000000" w:themeColor="text1"/>
          <w:spacing w:val="-4"/>
          <w14:textFill>
            <w14:solidFill>
              <w14:schemeClr w14:val="tx1"/>
            </w14:solidFill>
          </w14:textFill>
        </w:rPr>
        <w:outlineLvl w:val="9"/>
      </w:pPr>
      <w:r>
        <w:rPr>
          <w:color w:val="000000" w:themeColor="text1"/>
          <w:spacing w:val="-4"/>
          <w14:textFill>
            <w14:solidFill>
              <w14:schemeClr w14:val="tx1"/>
            </w14:solidFill>
          </w14:textFill>
        </w:rPr>
        <w:t xml:space="preserve">1.6具备法律、行政法规规定的其他条件的证明材料。</w:t>
      </w:r>
      <w:r/>
    </w:p>
    <w:p>
      <w:pPr>
        <w:ind w:firstLine="404"/>
        <w:jc w:val="left"/>
        <w:spacing w:line="380" w:lineRule="exact"/>
        <w:shd w:val="clear" w:color="auto" w:fill="ffffff"/>
        <w:widowControl/>
        <w:rPr>
          <w:color w:val="000000" w:themeColor="text1"/>
          <w:spacing w:val="-4"/>
          <w:highlight w:val="none"/>
          <w14:textFill>
            <w14:solidFill>
              <w14:schemeClr w14:val="tx1"/>
            </w14:solidFill>
          </w14:textFill>
        </w:rPr>
        <w:outlineLvl w:val="9"/>
      </w:pPr>
      <w:r>
        <w:rPr>
          <w:color w:val="000000" w:themeColor="text1"/>
          <w:spacing w:val="-4"/>
          <w:highlight w:val="none"/>
          <w14:textFill>
            <w14:solidFill>
              <w14:schemeClr w14:val="tx1"/>
            </w14:solidFill>
          </w14:textFill>
        </w:rPr>
        <w:t xml:space="preserve">2、落实政府采购政策需满足的资格要求：无。</w:t>
      </w:r>
      <w:r/>
    </w:p>
    <w:p>
      <w:pPr>
        <w:ind w:firstLine="404"/>
        <w:jc w:val="left"/>
        <w:spacing w:line="380" w:lineRule="exact"/>
        <w:shd w:val="clear" w:color="auto" w:fill="ffffff"/>
        <w:widowControl/>
        <w:rPr>
          <w:color w:val="000000" w:themeColor="text1"/>
          <w:spacing w:val="-4"/>
          <w14:textFill>
            <w14:solidFill>
              <w14:schemeClr w14:val="tx1"/>
            </w14:solidFill>
          </w14:textFill>
        </w:rPr>
        <w:outlineLvl w:val="9"/>
      </w:pPr>
      <w:r>
        <w:rPr>
          <w:color w:val="000000" w:themeColor="text1"/>
          <w:spacing w:val="-4"/>
          <w14:textFill>
            <w14:solidFill>
              <w14:schemeClr w14:val="tx1"/>
            </w14:solidFill>
          </w14:textFill>
        </w:rPr>
        <w:t xml:space="preserve">3、本项目不接受联合体投标。投标人须对项目要求全部内容进行投标，不允许分包、转包。</w:t>
      </w:r>
      <w:r/>
    </w:p>
    <w:p>
      <w:pPr>
        <w:ind w:firstLine="404"/>
        <w:jc w:val="left"/>
        <w:spacing w:line="380" w:lineRule="exact"/>
        <w:shd w:val="clear" w:color="auto" w:fill="ffffff"/>
        <w:widowControl/>
        <w:rPr>
          <w:color w:val="000000" w:themeColor="text1"/>
          <w:spacing w:val="-4"/>
          <w:highlight w:val="none"/>
          <w14:textFill>
            <w14:solidFill>
              <w14:schemeClr w14:val="tx1"/>
            </w14:solidFill>
          </w14:textFill>
        </w:rPr>
        <w:outlineLvl w:val="9"/>
      </w:pPr>
      <w:r>
        <w:rPr>
          <w:rFonts w:hint="eastAsia"/>
          <w:color w:val="000000" w:themeColor="text1"/>
          <w:spacing w:val="-4"/>
          <w:highlight w:val="none"/>
          <w:lang w:val="en-US" w:eastAsia="zh-CN"/>
          <w14:textFill>
            <w14:solidFill>
              <w14:schemeClr w14:val="tx1"/>
            </w14:solidFill>
          </w14:textFill>
        </w:rPr>
        <w:t xml:space="preserve">4、本项目不接受进口产品投标。</w:t>
      </w:r>
      <w:r>
        <w:rPr>
          <w:color w:val="000000" w:themeColor="text1"/>
          <w:spacing w:val="-4"/>
          <w:highlight w:val="none"/>
          <w14:textFill>
            <w14:solidFill>
              <w14:schemeClr w14:val="tx1"/>
            </w14:solidFill>
          </w14:textFill>
        </w:rPr>
        <w:tab/>
      </w:r>
      <w:r/>
    </w:p>
    <w:p>
      <w:pPr>
        <w:ind w:firstLine="404"/>
        <w:jc w:val="left"/>
        <w:spacing w:line="380" w:lineRule="exact"/>
        <w:shd w:val="clear" w:color="auto" w:fill="ffffff"/>
        <w:widowControl/>
        <w:rPr>
          <w:color w:val="000000" w:themeColor="text1"/>
          <w:spacing w:val="-4"/>
          <w14:textFill>
            <w14:solidFill>
              <w14:schemeClr w14:val="tx1"/>
            </w14:solidFill>
          </w14:textFill>
        </w:rPr>
        <w:outlineLvl w:val="9"/>
      </w:pPr>
      <w:r>
        <w:rPr>
          <w:rFonts w:hint="eastAsia"/>
          <w:color w:val="000000" w:themeColor="text1"/>
          <w:spacing w:val="-4"/>
          <w:lang w:val="en-US" w:eastAsia="zh-CN"/>
          <w14:textFill>
            <w14:solidFill>
              <w14:schemeClr w14:val="tx1"/>
            </w14:solidFill>
          </w14:textFill>
        </w:rPr>
        <w:t xml:space="preserve">5</w:t>
      </w:r>
      <w:r>
        <w:rPr>
          <w:color w:val="000000" w:themeColor="text1"/>
          <w:spacing w:val="-4"/>
          <w14:textFill>
            <w14:solidFill>
              <w14:schemeClr w14:val="tx1"/>
            </w14:solidFill>
          </w14:textFill>
        </w:rPr>
        <w:t xml:space="preserve">、具有良好的信用记录。未被“信用中国”（www.creditchina.gov.cn）、中国政府采购网（www.ccgp.gov.cn）列入失信被执行人、重大税收违法案件当事人名单、政府采购严重违法失信行为记录名单。拒绝列入失信被执行人、重大税收违法案件当事人名单、政府采购严重违法失信行为记录名单的供应商参与政府采购活动。</w:t>
      </w:r>
      <w:r/>
    </w:p>
    <w:p>
      <w:pPr>
        <w:ind w:firstLine="404"/>
        <w:jc w:val="left"/>
        <w:spacing w:line="380" w:lineRule="exact"/>
        <w:shd w:val="clear" w:color="auto" w:fill="ffffff"/>
        <w:widowControl/>
        <w:rPr>
          <w:color w:val="000000" w:themeColor="text1"/>
          <w:spacing w:val="-4"/>
          <w14:textFill>
            <w14:solidFill>
              <w14:schemeClr w14:val="tx1"/>
            </w14:solidFill>
          </w14:textFill>
        </w:rPr>
        <w:outlineLvl w:val="9"/>
      </w:pPr>
      <w:r>
        <w:rPr>
          <w:rFonts w:hint="eastAsia"/>
          <w:color w:val="000000" w:themeColor="text1"/>
          <w:spacing w:val="-4"/>
          <w:lang w:val="en-US" w:eastAsia="zh-CN"/>
          <w14:textFill>
            <w14:solidFill>
              <w14:schemeClr w14:val="tx1"/>
            </w14:solidFill>
          </w14:textFill>
        </w:rPr>
        <w:t xml:space="preserve">6</w:t>
      </w:r>
      <w:r>
        <w:rPr>
          <w:color w:val="000000" w:themeColor="text1"/>
          <w:spacing w:val="-4"/>
          <w14:textFill>
            <w14:solidFill>
              <w14:schemeClr w14:val="tx1"/>
            </w14:solidFill>
          </w14:textFill>
        </w:rPr>
        <w:t xml:space="preserve">、本项目拒绝下述供应商参加本次采购活动： </w:t>
      </w:r>
      <w:r/>
    </w:p>
    <w:p>
      <w:pPr>
        <w:ind w:firstLine="404"/>
        <w:jc w:val="left"/>
        <w:spacing w:line="380" w:lineRule="exact"/>
        <w:shd w:val="clear" w:color="auto" w:fill="ffffff"/>
        <w:widowControl/>
        <w:rPr>
          <w:color w:val="000000" w:themeColor="text1"/>
          <w:spacing w:val="-4"/>
          <w14:textFill>
            <w14:solidFill>
              <w14:schemeClr w14:val="tx1"/>
            </w14:solidFill>
          </w14:textFill>
        </w:rPr>
        <w:outlineLvl w:val="9"/>
      </w:pPr>
      <w:r>
        <w:rPr>
          <w:rFonts w:hint="eastAsia"/>
          <w:color w:val="000000" w:themeColor="text1"/>
          <w:spacing w:val="-4"/>
          <w:lang w:val="en-US" w:eastAsia="zh-CN"/>
          <w14:textFill>
            <w14:solidFill>
              <w14:schemeClr w14:val="tx1"/>
            </w14:solidFill>
          </w14:textFill>
        </w:rPr>
        <w:t xml:space="preserve">6</w:t>
      </w:r>
      <w:r>
        <w:rPr>
          <w:color w:val="000000" w:themeColor="text1"/>
          <w:spacing w:val="-4"/>
          <w14:textFill>
            <w14:solidFill>
              <w14:schemeClr w14:val="tx1"/>
            </w14:solidFill>
          </w14:textFill>
        </w:rPr>
        <w:t xml:space="preserve">.1供应商单位负责人为同一人或者存在直接控股、管理关系的不同供应商，不得参加同一合同项下的政府采购活动；</w:t>
      </w:r>
      <w:r/>
    </w:p>
    <w:p>
      <w:pPr>
        <w:ind w:firstLine="404"/>
        <w:jc w:val="left"/>
        <w:spacing w:line="380" w:lineRule="exact"/>
        <w:shd w:val="clear" w:color="auto" w:fill="ffffff"/>
        <w:widowControl/>
        <w:rPr>
          <w:color w:val="000000" w:themeColor="text1"/>
          <w:spacing w:val="-4"/>
          <w14:textFill>
            <w14:solidFill>
              <w14:schemeClr w14:val="tx1"/>
            </w14:solidFill>
          </w14:textFill>
        </w:rPr>
        <w:outlineLvl w:val="9"/>
      </w:pPr>
      <w:r>
        <w:rPr>
          <w:rFonts w:hint="eastAsia"/>
          <w:color w:val="000000" w:themeColor="text1"/>
          <w:spacing w:val="-4"/>
          <w:lang w:val="en-US" w:eastAsia="zh-CN"/>
          <w14:textFill>
            <w14:solidFill>
              <w14:schemeClr w14:val="tx1"/>
            </w14:solidFill>
          </w14:textFill>
        </w:rPr>
        <w:t xml:space="preserve">6</w:t>
      </w:r>
      <w:r>
        <w:rPr>
          <w:color w:val="000000" w:themeColor="text1"/>
          <w:spacing w:val="-4"/>
          <w14:textFill>
            <w14:solidFill>
              <w14:schemeClr w14:val="tx1"/>
            </w14:solidFill>
          </w14:textFill>
        </w:rPr>
        <w:t xml:space="preserve">.2凡为采购项目提供整体设计、规范编制或者项目管理、监理、检测等服务的供应商，不得再参加本项目的采购活动。</w:t>
      </w:r>
      <w:r/>
    </w:p>
    <w:p>
      <w:pPr>
        <w:ind w:firstLine="404"/>
        <w:jc w:val="left"/>
        <w:spacing w:line="380" w:lineRule="exact"/>
        <w:shd w:val="clear" w:color="auto" w:fill="ffffff"/>
        <w:widowControl/>
        <w:rPr>
          <w:color w:val="000000" w:themeColor="text1"/>
          <w:spacing w:val="-4"/>
          <w:highlight w:val="none"/>
          <w14:textFill>
            <w14:solidFill>
              <w14:schemeClr w14:val="tx1"/>
            </w14:solidFill>
          </w14:textFill>
        </w:rPr>
        <w:outlineLvl w:val="9"/>
      </w:pPr>
      <w:r>
        <w:rPr>
          <w:color w:val="000000" w:themeColor="text1"/>
          <w:spacing w:val="-4"/>
          <w:highlight w:val="none"/>
          <w14:textFill>
            <w14:solidFill>
              <w14:schemeClr w14:val="tx1"/>
            </w14:solidFill>
          </w14:textFill>
        </w:rPr>
        <w:t xml:space="preserve">（二）特定资格要求</w:t>
      </w:r>
      <w:r/>
    </w:p>
    <w:p>
      <w:pPr>
        <w:ind w:firstLine="404"/>
        <w:jc w:val="left"/>
        <w:spacing w:line="380" w:lineRule="exact"/>
        <w:shd w:val="clear" w:color="auto" w:fill="ffffff"/>
        <w:widowControl/>
        <w:rPr>
          <w:color w:val="000000" w:themeColor="text1"/>
          <w:spacing w:val="-4"/>
          <w:highlight w:val="none"/>
          <w14:textFill>
            <w14:solidFill>
              <w14:schemeClr w14:val="tx1"/>
            </w14:solidFill>
          </w14:textFill>
        </w:rPr>
        <w:outlineLvl w:val="9"/>
      </w:pPr>
      <w:r>
        <w:rPr>
          <w:color w:val="000000" w:themeColor="text1"/>
          <w:spacing w:val="-4"/>
          <w:highlight w:val="none"/>
          <w14:textFill>
            <w14:solidFill>
              <w14:schemeClr w14:val="tx1"/>
            </w14:solidFill>
          </w14:textFill>
        </w:rPr>
        <w:t xml:space="preserve">本项目的特定资格要求：无。</w:t>
      </w:r>
      <w:r/>
    </w:p>
    <w:p>
      <w:pPr>
        <w:ind w:firstLine="315"/>
        <w:spacing w:before="0" w:after="0" w:line="380" w:lineRule="exact"/>
        <w:rPr>
          <w:rFonts w:ascii="Times New Roman" w:hAnsi="Times New Roman" w:cs="Times New Roman"/>
          <w:b w:val="0"/>
          <w:bCs w:val="0"/>
          <w:color w:val="000000" w:themeColor="text1"/>
          <w:sz w:val="21"/>
          <w:szCs w:val="21"/>
          <w14:textFill>
            <w14:solidFill>
              <w14:schemeClr w14:val="tx1"/>
            </w14:solidFill>
          </w14:textFill>
        </w:rPr>
        <w:outlineLvl w:val="9"/>
      </w:pPr>
      <w:r>
        <w:rPr>
          <w:rFonts w:ascii="Times New Roman" w:hAnsi="Times New Roman" w:cs="Times New Roman"/>
          <w:b w:val="0"/>
          <w:bCs w:val="0"/>
          <w:color w:val="000000" w:themeColor="text1"/>
          <w:sz w:val="21"/>
          <w:szCs w:val="21"/>
          <w14:textFill>
            <w14:solidFill>
              <w14:schemeClr w14:val="tx1"/>
            </w14:solidFill>
          </w14:textFill>
        </w:rPr>
        <w:t xml:space="preserve">三、获取招标文件</w:t>
      </w:r>
      <w:bookmarkEnd w:id="18"/>
      <w:r/>
      <w:bookmarkEnd w:id="19"/>
      <w:r/>
      <w:bookmarkEnd w:id="20"/>
      <w:r/>
      <w:bookmarkEnd w:id="21"/>
      <w:r/>
      <w:bookmarkEnd w:id="22"/>
      <w:r/>
      <w:r/>
    </w:p>
    <w:p>
      <w:pPr>
        <w:ind w:firstLine="404"/>
        <w:jc w:val="left"/>
        <w:spacing w:line="380" w:lineRule="exact"/>
        <w:shd w:val="clear" w:color="auto" w:fill="ffffff"/>
        <w:widowControl/>
        <w:rPr>
          <w:color w:val="000000" w:themeColor="text1"/>
          <w:spacing w:val="-4"/>
          <w14:textFill>
            <w14:solidFill>
              <w14:schemeClr w14:val="tx1"/>
            </w14:solidFill>
          </w14:textFill>
        </w:rPr>
        <w:outlineLvl w:val="9"/>
      </w:pPr>
      <w:r/>
      <w:bookmarkStart w:id="23" w:name="_Toc28359005"/>
      <w:r/>
      <w:bookmarkStart w:id="24" w:name="_Toc28359082"/>
      <w:r/>
      <w:bookmarkStart w:id="25" w:name="_Toc35393624"/>
      <w:r/>
      <w:bookmarkStart w:id="26" w:name="_Toc38985266"/>
      <w:r/>
      <w:bookmarkStart w:id="27" w:name="_Toc35393793"/>
      <w:r>
        <w:rPr>
          <w:color w:val="000000" w:themeColor="text1"/>
          <w:spacing w:val="-4"/>
          <w14:textFill>
            <w14:solidFill>
              <w14:schemeClr w14:val="tx1"/>
            </w14:solidFill>
          </w14:textFill>
        </w:rPr>
        <w:t xml:space="preserve">1、时间：自招标文件公告发布次日起5个工作日。每天9:00—11:30，14:00—17:00（北京时间，节假日除外）；未在规定时间内招标文件的潜在投标人将失去投标资格。</w:t>
      </w:r>
      <w:r/>
    </w:p>
    <w:p>
      <w:pPr>
        <w:ind w:firstLine="404"/>
        <w:jc w:val="left"/>
        <w:spacing w:line="380" w:lineRule="exact"/>
        <w:shd w:val="clear" w:color="auto" w:fill="ffffff"/>
        <w:widowControl/>
        <w:rPr>
          <w:color w:val="000000" w:themeColor="text1"/>
          <w:spacing w:val="-4"/>
          <w14:textFill>
            <w14:solidFill>
              <w14:schemeClr w14:val="tx1"/>
            </w14:solidFill>
          </w14:textFill>
        </w:rPr>
        <w:outlineLvl w:val="9"/>
      </w:pPr>
      <w:r>
        <w:rPr>
          <w:color w:val="000000" w:themeColor="text1"/>
          <w:spacing w:val="-4"/>
          <w14:textFill>
            <w14:solidFill>
              <w14:schemeClr w14:val="tx1"/>
            </w14:solidFill>
          </w14:textFill>
        </w:rPr>
        <w:t xml:space="preserve">2、地点：</w:t>
      </w:r>
      <w:r>
        <w:rPr>
          <w:rFonts w:hint="eastAsia"/>
          <w:color w:val="000000" w:themeColor="text1"/>
          <w:lang w:eastAsia="zh-CN"/>
          <w14:textFill>
            <w14:solidFill>
              <w14:schemeClr w14:val="tx1"/>
            </w14:solidFill>
          </w14:textFill>
        </w:rPr>
        <w:t xml:space="preserve">江苏省南京市鼓楼区集庆门大街268号苏宁慧谷E08-1幢2205、2206室</w:t>
      </w:r>
      <w:r>
        <w:rPr>
          <w:color w:val="000000" w:themeColor="text1"/>
          <w:spacing w:val="-4"/>
          <w14:textFill>
            <w14:solidFill>
              <w14:schemeClr w14:val="tx1"/>
            </w14:solidFill>
          </w14:textFill>
        </w:rPr>
        <w:t xml:space="preserve">。</w:t>
      </w:r>
      <w:r/>
    </w:p>
    <w:p>
      <w:pPr>
        <w:ind w:firstLine="420"/>
        <w:jc w:val="left"/>
        <w:spacing w:line="380" w:lineRule="exact"/>
        <w:shd w:val="clear" w:color="auto" w:fill="ffffff"/>
        <w:widowControl/>
        <w:rPr>
          <w:rFonts w:hint="default"/>
          <w:color w:val="000000" w:themeColor="text1"/>
          <w14:textFill>
            <w14:solidFill>
              <w14:schemeClr w14:val="tx1"/>
            </w14:solidFill>
          </w14:textFill>
        </w:rPr>
        <w:outlineLvl w:val="9"/>
      </w:pPr>
      <w:r>
        <w:rPr>
          <w:rFonts w:hint="default"/>
          <w:color w:val="000000" w:themeColor="text1"/>
          <w14:textFill>
            <w14:solidFill>
              <w14:schemeClr w14:val="tx1"/>
            </w14:solidFill>
          </w14:textFill>
        </w:rPr>
        <w:t xml:space="preserve">3、方式：投标人将付款凭证上传至邮箱:jslibang_public@126.com后获取招标文件申请表，付款凭证须注明项目名称及项目编号，代理机构</w:t>
      </w:r>
      <w:r>
        <w:rPr>
          <w:rFonts w:hint="eastAsia"/>
          <w:color w:val="000000" w:themeColor="text1"/>
          <w:lang w:val="en-US" w:eastAsia="zh-CN"/>
          <w14:textFill>
            <w14:solidFill>
              <w14:schemeClr w14:val="tx1"/>
            </w14:solidFill>
          </w14:textFill>
        </w:rPr>
        <w:t xml:space="preserve">收到投标人填写的招标文件申请表</w:t>
      </w:r>
      <w:r>
        <w:rPr>
          <w:rFonts w:hint="default"/>
          <w:color w:val="000000" w:themeColor="text1"/>
          <w14:textFill>
            <w14:solidFill>
              <w14:schemeClr w14:val="tx1"/>
            </w14:solidFill>
          </w14:textFill>
        </w:rPr>
        <w:t xml:space="preserve">后，发放纸质招标文件或</w:t>
      </w:r>
      <w:r>
        <w:rPr>
          <w:rFonts w:hint="eastAsia"/>
          <w:color w:val="000000" w:themeColor="text1"/>
          <w:lang w:val="en-US" w:eastAsia="zh-CN"/>
          <w14:textFill>
            <w14:solidFill>
              <w14:schemeClr w14:val="tx1"/>
            </w14:solidFill>
          </w14:textFill>
        </w:rPr>
        <w:t xml:space="preserve">根</w:t>
      </w:r>
      <w:r>
        <w:rPr>
          <w:rFonts w:hint="default"/>
          <w:color w:val="000000" w:themeColor="text1"/>
          <w14:textFill>
            <w14:solidFill>
              <w14:schemeClr w14:val="tx1"/>
            </w14:solidFill>
          </w14:textFill>
        </w:rPr>
        <w:t xml:space="preserve">据投标人申请</w:t>
      </w:r>
      <w:r>
        <w:rPr>
          <w:rFonts w:hint="eastAsia"/>
          <w:color w:val="000000" w:themeColor="text1"/>
          <w:lang w:val="en-US" w:eastAsia="zh-CN"/>
          <w14:textFill>
            <w14:solidFill>
              <w14:schemeClr w14:val="tx1"/>
            </w14:solidFill>
          </w14:textFill>
        </w:rPr>
        <w:t xml:space="preserve">免费</w:t>
      </w:r>
      <w:r>
        <w:rPr>
          <w:rFonts w:hint="default"/>
          <w:color w:val="000000" w:themeColor="text1"/>
          <w14:textFill>
            <w14:solidFill>
              <w14:schemeClr w14:val="tx1"/>
            </w14:solidFill>
          </w14:textFill>
        </w:rPr>
        <w:t xml:space="preserve">发送电子版招标文件</w:t>
      </w:r>
      <w:r>
        <w:rPr>
          <w:rFonts w:hint="eastAsia"/>
          <w:color w:val="000000" w:themeColor="text1"/>
          <w:lang w:eastAsia="zh-CN"/>
          <w14:textFill>
            <w14:solidFill>
              <w14:schemeClr w14:val="tx1"/>
            </w14:solidFill>
          </w14:textFill>
        </w:rPr>
        <w:t xml:space="preserve">，</w:t>
      </w:r>
      <w:r>
        <w:rPr>
          <w:rFonts w:hint="default"/>
          <w:color w:val="000000" w:themeColor="text1"/>
          <w14:textFill>
            <w14:solidFill>
              <w14:schemeClr w14:val="tx1"/>
            </w14:solidFill>
          </w14:textFill>
        </w:rPr>
        <w:t xml:space="preserve">若投标人仅需电子版招标文件，代理公司前期收取的纸质招标文件费用将在开标结束后</w:t>
      </w:r>
      <w:r>
        <w:rPr>
          <w:rFonts w:hint="eastAsia"/>
          <w:color w:val="000000" w:themeColor="text1"/>
          <w:lang w:val="en-US" w:eastAsia="zh-CN"/>
          <w14:textFill>
            <w14:solidFill>
              <w14:schemeClr w14:val="tx1"/>
            </w14:solidFill>
          </w14:textFill>
        </w:rPr>
        <w:t xml:space="preserve">五个工作日内</w:t>
      </w:r>
      <w:r>
        <w:rPr>
          <w:rFonts w:hint="default"/>
          <w:color w:val="000000" w:themeColor="text1"/>
          <w14:textFill>
            <w14:solidFill>
              <w14:schemeClr w14:val="tx1"/>
            </w14:solidFill>
          </w14:textFill>
        </w:rPr>
        <w:t xml:space="preserve">统一退还。</w:t>
      </w:r>
      <w:r/>
    </w:p>
    <w:p>
      <w:pPr>
        <w:ind w:firstLine="404"/>
        <w:jc w:val="left"/>
        <w:spacing w:line="380" w:lineRule="exact"/>
        <w:shd w:val="clear" w:color="auto" w:fill="ffffff"/>
        <w:widowControl/>
        <w:rPr>
          <w:color w:val="000000" w:themeColor="text1"/>
          <w14:textFill>
            <w14:solidFill>
              <w14:schemeClr w14:val="tx1"/>
            </w14:solidFill>
          </w14:textFill>
        </w:rPr>
        <w:outlineLvl w:val="9"/>
      </w:pPr>
      <w:r>
        <w:rPr>
          <w:color w:val="000000" w:themeColor="text1"/>
          <w:spacing w:val="-4"/>
          <w14:textFill>
            <w14:solidFill>
              <w14:schemeClr w14:val="tx1"/>
            </w14:solidFill>
          </w14:textFill>
        </w:rPr>
        <w:t xml:space="preserve">4、</w:t>
      </w:r>
      <w:r>
        <w:rPr>
          <w:color w:val="000000" w:themeColor="text1"/>
          <w14:textFill>
            <w14:solidFill>
              <w14:schemeClr w14:val="tx1"/>
            </w14:solidFill>
          </w14:textFill>
        </w:rPr>
        <w:t xml:space="preserve">售价：纸质采购文件100元/套（电子采购文件不收费）。</w:t>
      </w:r>
      <w:r/>
    </w:p>
    <w:p>
      <w:pPr>
        <w:ind w:firstLine="404"/>
        <w:jc w:val="left"/>
        <w:spacing w:line="380" w:lineRule="exact"/>
        <w:shd w:val="clear" w:color="auto" w:fill="ffffff"/>
        <w:widowControl/>
        <w:rPr>
          <w:color w:val="000000" w:themeColor="text1"/>
          <w:spacing w:val="-4"/>
          <w14:textFill>
            <w14:solidFill>
              <w14:schemeClr w14:val="tx1"/>
            </w14:solidFill>
          </w14:textFill>
        </w:rPr>
        <w:outlineLvl w:val="9"/>
      </w:pPr>
      <w:r>
        <w:rPr>
          <w:color w:val="000000" w:themeColor="text1"/>
          <w:spacing w:val="-4"/>
          <w14:textFill>
            <w14:solidFill>
              <w14:schemeClr w14:val="tx1"/>
            </w14:solidFill>
          </w14:textFill>
        </w:rPr>
        <w:t xml:space="preserve">招标文件费用的收款账户信息如下：</w:t>
      </w:r>
      <w:r/>
    </w:p>
    <w:p>
      <w:pPr>
        <w:ind w:firstLine="404"/>
        <w:jc w:val="left"/>
        <w:spacing w:line="380" w:lineRule="exact"/>
        <w:shd w:val="clear" w:color="auto" w:fill="ffffff"/>
        <w:widowControl/>
        <w:rPr>
          <w:color w:val="000000" w:themeColor="text1"/>
          <w:spacing w:val="-4"/>
          <w14:textFill>
            <w14:solidFill>
              <w14:schemeClr w14:val="tx1"/>
            </w14:solidFill>
          </w14:textFill>
        </w:rPr>
        <w:outlineLvl w:val="9"/>
      </w:pPr>
      <w:r>
        <w:rPr>
          <w:color w:val="000000" w:themeColor="text1"/>
          <w:spacing w:val="-4"/>
          <w14:textFill>
            <w14:solidFill>
              <w14:schemeClr w14:val="tx1"/>
            </w14:solidFill>
          </w14:textFill>
        </w:rPr>
        <w:t xml:space="preserve">账户名称：江苏励邦招标代理有限公司</w:t>
      </w:r>
      <w:r/>
    </w:p>
    <w:p>
      <w:pPr>
        <w:ind w:firstLine="404"/>
        <w:jc w:val="left"/>
        <w:spacing w:line="380" w:lineRule="exact"/>
        <w:shd w:val="clear" w:color="auto" w:fill="ffffff"/>
        <w:widowControl/>
        <w:rPr>
          <w:color w:val="000000" w:themeColor="text1"/>
          <w:spacing w:val="-4"/>
          <w14:textFill>
            <w14:solidFill>
              <w14:schemeClr w14:val="tx1"/>
            </w14:solidFill>
          </w14:textFill>
        </w:rPr>
        <w:outlineLvl w:val="9"/>
      </w:pPr>
      <w:r>
        <w:rPr>
          <w:color w:val="000000" w:themeColor="text1"/>
          <w:spacing w:val="-4"/>
          <w14:textFill>
            <w14:solidFill>
              <w14:schemeClr w14:val="tx1"/>
            </w14:solidFill>
          </w14:textFill>
        </w:rPr>
        <w:t xml:space="preserve">开户银行：中国银行草场门支行</w:t>
      </w:r>
      <w:r/>
    </w:p>
    <w:p>
      <w:pPr>
        <w:ind w:firstLine="404"/>
        <w:jc w:val="left"/>
        <w:spacing w:line="380" w:lineRule="exact"/>
        <w:shd w:val="clear" w:color="auto" w:fill="ffffff"/>
        <w:widowControl/>
        <w:rPr>
          <w:color w:val="000000" w:themeColor="text1"/>
          <w:spacing w:val="-4"/>
          <w14:textFill>
            <w14:solidFill>
              <w14:schemeClr w14:val="tx1"/>
            </w14:solidFill>
          </w14:textFill>
        </w:rPr>
        <w:outlineLvl w:val="9"/>
      </w:pPr>
      <w:r>
        <w:rPr>
          <w:color w:val="000000" w:themeColor="text1"/>
          <w:spacing w:val="-4"/>
          <w14:textFill>
            <w14:solidFill>
              <w14:schemeClr w14:val="tx1"/>
            </w14:solidFill>
          </w14:textFill>
        </w:rPr>
        <w:t xml:space="preserve">账号：509277386442</w:t>
      </w:r>
      <w:r/>
    </w:p>
    <w:p>
      <w:pPr>
        <w:ind w:firstLine="315"/>
        <w:spacing w:before="0" w:after="0" w:line="380" w:lineRule="exact"/>
        <w:rPr>
          <w:rFonts w:ascii="Times New Roman" w:hAnsi="Times New Roman" w:cs="Times New Roman"/>
          <w:b w:val="0"/>
          <w:bCs w:val="0"/>
          <w:color w:val="000000" w:themeColor="text1"/>
          <w:sz w:val="21"/>
          <w:szCs w:val="21"/>
          <w14:textFill>
            <w14:solidFill>
              <w14:schemeClr w14:val="tx1"/>
            </w14:solidFill>
          </w14:textFill>
        </w:rPr>
        <w:outlineLvl w:val="9"/>
      </w:pPr>
      <w:r>
        <w:rPr>
          <w:rFonts w:ascii="Times New Roman" w:hAnsi="Times New Roman" w:cs="Times New Roman"/>
          <w:b w:val="0"/>
          <w:bCs w:val="0"/>
          <w:color w:val="000000" w:themeColor="text1"/>
          <w:sz w:val="21"/>
          <w:szCs w:val="21"/>
          <w14:textFill>
            <w14:solidFill>
              <w14:schemeClr w14:val="tx1"/>
            </w14:solidFill>
          </w14:textFill>
        </w:rPr>
        <w:t xml:space="preserve">四、提交投标文件</w:t>
      </w:r>
      <w:bookmarkEnd w:id="23"/>
      <w:r/>
      <w:bookmarkEnd w:id="24"/>
      <w:r>
        <w:rPr>
          <w:rFonts w:ascii="Times New Roman" w:hAnsi="Times New Roman" w:cs="Times New Roman"/>
          <w:b w:val="0"/>
          <w:bCs w:val="0"/>
          <w:color w:val="000000" w:themeColor="text1"/>
          <w:sz w:val="21"/>
          <w:szCs w:val="21"/>
          <w14:textFill>
            <w14:solidFill>
              <w14:schemeClr w14:val="tx1"/>
            </w14:solidFill>
          </w14:textFill>
        </w:rPr>
        <w:t xml:space="preserve">截止时间、开标时间和地点</w:t>
      </w:r>
      <w:bookmarkEnd w:id="25"/>
      <w:r/>
      <w:bookmarkEnd w:id="26"/>
      <w:r/>
      <w:bookmarkEnd w:id="27"/>
      <w:r/>
      <w:r/>
    </w:p>
    <w:p>
      <w:pPr>
        <w:ind w:firstLine="420"/>
        <w:spacing w:line="380" w:lineRule="exact"/>
        <w:tabs>
          <w:tab w:val="center" w:pos="4716" w:leader="none"/>
        </w:tabs>
        <w:rPr>
          <w:color w:val="000000" w:themeColor="text1"/>
          <w:highlight w:val="none"/>
          <w14:textFill>
            <w14:solidFill>
              <w14:schemeClr w14:val="tx1"/>
            </w14:solidFill>
          </w14:textFill>
        </w:rPr>
        <w:outlineLvl w:val="9"/>
      </w:pPr>
      <w:r/>
      <w:bookmarkStart w:id="211" w:name="_GoBack"/>
      <w:r>
        <w:rPr>
          <w:color w:val="000000" w:themeColor="text1"/>
          <w:highlight w:val="none"/>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2026</w:t>
      </w:r>
      <w:r>
        <w:rPr>
          <w:color w:val="000000" w:themeColor="text1"/>
          <w:highlight w:val="none"/>
          <w14:textFill>
            <w14:solidFill>
              <w14:schemeClr w14:val="tx1"/>
            </w14:solidFill>
          </w14:textFill>
        </w:rPr>
        <w:t xml:space="preserve">年</w:t>
      </w:r>
      <w:r>
        <w:rPr>
          <w:rFonts w:hint="eastAsia"/>
          <w:color w:val="000000" w:themeColor="text1"/>
          <w:highlight w:val="none"/>
          <w:lang w:val="en-US" w:eastAsia="zh-CN"/>
          <w14:textFill>
            <w14:solidFill>
              <w14:schemeClr w14:val="tx1"/>
            </w14:solidFill>
          </w14:textFill>
        </w:rPr>
        <w:t xml:space="preserve">6</w:t>
      </w:r>
      <w:r>
        <w:rPr>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18</w:t>
      </w:r>
      <w:r>
        <w:rPr>
          <w:color w:val="000000" w:themeColor="text1"/>
          <w:highlight w:val="none"/>
          <w14:textFill>
            <w14:solidFill>
              <w14:schemeClr w14:val="tx1"/>
            </w14:solidFill>
          </w14:textFill>
        </w:rPr>
        <w:t xml:space="preserve">日14点</w:t>
      </w:r>
      <w:r>
        <w:rPr>
          <w:rFonts w:hint="eastAsia"/>
          <w:color w:val="000000" w:themeColor="text1"/>
          <w:highlight w:val="none"/>
          <w:lang w:val="en-US" w:eastAsia="zh-CN"/>
          <w14:textFill>
            <w14:solidFill>
              <w14:schemeClr w14:val="tx1"/>
            </w14:solidFill>
          </w14:textFill>
        </w:rPr>
        <w:t xml:space="preserve">00</w:t>
      </w:r>
      <w:r>
        <w:rPr>
          <w:color w:val="000000" w:themeColor="text1"/>
          <w:highlight w:val="none"/>
          <w14:textFill>
            <w14:solidFill>
              <w14:schemeClr w14:val="tx1"/>
            </w14:solidFill>
          </w14:textFill>
        </w:rPr>
        <w:t xml:space="preserve">分（北京时间）</w:t>
      </w:r>
      <w:bookmarkEnd w:id="211"/>
      <w:r/>
    </w:p>
    <w:p>
      <w:pPr>
        <w:ind w:firstLine="420"/>
        <w:spacing w:line="380" w:lineRule="exact"/>
        <w:tabs>
          <w:tab w:val="center" w:pos="4716" w:leader="none"/>
        </w:tabs>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2、地点：“苏采云”政府采购交易系统网上开标大厅</w:t>
      </w:r>
      <w:r/>
    </w:p>
    <w:p>
      <w:pPr>
        <w:ind w:firstLine="315"/>
        <w:spacing w:before="0" w:after="0" w:line="380" w:lineRule="exact"/>
        <w:rPr>
          <w:rFonts w:ascii="Times New Roman" w:hAnsi="Times New Roman" w:cs="Times New Roman"/>
          <w:b w:val="0"/>
          <w:bCs w:val="0"/>
          <w:color w:val="000000" w:themeColor="text1"/>
          <w:sz w:val="21"/>
          <w:szCs w:val="21"/>
          <w14:textFill>
            <w14:solidFill>
              <w14:schemeClr w14:val="tx1"/>
            </w14:solidFill>
          </w14:textFill>
        </w:rPr>
        <w:outlineLvl w:val="9"/>
      </w:pPr>
      <w:r/>
      <w:bookmarkStart w:id="28" w:name="_Toc28359007"/>
      <w:r/>
      <w:bookmarkStart w:id="29" w:name="_Toc38985267"/>
      <w:r/>
      <w:bookmarkStart w:id="30" w:name="_Toc28359084"/>
      <w:r/>
      <w:bookmarkStart w:id="31" w:name="_Toc35393794"/>
      <w:r/>
      <w:bookmarkStart w:id="32" w:name="_Toc35393625"/>
      <w:r>
        <w:rPr>
          <w:rFonts w:ascii="Times New Roman" w:hAnsi="Times New Roman" w:cs="Times New Roman"/>
          <w:b w:val="0"/>
          <w:bCs w:val="0"/>
          <w:color w:val="000000" w:themeColor="text1"/>
          <w:sz w:val="21"/>
          <w:szCs w:val="21"/>
          <w14:textFill>
            <w14:solidFill>
              <w14:schemeClr w14:val="tx1"/>
            </w14:solidFill>
          </w14:textFill>
        </w:rPr>
        <w:t xml:space="preserve">五、公告期限</w:t>
      </w:r>
      <w:bookmarkEnd w:id="28"/>
      <w:r/>
      <w:bookmarkEnd w:id="29"/>
      <w:r/>
      <w:bookmarkEnd w:id="30"/>
      <w:r/>
      <w:bookmarkEnd w:id="31"/>
      <w:r/>
      <w:bookmarkEnd w:id="32"/>
      <w:r/>
      <w:r/>
    </w:p>
    <w:p>
      <w:pPr>
        <w:ind w:firstLine="420"/>
        <w:spacing w:line="380" w:lineRule="exact"/>
        <w:rPr>
          <w:color w:val="000000" w:themeColor="text1"/>
          <w14:textFill>
            <w14:solidFill>
              <w14:schemeClr w14:val="tx1"/>
            </w14:solidFill>
          </w14:textFill>
        </w:rPr>
        <w:outlineLvl w:val="9"/>
      </w:pPr>
      <w:r/>
      <w:bookmarkStart w:id="33" w:name="_Toc38985268"/>
      <w:r/>
      <w:bookmarkStart w:id="34" w:name="_Toc35393626"/>
      <w:r/>
      <w:bookmarkStart w:id="35" w:name="_Toc35393795"/>
      <w:r>
        <w:rPr>
          <w:color w:val="000000" w:themeColor="text1"/>
          <w14:textFill>
            <w14:solidFill>
              <w14:schemeClr w14:val="tx1"/>
            </w14:solidFill>
          </w14:textFill>
        </w:rPr>
        <w:t xml:space="preserve">招标公告及招标文件公告期限为自本公告发布之日起5个工作日。</w:t>
      </w:r>
      <w:r/>
    </w:p>
    <w:p>
      <w:pPr>
        <w:ind w:firstLine="315"/>
        <w:spacing w:before="0" w:after="0" w:line="380" w:lineRule="exact"/>
        <w:rPr>
          <w:rFonts w:ascii="Times New Roman" w:hAnsi="Times New Roman" w:cs="Times New Roman"/>
          <w:b w:val="0"/>
          <w:bCs w:val="0"/>
          <w:color w:val="000000" w:themeColor="text1"/>
          <w:sz w:val="21"/>
          <w:szCs w:val="21"/>
          <w14:textFill>
            <w14:solidFill>
              <w14:schemeClr w14:val="tx1"/>
            </w14:solidFill>
          </w14:textFill>
        </w:rPr>
        <w:outlineLvl w:val="9"/>
      </w:pPr>
      <w:r>
        <w:rPr>
          <w:rFonts w:ascii="Times New Roman" w:hAnsi="Times New Roman" w:cs="Times New Roman"/>
          <w:b w:val="0"/>
          <w:bCs w:val="0"/>
          <w:color w:val="000000" w:themeColor="text1"/>
          <w:sz w:val="21"/>
          <w:szCs w:val="21"/>
          <w14:textFill>
            <w14:solidFill>
              <w14:schemeClr w14:val="tx1"/>
            </w14:solidFill>
          </w14:textFill>
        </w:rPr>
        <w:t xml:space="preserve">六、其他补充事宜</w:t>
      </w:r>
      <w:bookmarkEnd w:id="33"/>
      <w:r/>
      <w:bookmarkEnd w:id="34"/>
      <w:r/>
      <w:bookmarkEnd w:id="35"/>
      <w:r/>
      <w:r/>
    </w:p>
    <w:p>
      <w:pPr>
        <w:ind w:firstLine="420"/>
        <w:jc w:val="left"/>
        <w:spacing w:line="380" w:lineRule="exact"/>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无</w:t>
      </w:r>
      <w:r/>
    </w:p>
    <w:p>
      <w:pPr>
        <w:ind w:firstLine="315"/>
        <w:spacing w:before="0" w:after="0" w:line="380" w:lineRule="exact"/>
        <w:rPr>
          <w:rFonts w:ascii="Times New Roman" w:hAnsi="Times New Roman" w:cs="Times New Roman"/>
          <w:b w:val="0"/>
          <w:bCs w:val="0"/>
          <w:color w:val="000000" w:themeColor="text1"/>
          <w:sz w:val="21"/>
          <w:szCs w:val="21"/>
          <w14:textFill>
            <w14:solidFill>
              <w14:schemeClr w14:val="tx1"/>
            </w14:solidFill>
          </w14:textFill>
        </w:rPr>
        <w:outlineLvl w:val="9"/>
      </w:pPr>
      <w:r/>
      <w:bookmarkStart w:id="36" w:name="_Toc35393796"/>
      <w:r/>
      <w:bookmarkStart w:id="37" w:name="_Toc28359008"/>
      <w:r/>
      <w:bookmarkStart w:id="38" w:name="_Toc38985269"/>
      <w:r/>
      <w:bookmarkStart w:id="39" w:name="_Toc28359085"/>
      <w:r/>
      <w:bookmarkStart w:id="40" w:name="_Toc35393627"/>
      <w:r>
        <w:rPr>
          <w:rFonts w:ascii="Times New Roman" w:hAnsi="Times New Roman" w:cs="Times New Roman"/>
          <w:b w:val="0"/>
          <w:bCs w:val="0"/>
          <w:color w:val="000000" w:themeColor="text1"/>
          <w:sz w:val="21"/>
          <w:szCs w:val="21"/>
          <w14:textFill>
            <w14:solidFill>
              <w14:schemeClr w14:val="tx1"/>
            </w14:solidFill>
          </w14:textFill>
        </w:rPr>
        <w:t xml:space="preserve">七、本次招标联系方式</w:t>
      </w:r>
      <w:bookmarkEnd w:id="36"/>
      <w:r/>
      <w:bookmarkEnd w:id="37"/>
      <w:r/>
      <w:bookmarkEnd w:id="38"/>
      <w:r/>
      <w:bookmarkEnd w:id="39"/>
      <w:r/>
      <w:bookmarkEnd w:id="40"/>
      <w:r/>
      <w:r/>
    </w:p>
    <w:p>
      <w:pPr>
        <w:jc w:val="left"/>
        <w:spacing w:line="380" w:lineRule="exact"/>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　  1、采购人信息</w:t>
      </w:r>
      <w:r/>
    </w:p>
    <w:p>
      <w:pPr>
        <w:ind w:firstLine="420"/>
        <w:spacing w:line="400" w:lineRule="exact"/>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名称：南京市产品质量监督检验院（南京市质量发展与先进技术应用研究院）</w:t>
      </w:r>
      <w:r/>
    </w:p>
    <w:p>
      <w:pPr>
        <w:ind w:firstLine="420"/>
        <w:spacing w:line="400" w:lineRule="exact"/>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地址：南京市建邺区嘉陵江东街3号</w:t>
      </w:r>
      <w:r/>
    </w:p>
    <w:p>
      <w:pPr>
        <w:ind w:firstLine="420"/>
        <w:spacing w:line="400" w:lineRule="exac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江</w:t>
      </w:r>
      <w:r>
        <w:rPr>
          <w:color w:val="000000" w:themeColor="text1"/>
          <w:highlight w:val="none"/>
          <w14:textFill>
            <w14:solidFill>
              <w14:schemeClr w14:val="tx1"/>
            </w14:solidFill>
          </w14:textFill>
        </w:rPr>
        <w:t xml:space="preserve">老师</w:t>
      </w:r>
      <w:r/>
    </w:p>
    <w:p>
      <w:pPr>
        <w:ind w:firstLine="420"/>
        <w:spacing w:line="400" w:lineRule="exact"/>
        <w:rPr>
          <w:rFonts w:hint="default" w:eastAsia="宋体"/>
          <w:color w:val="000000" w:themeColor="text1"/>
          <w:highlight w:val="none"/>
          <w:lang w:val="en-US" w:eastAsia="zh-CN"/>
          <w14:textFill>
            <w14:solidFill>
              <w14:schemeClr w14:val="tx1"/>
            </w14:solidFill>
          </w14:textFill>
        </w:rPr>
        <w:outlineLvl w:val="9"/>
      </w:pPr>
      <w:r>
        <w:rPr>
          <w:color w:val="000000" w:themeColor="text1"/>
          <w:highlight w:val="none"/>
          <w14:textFill>
            <w14:solidFill>
              <w14:schemeClr w14:val="tx1"/>
            </w14:solidFill>
          </w14:textFill>
        </w:rPr>
        <w:t xml:space="preserve">联系方式：025-</w:t>
      </w:r>
      <w:r>
        <w:rPr>
          <w:rFonts w:hint="eastAsia"/>
          <w:color w:val="000000" w:themeColor="text1"/>
          <w:highlight w:val="none"/>
          <w:lang w:val="en-US" w:eastAsia="zh-CN"/>
          <w14:textFill>
            <w14:solidFill>
              <w14:schemeClr w14:val="tx1"/>
            </w14:solidFill>
          </w14:textFill>
        </w:rPr>
        <w:t xml:space="preserve">86673826</w:t>
      </w:r>
      <w:r/>
    </w:p>
    <w:p>
      <w:pPr>
        <w:pStyle w:val="809"/>
        <w:ind w:firstLine="420"/>
        <w:jc w:val="left"/>
        <w:spacing w:line="380" w:lineRule="exact"/>
        <w:rPr>
          <w:rFonts w:ascii="Times New Roman" w:hAnsi="Times New Roman" w:cs="Times New Roman"/>
          <w:color w:val="000000" w:themeColor="text1"/>
          <w14:textFill>
            <w14:solidFill>
              <w14:schemeClr w14:val="tx1"/>
            </w14:solidFill>
          </w14:textFill>
        </w:rPr>
        <w:outlineLvl w:val="9"/>
      </w:pPr>
      <w:r>
        <w:rPr>
          <w:rFonts w:ascii="Times New Roman" w:hAnsi="Times New Roman" w:cs="Times New Roman"/>
          <w:color w:val="000000" w:themeColor="text1"/>
          <w14:textFill>
            <w14:solidFill>
              <w14:schemeClr w14:val="tx1"/>
            </w14:solidFill>
          </w14:textFill>
        </w:rPr>
        <w:t xml:space="preserve">2、采购代理机构信息</w:t>
      </w:r>
      <w:r/>
    </w:p>
    <w:p>
      <w:pPr>
        <w:ind w:firstLine="420"/>
        <w:jc w:val="left"/>
        <w:spacing w:line="380" w:lineRule="exact"/>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名称：江苏励邦招标代理有限公司</w:t>
      </w:r>
      <w:r/>
    </w:p>
    <w:p>
      <w:pPr>
        <w:ind w:firstLine="420"/>
        <w:jc w:val="left"/>
        <w:spacing w:line="380" w:lineRule="exact"/>
        <w:rPr>
          <w:rFonts w:hint="eastAsia" w:eastAsia="宋体"/>
          <w:color w:val="000000" w:themeColor="text1"/>
          <w:lang w:eastAsia="zh-CN"/>
          <w14:textFill>
            <w14:solidFill>
              <w14:schemeClr w14:val="tx1"/>
            </w14:solidFill>
          </w14:textFill>
        </w:rPr>
        <w:outlineLvl w:val="9"/>
      </w:pPr>
      <w:r>
        <w:rPr>
          <w:color w:val="000000" w:themeColor="text1"/>
          <w14:textFill>
            <w14:solidFill>
              <w14:schemeClr w14:val="tx1"/>
            </w14:solidFill>
          </w14:textFill>
        </w:rPr>
        <w:t xml:space="preserve">地址：</w:t>
      </w:r>
      <w:r>
        <w:rPr>
          <w:rFonts w:hint="eastAsia"/>
          <w:color w:val="000000" w:themeColor="text1"/>
          <w:lang w:eastAsia="zh-CN"/>
          <w14:textFill>
            <w14:solidFill>
              <w14:schemeClr w14:val="tx1"/>
            </w14:solidFill>
          </w14:textFill>
        </w:rPr>
        <w:t xml:space="preserve">江苏省南京市鼓楼区集庆门大街268号苏宁慧谷E08-1幢2205、2206室</w:t>
      </w:r>
      <w:r/>
    </w:p>
    <w:p>
      <w:pPr>
        <w:ind w:firstLine="420"/>
        <w:jc w:val="left"/>
        <w:spacing w:line="380" w:lineRule="exact"/>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联系人：</w:t>
      </w:r>
      <w:r>
        <w:rPr>
          <w:rFonts w:hint="eastAsia"/>
          <w:color w:val="000000" w:themeColor="text1"/>
          <w:lang w:val="en-US" w:eastAsia="zh-CN"/>
          <w14:textFill>
            <w14:solidFill>
              <w14:schemeClr w14:val="tx1"/>
            </w14:solidFill>
          </w14:textFill>
        </w:rPr>
        <w:t xml:space="preserve">徐</w:t>
      </w:r>
      <w:r>
        <w:rPr>
          <w:color w:val="000000" w:themeColor="text1"/>
          <w14:textFill>
            <w14:solidFill>
              <w14:schemeClr w14:val="tx1"/>
            </w14:solidFill>
          </w14:textFill>
        </w:rPr>
        <w:t xml:space="preserve">老师</w:t>
      </w:r>
      <w:r/>
    </w:p>
    <w:p>
      <w:pPr>
        <w:ind w:firstLine="420"/>
        <w:jc w:val="left"/>
        <w:spacing w:line="380" w:lineRule="exact"/>
        <w:rPr>
          <w:rFonts w:hint="default" w:eastAsia="宋体"/>
          <w:color w:val="000000" w:themeColor="text1"/>
          <w:lang w:val="en-US" w:eastAsia="zh-CN"/>
          <w14:textFill>
            <w14:solidFill>
              <w14:schemeClr w14:val="tx1"/>
            </w14:solidFill>
          </w14:textFill>
        </w:rPr>
        <w:outlineLvl w:val="9"/>
      </w:pPr>
      <w:r>
        <w:rPr>
          <w:color w:val="000000" w:themeColor="text1"/>
          <w14:textFill>
            <w14:solidFill>
              <w14:schemeClr w14:val="tx1"/>
            </w14:solidFill>
          </w14:textFill>
        </w:rPr>
        <w:t xml:space="preserve">电话：138</w:t>
      </w:r>
      <w:r>
        <w:rPr>
          <w:rFonts w:hint="eastAsia"/>
          <w:color w:val="000000" w:themeColor="text1"/>
          <w:lang w:val="en-US" w:eastAsia="zh-CN"/>
          <w14:textFill>
            <w14:solidFill>
              <w14:schemeClr w14:val="tx1"/>
            </w14:solidFill>
          </w14:textFill>
        </w:rPr>
        <w:t xml:space="preserve">51424090</w:t>
      </w:r>
      <w:r/>
    </w:p>
    <w:p>
      <w:pPr>
        <w:ind w:firstLine="315"/>
        <w:spacing w:before="0" w:after="0" w:line="380" w:lineRule="exact"/>
        <w:rPr>
          <w:rFonts w:ascii="Times New Roman" w:hAnsi="Times New Roman" w:cs="Times New Roman"/>
          <w:b w:val="0"/>
          <w:bCs w:val="0"/>
          <w:color w:val="000000" w:themeColor="text1"/>
          <w:sz w:val="21"/>
          <w:szCs w:val="21"/>
          <w14:textFill>
            <w14:solidFill>
              <w14:schemeClr w14:val="tx1"/>
            </w14:solidFill>
          </w14:textFill>
        </w:rPr>
        <w:outlineLvl w:val="9"/>
      </w:pPr>
      <w:r>
        <w:rPr>
          <w:rFonts w:ascii="Times New Roman" w:hAnsi="Times New Roman" w:cs="Times New Roman"/>
          <w:b w:val="0"/>
          <w:bCs w:val="0"/>
          <w:color w:val="000000" w:themeColor="text1"/>
          <w:sz w:val="21"/>
          <w:szCs w:val="21"/>
          <w14:textFill>
            <w14:solidFill>
              <w14:schemeClr w14:val="tx1"/>
            </w14:solidFill>
          </w14:textFill>
        </w:rPr>
        <w:t xml:space="preserve">八、其他</w:t>
      </w:r>
      <w:r/>
    </w:p>
    <w:p>
      <w:pPr>
        <w:ind w:firstLine="420"/>
        <w:keepLines w:val="0"/>
        <w:keepNext w:val="0"/>
        <w:pageBreakBefore w:val="0"/>
        <w:spacing w:line="340" w:lineRule="exact"/>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keepLines w:val="0"/>
        <w:keepNext w:val="0"/>
        <w:pageBreakBefore w:val="0"/>
        <w:spacing w:line="340" w:lineRule="exact"/>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http://www.ccgp-jiangsu.gov.cn/jiangsu/zlxz/ee/ee3a4bc5a3454aa2b0d9312230633ce9.html。</w:t>
      </w:r>
      <w:r/>
    </w:p>
    <w:p>
      <w:pPr>
        <w:ind w:firstLine="420"/>
        <w:keepLines w:val="0"/>
        <w:keepNext w:val="0"/>
        <w:pageBreakBefore w:val="0"/>
        <w:spacing w:line="340" w:lineRule="exact"/>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20"/>
        <w:keepLines w:val="0"/>
        <w:keepNext w:val="0"/>
        <w:pageBreakBefore w:val="0"/>
        <w:spacing w:line="340" w:lineRule="exact"/>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highlight w:val="none"/>
        </w:rPr>
        <w:t xml:space="preserve">2、</w:t>
      </w:r>
      <w:r>
        <w:rPr>
          <w:rFonts w:hint="default" w:ascii="Times New Roman" w:hAnsi="Times New Roman" w:cs="Times New Roman"/>
          <w:color w:val="000000"/>
          <w:szCs w:val="21"/>
          <w:highlight w:val="none"/>
        </w:rPr>
        <w:t xml:space="preserve">有关本次招标的事项若存在变动或修改，敬请及时关注江苏励邦招标代理有限公司在“江苏政府采购网”发布的更正公告。</w:t>
      </w:r>
      <w:r/>
    </w:p>
    <w:p>
      <w:pPr>
        <w:ind w:firstLine="420"/>
        <w:keepLines w:val="0"/>
        <w:keepNext w:val="0"/>
        <w:pageBreakBefore w:val="0"/>
        <w:spacing w:line="340" w:lineRule="exact"/>
        <w:rPr>
          <w:rFonts w:hint="default" w:ascii="Times New Roman" w:hAnsi="Times New Roman" w:cs="Times New Roman"/>
          <w:color w:val="000000"/>
          <w:szCs w:val="21"/>
          <w:highlight w:val="none"/>
        </w:rPr>
        <w:outlineLvl w:val="9"/>
      </w:pPr>
      <w:r>
        <w:rPr>
          <w:rFonts w:hint="eastAsia" w:ascii="Times New Roman" w:hAnsi="Times New Roman" w:cs="Times New Roman"/>
          <w:color w:val="000000"/>
          <w:szCs w:val="21"/>
          <w:highlight w:val="none"/>
          <w:lang w:val="en-US" w:eastAsia="zh-CN"/>
        </w:rPr>
        <w:t xml:space="preserve">3</w:t>
      </w:r>
      <w:r>
        <w:rPr>
          <w:rFonts w:hint="default" w:ascii="Times New Roman" w:hAnsi="Times New Roman" w:cs="Times New Roman"/>
          <w:color w:val="000000"/>
          <w:szCs w:val="21"/>
          <w:highlight w:val="none"/>
        </w:rPr>
        <w:t xml:space="preserve">、本次招标不收取投标保证金。</w:t>
      </w:r>
      <w:r/>
    </w:p>
    <w:p>
      <w:pPr>
        <w:ind w:firstLine="420"/>
        <w:keepLines w:val="0"/>
        <w:keepNext w:val="0"/>
        <w:pageBreakBefore w:val="0"/>
        <w:spacing w:line="340" w:lineRule="exact"/>
        <w:rPr>
          <w:rFonts w:hint="default" w:ascii="Times New Roman" w:hAnsi="Times New Roman" w:cs="Times New Roman"/>
          <w:color w:val="000000"/>
          <w:sz w:val="21"/>
          <w:szCs w:val="21"/>
          <w:highlight w:val="none"/>
        </w:rPr>
        <w:outlineLvl w:val="9"/>
      </w:pPr>
      <w:r>
        <w:rPr>
          <w:rFonts w:hint="eastAsia" w:ascii="Times New Roman" w:hAnsi="Times New Roman" w:cs="Times New Roman"/>
          <w:color w:val="000000"/>
          <w:szCs w:val="21"/>
          <w:highlight w:val="none"/>
          <w:lang w:val="en-US" w:eastAsia="zh-CN"/>
        </w:rPr>
        <w:t xml:space="preserve">4</w:t>
      </w:r>
      <w:r>
        <w:rPr>
          <w:rFonts w:hint="default" w:ascii="Times New Roman" w:hAnsi="Times New Roman" w:cs="Times New Roman"/>
          <w:color w:val="000000"/>
          <w:szCs w:val="21"/>
          <w:highlight w:val="none"/>
          <w:lang w:val="en-US" w:eastAsia="zh-CN"/>
        </w:rPr>
        <w:t xml:space="preserve">、</w:t>
      </w:r>
      <w:r>
        <w:rPr>
          <w:rFonts w:hint="default" w:ascii="Times New Roman" w:hAnsi="Times New Roman" w:cs="Times New Roman"/>
          <w:color w:val="000000"/>
          <w:szCs w:val="21"/>
          <w:highlight w:val="none"/>
        </w:rPr>
        <w:t xml:space="preserve">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w:t>
      </w:r>
      <w:r>
        <w:rPr>
          <w:rFonts w:hint="default" w:ascii="Times New Roman" w:hAnsi="Times New Roman" w:cs="Times New Roman"/>
          <w:color w:val="000000"/>
          <w:sz w:val="21"/>
          <w:szCs w:val="21"/>
          <w:highlight w:val="none"/>
        </w:rPr>
        <w:t xml:space="preserve">链接打开系统页面</w:t>
      </w:r>
      <w:r/>
    </w:p>
    <w:p>
      <w:pPr>
        <w:keepLines w:val="0"/>
        <w:keepNext w:val="0"/>
        <w:pageBreakBefore w:val="0"/>
        <w:spacing w:line="340" w:lineRule="exact"/>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信用记录表一式两份，一份装订在响应文件中，一份用封套单独密封（封套上注明“信用记录表”），随响应文件一并递交。</w:t>
      </w:r>
      <w:r/>
    </w:p>
    <w:p>
      <w:pPr>
        <w:ind w:firstLine="420"/>
        <w:keepLines w:val="0"/>
        <w:keepNext w:val="0"/>
        <w:pageBreakBefore w:val="0"/>
        <w:spacing w:line="340" w:lineRule="exact"/>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在政府采购资格审查环节，供应商只需提供书面《南京市政府采购供应商信用记录表暨信用承诺书》，即可替代以下证明材料：</w:t>
      </w:r>
      <w:r/>
    </w:p>
    <w:p>
      <w:pPr>
        <w:ind w:firstLine="420"/>
        <w:keepLines w:val="0"/>
        <w:keepNext w:val="0"/>
        <w:pageBreakBefore w:val="0"/>
        <w:spacing w:line="340" w:lineRule="exact"/>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（1）符合国家相关规定的财务状况报告；</w:t>
      </w:r>
      <w:r/>
    </w:p>
    <w:p>
      <w:pPr>
        <w:ind w:firstLine="420"/>
        <w:keepLines w:val="0"/>
        <w:keepNext w:val="0"/>
        <w:pageBreakBefore w:val="0"/>
        <w:spacing w:line="340" w:lineRule="exact"/>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（2）依法缴纳税收的证明材料；</w:t>
      </w:r>
      <w:r/>
    </w:p>
    <w:p>
      <w:pPr>
        <w:ind w:firstLine="420"/>
        <w:keepLines w:val="0"/>
        <w:keepNext w:val="0"/>
        <w:pageBreakBefore w:val="0"/>
        <w:spacing w:line="340" w:lineRule="exact"/>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（3）依法缴纳社会保障资金的证明材料；</w:t>
      </w:r>
      <w:r/>
    </w:p>
    <w:p>
      <w:pPr>
        <w:ind w:firstLine="420"/>
        <w:keepLines w:val="0"/>
        <w:keepNext w:val="0"/>
        <w:pageBreakBefore w:val="0"/>
        <w:spacing w:line="340" w:lineRule="exact"/>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（4）具备履行政府采购合同所必需的设备和专业技术能力的证明材料；</w:t>
      </w:r>
      <w:r/>
    </w:p>
    <w:p>
      <w:pPr>
        <w:ind w:firstLine="420"/>
        <w:keepLines w:val="0"/>
        <w:keepNext w:val="0"/>
        <w:pageBreakBefore w:val="0"/>
        <w:spacing w:line="340" w:lineRule="exact"/>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（5）参加政府采购活动前三年内在经营活动中没有重大违法记录的证明材料；</w:t>
      </w:r>
      <w:r/>
    </w:p>
    <w:p>
      <w:pPr>
        <w:ind w:firstLine="420"/>
        <w:keepLines w:val="0"/>
        <w:keepNext w:val="0"/>
        <w:pageBreakBefore w:val="0"/>
        <w:spacing w:line="340" w:lineRule="exact"/>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（6）未被列入失信被执行人、重大税收违法失信主体、政府采购严重违法失信行为记录名单的证明材料。</w:t>
      </w:r>
      <w:r/>
    </w:p>
    <w:p>
      <w:pPr>
        <w:ind w:firstLine="420"/>
        <w:keepLines w:val="0"/>
        <w:keepNext w:val="0"/>
        <w:pageBreakBefore w:val="0"/>
        <w:spacing w:line="340" w:lineRule="exact"/>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420"/>
        <w:keepLines w:val="0"/>
        <w:keepNext w:val="0"/>
        <w:pageBreakBefore w:val="0"/>
        <w:spacing w:line="340" w:lineRule="exact"/>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供应商涉及以下情形的，不适用信用承诺，仍须提供上述证明材料：</w:t>
      </w:r>
      <w:r/>
    </w:p>
    <w:p>
      <w:pPr>
        <w:ind w:firstLine="420"/>
        <w:keepLines w:val="0"/>
        <w:keepNext w:val="0"/>
        <w:pageBreakBefore w:val="0"/>
        <w:spacing w:line="340" w:lineRule="exact"/>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（1）供应商被列入严重失信主体名单；</w:t>
      </w:r>
      <w:r/>
    </w:p>
    <w:p>
      <w:pPr>
        <w:ind w:firstLine="420"/>
        <w:keepLines w:val="0"/>
        <w:keepNext w:val="0"/>
        <w:pageBreakBefore w:val="0"/>
        <w:spacing w:line="340" w:lineRule="exact"/>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（2）被相关监管部门作出行政处罚且尚在处罚有效期内；</w:t>
      </w:r>
      <w:r/>
    </w:p>
    <w:p>
      <w:pPr>
        <w:ind w:firstLine="420"/>
        <w:keepLines w:val="0"/>
        <w:keepNext w:val="0"/>
        <w:pageBreakBefore w:val="0"/>
        <w:spacing w:line="340" w:lineRule="exact"/>
        <w:rPr>
          <w:rFonts w:hint="default" w:ascii="Times New Roman" w:hAnsi="Times New Roman" w:cs="Times New Roman"/>
          <w:color w:val="000000"/>
          <w:szCs w:val="21"/>
          <w:highlight w:val="none"/>
        </w:rPr>
        <w:outlineLvl w:val="9"/>
      </w:pPr>
      <w:r>
        <w:rPr>
          <w:rFonts w:hint="default" w:ascii="Times New Roman" w:hAnsi="Times New Roman" w:cs="Times New Roman"/>
          <w:color w:val="000000"/>
          <w:szCs w:val="21"/>
          <w:highlight w:val="none"/>
        </w:rPr>
        <w:t xml:space="preserve">（3）其他法律、行政法规规定的不适用信用承诺的情形。</w:t>
      </w:r>
      <w:r/>
    </w:p>
    <w:p>
      <w:pPr>
        <w:ind w:firstLine="420"/>
        <w:spacing w:line="400" w:lineRule="exact"/>
        <w:rPr>
          <w:color w:val="000000" w:themeColor="text1"/>
          <w14:textFill>
            <w14:solidFill>
              <w14:schemeClr w14:val="tx1"/>
            </w14:solidFill>
          </w14:textFill>
        </w:rPr>
        <w:outlineLvl w:val="9"/>
      </w:pPr>
      <w:r>
        <w:rPr>
          <w:rFonts w:hint="default" w:ascii="Times New Roman" w:hAnsi="Times New Roman" w:cs="Times New Roman"/>
          <w:color w:val="000000"/>
          <w:szCs w:val="21"/>
          <w:highlight w:val="none"/>
        </w:rPr>
        <w:t xml:space="preserve">投标人对信用承诺内容的真实性、合法性、有效性负责。如作出虚假信用承诺，视同为“提供虚假材料谋取中标、成交”的违法行为。</w:t>
      </w:r>
      <w:r>
        <w:rPr>
          <w:color w:val="000000" w:themeColor="text1"/>
          <w14:textFill>
            <w14:solidFill>
              <w14:schemeClr w14:val="tx1"/>
            </w14:solidFill>
          </w14:textFill>
        </w:rPr>
        <w:t xml:space="preserve"> </w:t>
      </w:r>
      <w:r/>
    </w:p>
    <w:p>
      <w:pPr>
        <w:pStyle w:val="802"/>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ind w:firstLine="2429"/>
        <w:keepLines/>
        <w:keepNext/>
        <w:spacing w:before="260" w:after="260" w:line="415" w:lineRule="auto"/>
        <w:rPr>
          <w:color w:val="000000" w:themeColor="text1"/>
          <w:sz w:val="24"/>
          <w:szCs w:val="24"/>
          <w14:textFill>
            <w14:solidFill>
              <w14:schemeClr w14:val="tx1"/>
            </w14:solidFill>
          </w14:textFill>
        </w:rPr>
        <w:outlineLvl w:val="0"/>
      </w:pPr>
      <w:r>
        <w:rPr>
          <w:color w:val="000000" w:themeColor="text1"/>
          <w:sz w:val="24"/>
          <w:szCs w:val="24"/>
          <w14:textFill>
            <w14:solidFill>
              <w14:schemeClr w14:val="tx1"/>
            </w14:solidFill>
          </w14:textFill>
        </w:rPr>
        <w:br w:type="page" w:clear="all"/>
      </w:r>
      <w:bookmarkEnd w:id="1"/>
      <w:r/>
      <w:bookmarkEnd w:id="2"/>
      <w:r/>
      <w:bookmarkEnd w:id="3"/>
      <w:r/>
      <w:bookmarkEnd w:id="4"/>
      <w:r/>
      <w:bookmarkEnd w:id="5"/>
      <w:r/>
      <w:bookmarkStart w:id="41" w:name="_Toc120614211"/>
      <w:r/>
      <w:bookmarkStart w:id="42" w:name="_Toc20854"/>
      <w:r/>
      <w:bookmarkStart w:id="43" w:name="_Toc479757207"/>
      <w:r/>
      <w:bookmarkStart w:id="44" w:name="_Toc16938558"/>
      <w:r/>
      <w:bookmarkStart w:id="45" w:name="_Toc513029242"/>
      <w:r/>
      <w:bookmarkStart w:id="46" w:name="_Toc20823314"/>
      <w:r/>
      <w:bookmarkStart w:id="47" w:name="_Toc120614221"/>
      <w:r>
        <w:rPr>
          <w:rFonts w:eastAsia="黑体"/>
          <w:b/>
          <w:bCs/>
          <w:color w:val="000000" w:themeColor="text1"/>
          <w:sz w:val="44"/>
          <w:szCs w:val="44"/>
          <w14:textFill>
            <w14:solidFill>
              <w14:schemeClr w14:val="tx1"/>
            </w14:solidFill>
          </w14:textFill>
        </w:rPr>
        <w:t xml:space="preserve">第二章  </w:t>
      </w:r>
      <w:bookmarkEnd w:id="41"/>
      <w:r/>
      <w:bookmarkStart w:id="48" w:name="_Toc16938518"/>
      <w:r/>
      <w:bookmarkEnd w:id="48"/>
      <w:r/>
      <w:bookmarkStart w:id="49" w:name="_Toc513029202"/>
      <w:r/>
      <w:bookmarkEnd w:id="49"/>
      <w:r/>
      <w:bookmarkStart w:id="50" w:name="_Toc120614213"/>
      <w:r/>
      <w:bookmarkEnd w:id="50"/>
      <w:r/>
      <w:bookmarkStart w:id="51" w:name="_Toc20823274"/>
      <w:r>
        <w:rPr>
          <w:rFonts w:eastAsia="黑体"/>
          <w:b/>
          <w:bCs/>
          <w:color w:val="000000" w:themeColor="text1"/>
          <w:sz w:val="44"/>
          <w:szCs w:val="44"/>
          <w14:textFill>
            <w14:solidFill>
              <w14:schemeClr w14:val="tx1"/>
            </w14:solidFill>
          </w14:textFill>
        </w:rPr>
        <w:t xml:space="preserve">投标人须知</w:t>
      </w:r>
      <w:bookmarkEnd w:id="42"/>
      <w:r/>
      <w:bookmarkEnd w:id="51"/>
      <w:r/>
      <w:r/>
    </w:p>
    <w:p>
      <w:pPr>
        <w:ind w:firstLine="422"/>
        <w:keepLines/>
        <w:keepNext/>
        <w:pageBreakBefore w:val="0"/>
        <w:spacing w:line="380" w:lineRule="exact"/>
        <w:widowControl w:val="off"/>
        <w:rPr>
          <w:rFonts w:hint="eastAsia" w:ascii="宋体" w:hAnsi="宋体" w:eastAsia="宋体" w:cs="宋体"/>
          <w:b/>
          <w:bCs/>
          <w:color w:val="000000"/>
          <w:sz w:val="21"/>
          <w:szCs w:val="21"/>
        </w:rPr>
        <w:outlineLvl w:val="9"/>
      </w:pPr>
      <w:r/>
      <w:bookmarkStart w:id="52" w:name="_Toc513029203"/>
      <w:r/>
      <w:bookmarkEnd w:id="52"/>
      <w:r/>
      <w:bookmarkStart w:id="53" w:name="_Toc16938519"/>
      <w:r/>
      <w:bookmarkEnd w:id="53"/>
      <w:r/>
      <w:bookmarkStart w:id="54" w:name="_Toc20823275"/>
      <w:r/>
      <w:bookmarkEnd w:id="54"/>
      <w:r/>
      <w:bookmarkStart w:id="55" w:name="_Toc120614214"/>
      <w:r>
        <w:rPr>
          <w:rFonts w:hint="eastAsia" w:ascii="宋体" w:hAnsi="宋体" w:eastAsia="宋体" w:cs="宋体"/>
          <w:b/>
          <w:bCs/>
          <w:color w:val="000000"/>
          <w:sz w:val="21"/>
          <w:szCs w:val="21"/>
        </w:rPr>
        <w:t xml:space="preserve">一、总则</w:t>
      </w:r>
      <w:bookmarkEnd w:id="55"/>
      <w:r/>
      <w:r/>
    </w:p>
    <w:p>
      <w:pPr>
        <w:ind w:firstLine="420"/>
        <w:keepLines/>
        <w:keepNext/>
        <w:pageBreakBefore w:val="0"/>
        <w:spacing w:line="380" w:lineRule="exact"/>
        <w:widowControl w:val="off"/>
        <w:rPr>
          <w:rFonts w:hint="eastAsia" w:ascii="宋体" w:hAnsi="宋体" w:eastAsia="宋体" w:cs="宋体"/>
          <w:color w:val="000000"/>
          <w:sz w:val="21"/>
          <w:szCs w:val="21"/>
        </w:rPr>
        <w:outlineLvl w:val="9"/>
      </w:pPr>
      <w:r/>
      <w:bookmarkStart w:id="56" w:name="_Hlt16619475"/>
      <w:r/>
      <w:bookmarkEnd w:id="56"/>
      <w:r/>
      <w:bookmarkStart w:id="57" w:name="_Toc458694821"/>
      <w:r/>
      <w:bookmarkStart w:id="58" w:name="_Toc16938520"/>
      <w:r/>
      <w:bookmarkStart w:id="59" w:name="_Toc20823276"/>
      <w:r/>
      <w:bookmarkStart w:id="60" w:name="_Toc513029204"/>
      <w:r>
        <w:rPr>
          <w:rFonts w:hint="eastAsia" w:ascii="宋体" w:hAnsi="宋体" w:eastAsia="宋体" w:cs="宋体"/>
          <w:color w:val="000000"/>
          <w:sz w:val="21"/>
          <w:szCs w:val="21"/>
        </w:rPr>
        <w:t xml:space="preserve">1</w:t>
      </w:r>
      <w:bookmarkEnd w:id="57"/>
      <w:r>
        <w:rPr>
          <w:rFonts w:hint="eastAsia" w:ascii="宋体" w:hAnsi="宋体" w:eastAsia="宋体" w:cs="宋体"/>
          <w:color w:val="000000"/>
          <w:sz w:val="21"/>
          <w:szCs w:val="21"/>
        </w:rPr>
        <w:t xml:space="preserve">、招标方式</w:t>
      </w:r>
      <w:bookmarkEnd w:id="58"/>
      <w:r/>
      <w:bookmarkEnd w:id="59"/>
      <w:r/>
      <w:bookmarkEnd w:id="60"/>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 本次招标采取公开招标方式，本招标文件仅适用于招标公告中所述项目。</w:t>
      </w:r>
      <w:r/>
    </w:p>
    <w:p>
      <w:pPr>
        <w:ind w:firstLine="420"/>
        <w:keepLines/>
        <w:keepNext/>
        <w:pageBreakBefore w:val="0"/>
        <w:spacing w:line="380" w:lineRule="exact"/>
        <w:widowControl w:val="off"/>
        <w:rPr>
          <w:rFonts w:hint="eastAsia" w:ascii="宋体" w:hAnsi="宋体" w:eastAsia="宋体" w:cs="宋体"/>
          <w:color w:val="000000"/>
          <w:sz w:val="21"/>
          <w:szCs w:val="21"/>
        </w:rPr>
        <w:outlineLvl w:val="9"/>
      </w:pPr>
      <w:r/>
      <w:bookmarkStart w:id="61" w:name="_Toc16938521"/>
      <w:r/>
      <w:bookmarkStart w:id="62" w:name="_Toc513029205"/>
      <w:r/>
      <w:bookmarkStart w:id="63" w:name="_Toc20823277"/>
      <w:r>
        <w:rPr>
          <w:rFonts w:hint="eastAsia" w:ascii="宋体" w:hAnsi="宋体" w:eastAsia="宋体" w:cs="宋体"/>
          <w:color w:val="000000"/>
          <w:sz w:val="21"/>
          <w:szCs w:val="21"/>
        </w:rPr>
        <w:t xml:space="preserve">2、合格的投标人</w:t>
      </w:r>
      <w:bookmarkEnd w:id="61"/>
      <w:r/>
      <w:bookmarkEnd w:id="62"/>
      <w:r/>
      <w:bookmarkEnd w:id="63"/>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2.1满足招标公告中供应商的资格要求的规定。</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 满足本文件实质性要求的规定。</w:t>
      </w:r>
      <w:r/>
    </w:p>
    <w:p>
      <w:pPr>
        <w:ind w:firstLine="420"/>
        <w:keepLines/>
        <w:keepNext/>
        <w:pageBreakBefore w:val="0"/>
        <w:spacing w:line="380" w:lineRule="exact"/>
        <w:widowControl w:val="off"/>
        <w:rPr>
          <w:rFonts w:hint="eastAsia" w:ascii="宋体" w:hAnsi="宋体" w:eastAsia="宋体" w:cs="宋体"/>
          <w:color w:val="000000"/>
          <w:sz w:val="21"/>
          <w:szCs w:val="21"/>
        </w:rPr>
        <w:outlineLvl w:val="9"/>
      </w:pPr>
      <w:r/>
      <w:bookmarkStart w:id="64" w:name="_Toc513029206"/>
      <w:r/>
      <w:bookmarkStart w:id="65" w:name="_Toc16938522"/>
      <w:r/>
      <w:bookmarkStart w:id="66" w:name="_Toc20823278"/>
      <w:r>
        <w:rPr>
          <w:rFonts w:hint="eastAsia" w:ascii="宋体" w:hAnsi="宋体" w:eastAsia="宋体" w:cs="宋体"/>
          <w:color w:val="000000"/>
          <w:sz w:val="21"/>
          <w:szCs w:val="21"/>
        </w:rPr>
        <w:t xml:space="preserve">3、适用法律</w:t>
      </w:r>
      <w:bookmarkEnd w:id="64"/>
      <w:r/>
      <w:bookmarkEnd w:id="65"/>
      <w:r/>
      <w:bookmarkEnd w:id="66"/>
      <w:r>
        <w:rPr>
          <w:rFonts w:hint="eastAsia" w:ascii="宋体" w:hAnsi="宋体" w:eastAsia="宋体" w:cs="宋体"/>
          <w:color w:val="000000"/>
          <w:sz w:val="21"/>
          <w:szCs w:val="21"/>
        </w:rPr>
        <w:t xml:space="preserve">和标准</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3.1 本次招标及由此产生的合同受中华人民共和国有关的法律法规制约和保护。</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 在本项目政府采购活动过程中，如果所执行的标准有更新的，按照最新标准执行。</w:t>
      </w:r>
      <w:r/>
    </w:p>
    <w:p>
      <w:pPr>
        <w:ind w:firstLine="420"/>
        <w:keepLines/>
        <w:keepNext/>
        <w:pageBreakBefore w:val="0"/>
        <w:spacing w:line="380" w:lineRule="exact"/>
        <w:widowControl w:val="off"/>
        <w:rPr>
          <w:rFonts w:hint="eastAsia" w:ascii="宋体" w:hAnsi="宋体" w:eastAsia="宋体" w:cs="宋体"/>
          <w:color w:val="000000"/>
          <w:sz w:val="21"/>
          <w:szCs w:val="21"/>
        </w:rPr>
        <w:outlineLvl w:val="9"/>
      </w:pPr>
      <w:r/>
      <w:bookmarkStart w:id="67" w:name="_Toc462564067"/>
      <w:r/>
      <w:bookmarkStart w:id="68" w:name="_Toc16938523"/>
      <w:r/>
      <w:bookmarkStart w:id="69" w:name="_Toc513029207"/>
      <w:r/>
      <w:bookmarkStart w:id="70" w:name="_Toc20823279"/>
      <w:r>
        <w:rPr>
          <w:rFonts w:hint="eastAsia" w:ascii="宋体" w:hAnsi="宋体" w:eastAsia="宋体" w:cs="宋体"/>
          <w:color w:val="000000"/>
          <w:sz w:val="21"/>
          <w:szCs w:val="21"/>
        </w:rPr>
        <w:t xml:space="preserve">4、投标费用</w:t>
      </w:r>
      <w:bookmarkEnd w:id="67"/>
      <w:r/>
      <w:bookmarkEnd w:id="68"/>
      <w:r/>
      <w:bookmarkEnd w:id="69"/>
      <w:r/>
      <w:bookmarkEnd w:id="70"/>
      <w:r/>
      <w:r/>
    </w:p>
    <w:p>
      <w:pPr>
        <w:ind w:firstLine="420"/>
        <w:pageBreakBefore w:val="0"/>
        <w:spacing w:line="38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rPr>
        <w:t xml:space="preserve">4.1</w:t>
      </w:r>
      <w:r>
        <w:rPr>
          <w:rFonts w:hint="eastAsia" w:ascii="宋体" w:hAnsi="宋体" w:eastAsia="宋体" w:cs="宋体"/>
          <w:color w:val="000000"/>
          <w:sz w:val="21"/>
          <w:szCs w:val="21"/>
        </w:rPr>
        <w:t xml:space="preserve"> 投标人应自行承担所有与参加投标有关的费用，无论投标过程中的做法和结果如何，</w:t>
      </w:r>
      <w:r>
        <w:rPr>
          <w:rFonts w:hint="default" w:ascii="Times New Roman" w:hAnsi="Times New Roman" w:cs="Times New Roman"/>
          <w:color w:val="000000"/>
          <w:highlight w:val="none"/>
        </w:rPr>
        <w:t xml:space="preserve">代理机构在任何情况下均无义务和责任承担这些费用。</w:t>
      </w:r>
      <w:r/>
    </w:p>
    <w:p>
      <w:pPr>
        <w:ind w:firstLine="480"/>
        <w:pageBreakBefore w:val="0"/>
        <w:spacing w:line="3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4.2本次招标收费标准:参照《江苏省招标代理服务收费的指导意见》(苏招协(2022)002号文)代理招标收费标准</w:t>
      </w:r>
      <w:r>
        <w:rPr>
          <w:rFonts w:hint="eastAsia" w:ascii="宋体" w:hAnsi="宋体" w:eastAsia="宋体" w:cs="宋体"/>
          <w:color w:val="000000"/>
          <w:sz w:val="21"/>
          <w:szCs w:val="21"/>
          <w:highlight w:val="none"/>
          <w:lang w:val="en-US" w:eastAsia="zh-CN"/>
        </w:rPr>
        <w:t xml:space="preserve">的6</w:t>
      </w:r>
      <w:r>
        <w:rPr>
          <w:rFonts w:hint="eastAsia" w:ascii="宋体" w:hAnsi="宋体" w:eastAsia="宋体" w:cs="宋体"/>
          <w:color w:val="000000"/>
          <w:sz w:val="21"/>
          <w:szCs w:val="21"/>
          <w:highlight w:val="none"/>
        </w:rPr>
        <w:t xml:space="preserve">5%(最低收费5000元整)收取。因本项目预算已包含招标代理服务费用，由中标人在领取中标通知书前向招标代理机构支付招标服务费。投标人报价应当包含招标代理服务费用。</w:t>
      </w:r>
      <w:r/>
    </w:p>
    <w:p>
      <w:pPr>
        <w:ind w:firstLine="420"/>
        <w:keepLines/>
        <w:keepNext/>
        <w:pageBreakBefore w:val="0"/>
        <w:spacing w:line="38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5、招标文件的约束力</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5.1</w:t>
      </w:r>
      <w:r>
        <w:rPr>
          <w:rFonts w:hint="eastAsia" w:ascii="宋体" w:hAnsi="宋体" w:eastAsia="宋体" w:cs="宋体"/>
          <w:color w:val="000000"/>
          <w:sz w:val="21"/>
          <w:szCs w:val="21"/>
        </w:rPr>
        <w:t xml:space="preserve"> 投标人一旦参加本项目采购活动，即被认为接受了本招标文件的规定和约束。</w:t>
      </w:r>
      <w:r/>
    </w:p>
    <w:p>
      <w:pPr>
        <w:ind w:firstLine="422"/>
        <w:keepLines/>
        <w:keepNext/>
        <w:pageBreakBefore w:val="0"/>
        <w:spacing w:line="380" w:lineRule="exact"/>
        <w:widowControl w:val="off"/>
        <w:rPr>
          <w:rFonts w:hint="eastAsia" w:ascii="宋体" w:hAnsi="宋体" w:eastAsia="宋体" w:cs="宋体"/>
          <w:b/>
          <w:bCs/>
          <w:color w:val="000000"/>
          <w:sz w:val="21"/>
          <w:szCs w:val="21"/>
        </w:rPr>
        <w:outlineLvl w:val="9"/>
      </w:pPr>
      <w:r/>
      <w:bookmarkStart w:id="71" w:name="_Toc20823281"/>
      <w:r/>
      <w:bookmarkStart w:id="72" w:name="_Toc16938525"/>
      <w:r/>
      <w:bookmarkStart w:id="73" w:name="_Toc513029209"/>
      <w:r/>
      <w:bookmarkStart w:id="74" w:name="_Toc120614215"/>
      <w:r>
        <w:rPr>
          <w:rFonts w:hint="eastAsia" w:ascii="宋体" w:hAnsi="宋体" w:eastAsia="宋体" w:cs="宋体"/>
          <w:b/>
          <w:bCs/>
          <w:color w:val="000000"/>
          <w:sz w:val="21"/>
          <w:szCs w:val="21"/>
        </w:rPr>
        <w:t xml:space="preserve">二、招标文件</w:t>
      </w:r>
      <w:bookmarkEnd w:id="71"/>
      <w:r/>
      <w:bookmarkEnd w:id="72"/>
      <w:r/>
      <w:bookmarkEnd w:id="73"/>
      <w:r/>
      <w:bookmarkEnd w:id="74"/>
      <w:r/>
      <w:r/>
    </w:p>
    <w:p>
      <w:pPr>
        <w:ind w:firstLine="420"/>
        <w:keepLines/>
        <w:keepNext/>
        <w:pageBreakBefore w:val="0"/>
        <w:spacing w:line="380" w:lineRule="exact"/>
        <w:widowControl w:val="off"/>
        <w:rPr>
          <w:rFonts w:hint="eastAsia" w:ascii="宋体" w:hAnsi="宋体" w:eastAsia="宋体" w:cs="宋体"/>
          <w:color w:val="000000"/>
          <w:sz w:val="21"/>
          <w:szCs w:val="21"/>
        </w:rPr>
        <w:outlineLvl w:val="9"/>
      </w:pPr>
      <w:r/>
      <w:bookmarkStart w:id="75" w:name="_Toc513029210"/>
      <w:r/>
      <w:bookmarkStart w:id="76" w:name="_Toc20823282"/>
      <w:r/>
      <w:bookmarkStart w:id="77" w:name="_Toc16938526"/>
      <w:r>
        <w:rPr>
          <w:rFonts w:hint="eastAsia" w:ascii="宋体" w:hAnsi="宋体" w:eastAsia="宋体" w:cs="宋体"/>
          <w:color w:val="000000"/>
          <w:sz w:val="21"/>
          <w:szCs w:val="21"/>
        </w:rPr>
        <w:t xml:space="preserve">6、招标文件构成</w:t>
      </w:r>
      <w:bookmarkEnd w:id="75"/>
      <w:r/>
      <w:bookmarkEnd w:id="76"/>
      <w:r/>
      <w:bookmarkEnd w:id="77"/>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6.1</w:t>
      </w:r>
      <w:r>
        <w:rPr>
          <w:rFonts w:hint="eastAsia" w:ascii="宋体" w:hAnsi="宋体" w:eastAsia="宋体" w:cs="宋体"/>
          <w:color w:val="000000"/>
          <w:sz w:val="21"/>
          <w:szCs w:val="21"/>
        </w:rPr>
        <w:t xml:space="preserve"> 招标文件由以下部分组成：</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（1）投标邀请</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（2）投标人须知</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（3）合同文本</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（4）采购需求</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（5）评标方法与评标标准</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（6）投标文件格式</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请仔细检查招标文件是否齐全，如有缺漏请立即与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联系解决。</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6.2</w:t>
      </w:r>
      <w:r>
        <w:rPr>
          <w:rFonts w:hint="eastAsia" w:ascii="宋体" w:hAnsi="宋体" w:eastAsia="宋体" w:cs="宋体"/>
          <w:color w:val="000000"/>
          <w:sz w:val="2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380" w:lineRule="exact"/>
        <w:widowControl w:val="off"/>
        <w:rPr>
          <w:rFonts w:hint="eastAsia" w:ascii="宋体" w:hAnsi="宋体" w:eastAsia="宋体" w:cs="宋体"/>
          <w:color w:val="000000"/>
          <w:sz w:val="21"/>
          <w:szCs w:val="21"/>
        </w:rPr>
        <w:outlineLvl w:val="9"/>
      </w:pPr>
      <w:r/>
      <w:bookmarkStart w:id="78" w:name="_Toc20823284"/>
      <w:r/>
      <w:bookmarkStart w:id="79" w:name="_Toc16938528"/>
      <w:r/>
      <w:bookmarkStart w:id="80" w:name="_Toc513029212"/>
      <w:r/>
      <w:bookmarkStart w:id="81" w:name="_Toc462564071"/>
      <w:r>
        <w:rPr>
          <w:rFonts w:hint="eastAsia" w:ascii="宋体" w:hAnsi="宋体" w:eastAsia="宋体" w:cs="宋体"/>
          <w:color w:val="000000"/>
          <w:sz w:val="21"/>
          <w:szCs w:val="21"/>
        </w:rPr>
        <w:t xml:space="preserve">7、招标文件的修改</w:t>
      </w:r>
      <w:bookmarkEnd w:id="78"/>
      <w:r/>
      <w:bookmarkEnd w:id="79"/>
      <w:r/>
      <w:bookmarkEnd w:id="80"/>
      <w:r/>
      <w:bookmarkEnd w:id="81"/>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7.1</w:t>
      </w:r>
      <w:r>
        <w:rPr>
          <w:rFonts w:hint="eastAsia" w:ascii="宋体" w:hAnsi="宋体" w:eastAsia="宋体" w:cs="宋体"/>
          <w:color w:val="000000"/>
          <w:sz w:val="21"/>
          <w:szCs w:val="21"/>
        </w:rPr>
        <w:t xml:space="preserve"> 在投标截止时间前，</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可以对招标文件进行修改。</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7.2 </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有权按照法定的要求推迟投标截止日期和开标日期。</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7.3 </w:t>
      </w:r>
      <w:r>
        <w:rPr>
          <w:rFonts w:hint="eastAsia" w:ascii="宋体" w:hAnsi="宋体" w:eastAsia="宋体" w:cs="宋体"/>
          <w:color w:val="000000"/>
          <w:sz w:val="21"/>
          <w:szCs w:val="21"/>
        </w:rPr>
        <w:t xml:space="preserve">招标文件的修改将在江苏政府采购网公布，补充文件将作为招标文件的组成部分，并对投标人具有约束力。</w:t>
      </w:r>
      <w:r/>
    </w:p>
    <w:p>
      <w:pPr>
        <w:ind w:firstLine="422"/>
        <w:keepLines/>
        <w:keepNext/>
        <w:pageBreakBefore w:val="0"/>
        <w:spacing w:line="380" w:lineRule="exact"/>
        <w:widowControl w:val="off"/>
        <w:rPr>
          <w:rFonts w:hint="eastAsia" w:ascii="宋体" w:hAnsi="宋体" w:eastAsia="宋体" w:cs="宋体"/>
          <w:b/>
          <w:bCs/>
          <w:color w:val="000000"/>
          <w:sz w:val="21"/>
          <w:szCs w:val="21"/>
        </w:rPr>
        <w:outlineLvl w:val="9"/>
      </w:pPr>
      <w:r/>
      <w:bookmarkStart w:id="82" w:name="_Toc462564072"/>
      <w:r/>
      <w:bookmarkStart w:id="83" w:name="_Toc513029213"/>
      <w:r/>
      <w:bookmarkStart w:id="84" w:name="_Toc16938529"/>
      <w:r/>
      <w:bookmarkStart w:id="85" w:name="_Toc120614216"/>
      <w:r/>
      <w:bookmarkStart w:id="86" w:name="_Toc20823285"/>
      <w:r>
        <w:rPr>
          <w:rFonts w:hint="eastAsia" w:ascii="宋体" w:hAnsi="宋体" w:eastAsia="宋体" w:cs="宋体"/>
          <w:b/>
          <w:bCs/>
          <w:color w:val="000000"/>
          <w:sz w:val="21"/>
          <w:szCs w:val="21"/>
        </w:rPr>
        <w:t xml:space="preserve">三、投标文件的编制</w:t>
      </w:r>
      <w:bookmarkEnd w:id="82"/>
      <w:r/>
      <w:bookmarkEnd w:id="83"/>
      <w:r/>
      <w:bookmarkEnd w:id="84"/>
      <w:r/>
      <w:bookmarkEnd w:id="85"/>
      <w:r/>
      <w:bookmarkEnd w:id="86"/>
      <w:r/>
      <w:r/>
    </w:p>
    <w:p>
      <w:pPr>
        <w:ind w:firstLine="420"/>
        <w:keepLines/>
        <w:keepNext/>
        <w:pageBreakBefore w:val="0"/>
        <w:spacing w:line="380" w:lineRule="exact"/>
        <w:widowControl w:val="off"/>
        <w:rPr>
          <w:rFonts w:hint="eastAsia" w:ascii="宋体" w:hAnsi="宋体" w:eastAsia="宋体" w:cs="宋体"/>
          <w:b/>
          <w:color w:val="000000"/>
          <w:sz w:val="21"/>
          <w:szCs w:val="21"/>
        </w:rPr>
        <w:outlineLvl w:val="9"/>
      </w:pPr>
      <w:r/>
      <w:bookmarkStart w:id="87" w:name="_Toc513029214"/>
      <w:r/>
      <w:bookmarkStart w:id="88" w:name="_Toc16938530"/>
      <w:r/>
      <w:bookmarkStart w:id="89" w:name="_Toc462564073"/>
      <w:r/>
      <w:bookmarkStart w:id="90" w:name="_Toc20823286"/>
      <w:r>
        <w:rPr>
          <w:rFonts w:hint="eastAsia" w:ascii="宋体" w:hAnsi="宋体" w:eastAsia="宋体" w:cs="宋体"/>
          <w:color w:val="000000"/>
          <w:sz w:val="21"/>
          <w:szCs w:val="21"/>
        </w:rPr>
        <w:t xml:space="preserve">8、投标文件的语言及度量衡单位</w:t>
      </w:r>
      <w:bookmarkEnd w:id="87"/>
      <w:r/>
      <w:bookmarkEnd w:id="88"/>
      <w:r/>
      <w:bookmarkEnd w:id="89"/>
      <w:r/>
      <w:bookmarkEnd w:id="90"/>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8.1</w:t>
      </w:r>
      <w:r>
        <w:rPr>
          <w:rFonts w:hint="eastAsia" w:ascii="宋体" w:hAnsi="宋体" w:eastAsia="宋体" w:cs="宋体"/>
          <w:color w:val="000000"/>
          <w:sz w:val="21"/>
          <w:szCs w:val="21"/>
        </w:rPr>
        <w:t xml:space="preserve"> 投标人提交的投标文件以及投标人与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就有关投标的所有来往通知、函件和文件均应使用</w:t>
      </w:r>
      <w:r>
        <w:rPr>
          <w:rFonts w:hint="eastAsia" w:ascii="宋体" w:hAnsi="宋体" w:eastAsia="宋体" w:cs="宋体"/>
          <w:b/>
          <w:bCs/>
          <w:color w:val="000000"/>
          <w:sz w:val="21"/>
          <w:szCs w:val="21"/>
        </w:rPr>
        <w:t xml:space="preserve">简体中文</w:t>
      </w:r>
      <w:r>
        <w:rPr>
          <w:rFonts w:hint="eastAsia" w:ascii="宋体" w:hAnsi="宋体" w:eastAsia="宋体" w:cs="宋体"/>
          <w:color w:val="000000"/>
          <w:sz w:val="21"/>
          <w:szCs w:val="21"/>
        </w:rPr>
        <w:t xml:space="preserve">。</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8.2</w:t>
      </w:r>
      <w:r>
        <w:rPr>
          <w:rFonts w:hint="eastAsia" w:ascii="宋体" w:hAnsi="宋体" w:eastAsia="宋体" w:cs="宋体"/>
          <w:color w:val="000000"/>
          <w:sz w:val="21"/>
          <w:szCs w:val="21"/>
        </w:rPr>
        <w:t xml:space="preserve"> 除技术性能另有规定外，投标文件所使用的度量衡单位，均须采用国家法定计量单位。</w:t>
      </w:r>
      <w:r/>
    </w:p>
    <w:p>
      <w:pPr>
        <w:ind w:firstLine="420"/>
        <w:keepLines/>
        <w:keepNext/>
        <w:pageBreakBefore w:val="0"/>
        <w:spacing w:line="380" w:lineRule="exact"/>
        <w:widowControl w:val="off"/>
        <w:rPr>
          <w:rFonts w:hint="eastAsia" w:ascii="宋体" w:hAnsi="宋体" w:eastAsia="宋体" w:cs="宋体"/>
          <w:color w:val="000000"/>
          <w:sz w:val="21"/>
          <w:szCs w:val="21"/>
        </w:rPr>
        <w:outlineLvl w:val="9"/>
      </w:pPr>
      <w:r/>
      <w:bookmarkStart w:id="91" w:name="_Toc462564074"/>
      <w:r/>
      <w:bookmarkStart w:id="92" w:name="_Toc16938531"/>
      <w:r/>
      <w:bookmarkStart w:id="93" w:name="_Toc513029215"/>
      <w:r/>
      <w:bookmarkStart w:id="94" w:name="_Toc20823287"/>
      <w:r>
        <w:rPr>
          <w:rFonts w:hint="eastAsia" w:ascii="宋体" w:hAnsi="宋体" w:eastAsia="宋体" w:cs="宋体"/>
          <w:color w:val="000000"/>
          <w:sz w:val="21"/>
          <w:szCs w:val="21"/>
        </w:rPr>
        <w:t xml:space="preserve">9、投标文件构成</w:t>
      </w:r>
      <w:bookmarkEnd w:id="91"/>
      <w:r/>
      <w:bookmarkEnd w:id="92"/>
      <w:r/>
      <w:bookmarkEnd w:id="93"/>
      <w:r/>
      <w:bookmarkEnd w:id="94"/>
      <w:r/>
      <w:r/>
    </w:p>
    <w:p>
      <w:pPr>
        <w:ind w:firstLine="42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bCs/>
          <w:sz w:val="21"/>
          <w:szCs w:val="21"/>
        </w:rPr>
        <w:t xml:space="preserve">9.1</w:t>
      </w:r>
      <w:r>
        <w:rPr>
          <w:rFonts w:hint="eastAsia" w:ascii="宋体" w:hAnsi="宋体" w:eastAsia="宋体" w:cs="宋体"/>
          <w:sz w:val="21"/>
          <w:szCs w:val="21"/>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9.2 如标书制作工具中格式和内容与“江苏政府采购网”发布的招标文件不一致，请以“江苏政府采购网”发布的招标文件为准。</w:t>
      </w:r>
      <w:r/>
    </w:p>
    <w:p>
      <w:pPr>
        <w:ind w:firstLine="420"/>
        <w:keepLines/>
        <w:keepNext/>
        <w:pageBreakBefore w:val="0"/>
        <w:spacing w:line="380" w:lineRule="exact"/>
        <w:widowControl w:val="off"/>
        <w:rPr>
          <w:rFonts w:hint="eastAsia" w:ascii="宋体" w:hAnsi="宋体" w:eastAsia="宋体" w:cs="宋体"/>
          <w:color w:val="000000"/>
          <w:sz w:val="21"/>
          <w:szCs w:val="21"/>
        </w:rPr>
        <w:outlineLvl w:val="9"/>
      </w:pPr>
      <w:r/>
      <w:bookmarkStart w:id="95" w:name="_Hlt26668975"/>
      <w:r/>
      <w:bookmarkEnd w:id="95"/>
      <w:r/>
      <w:bookmarkStart w:id="96" w:name="_Hlt26954838"/>
      <w:r/>
      <w:bookmarkEnd w:id="96"/>
      <w:r/>
      <w:bookmarkStart w:id="97" w:name="_Hlt26670360"/>
      <w:r/>
      <w:bookmarkEnd w:id="97"/>
      <w:r/>
      <w:bookmarkStart w:id="98" w:name="_Toc513029219"/>
      <w:r/>
      <w:bookmarkStart w:id="99" w:name="_Toc49090509"/>
      <w:r/>
      <w:bookmarkStart w:id="100" w:name="_Toc14577357"/>
      <w:r/>
      <w:bookmarkStart w:id="101" w:name="_Toc14577354"/>
      <w:r/>
      <w:bookmarkStart w:id="102" w:name="_Toc49090507"/>
      <w:r/>
      <w:bookmarkStart w:id="103" w:name="_Toc513029216"/>
      <w:r/>
      <w:bookmarkStart w:id="104" w:name="_Toc14577355"/>
      <w:r/>
      <w:bookmarkStart w:id="105" w:name="_Toc49090508"/>
      <w:r>
        <w:rPr>
          <w:rFonts w:hint="eastAsia" w:ascii="宋体" w:hAnsi="宋体" w:eastAsia="宋体" w:cs="宋体"/>
          <w:color w:val="000000"/>
          <w:sz w:val="21"/>
          <w:szCs w:val="21"/>
        </w:rPr>
        <w:t xml:space="preserve">10、证明投标人及投标标的符合招标文件规定的文件</w:t>
      </w:r>
      <w:bookmarkEnd w:id="98"/>
      <w:r/>
      <w:bookmarkEnd w:id="99"/>
      <w:r/>
      <w:bookmarkEnd w:id="100"/>
      <w:r/>
      <w:bookmarkEnd w:id="101"/>
      <w:bookmarkEnd w:id="102"/>
      <w:bookmarkEnd w:id="103"/>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10.1 投标人应按照招标文件要求提交证明文件，证明其及投标标的符合招标文件规定。</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10.2招标文件对证明文件无明确形式要求的，证明文件可以以文字资料、图纸和数据等形式提交。</w:t>
      </w:r>
      <w:bookmarkEnd w:id="104"/>
      <w:bookmarkEnd w:id="105"/>
      <w:r/>
    </w:p>
    <w:p>
      <w:pPr>
        <w:ind w:firstLine="420"/>
        <w:keepLines/>
        <w:keepNext/>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11、投标分项报价表</w:t>
      </w:r>
      <w:r/>
    </w:p>
    <w:p>
      <w:pPr>
        <w:ind w:firstLine="420"/>
        <w:pageBreakBefore w:val="0"/>
        <w:spacing w:line="3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11.1</w:t>
      </w:r>
      <w:r>
        <w:rPr>
          <w:rFonts w:hint="eastAsia" w:ascii="宋体" w:hAnsi="宋体" w:eastAsia="宋体" w:cs="宋体"/>
          <w:sz w:val="21"/>
          <w:szCs w:val="21"/>
        </w:rPr>
        <w:t xml:space="preserve"> 投</w:t>
      </w:r>
      <w:bookmarkStart w:id="106" w:name="_Hlt26954840"/>
      <w:r/>
      <w:bookmarkEnd w:id="106"/>
      <w:r>
        <w:rPr>
          <w:rFonts w:hint="eastAsia" w:ascii="宋体" w:hAnsi="宋体" w:eastAsia="宋体" w:cs="宋体"/>
          <w:sz w:val="21"/>
          <w:szCs w:val="21"/>
        </w:rPr>
        <w:t xml:space="preserve">标人按照招标文件规定格式填报投标分项报价表</w:t>
      </w:r>
      <w:bookmarkStart w:id="107" w:name="_Hlt26670399"/>
      <w:r/>
      <w:bookmarkEnd w:id="107"/>
      <w:r>
        <w:rPr>
          <w:rFonts w:hint="eastAsia" w:ascii="宋体" w:hAnsi="宋体" w:eastAsia="宋体" w:cs="宋体"/>
          <w:sz w:val="21"/>
          <w:szCs w:val="21"/>
        </w:rPr>
        <w:t xml:space="preserve">。</w:t>
      </w:r>
      <w:r/>
    </w:p>
    <w:p>
      <w:pPr>
        <w:ind w:firstLine="420"/>
        <w:pageBreakBefore w:val="0"/>
        <w:spacing w:line="380" w:lineRule="exact"/>
        <w:widowControl w:val="off"/>
        <w:rPr>
          <w:rFonts w:hint="eastAsia" w:ascii="宋体" w:hAnsi="宋体" w:eastAsia="宋体" w:cs="宋体"/>
          <w:bCs/>
          <w:sz w:val="21"/>
          <w:szCs w:val="21"/>
        </w:rPr>
        <w:outlineLvl w:val="9"/>
      </w:pPr>
      <w:r>
        <w:rPr>
          <w:rFonts w:hint="eastAsia" w:ascii="宋体" w:hAnsi="宋体" w:eastAsia="宋体" w:cs="宋体"/>
          <w:sz w:val="21"/>
          <w:szCs w:val="21"/>
        </w:rPr>
        <w:t xml:space="preserve">11.2</w:t>
      </w:r>
      <w:r>
        <w:rPr>
          <w:rFonts w:hint="eastAsia" w:ascii="宋体" w:hAnsi="宋体" w:eastAsia="宋体" w:cs="宋体"/>
          <w:bCs/>
          <w:sz w:val="21"/>
          <w:szCs w:val="21"/>
        </w:rPr>
        <w:t xml:space="preserve">投标货币。投标文件中的单价和总价无特殊规定的采用人民币报价，以元为单位标注。</w:t>
      </w:r>
      <w:r>
        <w:rPr>
          <w:rFonts w:hint="eastAsia" w:ascii="宋体" w:hAnsi="宋体" w:eastAsia="宋体" w:cs="宋体"/>
          <w:sz w:val="21"/>
          <w:szCs w:val="21"/>
        </w:rPr>
        <w:t xml:space="preserve">招标文件中另有规定的按规定执行。</w:t>
      </w:r>
      <w:r/>
    </w:p>
    <w:p>
      <w:pPr>
        <w:ind w:firstLine="420"/>
        <w:keepLines/>
        <w:keepNext/>
        <w:pageBreakBefore w:val="0"/>
        <w:spacing w:line="380" w:lineRule="exact"/>
        <w:widowControl w:val="off"/>
        <w:rPr>
          <w:rFonts w:hint="eastAsia" w:ascii="宋体" w:hAnsi="宋体" w:eastAsia="宋体" w:cs="宋体"/>
          <w:sz w:val="21"/>
          <w:szCs w:val="21"/>
        </w:rPr>
        <w:outlineLvl w:val="9"/>
      </w:pPr>
      <w:r/>
      <w:bookmarkStart w:id="108" w:name="_Hlt26954848"/>
      <w:r/>
      <w:bookmarkEnd w:id="108"/>
      <w:r/>
      <w:bookmarkStart w:id="109" w:name="_Hlt26954731"/>
      <w:r/>
      <w:bookmarkEnd w:id="109"/>
      <w:r/>
      <w:bookmarkStart w:id="110" w:name="_Hlt26954846"/>
      <w:r/>
      <w:bookmarkEnd w:id="110"/>
      <w:r/>
      <w:bookmarkStart w:id="111" w:name="_Hlt26670482"/>
      <w:r/>
      <w:bookmarkEnd w:id="111"/>
      <w:r/>
      <w:bookmarkStart w:id="112" w:name="_Hlt26670486"/>
      <w:r/>
      <w:bookmarkEnd w:id="112"/>
      <w:r>
        <w:rPr>
          <w:rFonts w:hint="eastAsia" w:ascii="宋体" w:hAnsi="宋体" w:eastAsia="宋体" w:cs="宋体"/>
          <w:sz w:val="21"/>
          <w:szCs w:val="21"/>
        </w:rPr>
        <w:t xml:space="preserve">12、技术要求响应及偏离表、商务要求响应及偏离表</w:t>
      </w:r>
      <w:r/>
    </w:p>
    <w:p>
      <w:pPr>
        <w:ind w:firstLine="420"/>
        <w:pageBreakBefore w:val="0"/>
        <w:spacing w:line="380" w:lineRule="exact"/>
        <w:widowControl w:val="off"/>
        <w:rPr>
          <w:rFonts w:hint="eastAsia" w:ascii="宋体" w:hAnsi="宋体" w:eastAsia="宋体" w:cs="宋体"/>
          <w:sz w:val="21"/>
          <w:szCs w:val="21"/>
          <w:lang w:val="zh-CN"/>
        </w:rPr>
        <w:outlineLvl w:val="9"/>
      </w:pPr>
      <w:r>
        <w:rPr>
          <w:rFonts w:hint="eastAsia" w:ascii="宋体" w:hAnsi="宋体" w:eastAsia="宋体" w:cs="宋体"/>
          <w:bCs/>
          <w:sz w:val="21"/>
          <w:szCs w:val="21"/>
          <w:lang w:val="zh-CN"/>
        </w:rPr>
        <w:t xml:space="preserve">12.1 </w:t>
      </w:r>
      <w:r>
        <w:rPr>
          <w:rFonts w:hint="eastAsia" w:ascii="宋体" w:hAnsi="宋体" w:eastAsia="宋体" w:cs="宋体"/>
          <w:sz w:val="21"/>
          <w:szCs w:val="21"/>
          <w:lang w:val="zh-CN"/>
        </w:rPr>
        <w:t xml:space="preserve">投标人需对招标文件中的技术要求与商务要求逐项作出响应或偏离，并说明原因。</w:t>
      </w:r>
      <w:r/>
    </w:p>
    <w:p>
      <w:pPr>
        <w:ind w:firstLine="420"/>
        <w:pageBreakBefore w:val="0"/>
        <w:spacing w:line="380" w:lineRule="exact"/>
        <w:widowControl w:val="off"/>
        <w:rPr>
          <w:rFonts w:hint="eastAsia" w:ascii="宋体" w:hAnsi="宋体" w:eastAsia="宋体" w:cs="宋体"/>
          <w:sz w:val="21"/>
          <w:szCs w:val="21"/>
          <w:lang w:val="zh-CN"/>
        </w:rPr>
        <w:outlineLvl w:val="9"/>
      </w:pPr>
      <w:r>
        <w:rPr>
          <w:rFonts w:hint="eastAsia" w:ascii="宋体" w:hAnsi="宋体" w:eastAsia="宋体" w:cs="宋体"/>
          <w:sz w:val="21"/>
          <w:szCs w:val="21"/>
          <w:lang w:val="zh-CN"/>
        </w:rPr>
        <w:t xml:space="preserve">12.2 投标人需按照招标文件要求，在投标文件中提供与技术要求和商务要求相关的证明材料。</w:t>
      </w:r>
      <w:r/>
    </w:p>
    <w:p>
      <w:pPr>
        <w:ind w:firstLine="420"/>
        <w:keepLines/>
        <w:keepNext/>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13、服务承诺、培训计划、人员安排及其他</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13.1 </w:t>
      </w:r>
      <w:r>
        <w:rPr>
          <w:rFonts w:hint="eastAsia" w:ascii="宋体" w:hAnsi="宋体" w:eastAsia="宋体" w:cs="宋体"/>
          <w:color w:val="000000"/>
          <w:sz w:val="21"/>
          <w:szCs w:val="21"/>
        </w:rPr>
        <w:t xml:space="preserve">投标人需根据招标文件要求提供有关售后服务的管理制度，售后服务机构的分布情况，售后服务人员的数量、素质、技术水平及售后服务的反应能力等。</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13.2 投标人需根据招标文件要求提供培训计划。</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13.3 投标人需根据招标文件要求提供</w:t>
      </w:r>
      <w:r>
        <w:rPr>
          <w:rFonts w:hint="eastAsia" w:ascii="宋体" w:hAnsi="宋体" w:eastAsia="宋体" w:cs="宋体"/>
          <w:color w:val="000000"/>
          <w:sz w:val="21"/>
          <w:szCs w:val="21"/>
          <w:lang w:val="zh-CN"/>
        </w:rPr>
        <w:t xml:space="preserve">所投标的的主要组成部分、功能设计、实现思路及关键技术等。</w:t>
      </w:r>
      <w:r/>
    </w:p>
    <w:p>
      <w:pPr>
        <w:ind w:firstLine="420"/>
        <w:keepLines/>
        <w:keepNext/>
        <w:pageBreakBefore w:val="0"/>
        <w:spacing w:line="380" w:lineRule="exact"/>
        <w:widowControl w:val="off"/>
        <w:rPr>
          <w:rFonts w:hint="eastAsia" w:ascii="宋体" w:hAnsi="宋体" w:eastAsia="宋体" w:cs="宋体"/>
          <w:color w:val="000000"/>
          <w:sz w:val="21"/>
          <w:szCs w:val="21"/>
        </w:rPr>
        <w:outlineLvl w:val="9"/>
      </w:pPr>
      <w:r/>
      <w:bookmarkStart w:id="113" w:name="_Toc49090510"/>
      <w:r/>
      <w:bookmarkStart w:id="114" w:name="_Toc14577359"/>
      <w:r>
        <w:rPr>
          <w:rFonts w:hint="eastAsia" w:ascii="宋体" w:hAnsi="宋体" w:eastAsia="宋体" w:cs="宋体"/>
          <w:color w:val="000000"/>
          <w:sz w:val="21"/>
          <w:szCs w:val="21"/>
        </w:rPr>
        <w:t xml:space="preserve">14、投标函和开标一览表</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14.1</w:t>
      </w:r>
      <w:r>
        <w:rPr>
          <w:rFonts w:hint="eastAsia" w:ascii="宋体" w:hAnsi="宋体" w:eastAsia="宋体" w:cs="宋体"/>
          <w:color w:val="000000"/>
          <w:sz w:val="21"/>
          <w:szCs w:val="21"/>
        </w:rPr>
        <w:t xml:space="preserve"> 投标人应按照招标文件中提供的格式完整、正确填写投标函、开标一览表。</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14.2 对于采用货币报价的项目，开标一览表中的投标总报价应与投标分项报价表中的投标总报价一致，如不一致，不作为无效投标处理，但评标时按开标一览表中价格为准。</w:t>
      </w:r>
      <w:bookmarkEnd w:id="113"/>
      <w:bookmarkEnd w:id="114"/>
      <w:r/>
    </w:p>
    <w:p>
      <w:pPr>
        <w:ind w:firstLine="420"/>
        <w:keepLines/>
        <w:keepNext/>
        <w:pageBreakBefore w:val="0"/>
        <w:spacing w:line="380" w:lineRule="exact"/>
        <w:widowControl w:val="off"/>
        <w:rPr>
          <w:rFonts w:hint="eastAsia" w:ascii="宋体" w:hAnsi="宋体" w:eastAsia="宋体" w:cs="宋体"/>
          <w:color w:val="000000"/>
          <w:sz w:val="21"/>
          <w:szCs w:val="21"/>
        </w:rPr>
        <w:outlineLvl w:val="9"/>
      </w:pPr>
      <w:r/>
      <w:bookmarkStart w:id="115" w:name="_Toc14577360"/>
      <w:r/>
      <w:bookmarkStart w:id="116" w:name="_Toc49090511"/>
      <w:r>
        <w:rPr>
          <w:rFonts w:hint="eastAsia" w:ascii="宋体" w:hAnsi="宋体" w:eastAsia="宋体" w:cs="宋体"/>
          <w:color w:val="000000"/>
          <w:sz w:val="21"/>
          <w:szCs w:val="21"/>
        </w:rPr>
        <w:t xml:space="preserve">15、投标有效期</w:t>
      </w:r>
      <w:bookmarkEnd w:id="115"/>
      <w:r/>
      <w:bookmarkEnd w:id="116"/>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15.1投标有效期为</w:t>
      </w:r>
      <w:r>
        <w:rPr>
          <w:rFonts w:hint="eastAsia" w:ascii="宋体" w:hAnsi="宋体" w:eastAsia="宋体" w:cs="宋体"/>
          <w:bCs/>
          <w:color w:val="000000"/>
          <w:sz w:val="21"/>
          <w:szCs w:val="21"/>
          <w:lang w:eastAsia="zh-CN"/>
        </w:rPr>
        <w:t xml:space="preserve">代理机构</w:t>
      </w:r>
      <w:r>
        <w:rPr>
          <w:rFonts w:hint="eastAsia" w:ascii="宋体" w:hAnsi="宋体" w:eastAsia="宋体" w:cs="宋体"/>
          <w:bCs/>
          <w:color w:val="000000"/>
          <w:sz w:val="21"/>
          <w:szCs w:val="21"/>
        </w:rPr>
        <w:t xml:space="preserve">规定的开标之日后</w:t>
      </w:r>
      <w:r>
        <w:rPr>
          <w:rFonts w:hint="eastAsia" w:ascii="宋体" w:hAnsi="宋体" w:eastAsia="宋体" w:cs="宋体"/>
          <w:b/>
          <w:color w:val="000000"/>
          <w:sz w:val="21"/>
          <w:szCs w:val="21"/>
          <w:u w:val="single"/>
        </w:rPr>
        <w:t xml:space="preserve">六十（60）天</w:t>
      </w:r>
      <w:r>
        <w:rPr>
          <w:rFonts w:hint="eastAsia" w:ascii="宋体" w:hAnsi="宋体" w:eastAsia="宋体" w:cs="宋体"/>
          <w:bCs/>
          <w:color w:val="000000"/>
          <w:sz w:val="21"/>
          <w:szCs w:val="21"/>
        </w:rPr>
        <w:t xml:space="preserve">。投标有效期比规定短的将被视为未实质性响应招标文件而予以拒绝。</w:t>
      </w:r>
      <w:r/>
    </w:p>
    <w:p>
      <w:pPr>
        <w:ind w:firstLine="420"/>
        <w:keepLines/>
        <w:keepNext/>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16、投标有效期的延长</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16.1在特殊情况下，</w:t>
      </w:r>
      <w:r>
        <w:rPr>
          <w:rFonts w:hint="eastAsia" w:ascii="宋体" w:hAnsi="宋体" w:eastAsia="宋体" w:cs="宋体"/>
          <w:bCs/>
          <w:color w:val="000000"/>
          <w:sz w:val="21"/>
          <w:szCs w:val="21"/>
          <w:lang w:eastAsia="zh-CN"/>
        </w:rPr>
        <w:t xml:space="preserve">代理机构</w:t>
      </w:r>
      <w:r>
        <w:rPr>
          <w:rFonts w:hint="eastAsia" w:ascii="宋体" w:hAnsi="宋体" w:eastAsia="宋体" w:cs="宋体"/>
          <w:bCs/>
          <w:color w:val="000000"/>
          <w:sz w:val="21"/>
          <w:szCs w:val="21"/>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1"/>
          <w:szCs w:val="21"/>
          <w:lang w:eastAsia="zh-CN"/>
        </w:rPr>
        <w:t xml:space="preserve">代理机构</w:t>
      </w:r>
      <w:r>
        <w:rPr>
          <w:rFonts w:hint="eastAsia" w:ascii="宋体" w:hAnsi="宋体" w:eastAsia="宋体" w:cs="宋体"/>
          <w:bCs/>
          <w:color w:val="000000"/>
          <w:sz w:val="21"/>
          <w:szCs w:val="21"/>
        </w:rPr>
        <w:t xml:space="preserve">的这一要求而放弃投标，同意延长投标有效期的投标人既不能要求也不允许修改其投标文件。</w:t>
      </w:r>
      <w:r>
        <w:rPr>
          <w:rFonts w:hint="eastAsia" w:ascii="宋体" w:hAnsi="宋体" w:eastAsia="宋体" w:cs="宋体"/>
          <w:color w:val="000000"/>
          <w:sz w:val="21"/>
          <w:szCs w:val="21"/>
        </w:rPr>
        <w:t xml:space="preserve">受投标有效期约束的所有权利与义务均延长至新的有效期</w:t>
      </w:r>
      <w:r>
        <w:rPr>
          <w:rFonts w:hint="eastAsia" w:ascii="宋体" w:hAnsi="宋体" w:eastAsia="宋体" w:cs="宋体"/>
          <w:bCs/>
          <w:color w:val="000000"/>
          <w:sz w:val="21"/>
          <w:szCs w:val="21"/>
        </w:rPr>
        <w:t xml:space="preserve">。</w:t>
      </w:r>
      <w:r/>
    </w:p>
    <w:p>
      <w:pPr>
        <w:ind w:firstLine="422"/>
        <w:keepLines/>
        <w:keepNext/>
        <w:pageBreakBefore w:val="0"/>
        <w:spacing w:line="380" w:lineRule="exact"/>
        <w:widowControl w:val="off"/>
        <w:rPr>
          <w:rFonts w:hint="eastAsia" w:ascii="宋体" w:hAnsi="宋体" w:eastAsia="宋体" w:cs="宋体"/>
          <w:b/>
          <w:bCs/>
          <w:color w:val="000000"/>
          <w:sz w:val="21"/>
          <w:szCs w:val="21"/>
        </w:rPr>
        <w:outlineLvl w:val="9"/>
      </w:pPr>
      <w:r/>
      <w:bookmarkStart w:id="117" w:name="_Hlt26954739"/>
      <w:r/>
      <w:bookmarkEnd w:id="117"/>
      <w:r/>
      <w:bookmarkStart w:id="118" w:name="_Hlt26954852"/>
      <w:r/>
      <w:bookmarkEnd w:id="118"/>
      <w:r/>
      <w:bookmarkStart w:id="119" w:name="_Toc16938540"/>
      <w:r/>
      <w:bookmarkStart w:id="120" w:name="_Toc120614217"/>
      <w:r/>
      <w:bookmarkStart w:id="121" w:name="_Toc513029224"/>
      <w:r/>
      <w:bookmarkStart w:id="122" w:name="_Toc20823296"/>
      <w:r>
        <w:rPr>
          <w:rFonts w:hint="eastAsia" w:ascii="宋体" w:hAnsi="宋体" w:eastAsia="宋体" w:cs="宋体"/>
          <w:b/>
          <w:bCs/>
          <w:color w:val="000000"/>
          <w:sz w:val="21"/>
          <w:szCs w:val="21"/>
        </w:rPr>
        <w:t xml:space="preserve">四、投标文件的递交</w:t>
      </w:r>
      <w:bookmarkEnd w:id="119"/>
      <w:r/>
      <w:bookmarkEnd w:id="120"/>
      <w:r/>
      <w:bookmarkEnd w:id="121"/>
      <w:r/>
      <w:bookmarkEnd w:id="122"/>
      <w:r/>
      <w:r/>
    </w:p>
    <w:p>
      <w:pPr>
        <w:ind w:firstLine="420"/>
        <w:keepLines/>
        <w:keepNext/>
        <w:pageBreakBefore w:val="0"/>
        <w:spacing w:line="380" w:lineRule="exact"/>
        <w:widowControl w:val="off"/>
        <w:rPr>
          <w:rFonts w:hint="eastAsia" w:ascii="宋体" w:hAnsi="宋体" w:eastAsia="宋体" w:cs="宋体"/>
          <w:color w:val="000000"/>
          <w:sz w:val="21"/>
          <w:szCs w:val="21"/>
        </w:rPr>
        <w:outlineLvl w:val="9"/>
      </w:pPr>
      <w:r/>
      <w:bookmarkStart w:id="123" w:name="_Toc513029225"/>
      <w:r/>
      <w:bookmarkStart w:id="124" w:name="_Toc462564084"/>
      <w:r/>
      <w:bookmarkStart w:id="125" w:name="_Toc20823297"/>
      <w:r/>
      <w:bookmarkStart w:id="126" w:name="_Toc16938541"/>
      <w:r>
        <w:rPr>
          <w:rFonts w:hint="eastAsia" w:ascii="宋体" w:hAnsi="宋体" w:eastAsia="宋体" w:cs="宋体"/>
          <w:color w:val="000000"/>
          <w:sz w:val="21"/>
          <w:szCs w:val="21"/>
        </w:rPr>
        <w:t xml:space="preserve">17、电子投标文件</w:t>
      </w:r>
      <w:bookmarkEnd w:id="123"/>
      <w:r/>
      <w:bookmarkEnd w:id="124"/>
      <w:r/>
      <w:bookmarkEnd w:id="125"/>
      <w:r/>
      <w:bookmarkEnd w:id="126"/>
      <w:r>
        <w:rPr>
          <w:rFonts w:hint="eastAsia" w:ascii="宋体" w:hAnsi="宋体" w:eastAsia="宋体" w:cs="宋体"/>
          <w:color w:val="000000"/>
          <w:sz w:val="21"/>
          <w:szCs w:val="21"/>
        </w:rPr>
        <w:t xml:space="preserve">的递交</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17.1投标人应当按照《操作手册》规定，在投标截止时间前制作并上传电</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子投标文件。</w:t>
      </w:r>
      <w:bookmarkStart w:id="127" w:name="_Toc16938542"/>
      <w:r/>
      <w:bookmarkStart w:id="128" w:name="_Toc513029226"/>
      <w:r/>
      <w:bookmarkStart w:id="129" w:name="_Toc20823298"/>
      <w:r/>
      <w:r/>
    </w:p>
    <w:p>
      <w:pPr>
        <w:ind w:firstLine="420"/>
        <w:keepLines/>
        <w:keepNext/>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18、投标截止日期</w:t>
      </w:r>
      <w:bookmarkEnd w:id="127"/>
      <w:r/>
      <w:bookmarkEnd w:id="128"/>
      <w:r/>
      <w:bookmarkEnd w:id="129"/>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18.1</w:t>
      </w:r>
      <w:r>
        <w:rPr>
          <w:rFonts w:hint="eastAsia" w:ascii="宋体" w:hAnsi="宋体" w:eastAsia="宋体" w:cs="宋体"/>
          <w:bCs/>
          <w:color w:val="000000"/>
          <w:sz w:val="21"/>
          <w:szCs w:val="21"/>
        </w:rPr>
        <w:t xml:space="preserve"> 投标人上传电子投标文件的时间不得迟于招标公告中规定的投标截止时间。</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投标人应充分考虑到网络环境、网络带宽等风险因素，如因投标人自身原因造成的电子投标文件上传不成功的按照本招标文件第二章第26.1.2条规定做无效投标处理。</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18.2</w:t>
      </w: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lang w:eastAsia="zh-CN"/>
        </w:rPr>
        <w:t xml:space="preserve">代理机构</w:t>
      </w:r>
      <w:r>
        <w:rPr>
          <w:rFonts w:hint="eastAsia" w:ascii="宋体" w:hAnsi="宋体" w:eastAsia="宋体" w:cs="宋体"/>
          <w:bCs/>
          <w:color w:val="000000"/>
          <w:sz w:val="21"/>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380" w:lineRule="exact"/>
        <w:widowControl w:val="off"/>
        <w:rPr>
          <w:rFonts w:hint="eastAsia" w:ascii="宋体" w:hAnsi="宋体" w:eastAsia="宋体" w:cs="宋体"/>
          <w:color w:val="000000"/>
          <w:sz w:val="21"/>
          <w:szCs w:val="21"/>
        </w:rPr>
        <w:outlineLvl w:val="9"/>
      </w:pPr>
      <w:r/>
      <w:bookmarkStart w:id="130" w:name="_Toc513029227"/>
      <w:r/>
      <w:bookmarkStart w:id="131" w:name="_Toc16938543"/>
      <w:r/>
      <w:bookmarkStart w:id="132" w:name="_Toc20823299"/>
      <w:r>
        <w:rPr>
          <w:rFonts w:hint="eastAsia" w:ascii="宋体" w:hAnsi="宋体" w:eastAsia="宋体" w:cs="宋体"/>
          <w:color w:val="000000"/>
          <w:sz w:val="21"/>
          <w:szCs w:val="21"/>
        </w:rPr>
        <w:t xml:space="preserve">19、投标文件</w:t>
      </w:r>
      <w:bookmarkEnd w:id="130"/>
      <w:r/>
      <w:bookmarkEnd w:id="131"/>
      <w:r/>
      <w:bookmarkEnd w:id="132"/>
      <w:r>
        <w:rPr>
          <w:rFonts w:hint="eastAsia" w:ascii="宋体" w:hAnsi="宋体" w:eastAsia="宋体" w:cs="宋体"/>
          <w:color w:val="000000"/>
          <w:sz w:val="21"/>
          <w:szCs w:val="21"/>
        </w:rPr>
        <w:t xml:space="preserve">的拒收</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19.1 </w:t>
      </w:r>
      <w:r>
        <w:rPr>
          <w:rFonts w:hint="eastAsia" w:ascii="宋体" w:hAnsi="宋体" w:eastAsia="宋体" w:cs="宋体"/>
          <w:bCs/>
          <w:color w:val="000000"/>
          <w:sz w:val="21"/>
          <w:szCs w:val="21"/>
          <w:lang w:eastAsia="zh-CN"/>
        </w:rPr>
        <w:t xml:space="preserve">代理机构</w:t>
      </w:r>
      <w:r>
        <w:rPr>
          <w:rFonts w:hint="eastAsia" w:ascii="宋体" w:hAnsi="宋体" w:eastAsia="宋体" w:cs="宋体"/>
          <w:bCs/>
          <w:color w:val="000000"/>
          <w:sz w:val="21"/>
          <w:szCs w:val="21"/>
        </w:rPr>
        <w:t xml:space="preserve">拒绝接收在其规定的投标截止时间后上传的任何投标文件。</w:t>
      </w:r>
      <w:r/>
    </w:p>
    <w:p>
      <w:pPr>
        <w:ind w:firstLine="420"/>
        <w:keepLines/>
        <w:keepNext/>
        <w:pageBreakBefore w:val="0"/>
        <w:spacing w:line="380" w:lineRule="exact"/>
        <w:widowControl w:val="off"/>
        <w:rPr>
          <w:rFonts w:hint="eastAsia" w:ascii="宋体" w:hAnsi="宋体" w:eastAsia="宋体" w:cs="宋体"/>
          <w:color w:val="000000"/>
          <w:sz w:val="21"/>
          <w:szCs w:val="21"/>
        </w:rPr>
        <w:outlineLvl w:val="9"/>
      </w:pPr>
      <w:r/>
      <w:bookmarkStart w:id="133" w:name="_Toc513029228"/>
      <w:r/>
      <w:bookmarkStart w:id="134" w:name="_Toc16938544"/>
      <w:r/>
      <w:bookmarkStart w:id="135" w:name="_Toc20823300"/>
      <w:r>
        <w:rPr>
          <w:rFonts w:hint="eastAsia" w:ascii="宋体" w:hAnsi="宋体" w:eastAsia="宋体" w:cs="宋体"/>
          <w:color w:val="000000"/>
          <w:sz w:val="21"/>
          <w:szCs w:val="21"/>
        </w:rPr>
        <w:t xml:space="preserve">20、投标文件的撤回和修改</w:t>
      </w:r>
      <w:bookmarkEnd w:id="133"/>
      <w:r/>
      <w:bookmarkEnd w:id="134"/>
      <w:r/>
      <w:bookmarkEnd w:id="135"/>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20.1 投标文件的撤回</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20.1.1 电子投标文件的撤回</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投标人可在投标截止时间前，撤回其电子投标文件，具体操作方法见《操作手册》。</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20.1.2 投标人撤回电子投标文件，则认为其不再参与本项目投标活动。</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 投标文件的修改</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20.2.1投标人可在投标截止时间前，对其电子投标文件进行修改，具体操作方法见《操作手册》。</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20.2.2</w:t>
      </w:r>
      <w:r>
        <w:rPr>
          <w:rFonts w:hint="eastAsia" w:ascii="宋体" w:hAnsi="宋体" w:eastAsia="宋体" w:cs="宋体"/>
          <w:bCs/>
          <w:color w:val="000000"/>
          <w:sz w:val="21"/>
          <w:szCs w:val="21"/>
        </w:rPr>
        <w:t xml:space="preserve"> 在投标截止时间之后，投标人不得对其电子投标文件作任何修改。</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20.3</w:t>
      </w:r>
      <w:r>
        <w:rPr>
          <w:rFonts w:hint="eastAsia" w:ascii="宋体" w:hAnsi="宋体" w:eastAsia="宋体" w:cs="宋体"/>
          <w:bCs/>
          <w:color w:val="000000"/>
          <w:sz w:val="21"/>
          <w:szCs w:val="21"/>
        </w:rPr>
        <w:t xml:space="preserve"> 在投标截止时间至招标文件中规定的投标有效期满之间的这段时间内，投标人不得撤回其投标。</w:t>
      </w:r>
      <w:r/>
    </w:p>
    <w:p>
      <w:pPr>
        <w:ind w:firstLine="422"/>
        <w:keepLines/>
        <w:keepNext/>
        <w:pageBreakBefore w:val="0"/>
        <w:spacing w:line="380" w:lineRule="exact"/>
        <w:widowControl w:val="off"/>
        <w:rPr>
          <w:rFonts w:hint="eastAsia" w:ascii="宋体" w:hAnsi="宋体" w:eastAsia="宋体" w:cs="宋体"/>
          <w:b/>
          <w:bCs/>
          <w:color w:val="000000"/>
          <w:sz w:val="21"/>
          <w:szCs w:val="21"/>
        </w:rPr>
        <w:outlineLvl w:val="9"/>
      </w:pPr>
      <w:r/>
      <w:bookmarkStart w:id="136" w:name="_Toc513029229"/>
      <w:r/>
      <w:bookmarkStart w:id="137" w:name="_Toc20823301"/>
      <w:r/>
      <w:bookmarkStart w:id="138" w:name="_Toc120614218"/>
      <w:r/>
      <w:bookmarkStart w:id="139" w:name="_Toc16938545"/>
      <w:r>
        <w:rPr>
          <w:rFonts w:hint="eastAsia" w:ascii="宋体" w:hAnsi="宋体" w:eastAsia="宋体" w:cs="宋体"/>
          <w:b/>
          <w:bCs/>
          <w:color w:val="000000"/>
          <w:sz w:val="21"/>
          <w:szCs w:val="21"/>
        </w:rPr>
        <w:t xml:space="preserve">五、开标与评标</w:t>
      </w:r>
      <w:bookmarkEnd w:id="136"/>
      <w:r/>
      <w:bookmarkEnd w:id="137"/>
      <w:r/>
      <w:bookmarkEnd w:id="138"/>
      <w:r/>
      <w:bookmarkEnd w:id="139"/>
      <w:r/>
      <w:r/>
    </w:p>
    <w:p>
      <w:pPr>
        <w:ind w:firstLine="420"/>
        <w:keepLines/>
        <w:keepNext/>
        <w:pageBreakBefore w:val="0"/>
        <w:spacing w:line="380" w:lineRule="exact"/>
        <w:widowControl w:val="off"/>
        <w:rPr>
          <w:rFonts w:hint="eastAsia" w:ascii="宋体" w:hAnsi="宋体" w:eastAsia="宋体" w:cs="宋体"/>
          <w:color w:val="000000"/>
          <w:sz w:val="21"/>
          <w:szCs w:val="21"/>
        </w:rPr>
        <w:outlineLvl w:val="9"/>
      </w:pPr>
      <w:r/>
      <w:bookmarkStart w:id="140" w:name="_Toc513029230"/>
      <w:r/>
      <w:bookmarkStart w:id="141" w:name="_Toc20823302"/>
      <w:r/>
      <w:bookmarkStart w:id="142" w:name="_Toc16938546"/>
      <w:r>
        <w:rPr>
          <w:rFonts w:hint="eastAsia" w:ascii="宋体" w:hAnsi="宋体" w:eastAsia="宋体" w:cs="宋体"/>
          <w:color w:val="000000"/>
          <w:sz w:val="21"/>
          <w:szCs w:val="21"/>
        </w:rPr>
        <w:t xml:space="preserve">21、开标</w:t>
      </w:r>
      <w:bookmarkEnd w:id="140"/>
      <w:r/>
      <w:bookmarkEnd w:id="141"/>
      <w:r/>
      <w:bookmarkEnd w:id="142"/>
      <w:r/>
      <w:r/>
    </w:p>
    <w:p>
      <w:pPr>
        <w:ind w:firstLine="42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21.1</w:t>
      </w:r>
      <w:r>
        <w:rPr>
          <w:rFonts w:hint="eastAsia" w:ascii="宋体" w:hAnsi="宋体" w:eastAsia="宋体" w:cs="宋体"/>
          <w:bCs/>
          <w:sz w:val="21"/>
          <w:szCs w:val="21"/>
        </w:rPr>
        <w:t xml:space="preserve"> </w:t>
      </w:r>
      <w:r>
        <w:rPr>
          <w:rFonts w:hint="eastAsia" w:ascii="宋体" w:hAnsi="宋体" w:eastAsia="宋体" w:cs="宋体"/>
          <w:bCs/>
          <w:sz w:val="21"/>
          <w:szCs w:val="21"/>
          <w:lang w:eastAsia="zh-CN"/>
        </w:rPr>
        <w:t xml:space="preserve">代理机构</w:t>
      </w:r>
      <w:r>
        <w:rPr>
          <w:rFonts w:hint="eastAsia" w:ascii="宋体" w:hAnsi="宋体" w:eastAsia="宋体" w:cs="宋体"/>
          <w:bCs/>
          <w:sz w:val="21"/>
          <w:szCs w:val="21"/>
        </w:rPr>
        <w:t xml:space="preserve">将在招标公告中规定的时间和地点组织公开开标</w:t>
      </w:r>
      <w:r>
        <w:rPr>
          <w:rFonts w:hint="eastAsia" w:ascii="宋体" w:hAnsi="宋体" w:eastAsia="宋体" w:cs="宋体"/>
          <w:sz w:val="21"/>
          <w:szCs w:val="21"/>
        </w:rPr>
        <w:t xml:space="preserve">。投标人应当按照《操作手册》规定，参加开标活动和在苏采云系统规定的时间内对投标文件进行解密。</w:t>
      </w:r>
      <w:r/>
    </w:p>
    <w:p>
      <w:pPr>
        <w:ind w:firstLine="42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bCs/>
          <w:sz w:val="21"/>
          <w:szCs w:val="21"/>
        </w:rPr>
        <w:t xml:space="preserve">21.2</w:t>
      </w:r>
      <w:r>
        <w:rPr>
          <w:rFonts w:hint="eastAsia" w:ascii="宋体" w:hAnsi="宋体" w:eastAsia="宋体" w:cs="宋体"/>
          <w:sz w:val="21"/>
          <w:szCs w:val="21"/>
        </w:rPr>
        <w:t xml:space="preserve">开标仪式由</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组织。苏采云系统将自动对项目进行开标，并宣布各投标人名称和投标价格。</w:t>
      </w:r>
      <w:r/>
    </w:p>
    <w:p>
      <w:pPr>
        <w:ind w:firstLine="42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bCs/>
          <w:sz w:val="21"/>
          <w:szCs w:val="21"/>
        </w:rPr>
        <w:t xml:space="preserve">21.3投标人在开标过程中涉及到的投标文件解密、开标结果确认等工作，应按照《操作手册》规定执行。</w:t>
      </w:r>
      <w:r/>
    </w:p>
    <w:p>
      <w:pPr>
        <w:ind w:firstLine="42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21.4投标人如果对开标过程和开标记录有疑义，应当根据《操作手册》规定提出，如苏采云系统中《开标记录表》宣布后5分钟内未提出的，视同认可开标结果。</w:t>
      </w:r>
      <w:r/>
    </w:p>
    <w:p>
      <w:pPr>
        <w:ind w:firstLine="420"/>
        <w:keepLines/>
        <w:keepNext/>
        <w:pageBreakBefore w:val="0"/>
        <w:spacing w:line="380" w:lineRule="exact"/>
        <w:widowControl w:val="off"/>
        <w:rPr>
          <w:rFonts w:hint="eastAsia" w:ascii="宋体" w:hAnsi="宋体" w:eastAsia="宋体" w:cs="宋体"/>
          <w:sz w:val="21"/>
          <w:szCs w:val="21"/>
        </w:rPr>
        <w:outlineLvl w:val="9"/>
      </w:pPr>
      <w:r/>
      <w:bookmarkStart w:id="143" w:name="_Toc16938547"/>
      <w:r/>
      <w:bookmarkStart w:id="144" w:name="_Toc20823303"/>
      <w:r/>
      <w:bookmarkStart w:id="145" w:name="_Toc513029231"/>
      <w:r>
        <w:rPr>
          <w:rFonts w:hint="eastAsia" w:ascii="宋体" w:hAnsi="宋体" w:eastAsia="宋体" w:cs="宋体"/>
          <w:sz w:val="21"/>
          <w:szCs w:val="21"/>
        </w:rPr>
        <w:t xml:space="preserve">22、评标委员会</w:t>
      </w:r>
      <w:r/>
    </w:p>
    <w:p>
      <w:pPr>
        <w:ind w:firstLine="420"/>
        <w:pageBreakBefore w:val="0"/>
        <w:spacing w:line="380" w:lineRule="exact"/>
        <w:widowControl w:val="off"/>
        <w:rPr>
          <w:rFonts w:hint="eastAsia" w:ascii="宋体" w:hAnsi="宋体" w:eastAsia="宋体" w:cs="宋体"/>
          <w:b/>
          <w:color w:val="000000"/>
          <w:sz w:val="21"/>
          <w:szCs w:val="21"/>
        </w:rPr>
        <w:outlineLvl w:val="9"/>
      </w:pPr>
      <w:r>
        <w:rPr>
          <w:rFonts w:hint="eastAsia" w:ascii="宋体" w:hAnsi="宋体" w:eastAsia="宋体" w:cs="宋体"/>
          <w:color w:val="000000"/>
          <w:sz w:val="21"/>
          <w:szCs w:val="21"/>
        </w:rPr>
        <w:t xml:space="preserve">22.1</w:t>
      </w: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 xml:space="preserve">开标后，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将立即组织评标委员会进行评标。</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22.2 评标委员会由采购人代表和有关技术、经济等方面的专家组成，且人员构成符合政府采购有关规定。</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22.3评标委员会独立工作，负责评审所有投标文件并确定中标侯选人。</w:t>
      </w:r>
      <w:r/>
    </w:p>
    <w:p>
      <w:pPr>
        <w:ind w:firstLine="420"/>
        <w:keepLines/>
        <w:keepNext/>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23、评标过程的保密与公正</w:t>
      </w:r>
      <w:bookmarkEnd w:id="143"/>
      <w:bookmarkEnd w:id="144"/>
      <w:bookmarkEnd w:id="145"/>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23.1</w:t>
      </w:r>
      <w:r>
        <w:rPr>
          <w:rFonts w:hint="eastAsia" w:ascii="宋体" w:hAnsi="宋体" w:eastAsia="宋体" w:cs="宋体"/>
          <w:bCs/>
          <w:color w:val="000000"/>
          <w:sz w:val="21"/>
          <w:szCs w:val="21"/>
        </w:rPr>
        <w:t xml:space="preserve">凡是与审查、澄清、评价和比较投标的有关资料以及授标建议等，采购人、评委、</w:t>
      </w:r>
      <w:r>
        <w:rPr>
          <w:rFonts w:hint="eastAsia" w:ascii="宋体" w:hAnsi="宋体" w:eastAsia="宋体" w:cs="宋体"/>
          <w:bCs/>
          <w:color w:val="000000"/>
          <w:sz w:val="21"/>
          <w:szCs w:val="21"/>
          <w:lang w:eastAsia="zh-CN"/>
        </w:rPr>
        <w:t xml:space="preserve">代理机构</w:t>
      </w:r>
      <w:r>
        <w:rPr>
          <w:rFonts w:hint="eastAsia" w:ascii="宋体" w:hAnsi="宋体" w:eastAsia="宋体" w:cs="宋体"/>
          <w:bCs/>
          <w:color w:val="000000"/>
          <w:sz w:val="21"/>
          <w:szCs w:val="21"/>
        </w:rPr>
        <w:t xml:space="preserve">均不得向投标人或与评标无关的其他人员透露。</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23.2在评标过程中，投标人不得以任何行为影响评标过程，否则其投标文件将被作为无效投标文件。</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23.3 </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和评标委员会不向未中标的投标人解释未中标原因，也不公布评标过程中的相关细节。</w:t>
      </w:r>
      <w:r/>
    </w:p>
    <w:p>
      <w:pPr>
        <w:ind w:firstLine="42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23.4 采用综合评分法的项目，未中标的投标人可于中标结果公告期限届满之日起通过苏采云系统查看自己的评审得分及排序情况。</w:t>
      </w:r>
      <w:r/>
    </w:p>
    <w:p>
      <w:pPr>
        <w:ind w:firstLine="420"/>
        <w:keepLines/>
        <w:keepNext/>
        <w:pageBreakBefore w:val="0"/>
        <w:spacing w:line="380" w:lineRule="exact"/>
        <w:widowControl w:val="off"/>
        <w:rPr>
          <w:rFonts w:hint="eastAsia" w:ascii="宋体" w:hAnsi="宋体" w:eastAsia="宋体" w:cs="宋体"/>
          <w:color w:val="000000"/>
          <w:sz w:val="21"/>
          <w:szCs w:val="21"/>
        </w:rPr>
        <w:outlineLvl w:val="9"/>
      </w:pPr>
      <w:r/>
      <w:bookmarkStart w:id="146" w:name="_Toc16938548"/>
      <w:r/>
      <w:bookmarkStart w:id="147" w:name="_Toc20823304"/>
      <w:r/>
      <w:bookmarkStart w:id="148" w:name="_Toc513029232"/>
      <w:r>
        <w:rPr>
          <w:rFonts w:hint="eastAsia" w:ascii="宋体" w:hAnsi="宋体" w:eastAsia="宋体" w:cs="宋体"/>
          <w:color w:val="000000"/>
          <w:sz w:val="21"/>
          <w:szCs w:val="21"/>
        </w:rPr>
        <w:t xml:space="preserve">24、投标文件的澄清</w:t>
      </w:r>
      <w:bookmarkEnd w:id="146"/>
      <w:r/>
      <w:bookmarkEnd w:id="147"/>
      <w:r/>
      <w:bookmarkEnd w:id="148"/>
      <w:r/>
      <w:r/>
    </w:p>
    <w:p>
      <w:pPr>
        <w:ind w:firstLine="420"/>
        <w:pageBreakBefore w:val="0"/>
        <w:spacing w:line="380" w:lineRule="exact"/>
        <w:widowControl w:val="off"/>
        <w:rPr>
          <w:rFonts w:hint="eastAsia" w:ascii="宋体" w:hAnsi="宋体" w:eastAsia="宋体" w:cs="宋体"/>
          <w:color w:val="000000"/>
          <w:sz w:val="21"/>
          <w:szCs w:val="21"/>
        </w:rPr>
        <w:outlineLvl w:val="9"/>
      </w:pPr>
      <w:r/>
      <w:bookmarkStart w:id="149" w:name="_Toc20823305"/>
      <w:r/>
      <w:bookmarkStart w:id="150" w:name="_Toc16938549"/>
      <w:r/>
      <w:bookmarkStart w:id="151" w:name="_Toc513029233"/>
      <w:r>
        <w:rPr>
          <w:rFonts w:hint="eastAsia" w:ascii="宋体" w:hAnsi="宋体" w:eastAsia="宋体" w:cs="宋体"/>
          <w:color w:val="000000"/>
          <w:sz w:val="21"/>
          <w:szCs w:val="21"/>
        </w:rPr>
        <w:t xml:space="preserve">24.1评标期间，评标委员会对投标文件中含义不明确、同类问题表述不一致或者有明显文字和计算错误的内容 ，有权要求投标人作出必要的澄清、说明或者补正。投标人的澄清、说明或者补正不得超出投标文件的范围或者改变投标文件的实质性内容。评标委员会并非对每个投标人都做澄清要求。</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24.2需要供应商进行澄清、说明和补正的，评标委员会</w:t>
      </w:r>
      <w:r>
        <w:rPr>
          <w:rFonts w:hint="eastAsia" w:ascii="宋体" w:hAnsi="宋体" w:eastAsia="宋体" w:cs="宋体"/>
          <w:sz w:val="21"/>
          <w:szCs w:val="21"/>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24.3 接到评标委员会澄清、说明和补正要求的投标人如未按规定做出澄清、说明和补正，其风险由投标人自行承担。</w:t>
      </w:r>
      <w:r/>
    </w:p>
    <w:p>
      <w:pPr>
        <w:ind w:firstLine="420"/>
        <w:keepLines/>
        <w:keepNext/>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25、对投标文件的初审</w:t>
      </w:r>
      <w:bookmarkEnd w:id="149"/>
      <w:r/>
      <w:bookmarkEnd w:id="150"/>
      <w:r/>
      <w:bookmarkEnd w:id="151"/>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25.1</w:t>
      </w:r>
      <w:r>
        <w:rPr>
          <w:rFonts w:hint="eastAsia" w:ascii="宋体" w:hAnsi="宋体" w:eastAsia="宋体" w:cs="宋体"/>
          <w:bCs/>
          <w:color w:val="000000"/>
          <w:sz w:val="21"/>
          <w:szCs w:val="21"/>
        </w:rPr>
        <w:t xml:space="preserve">投标文件初审分为资格审查和符合性审查。</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color w:val="000000"/>
          <w:sz w:val="21"/>
          <w:szCs w:val="21"/>
        </w:rPr>
        <w:t xml:space="preserve">5</w:t>
      </w:r>
      <w:r>
        <w:rPr>
          <w:rFonts w:hint="eastAsia" w:ascii="宋体" w:hAnsi="宋体" w:eastAsia="宋体" w:cs="宋体"/>
          <w:bCs/>
          <w:color w:val="000000"/>
          <w:sz w:val="21"/>
          <w:szCs w:val="21"/>
        </w:rPr>
        <w:t xml:space="preserve">.1.1 资格审查：依据法律法规和招标文件的规定，由采购人对投标文件中的资格证明文件进行审查。资格审查的结论，采购人以书面形式向评标委员会进行反馈。</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采购人在进行资格性审查的同时，将在“信用中国”网站（www.creditchina.gov.cn）查询投标人的信用记录，以确定投标人是否具备投标资格,查询结果留存并归档。</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color w:val="000000"/>
          <w:sz w:val="21"/>
          <w:szCs w:val="21"/>
        </w:rPr>
        <w:t xml:space="preserve">5</w:t>
      </w:r>
      <w:r>
        <w:rPr>
          <w:rFonts w:hint="eastAsia" w:ascii="宋体" w:hAnsi="宋体" w:eastAsia="宋体" w:cs="宋体"/>
          <w:bCs/>
          <w:color w:val="000000"/>
          <w:sz w:val="21"/>
          <w:szCs w:val="21"/>
        </w:rPr>
        <w:t xml:space="preserve">.1.2 符合性审查：依据招标文件的规定，由评标委员会从投标文件的有效性、完整性和对招标文件的响应程度进行审查，以确定是否对招标文件的实质性要求作出响应。</w:t>
      </w:r>
      <w:r/>
    </w:p>
    <w:p>
      <w:pPr>
        <w:ind w:firstLine="420"/>
        <w:pageBreakBefore w:val="0"/>
        <w:spacing w:line="380" w:lineRule="exact"/>
        <w:widowControl w:val="off"/>
        <w:rPr>
          <w:rFonts w:hint="eastAsia" w:ascii="宋体" w:hAnsi="宋体" w:eastAsia="宋体" w:cs="宋体"/>
          <w:bCs/>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color w:val="000000"/>
          <w:sz w:val="21"/>
          <w:szCs w:val="21"/>
        </w:rPr>
        <w:t xml:space="preserve">5</w:t>
      </w:r>
      <w:r>
        <w:rPr>
          <w:rFonts w:hint="eastAsia" w:ascii="宋体" w:hAnsi="宋体" w:eastAsia="宋体" w:cs="宋体"/>
          <w:bCs/>
          <w:color w:val="000000"/>
          <w:sz w:val="21"/>
          <w:szCs w:val="21"/>
        </w:rPr>
        <w:t xml:space="preserve">.1.3 未通过资格审查或符合性审查的投标人，</w:t>
      </w:r>
      <w:r>
        <w:rPr>
          <w:rFonts w:hint="eastAsia" w:ascii="宋体" w:hAnsi="宋体" w:eastAsia="宋体" w:cs="宋体"/>
          <w:bCs/>
          <w:color w:val="000000"/>
          <w:sz w:val="21"/>
          <w:szCs w:val="21"/>
          <w:lang w:eastAsia="zh-CN"/>
        </w:rPr>
        <w:t xml:space="preserve">代理机构</w:t>
      </w:r>
      <w:r>
        <w:rPr>
          <w:rFonts w:hint="eastAsia" w:ascii="宋体" w:hAnsi="宋体" w:eastAsia="宋体" w:cs="宋体"/>
          <w:bCs/>
          <w:color w:val="000000"/>
          <w:sz w:val="21"/>
          <w:szCs w:val="21"/>
        </w:rPr>
        <w:t xml:space="preserve">将</w:t>
      </w:r>
      <w:r>
        <w:rPr>
          <w:rFonts w:hint="eastAsia" w:ascii="宋体" w:hAnsi="宋体" w:eastAsia="宋体" w:cs="宋体"/>
          <w:bCs/>
          <w:sz w:val="21"/>
          <w:szCs w:val="21"/>
        </w:rPr>
        <w:t xml:space="preserve">在</w:t>
      </w:r>
      <w:r>
        <w:rPr>
          <w:rFonts w:hint="eastAsia" w:ascii="宋体" w:hAnsi="宋体" w:eastAsia="宋体" w:cs="宋体"/>
          <w:sz w:val="21"/>
          <w:szCs w:val="21"/>
        </w:rPr>
        <w:t xml:space="preserve">苏采云系统</w:t>
      </w:r>
      <w:r>
        <w:rPr>
          <w:rFonts w:hint="eastAsia" w:ascii="宋体" w:hAnsi="宋体" w:eastAsia="宋体" w:cs="宋体"/>
          <w:bCs/>
          <w:sz w:val="21"/>
          <w:szCs w:val="21"/>
        </w:rPr>
        <w:t xml:space="preserve">中告知未通过资格审查或符合性审查的原因，评审结束后，</w:t>
      </w:r>
      <w:r>
        <w:rPr>
          <w:rFonts w:hint="eastAsia" w:ascii="宋体" w:hAnsi="宋体" w:eastAsia="宋体" w:cs="宋体"/>
          <w:bCs/>
          <w:sz w:val="21"/>
          <w:szCs w:val="21"/>
          <w:lang w:eastAsia="zh-CN"/>
        </w:rPr>
        <w:t xml:space="preserve">代理机构</w:t>
      </w:r>
      <w:r>
        <w:rPr>
          <w:rFonts w:hint="eastAsia" w:ascii="宋体" w:hAnsi="宋体" w:eastAsia="宋体" w:cs="宋体"/>
          <w:bCs/>
          <w:sz w:val="21"/>
          <w:szCs w:val="21"/>
        </w:rPr>
        <w:t xml:space="preserve">将不再告知未通过资格审查或符合性审查的原因。</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2</w:t>
      </w:r>
      <w:r>
        <w:rPr>
          <w:rFonts w:hint="eastAsia" w:ascii="宋体" w:hAnsi="宋体" w:eastAsia="宋体" w:cs="宋体"/>
          <w:color w:val="000000"/>
          <w:sz w:val="21"/>
          <w:szCs w:val="21"/>
        </w:rPr>
        <w:t xml:space="preserve">5</w:t>
      </w:r>
      <w:r>
        <w:rPr>
          <w:rFonts w:hint="eastAsia" w:ascii="宋体" w:hAnsi="宋体" w:eastAsia="宋体" w:cs="宋体"/>
          <w:sz w:val="21"/>
          <w:szCs w:val="21"/>
        </w:rPr>
        <w:t xml:space="preserve">.2在详细评标之前，评标委员会</w:t>
      </w:r>
      <w:r>
        <w:rPr>
          <w:rFonts w:hint="eastAsia" w:ascii="宋体" w:hAnsi="宋体" w:eastAsia="宋体" w:cs="宋体"/>
          <w:color w:val="000000"/>
          <w:sz w:val="21"/>
          <w:szCs w:val="21"/>
        </w:rPr>
        <w:t xml:space="preserve">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eastAsia="宋体" w:cs="宋体"/>
          <w:bCs/>
          <w:color w:val="000000"/>
          <w:sz w:val="21"/>
          <w:szCs w:val="21"/>
        </w:rPr>
        <w:t xml:space="preserve">评委决定投标文件的响应性只根据投标文件本身的内容，而不寻求外部的证据。</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25.3</w:t>
      </w:r>
      <w:r>
        <w:rPr>
          <w:rFonts w:hint="eastAsia" w:ascii="宋体" w:hAnsi="宋体" w:eastAsia="宋体" w:cs="宋体"/>
          <w:bCs/>
          <w:color w:val="000000"/>
          <w:sz w:val="21"/>
          <w:szCs w:val="21"/>
        </w:rPr>
        <w:t xml:space="preserve">如果投标文件实质上没有响应招标文件的要求，评标委员会将予以拒绝，投标人不得通过修改或撤销不合要求的偏离或保留而使其投标成为实质性响应的投标。</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25.4</w:t>
      </w:r>
      <w:r>
        <w:rPr>
          <w:rFonts w:hint="eastAsia" w:ascii="宋体" w:hAnsi="宋体" w:eastAsia="宋体" w:cs="宋体"/>
          <w:bCs/>
          <w:color w:val="000000"/>
          <w:sz w:val="21"/>
          <w:szCs w:val="21"/>
        </w:rPr>
        <w:t xml:space="preserve">评标委员会将对确定为实质性响应的投标进行进一步审核，看其是否有计算上或累加上的算术错误，修正错误的原则如下：</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（1）投标文件中开标一览表内容与投标文件中相应内容不一致的，以开标一览表为准。</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（2）大写金额和小写金额不一致的，以大写金额为准。</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（3）单价金额小数点或者百分比有明显错位的，以开标一览表的总价为准，并修改单价。</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（4）总价金额与按单价汇总金额不一致的，以单价金额计算结果为准。</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同时出现两种以上错误的，按照前款规定的顺序修正。</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color w:val="000000"/>
          <w:sz w:val="21"/>
          <w:szCs w:val="21"/>
        </w:rPr>
        <w:t xml:space="preserve">25.5</w:t>
      </w:r>
      <w:r>
        <w:rPr>
          <w:rFonts w:hint="eastAsia" w:ascii="宋体" w:hAnsi="宋体" w:eastAsia="宋体" w:cs="宋体"/>
          <w:bCs/>
          <w:color w:val="000000"/>
          <w:sz w:val="21"/>
          <w:szCs w:val="21"/>
        </w:rPr>
        <w:t xml:space="preserve">评标委员会将按上述修正错误的方法调整投标文件中的投标报价</w:t>
      </w:r>
      <w:r>
        <w:rPr>
          <w:rFonts w:hint="eastAsia" w:ascii="宋体" w:hAnsi="宋体" w:eastAsia="宋体" w:cs="宋体"/>
          <w:bCs/>
          <w:sz w:val="21"/>
          <w:szCs w:val="21"/>
        </w:rPr>
        <w:t xml:space="preserve">，并通过</w:t>
      </w:r>
      <w:r>
        <w:rPr>
          <w:rFonts w:hint="eastAsia" w:ascii="宋体" w:hAnsi="宋体" w:eastAsia="宋体" w:cs="宋体"/>
          <w:sz w:val="21"/>
          <w:szCs w:val="21"/>
        </w:rPr>
        <w:t xml:space="preserve">苏采云系统</w:t>
      </w:r>
      <w:r>
        <w:rPr>
          <w:rFonts w:hint="eastAsia" w:ascii="宋体" w:hAnsi="宋体" w:eastAsia="宋体" w:cs="宋体"/>
          <w:bCs/>
          <w:sz w:val="21"/>
          <w:szCs w:val="21"/>
        </w:rPr>
        <w:t xml:space="preserve">告知投标人，调整后的价格应对投标人具有约束力。如果投标人不接受修正后的价格，则其投标将被拒绝。</w:t>
      </w:r>
      <w:r/>
    </w:p>
    <w:p>
      <w:pPr>
        <w:ind w:firstLine="420"/>
        <w:pageBreakBefore w:val="0"/>
        <w:spacing w:line="380" w:lineRule="exact"/>
        <w:widowControl w:val="off"/>
        <w:rPr>
          <w:rFonts w:hint="eastAsia" w:ascii="宋体" w:hAnsi="宋体" w:eastAsia="宋体" w:cs="宋体"/>
          <w:color w:val="000000"/>
          <w:sz w:val="21"/>
          <w:szCs w:val="21"/>
        </w:rPr>
        <w:outlineLvl w:val="9"/>
      </w:pPr>
      <w:r/>
      <w:bookmarkStart w:id="152" w:name="_Toc20823306"/>
      <w:r/>
      <w:bookmarkStart w:id="153" w:name="_Toc513029234"/>
      <w:r/>
      <w:bookmarkStart w:id="154" w:name="_Toc16938550"/>
      <w:r>
        <w:rPr>
          <w:rFonts w:hint="eastAsia" w:ascii="宋体" w:hAnsi="宋体" w:eastAsia="宋体" w:cs="宋体"/>
          <w:color w:val="000000"/>
          <w:sz w:val="21"/>
          <w:szCs w:val="21"/>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非单一产品采购项目，招标文件中将载明其中的核心产品。多家投标人提供的核心产品品牌相同的，按前两款规定处理。</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25.7投标人在开、评标全过程中应保持通</w:t>
      </w:r>
      <w:r>
        <w:rPr>
          <w:rFonts w:hint="eastAsia" w:ascii="宋体" w:hAnsi="宋体" w:eastAsia="宋体" w:cs="宋体"/>
          <w:sz w:val="21"/>
          <w:szCs w:val="21"/>
        </w:rPr>
        <w:t xml:space="preserve">讯畅通，及时登录苏采云系统查阅、答复相关信息，并安排专</w:t>
      </w:r>
      <w:r>
        <w:rPr>
          <w:rFonts w:hint="eastAsia" w:ascii="宋体" w:hAnsi="宋体" w:eastAsia="宋体" w:cs="宋体"/>
          <w:color w:val="000000"/>
          <w:sz w:val="21"/>
          <w:szCs w:val="21"/>
        </w:rPr>
        <w:t xml:space="preserve">人与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及评标委员会联系。</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25.8 异常低价投标审查</w:t>
      </w:r>
      <w:r/>
    </w:p>
    <w:p>
      <w:pPr>
        <w:ind w:firstLine="420"/>
        <w:pageBreakBefore w:val="0"/>
        <w:spacing w:line="380" w:lineRule="exact"/>
        <w:widowControl w:val="off"/>
        <w:rPr>
          <w:rFonts w:hint="default" w:ascii="宋体" w:hAnsi="宋体" w:eastAsia="宋体" w:cs="宋体"/>
          <w:color w:val="000000"/>
          <w:sz w:val="21"/>
          <w:szCs w:val="21"/>
        </w:rPr>
        <w:outlineLvl w:val="9"/>
      </w:pPr>
      <w:r>
        <w:rPr>
          <w:rFonts w:hint="eastAsia" w:ascii="宋体" w:hAnsi="宋体" w:eastAsia="宋体" w:cs="宋体"/>
          <w:color w:val="000000"/>
          <w:sz w:val="21"/>
          <w:szCs w:val="21"/>
        </w:rPr>
        <w:t xml:space="preserve">25.8.1</w:t>
      </w:r>
      <w:r>
        <w:rPr>
          <w:rFonts w:hint="default" w:ascii="宋体" w:hAnsi="宋体" w:eastAsia="宋体" w:cs="宋体"/>
          <w:color w:val="000000"/>
          <w:sz w:val="21"/>
          <w:szCs w:val="21"/>
        </w:rPr>
        <w:t xml:space="preserve">评标过程中出现下列情形之一的，评标委员会应当启动异常低价投标审查程序：</w:t>
      </w:r>
      <w:r/>
    </w:p>
    <w:p>
      <w:pPr>
        <w:ind w:firstLine="422"/>
        <w:pageBreakBefore w:val="0"/>
        <w:spacing w:line="380" w:lineRule="exact"/>
        <w:widowControl w:val="off"/>
        <w:rPr>
          <w:rFonts w:hint="default" w:ascii="宋体" w:hAnsi="宋体" w:eastAsia="宋体" w:cs="宋体"/>
          <w:b/>
          <w:bCs/>
          <w:color w:val="000000"/>
          <w:sz w:val="21"/>
          <w:szCs w:val="21"/>
        </w:rPr>
        <w:outlineLvl w:val="9"/>
      </w:pPr>
      <w:r>
        <w:rPr>
          <w:rFonts w:hint="eastAsia" w:ascii="宋体" w:hAnsi="宋体" w:eastAsia="宋体" w:cs="宋体"/>
          <w:b/>
          <w:bCs/>
          <w:color w:val="000000"/>
          <w:sz w:val="21"/>
          <w:szCs w:val="21"/>
          <w:lang w:eastAsia="zh-CN"/>
        </w:rPr>
        <w:t xml:space="preserve">（</w:t>
      </w:r>
      <w:r>
        <w:rPr>
          <w:rFonts w:hint="default" w:ascii="宋体" w:hAnsi="宋体" w:eastAsia="宋体" w:cs="宋体"/>
          <w:b/>
          <w:bCs/>
          <w:color w:val="000000"/>
          <w:sz w:val="21"/>
          <w:szCs w:val="21"/>
        </w:rPr>
        <w:t xml:space="preserve">1</w:t>
      </w:r>
      <w:r>
        <w:rPr>
          <w:rFonts w:hint="eastAsia" w:ascii="宋体" w:hAnsi="宋体" w:eastAsia="宋体" w:cs="宋体"/>
          <w:b/>
          <w:bCs/>
          <w:color w:val="000000"/>
          <w:sz w:val="21"/>
          <w:szCs w:val="21"/>
          <w:lang w:eastAsia="zh-CN"/>
        </w:rPr>
        <w:t xml:space="preserve">）</w:t>
      </w:r>
      <w:r>
        <w:rPr>
          <w:rFonts w:hint="default" w:ascii="宋体" w:hAnsi="宋体" w:eastAsia="宋体" w:cs="宋体"/>
          <w:b/>
          <w:bCs/>
          <w:color w:val="000000"/>
          <w:sz w:val="21"/>
          <w:szCs w:val="21"/>
        </w:rPr>
        <w:t xml:space="preserve">投标报价低于全部通过符合性审查供应商投标报价平均值50%的，即投标报价&lt;全部通过符合性审查供应商投标报价平均值×50%；</w:t>
      </w:r>
      <w:r/>
    </w:p>
    <w:p>
      <w:pPr>
        <w:ind w:firstLine="422"/>
        <w:pageBreakBefore w:val="0"/>
        <w:spacing w:line="380" w:lineRule="exact"/>
        <w:widowControl w:val="off"/>
        <w:rPr>
          <w:rFonts w:hint="default" w:ascii="宋体" w:hAnsi="宋体" w:eastAsia="宋体" w:cs="宋体"/>
          <w:b/>
          <w:bCs/>
          <w:color w:val="000000"/>
          <w:sz w:val="21"/>
          <w:szCs w:val="21"/>
        </w:rPr>
        <w:outlineLvl w:val="9"/>
      </w:pPr>
      <w:r>
        <w:rPr>
          <w:rFonts w:hint="eastAsia" w:ascii="宋体" w:hAnsi="宋体" w:eastAsia="宋体" w:cs="宋体"/>
          <w:b/>
          <w:bCs/>
          <w:color w:val="000000"/>
          <w:sz w:val="21"/>
          <w:szCs w:val="21"/>
          <w:lang w:eastAsia="zh-CN"/>
        </w:rPr>
        <w:t xml:space="preserve">（</w:t>
      </w:r>
      <w:r>
        <w:rPr>
          <w:rFonts w:hint="default" w:ascii="宋体" w:hAnsi="宋体" w:eastAsia="宋体" w:cs="宋体"/>
          <w:b/>
          <w:bCs/>
          <w:color w:val="000000"/>
          <w:sz w:val="21"/>
          <w:szCs w:val="21"/>
        </w:rPr>
        <w:t xml:space="preserve">2</w:t>
      </w:r>
      <w:r>
        <w:rPr>
          <w:rFonts w:hint="eastAsia" w:ascii="宋体" w:hAnsi="宋体" w:eastAsia="宋体" w:cs="宋体"/>
          <w:b/>
          <w:bCs/>
          <w:color w:val="000000"/>
          <w:sz w:val="21"/>
          <w:szCs w:val="21"/>
          <w:lang w:eastAsia="zh-CN"/>
        </w:rPr>
        <w:t xml:space="preserve">）</w:t>
      </w:r>
      <w:r>
        <w:rPr>
          <w:rFonts w:hint="default" w:ascii="宋体" w:hAnsi="宋体" w:eastAsia="宋体" w:cs="宋体"/>
          <w:b/>
          <w:bCs/>
          <w:color w:val="000000"/>
          <w:sz w:val="21"/>
          <w:szCs w:val="21"/>
        </w:rPr>
        <w:t xml:space="preserve">投标报价低于通过符合性审查的次低报价供应商投标报价50%的，即投标报价&lt;通过符合性审查的次低报价供应商投标报价×50%；</w:t>
      </w:r>
      <w:r/>
    </w:p>
    <w:p>
      <w:pPr>
        <w:ind w:firstLine="422"/>
        <w:pageBreakBefore w:val="0"/>
        <w:spacing w:line="380" w:lineRule="exact"/>
        <w:widowControl w:val="off"/>
        <w:rPr>
          <w:rFonts w:hint="default" w:ascii="宋体" w:hAnsi="宋体" w:eastAsia="宋体" w:cs="宋体"/>
          <w:b/>
          <w:bCs/>
          <w:color w:val="000000"/>
          <w:sz w:val="21"/>
          <w:szCs w:val="21"/>
        </w:rPr>
        <w:outlineLvl w:val="9"/>
      </w:pPr>
      <w:r>
        <w:rPr>
          <w:rFonts w:hint="eastAsia" w:ascii="宋体" w:hAnsi="宋体" w:eastAsia="宋体" w:cs="宋体"/>
          <w:b/>
          <w:bCs/>
          <w:color w:val="000000"/>
          <w:sz w:val="21"/>
          <w:szCs w:val="21"/>
          <w:lang w:eastAsia="zh-CN"/>
        </w:rPr>
        <w:t xml:space="preserve">（</w:t>
      </w:r>
      <w:r>
        <w:rPr>
          <w:rFonts w:hint="default" w:ascii="宋体" w:hAnsi="宋体" w:eastAsia="宋体" w:cs="宋体"/>
          <w:b/>
          <w:bCs/>
          <w:color w:val="000000"/>
          <w:sz w:val="21"/>
          <w:szCs w:val="21"/>
        </w:rPr>
        <w:t xml:space="preserve">3</w:t>
      </w:r>
      <w:r>
        <w:rPr>
          <w:rFonts w:hint="eastAsia" w:ascii="宋体" w:hAnsi="宋体" w:eastAsia="宋体" w:cs="宋体"/>
          <w:b/>
          <w:bCs/>
          <w:color w:val="000000"/>
          <w:sz w:val="21"/>
          <w:szCs w:val="21"/>
          <w:lang w:eastAsia="zh-CN"/>
        </w:rPr>
        <w:t xml:space="preserve">）</w:t>
      </w:r>
      <w:r>
        <w:rPr>
          <w:rFonts w:hint="default" w:ascii="宋体" w:hAnsi="宋体" w:eastAsia="宋体" w:cs="宋体"/>
          <w:b/>
          <w:bCs/>
          <w:color w:val="000000"/>
          <w:sz w:val="21"/>
          <w:szCs w:val="21"/>
        </w:rPr>
        <w:t xml:space="preserve">投标报价低于采购项目最高限价45%的，即投标报价&lt;采购项目最高限价×45%；</w:t>
      </w:r>
      <w:r/>
    </w:p>
    <w:p>
      <w:pPr>
        <w:ind w:firstLine="422"/>
        <w:pageBreakBefore w:val="0"/>
        <w:spacing w:line="380" w:lineRule="exact"/>
        <w:widowControl w:val="off"/>
        <w:rPr>
          <w:rFonts w:hint="default" w:ascii="宋体" w:hAnsi="宋体" w:eastAsia="宋体" w:cs="宋体"/>
          <w:b/>
          <w:bCs/>
          <w:color w:val="000000"/>
          <w:sz w:val="21"/>
          <w:szCs w:val="21"/>
        </w:rPr>
        <w:outlineLvl w:val="9"/>
      </w:pPr>
      <w:r>
        <w:rPr>
          <w:rFonts w:hint="eastAsia" w:ascii="宋体" w:hAnsi="宋体" w:eastAsia="宋体" w:cs="宋体"/>
          <w:b/>
          <w:bCs/>
          <w:color w:val="000000"/>
          <w:sz w:val="21"/>
          <w:szCs w:val="21"/>
          <w:lang w:eastAsia="zh-CN"/>
        </w:rPr>
        <w:t xml:space="preserve">（</w:t>
      </w:r>
      <w:r>
        <w:rPr>
          <w:rFonts w:hint="default" w:ascii="宋体" w:hAnsi="宋体" w:eastAsia="宋体" w:cs="宋体"/>
          <w:b/>
          <w:bCs/>
          <w:color w:val="000000"/>
          <w:sz w:val="21"/>
          <w:szCs w:val="21"/>
        </w:rPr>
        <w:t xml:space="preserve">4</w:t>
      </w:r>
      <w:r>
        <w:rPr>
          <w:rFonts w:hint="eastAsia" w:ascii="宋体" w:hAnsi="宋体" w:eastAsia="宋体" w:cs="宋体"/>
          <w:b/>
          <w:bCs/>
          <w:color w:val="000000"/>
          <w:sz w:val="21"/>
          <w:szCs w:val="21"/>
          <w:lang w:eastAsia="zh-CN"/>
        </w:rPr>
        <w:t xml:space="preserve">）</w:t>
      </w:r>
      <w:r>
        <w:rPr>
          <w:rFonts w:hint="default" w:ascii="宋体" w:hAnsi="宋体" w:eastAsia="宋体" w:cs="宋体"/>
          <w:b/>
          <w:bCs/>
          <w:color w:val="000000"/>
          <w:sz w:val="21"/>
          <w:szCs w:val="21"/>
        </w:rPr>
        <w:t xml:space="preserve">评标委员会基于专业判断，认为供应商报价过低，有可能影响产品质量或者不能诚信履约的其他情形。</w:t>
      </w:r>
      <w:r/>
    </w:p>
    <w:p>
      <w:pPr>
        <w:ind w:firstLine="420"/>
        <w:pageBreakBefore w:val="0"/>
        <w:spacing w:line="380" w:lineRule="exact"/>
        <w:widowControl w:val="off"/>
        <w:rPr>
          <w:rFonts w:hint="default" w:ascii="宋体" w:hAnsi="宋体" w:eastAsia="宋体" w:cs="宋体"/>
          <w:color w:val="000000"/>
          <w:sz w:val="21"/>
          <w:szCs w:val="21"/>
        </w:rPr>
        <w:outlineLvl w:val="9"/>
      </w:pPr>
      <w:r>
        <w:rPr>
          <w:rFonts w:hint="eastAsia" w:ascii="宋体" w:hAnsi="宋体" w:eastAsia="宋体" w:cs="宋体"/>
          <w:color w:val="000000"/>
          <w:sz w:val="21"/>
          <w:szCs w:val="21"/>
        </w:rPr>
        <w:t xml:space="preserve">25.8.2 </w:t>
      </w:r>
      <w:r>
        <w:rPr>
          <w:rFonts w:hint="default" w:ascii="宋体" w:hAnsi="宋体" w:eastAsia="宋体" w:cs="宋体"/>
          <w:color w:val="000000"/>
          <w:sz w:val="21"/>
          <w:szCs w:val="21"/>
        </w:rPr>
        <w:t xml:space="preserve">评标委员会启动异常低价投标审查后，属于前述第</w:t>
      </w:r>
      <w:r>
        <w:rPr>
          <w:rFonts w:hint="eastAsia" w:ascii="宋体" w:hAnsi="宋体" w:eastAsia="宋体" w:cs="宋体"/>
          <w:color w:val="000000"/>
          <w:sz w:val="21"/>
          <w:szCs w:val="21"/>
          <w:lang w:eastAsia="zh-CN"/>
        </w:rPr>
        <w:t xml:space="preserve">（</w:t>
      </w:r>
      <w:r>
        <w:rPr>
          <w:rFonts w:hint="default"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default" w:ascii="宋体" w:hAnsi="宋体" w:eastAsia="宋体" w:cs="宋体"/>
          <w:color w:val="000000"/>
          <w:sz w:val="21"/>
          <w:szCs w:val="21"/>
        </w:rPr>
        <w:t xml:space="preserve">项至第</w:t>
      </w:r>
      <w:r>
        <w:rPr>
          <w:rFonts w:hint="eastAsia" w:ascii="宋体" w:hAnsi="宋体" w:eastAsia="宋体" w:cs="宋体"/>
          <w:color w:val="000000"/>
          <w:sz w:val="21"/>
          <w:szCs w:val="21"/>
          <w:lang w:eastAsia="zh-CN"/>
        </w:rPr>
        <w:t xml:space="preserve">（</w:t>
      </w:r>
      <w:r>
        <w:rPr>
          <w:rFonts w:hint="default" w:ascii="宋体" w:hAnsi="宋体" w:eastAsia="宋体" w:cs="宋体"/>
          <w:color w:val="000000"/>
          <w:sz w:val="21"/>
          <w:szCs w:val="21"/>
        </w:rPr>
        <w:t xml:space="preserve">4</w:t>
      </w:r>
      <w:r>
        <w:rPr>
          <w:rFonts w:hint="eastAsia" w:ascii="宋体" w:hAnsi="宋体" w:eastAsia="宋体" w:cs="宋体"/>
          <w:color w:val="000000"/>
          <w:sz w:val="21"/>
          <w:szCs w:val="21"/>
          <w:lang w:eastAsia="zh-CN"/>
        </w:rPr>
        <w:t xml:space="preserve">）</w:t>
      </w:r>
      <w:r>
        <w:rPr>
          <w:rFonts w:hint="default" w:ascii="宋体" w:hAnsi="宋体" w:eastAsia="宋体" w:cs="宋体"/>
          <w:color w:val="000000"/>
          <w:sz w:val="21"/>
          <w:szCs w:val="21"/>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000000"/>
          <w:sz w:val="21"/>
          <w:szCs w:val="21"/>
          <w:lang w:eastAsia="zh-CN"/>
        </w:rPr>
        <w:t xml:space="preserve">（</w:t>
      </w:r>
      <w:r>
        <w:rPr>
          <w:rFonts w:hint="default" w:ascii="宋体" w:hAnsi="宋体" w:eastAsia="宋体" w:cs="宋体"/>
          <w:color w:val="000000"/>
          <w:sz w:val="21"/>
          <w:szCs w:val="21"/>
        </w:rPr>
        <w:t xml:space="preserve">3</w:t>
      </w:r>
      <w:r>
        <w:rPr>
          <w:rFonts w:hint="eastAsia" w:ascii="宋体" w:hAnsi="宋体" w:eastAsia="宋体" w:cs="宋体"/>
          <w:color w:val="000000"/>
          <w:sz w:val="21"/>
          <w:szCs w:val="21"/>
          <w:lang w:eastAsia="zh-CN"/>
        </w:rPr>
        <w:t xml:space="preserve">）</w:t>
      </w:r>
      <w:r>
        <w:rPr>
          <w:rFonts w:hint="default" w:ascii="宋体" w:hAnsi="宋体" w:eastAsia="宋体" w:cs="宋体"/>
          <w:color w:val="000000"/>
          <w:sz w:val="21"/>
          <w:szCs w:val="21"/>
        </w:rPr>
        <w:t xml:space="preserve">项情形，供应商已随投标文件一并提交相关书面说明及必要的证明材料的，在评标现场可不再重复提交。</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default" w:ascii="宋体" w:hAnsi="宋体" w:eastAsia="宋体" w:cs="宋体"/>
          <w:color w:val="000000"/>
          <w:sz w:val="21"/>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w:t>
      </w:r>
      <w:bookmarkEnd w:id="152"/>
      <w:r/>
      <w:bookmarkEnd w:id="153"/>
      <w:r/>
      <w:bookmarkEnd w:id="154"/>
      <w:r>
        <w:rPr>
          <w:rFonts w:hint="eastAsia" w:ascii="宋体" w:hAnsi="宋体" w:eastAsia="宋体" w:cs="宋体"/>
          <w:sz w:val="21"/>
          <w:szCs w:val="21"/>
        </w:rPr>
        <w:t xml:space="preserve">无效投标条款和废标条款</w:t>
      </w:r>
      <w:r/>
    </w:p>
    <w:p>
      <w:pPr>
        <w:ind w:firstLine="420"/>
        <w:pageBreakBefore w:val="0"/>
        <w:spacing w:line="380" w:lineRule="exact"/>
        <w:widowControl w:val="off"/>
        <w:rPr>
          <w:rFonts w:hint="eastAsia" w:ascii="宋体" w:hAnsi="宋体" w:eastAsia="宋体" w:cs="宋体"/>
          <w:bCs/>
          <w:sz w:val="21"/>
          <w:szCs w:val="21"/>
        </w:rPr>
        <w:outlineLvl w:val="9"/>
      </w:pPr>
      <w:r/>
      <w:bookmarkStart w:id="155" w:name="_Toc16938551"/>
      <w:r/>
      <w:bookmarkStart w:id="156" w:name="_Toc20823307"/>
      <w:r/>
      <w:bookmarkStart w:id="157" w:name="_Toc513029235"/>
      <w:r>
        <w:rPr>
          <w:rFonts w:hint="eastAsia" w:ascii="宋体" w:hAnsi="宋体" w:eastAsia="宋体" w:cs="宋体"/>
          <w:bCs/>
          <w:sz w:val="21"/>
          <w:szCs w:val="21"/>
        </w:rPr>
        <w:t xml:space="preserve">26.1无效投标条款</w:t>
      </w:r>
      <w:r/>
    </w:p>
    <w:p>
      <w:pPr>
        <w:ind w:firstLine="420"/>
        <w:pageBreakBefore w:val="0"/>
        <w:spacing w:line="3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26.1.1 投标人在</w:t>
      </w:r>
      <w:r>
        <w:rPr>
          <w:rFonts w:hint="eastAsia" w:ascii="宋体" w:hAnsi="宋体" w:eastAsia="宋体" w:cs="宋体"/>
          <w:sz w:val="21"/>
          <w:szCs w:val="21"/>
        </w:rPr>
        <w:t xml:space="preserve">苏采云系统</w:t>
      </w:r>
      <w:r>
        <w:rPr>
          <w:rFonts w:hint="eastAsia" w:ascii="宋体" w:hAnsi="宋体" w:eastAsia="宋体" w:cs="宋体"/>
          <w:bCs/>
          <w:sz w:val="21"/>
          <w:szCs w:val="21"/>
        </w:rPr>
        <w:t xml:space="preserve">规定的时间内未成功解密电子投标文件的。</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sz w:val="21"/>
          <w:szCs w:val="21"/>
        </w:rPr>
        <w:t xml:space="preserve">26.1.2 投标人未按照招标文件</w:t>
      </w:r>
      <w:r>
        <w:rPr>
          <w:rFonts w:hint="eastAsia" w:ascii="宋体" w:hAnsi="宋体" w:eastAsia="宋体" w:cs="宋体"/>
          <w:bCs/>
          <w:color w:val="000000"/>
          <w:sz w:val="21"/>
          <w:szCs w:val="21"/>
        </w:rPr>
        <w:t xml:space="preserve">要求上传电子投标文件的。</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.1.3 投标人</w:t>
      </w:r>
      <w:r>
        <w:rPr>
          <w:rFonts w:hint="eastAsia" w:ascii="宋体" w:hAnsi="宋体" w:eastAsia="宋体" w:cs="宋体"/>
          <w:bCs/>
          <w:sz w:val="21"/>
          <w:szCs w:val="21"/>
        </w:rPr>
        <w:t xml:space="preserve">同一采购包提</w:t>
      </w:r>
      <w:r>
        <w:rPr>
          <w:rFonts w:hint="eastAsia" w:ascii="宋体" w:hAnsi="宋体" w:eastAsia="宋体" w:cs="宋体"/>
          <w:bCs/>
          <w:color w:val="000000"/>
          <w:sz w:val="21"/>
          <w:szCs w:val="21"/>
        </w:rPr>
        <w:t xml:space="preserve">交两个（含两个）以上不同的投标报价的。</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.1.4投标人不具备招标文件中规定资格要求的。</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.1.5投标人的报价超过了采购预算或最高限价的。</w:t>
      </w:r>
      <w:r/>
    </w:p>
    <w:p>
      <w:pPr>
        <w:ind w:firstLine="420"/>
        <w:pageBreakBefore w:val="0"/>
        <w:spacing w:line="380" w:lineRule="exact"/>
        <w:widowControl w:val="off"/>
        <w:rPr>
          <w:rFonts w:hint="eastAsia" w:ascii="宋体" w:hAnsi="宋体" w:eastAsia="宋体" w:cs="宋体"/>
          <w:bCs/>
          <w:i/>
          <w:color w:val="000000"/>
          <w:sz w:val="21"/>
          <w:szCs w:val="21"/>
          <w:u w:val="single"/>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.1.6未通过符合性审查的。</w:t>
      </w:r>
      <w:r/>
    </w:p>
    <w:p>
      <w:pPr>
        <w:ind w:firstLine="420"/>
        <w:pageBreakBefore w:val="0"/>
        <w:spacing w:line="380" w:lineRule="exact"/>
        <w:widowControl w:val="off"/>
        <w:rPr>
          <w:rFonts w:hint="eastAsia" w:ascii="宋体" w:hAnsi="宋体" w:eastAsia="宋体" w:cs="宋体"/>
          <w:bCs/>
          <w:i/>
          <w:color w:val="000000"/>
          <w:sz w:val="21"/>
          <w:szCs w:val="21"/>
          <w:u w:val="single"/>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.1.7不符合招标文件中规定的实质性要求的</w:t>
      </w:r>
      <w:r>
        <w:rPr>
          <w:rFonts w:hint="eastAsia" w:ascii="宋体" w:hAnsi="宋体" w:eastAsia="宋体" w:cs="宋体"/>
          <w:b/>
          <w:bCs/>
          <w:sz w:val="21"/>
          <w:szCs w:val="21"/>
        </w:rPr>
        <w:t xml:space="preserve">（本招标文件中</w:t>
      </w:r>
      <w:r>
        <w:rPr>
          <w:rFonts w:hint="eastAsia" w:ascii="宋体" w:hAnsi="宋体" w:eastAsia="宋体" w:cs="宋体"/>
          <w:b/>
          <w:bCs/>
          <w:i/>
          <w:sz w:val="21"/>
          <w:szCs w:val="21"/>
          <w:u w:val="single"/>
        </w:rPr>
        <w:t xml:space="preserve">斜体且有下划线部分</w:t>
      </w:r>
      <w:r>
        <w:rPr>
          <w:rFonts w:hint="eastAsia" w:ascii="宋体" w:hAnsi="宋体" w:eastAsia="宋体" w:cs="宋体"/>
          <w:b/>
          <w:bCs/>
          <w:sz w:val="21"/>
          <w:szCs w:val="21"/>
        </w:rPr>
        <w:t xml:space="preserve">或加*号条款为实质性要求）</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.1.9  投标文件含有采购人不能接受的附加条件的。</w:t>
      </w:r>
      <w:r/>
    </w:p>
    <w:p>
      <w:pPr>
        <w:ind w:firstLine="42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26.1.10 评标委员会按照本招标文件规定对投标人进行异常低价投标审查后，认为投标人不能证明其报价合理性的。</w:t>
      </w:r>
      <w:r/>
    </w:p>
    <w:p>
      <w:pPr>
        <w:ind w:firstLine="42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.1.12 投标文件未按照招标文件要求加盖CA电子公章的。</w:t>
      </w:r>
      <w:r/>
    </w:p>
    <w:p>
      <w:pPr>
        <w:ind w:firstLine="42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26.1.13 投标人所投标产品不符合招标文件中所列国家强制性标准的。</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.1.14其他法律、法规及本招标文件规定的属无效投标的情形。</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.2废标条款 </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.2.1符合专业条件的供应商或者对招标文件作实质响应的供应商不足三家的。</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26.2.2出现影响采购公正的违法、违规行为的。</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w:t>
      </w:r>
      <w:r>
        <w:rPr>
          <w:rFonts w:hint="eastAsia" w:ascii="宋体" w:hAnsi="宋体" w:eastAsia="宋体" w:cs="宋体"/>
          <w:bCs/>
          <w:sz w:val="21"/>
          <w:szCs w:val="21"/>
        </w:rPr>
        <w:t xml:space="preserve">6</w:t>
      </w:r>
      <w:r>
        <w:rPr>
          <w:rFonts w:hint="eastAsia" w:ascii="宋体" w:hAnsi="宋体" w:eastAsia="宋体" w:cs="宋体"/>
          <w:bCs/>
          <w:color w:val="000000"/>
          <w:sz w:val="21"/>
          <w:szCs w:val="21"/>
        </w:rPr>
        <w:t xml:space="preserve">.2.3因重大变故，采购任务取消的。</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26.2.4评标委员会认定招标文件存在歧义、重大缺陷导致评审工作无法进行。</w:t>
      </w:r>
      <w:r/>
    </w:p>
    <w:p>
      <w:pPr>
        <w:ind w:firstLine="420"/>
        <w:pageBreakBefore w:val="0"/>
        <w:spacing w:line="380" w:lineRule="exact"/>
        <w:widowControl w:val="off"/>
        <w:rPr>
          <w:rFonts w:hint="eastAsia" w:ascii="宋体" w:hAnsi="宋体" w:eastAsia="宋体" w:cs="宋体"/>
          <w:bCs/>
          <w:sz w:val="21"/>
          <w:szCs w:val="21"/>
        </w:rPr>
        <w:outlineLvl w:val="9"/>
      </w:pPr>
      <w:r>
        <w:rPr>
          <w:rFonts w:hint="eastAsia" w:ascii="宋体" w:hAnsi="宋体" w:eastAsia="宋体" w:cs="宋体"/>
          <w:bCs/>
          <w:color w:val="000000"/>
          <w:sz w:val="21"/>
          <w:szCs w:val="21"/>
        </w:rPr>
        <w:t xml:space="preserve">26.2</w:t>
      </w:r>
      <w:r>
        <w:rPr>
          <w:rFonts w:hint="eastAsia" w:ascii="宋体" w:hAnsi="宋体" w:eastAsia="宋体" w:cs="宋体"/>
          <w:bCs/>
          <w:sz w:val="21"/>
          <w:szCs w:val="21"/>
        </w:rPr>
        <w:t xml:space="preserve">.5 因</w:t>
      </w:r>
      <w:r>
        <w:rPr>
          <w:rFonts w:hint="eastAsia" w:ascii="宋体" w:hAnsi="宋体" w:eastAsia="宋体" w:cs="宋体"/>
          <w:sz w:val="21"/>
          <w:szCs w:val="21"/>
        </w:rPr>
        <w:t xml:space="preserve">苏采云</w:t>
      </w:r>
      <w:r>
        <w:rPr>
          <w:rFonts w:hint="eastAsia" w:ascii="宋体" w:hAnsi="宋体" w:eastAsia="宋体" w:cs="宋体"/>
          <w:bCs/>
          <w:sz w:val="21"/>
          <w:szCs w:val="21"/>
        </w:rPr>
        <w:t xml:space="preserve">系统故障原因造成开标不成功的。  </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sz w:val="21"/>
          <w:szCs w:val="21"/>
        </w:rPr>
        <w:t xml:space="preserve">26.3 投标截止时间结束后</w:t>
      </w:r>
      <w:r>
        <w:rPr>
          <w:rFonts w:hint="eastAsia" w:ascii="宋体" w:hAnsi="宋体" w:eastAsia="宋体" w:cs="宋体"/>
          <w:bCs/>
          <w:color w:val="000000"/>
          <w:sz w:val="21"/>
          <w:szCs w:val="21"/>
        </w:rPr>
        <w:t xml:space="preserve">参加投标的供应商不足三家的处理：</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26.3.1如出现投标截止时间结束后参加投标的供应商或者在评标期间对招标文件做出实质响应的供应商不足三家情况，按政府采购相关规定执行。</w:t>
      </w:r>
      <w:r/>
    </w:p>
    <w:p>
      <w:pPr>
        <w:ind w:firstLine="422"/>
        <w:keepLines/>
        <w:keepNext/>
        <w:pageBreakBefore w:val="0"/>
        <w:spacing w:line="380" w:lineRule="exact"/>
        <w:widowControl w:val="off"/>
        <w:rPr>
          <w:rFonts w:hint="eastAsia" w:ascii="宋体" w:hAnsi="宋体" w:eastAsia="宋体" w:cs="宋体"/>
          <w:b/>
          <w:bCs/>
          <w:color w:val="000000"/>
          <w:sz w:val="21"/>
          <w:szCs w:val="21"/>
        </w:rPr>
        <w:outlineLvl w:val="9"/>
      </w:pPr>
      <w:r/>
      <w:bookmarkStart w:id="158" w:name="_Toc120614219"/>
      <w:r>
        <w:rPr>
          <w:rFonts w:hint="eastAsia" w:ascii="宋体" w:hAnsi="宋体" w:eastAsia="宋体" w:cs="宋体"/>
          <w:b/>
          <w:bCs/>
          <w:color w:val="000000"/>
          <w:sz w:val="21"/>
          <w:szCs w:val="21"/>
        </w:rPr>
        <w:t xml:space="preserve">六、</w:t>
      </w:r>
      <w:bookmarkEnd w:id="155"/>
      <w:r/>
      <w:bookmarkEnd w:id="156"/>
      <w:r/>
      <w:bookmarkEnd w:id="157"/>
      <w:r>
        <w:rPr>
          <w:rFonts w:hint="eastAsia" w:ascii="宋体" w:hAnsi="宋体" w:eastAsia="宋体" w:cs="宋体"/>
          <w:b/>
          <w:bCs/>
          <w:color w:val="000000"/>
          <w:sz w:val="21"/>
          <w:szCs w:val="21"/>
        </w:rPr>
        <w:t xml:space="preserve">定标</w:t>
      </w:r>
      <w:bookmarkEnd w:id="158"/>
      <w:r/>
      <w:r/>
    </w:p>
    <w:p>
      <w:pPr>
        <w:ind w:firstLine="420"/>
        <w:keepLines/>
        <w:keepNext/>
        <w:pageBreakBefore w:val="0"/>
        <w:spacing w:line="380" w:lineRule="exact"/>
        <w:widowControl w:val="off"/>
        <w:rPr>
          <w:rFonts w:hint="eastAsia" w:ascii="宋体" w:hAnsi="宋体" w:eastAsia="宋体" w:cs="宋体"/>
          <w:bCs/>
          <w:color w:val="000000"/>
          <w:sz w:val="21"/>
          <w:szCs w:val="21"/>
        </w:rPr>
        <w:outlineLvl w:val="9"/>
      </w:pPr>
      <w:r/>
      <w:bookmarkStart w:id="159" w:name="_Toc513029238"/>
      <w:r/>
      <w:bookmarkStart w:id="160" w:name="_Toc16938554"/>
      <w:r/>
      <w:bookmarkStart w:id="161" w:name="_Toc20823310"/>
      <w:r>
        <w:rPr>
          <w:rFonts w:hint="eastAsia" w:ascii="宋体" w:hAnsi="宋体" w:eastAsia="宋体" w:cs="宋体"/>
          <w:bCs/>
          <w:color w:val="000000"/>
          <w:sz w:val="21"/>
          <w:szCs w:val="21"/>
        </w:rPr>
        <w:t xml:space="preserve">27、</w:t>
      </w:r>
      <w:bookmarkEnd w:id="159"/>
      <w:r>
        <w:rPr>
          <w:rFonts w:hint="eastAsia" w:ascii="宋体" w:hAnsi="宋体" w:eastAsia="宋体" w:cs="宋体"/>
          <w:bCs/>
          <w:color w:val="000000"/>
          <w:sz w:val="21"/>
          <w:szCs w:val="21"/>
        </w:rPr>
        <w:t xml:space="preserve">确定</w:t>
      </w:r>
      <w:bookmarkEnd w:id="160"/>
      <w:r/>
      <w:bookmarkEnd w:id="161"/>
      <w:r>
        <w:rPr>
          <w:rFonts w:hint="eastAsia" w:ascii="宋体" w:hAnsi="宋体" w:eastAsia="宋体" w:cs="宋体"/>
          <w:bCs/>
          <w:color w:val="000000"/>
          <w:sz w:val="21"/>
          <w:szCs w:val="21"/>
        </w:rPr>
        <w:t xml:space="preserve">中标单位</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27.1中标候选人的选取原则和数量见招标文件第五章规定。 </w:t>
      </w:r>
      <w:r/>
    </w:p>
    <w:p>
      <w:pPr>
        <w:ind w:firstLine="420"/>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27.2 采购人应根据评标委员会推荐的中标候选人确定中标供应商。</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27.3 </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将在“江苏政府采购网”发布中标公告，公告期限为1个工作日。</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27.4 若有充分证据证明，中标供应商出现下列情况之一的，一经查实，将被取消中标资格：</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27.4.1提供虚假材料谋取中标的。</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27.4.2向采购人、</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行贿或者提供其他不正当利益的。</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27.4.3属于本文件规定的无效条件，但在评标过程中又未被评标委员会发现的。</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27.4.4与采购人或者其他供应商恶意串通的。</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27.4.5采取不正当手段诋毁、排挤其他供应商的。</w:t>
      </w:r>
      <w:r/>
    </w:p>
    <w:p>
      <w:pPr>
        <w:ind w:firstLine="420"/>
        <w:pageBreakBefore w:val="0"/>
        <w:spacing w:line="380" w:lineRule="exact"/>
        <w:widowControl w:val="off"/>
        <w:rPr>
          <w:rFonts w:hint="eastAsia" w:ascii="宋体" w:hAnsi="宋体" w:eastAsia="宋体" w:cs="宋体"/>
          <w:color w:val="000000"/>
          <w:sz w:val="21"/>
          <w:szCs w:val="21"/>
        </w:rPr>
        <w:outlineLvl w:val="9"/>
      </w:pPr>
      <w:r/>
      <w:bookmarkStart w:id="162" w:name="_Toc200451960"/>
      <w:r>
        <w:rPr>
          <w:rFonts w:hint="eastAsia" w:ascii="宋体" w:hAnsi="宋体" w:eastAsia="宋体" w:cs="宋体"/>
          <w:color w:val="000000"/>
          <w:sz w:val="21"/>
          <w:szCs w:val="21"/>
        </w:rPr>
        <w:t xml:space="preserve">27.5 </w:t>
      </w:r>
      <w:r>
        <w:rPr>
          <w:rFonts w:hint="eastAsia" w:ascii="宋体" w:hAnsi="宋体" w:eastAsia="宋体" w:cs="宋体"/>
          <w:color w:val="000000"/>
          <w:sz w:val="21"/>
          <w:szCs w:val="21"/>
        </w:rPr>
        <w:t xml:space="preserve">有下列情形之一的，视为投标人串通投标，投标无效：</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27.5.1不同投标人的投标文件由同一单位或者个人编制。</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27.5.2不同投标人委托同一单位或者个人办理投标事宜。</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27.5.3 不同投标人的投标文件载明的项目管理成员或者联系人员为同一人。</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27.5.4不同投标人的投标文件异常一致或者投标报价呈规律性差异。</w:t>
      </w:r>
      <w:r/>
    </w:p>
    <w:p>
      <w:pPr>
        <w:ind w:firstLine="420"/>
        <w:keepLines/>
        <w:keepNext/>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28、质疑处理</w:t>
      </w:r>
      <w:bookmarkEnd w:id="162"/>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28.1 提出质疑的供应商应当是参与所质疑项目采购活动的供应商。潜在供应商依法获取其可质疑的采购文件的，可以对采购文件提出质疑。</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或采购人提出质疑。上述应知其权益受到损害之日，是指：</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28.2.1</w:t>
      </w:r>
      <w:r>
        <w:rPr>
          <w:rFonts w:hint="eastAsia" w:ascii="宋体" w:hAnsi="宋体" w:eastAsia="宋体" w:cs="宋体"/>
          <w:color w:val="000000"/>
          <w:sz w:val="21"/>
          <w:szCs w:val="21"/>
        </w:rPr>
        <w:t xml:space="preserve">对可以质疑的采购文件提出质疑的，为收到采购文件之日或者采购文件公告期限届满之日；</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28.2.2</w:t>
      </w:r>
      <w:r>
        <w:rPr>
          <w:rFonts w:hint="eastAsia" w:ascii="宋体" w:hAnsi="宋体" w:eastAsia="宋体" w:cs="宋体"/>
          <w:color w:val="000000"/>
          <w:sz w:val="21"/>
          <w:szCs w:val="21"/>
        </w:rPr>
        <w:t xml:space="preserve">对采购过程提出质疑的，为各采购程序环节结束之日；</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28.2.3</w:t>
      </w:r>
      <w:r>
        <w:rPr>
          <w:rFonts w:hint="eastAsia" w:ascii="宋体" w:hAnsi="宋体" w:eastAsia="宋体" w:cs="宋体"/>
          <w:color w:val="000000"/>
          <w:sz w:val="21"/>
          <w:szCs w:val="21"/>
        </w:rPr>
        <w:t xml:space="preserve">对中标或者成交结果提出质疑的，为中标或者成交结果公告期限届满之日。</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、采购人将只对供应商第一次质疑作出答复。</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pageBreakBefore w:val="0"/>
        <w:spacing w:line="380" w:lineRule="exact"/>
        <w:widowControl w:val="off"/>
        <w:rPr>
          <w:rFonts w:hint="default" w:ascii="宋体" w:hAnsi="宋体" w:eastAsia="宋体" w:cs="宋体"/>
          <w:color w:val="000000"/>
          <w:sz w:val="21"/>
          <w:szCs w:val="21"/>
        </w:rPr>
        <w:outlineLvl w:val="9"/>
      </w:pPr>
      <w:r>
        <w:rPr>
          <w:rFonts w:hint="eastAsia" w:ascii="宋体" w:hAnsi="宋体" w:eastAsia="宋体" w:cs="宋体"/>
          <w:color w:val="000000"/>
          <w:sz w:val="21"/>
          <w:szCs w:val="21"/>
        </w:rPr>
        <w:t xml:space="preserve">28.4 </w:t>
      </w:r>
      <w:r>
        <w:rPr>
          <w:rFonts w:hint="default" w:ascii="宋体" w:hAnsi="宋体" w:eastAsia="宋体" w:cs="宋体"/>
          <w:color w:val="000000"/>
          <w:sz w:val="21"/>
          <w:szCs w:val="21"/>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20"/>
        <w:pageBreakBefore w:val="0"/>
        <w:spacing w:line="380" w:lineRule="exact"/>
        <w:widowControl w:val="off"/>
        <w:rPr>
          <w:rFonts w:hint="default" w:ascii="宋体" w:hAnsi="宋体" w:eastAsia="宋体" w:cs="宋体"/>
          <w:color w:val="000000"/>
          <w:sz w:val="21"/>
          <w:szCs w:val="21"/>
        </w:rPr>
        <w:outlineLvl w:val="9"/>
      </w:pPr>
      <w:r>
        <w:rPr>
          <w:rFonts w:hint="default" w:ascii="宋体" w:hAnsi="宋体" w:eastAsia="宋体" w:cs="宋体"/>
          <w:color w:val="000000"/>
          <w:sz w:val="21"/>
          <w:szCs w:val="21"/>
        </w:rPr>
        <w:t xml:space="preserve">代理机构及采购人只接收以纸质原件形式送达的质疑,建议供应商尽量通过邮寄方式提交质疑（采购人和代理机构不接受无快递运单号的快递）。</w:t>
      </w:r>
      <w:r/>
    </w:p>
    <w:p>
      <w:pPr>
        <w:ind w:firstLine="420"/>
        <w:pageBreakBefore w:val="0"/>
        <w:spacing w:line="380" w:lineRule="exact"/>
        <w:widowControl w:val="off"/>
        <w:rPr>
          <w:rFonts w:hint="default" w:ascii="宋体" w:hAnsi="宋体" w:eastAsia="宋体" w:cs="宋体"/>
          <w:color w:val="000000"/>
          <w:sz w:val="21"/>
          <w:szCs w:val="21"/>
        </w:rPr>
        <w:outlineLvl w:val="9"/>
      </w:pPr>
      <w:r>
        <w:rPr>
          <w:rFonts w:hint="default" w:ascii="宋体" w:hAnsi="宋体" w:eastAsia="宋体" w:cs="宋体"/>
          <w:color w:val="000000"/>
          <w:sz w:val="21"/>
          <w:szCs w:val="21"/>
        </w:rPr>
        <w:t xml:space="preserve">代理机构质疑接收部门为质疑处理科（快递运单上的收件人填写“质疑处理科”即可），联系地址：南京市鼓楼区集庆门大街268号苏宁慧谷E08-1幢2205、2206室。</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default" w:ascii="宋体" w:hAnsi="宋体" w:eastAsia="宋体" w:cs="宋体"/>
          <w:color w:val="000000"/>
          <w:sz w:val="21"/>
          <w:szCs w:val="21"/>
        </w:rPr>
        <w:t xml:space="preserve">采购人质疑接收人及联系方式见招标文件第一章。</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28.5 以下情形的质疑不予受理</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28.5.1 内容不符合《政府采购质疑和投诉办法》第十二条规定的质疑。</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28.5.2 超出政府采购法定期限的质疑。</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28.5.3 以传真、电子邮件等方式递交的非原件形式的质疑。</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28.5.4 未参加投标活动的供应商或在投标活动中自身权益未受到损害的供应商所提出的质疑。</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28.5.5供应商组成联合体参加投标，联合体中任何一方或多方未按要求签字、盖章、加盖公章的质疑。</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28.6 供应商提出书面质疑必须有理、有据，不得捏造事实、提供虚假材料进行恶意质疑。否则，一经查实，</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有权依据政府采购的有关规定，报请政府采购监管部门对该供应商进行相应的行政处罚和记录该供应商的失信信息。</w:t>
      </w:r>
      <w:r/>
    </w:p>
    <w:p>
      <w:pPr>
        <w:ind w:firstLine="420"/>
        <w:keepLines/>
        <w:keepNext/>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29、中标通知书</w:t>
      </w:r>
      <w:r/>
    </w:p>
    <w:p>
      <w:pPr>
        <w:ind w:firstLine="42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29.l中标结果确定后，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将向中标供应商发出中标通知书。请中标供应商在中标结果公告届满之日起30日内,使用CA</w:t>
      </w:r>
      <w:r>
        <w:rPr>
          <w:rFonts w:hint="eastAsia" w:ascii="宋体" w:hAnsi="宋体" w:eastAsia="宋体" w:cs="宋体"/>
          <w:sz w:val="21"/>
          <w:szCs w:val="21"/>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pageBreakBefore w:val="0"/>
        <w:spacing w:line="3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22"/>
        <w:keepLines/>
        <w:keepNext/>
        <w:pageBreakBefore w:val="0"/>
        <w:spacing w:line="380" w:lineRule="exact"/>
        <w:widowControl w:val="off"/>
        <w:rPr>
          <w:rFonts w:hint="eastAsia" w:ascii="宋体" w:hAnsi="宋体" w:eastAsia="宋体" w:cs="宋体"/>
          <w:b/>
          <w:bCs/>
          <w:color w:val="000000"/>
          <w:sz w:val="21"/>
          <w:szCs w:val="21"/>
        </w:rPr>
        <w:outlineLvl w:val="9"/>
      </w:pPr>
      <w:r/>
      <w:bookmarkStart w:id="163" w:name="_Toc120614220"/>
      <w:r/>
      <w:bookmarkStart w:id="164" w:name="_Toc16938552"/>
      <w:r/>
      <w:bookmarkStart w:id="165" w:name="_Toc20823308"/>
      <w:r/>
      <w:bookmarkStart w:id="166" w:name="_Toc513029236"/>
      <w:r>
        <w:rPr>
          <w:rFonts w:hint="eastAsia" w:ascii="宋体" w:hAnsi="宋体" w:eastAsia="宋体" w:cs="宋体"/>
          <w:b/>
          <w:bCs/>
          <w:color w:val="000000"/>
          <w:sz w:val="21"/>
          <w:szCs w:val="21"/>
        </w:rPr>
        <w:t xml:space="preserve">七、授予合同</w:t>
      </w:r>
      <w:bookmarkEnd w:id="163"/>
      <w:r/>
      <w:bookmarkEnd w:id="164"/>
      <w:bookmarkEnd w:id="165"/>
      <w:bookmarkEnd w:id="166"/>
      <w:r/>
    </w:p>
    <w:p>
      <w:pPr>
        <w:ind w:firstLine="420"/>
        <w:keepLines/>
        <w:keepNext/>
        <w:pageBreakBefore w:val="0"/>
        <w:spacing w:line="380" w:lineRule="exact"/>
        <w:widowControl w:val="off"/>
        <w:rPr>
          <w:rFonts w:hint="eastAsia" w:ascii="宋体" w:hAnsi="宋体" w:eastAsia="宋体" w:cs="宋体"/>
          <w:bCs/>
          <w:color w:val="000000"/>
          <w:sz w:val="21"/>
          <w:szCs w:val="21"/>
        </w:rPr>
        <w:outlineLvl w:val="9"/>
      </w:pPr>
      <w:r/>
      <w:bookmarkStart w:id="167" w:name="_Toc16938553"/>
      <w:r/>
      <w:bookmarkStart w:id="168" w:name="_Toc513029237"/>
      <w:r/>
      <w:bookmarkStart w:id="169" w:name="_Toc20823309"/>
      <w:r>
        <w:rPr>
          <w:rFonts w:hint="eastAsia" w:ascii="宋体" w:hAnsi="宋体" w:eastAsia="宋体" w:cs="宋体"/>
          <w:bCs/>
          <w:color w:val="000000"/>
          <w:sz w:val="21"/>
          <w:szCs w:val="21"/>
        </w:rPr>
        <w:t xml:space="preserve">30、签订合同</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bCs/>
          <w:color w:val="000000"/>
          <w:sz w:val="21"/>
          <w:szCs w:val="21"/>
        </w:rPr>
        <w:t xml:space="preserve">30.</w:t>
      </w:r>
      <w:r>
        <w:rPr>
          <w:rFonts w:hint="eastAsia" w:ascii="宋体" w:hAnsi="宋体" w:eastAsia="宋体" w:cs="宋体"/>
          <w:color w:val="000000"/>
          <w:sz w:val="21"/>
          <w:szCs w:val="21"/>
        </w:rPr>
        <w:t xml:space="preserve">l中标供应商应当在中标通知书发出之日起三十日内，按照招标文件确定的事项与采购人签订政府采购合同。</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30.2</w:t>
      </w: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 xml:space="preserve">招标文件、中标供应商的投标文件及招标过程中有关澄清、承诺文件均应作为合同附件。</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keepLines/>
        <w:keepNext/>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31、货物（包含与货物相关的服务）的追加</w:t>
      </w:r>
      <w:r/>
    </w:p>
    <w:p>
      <w:pPr>
        <w:ind w:firstLine="420"/>
        <w:pageBreakBefore w:val="0"/>
        <w:spacing w:line="3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7"/>
      <w:bookmarkEnd w:id="168"/>
      <w:bookmarkEnd w:id="169"/>
      <w:r/>
    </w:p>
    <w:p>
      <w:pPr>
        <w:ind w:firstLine="420"/>
        <w:keepLines/>
        <w:keepNext/>
        <w:pageBreakBefore w:val="0"/>
        <w:spacing w:line="380" w:lineRule="exact"/>
        <w:widowControl w:val="off"/>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32、政府采购履约资金扶持政策</w:t>
      </w:r>
      <w:r/>
    </w:p>
    <w:p>
      <w:pPr>
        <w:ind w:firstLine="420"/>
        <w:pageBreakBefore w:val="0"/>
        <w:spacing w:line="380" w:lineRule="exact"/>
        <w:widowControl w:val="off"/>
        <w:outlineLvl w:val="9"/>
      </w:pPr>
      <w:r>
        <w:rPr>
          <w:rFonts w:hint="eastAsia" w:ascii="宋体" w:hAnsi="宋体" w:eastAsia="宋体" w:cs="宋体"/>
          <w:bCs/>
          <w:color w:val="000000"/>
          <w:sz w:val="21"/>
          <w:szCs w:val="21"/>
        </w:rPr>
        <w:t xml:space="preserve">中标供应商可凭政府采购合同办理融资贷款，详情请见江苏政府采购网“政采贷”专栏。</w:t>
      </w:r>
      <w:r/>
    </w:p>
    <w:p>
      <w:pPr>
        <w:pStyle w:val="785"/>
        <w:ind w:firstLine="2420"/>
        <w:jc w:val="left"/>
        <w:rPr>
          <w:rFonts w:ascii="Times New Roman" w:eastAsia="黑体"/>
          <w:bCs/>
          <w:color w:val="000000" w:themeColor="text1"/>
          <w:sz w:val="44"/>
          <w14:textFill>
            <w14:solidFill>
              <w14:schemeClr w14:val="tx1"/>
            </w14:solidFill>
          </w14:textFill>
        </w:rPr>
      </w:pPr>
      <w:r>
        <w:rPr>
          <w:rFonts w:ascii="Times New Roman" w:eastAsia="黑体"/>
          <w:bCs/>
          <w:color w:val="000000" w:themeColor="text1"/>
          <w:sz w:val="44"/>
          <w14:textFill>
            <w14:solidFill>
              <w14:schemeClr w14:val="tx1"/>
            </w14:solidFill>
          </w14:textFill>
        </w:rPr>
        <w:br w:type="page" w:clear="all"/>
      </w:r>
      <w:bookmarkStart w:id="170" w:name="_Toc4016"/>
      <w:r>
        <w:rPr>
          <w:rFonts w:ascii="Times New Roman" w:eastAsia="黑体"/>
          <w:bCs/>
          <w:color w:val="000000" w:themeColor="text1"/>
          <w:sz w:val="44"/>
          <w14:textFill>
            <w14:solidFill>
              <w14:schemeClr w14:val="tx1"/>
            </w14:solidFill>
          </w14:textFill>
        </w:rPr>
        <w:t xml:space="preserve">第三章  合同</w:t>
      </w:r>
      <w:bookmarkEnd w:id="43"/>
      <w:r/>
      <w:bookmarkEnd w:id="44"/>
      <w:r/>
      <w:bookmarkEnd w:id="45"/>
      <w:r/>
      <w:bookmarkEnd w:id="46"/>
      <w:r/>
      <w:bookmarkEnd w:id="47"/>
      <w:r>
        <w:rPr>
          <w:rFonts w:ascii="Times New Roman" w:eastAsia="黑体"/>
          <w:bCs/>
          <w:color w:val="000000" w:themeColor="text1"/>
          <w:sz w:val="44"/>
          <w14:textFill>
            <w14:solidFill>
              <w14:schemeClr w14:val="tx1"/>
            </w14:solidFill>
          </w14:textFill>
        </w:rPr>
        <w:t xml:space="preserve">文本</w:t>
      </w:r>
      <w:bookmarkEnd w:id="170"/>
      <w:r/>
      <w:r/>
    </w:p>
    <w:p>
      <w:pPr>
        <w:ind w:firstLine="420"/>
        <w:spacing w:line="400" w:lineRule="exact"/>
        <w:rPr>
          <w:color w:val="000000" w:themeColor="text1"/>
          <w14:textFill>
            <w14:solidFill>
              <w14:schemeClr w14:val="tx1"/>
            </w14:solidFill>
          </w14:textFill>
        </w:rPr>
      </w:pPr>
      <w:r/>
      <w:bookmarkStart w:id="171" w:name="_Hlt16619350"/>
      <w:r/>
      <w:bookmarkStart w:id="172" w:name="_Toc16938590"/>
      <w:r/>
      <w:bookmarkStart w:id="173" w:name="_Toc20823346"/>
      <w:r/>
      <w:bookmarkStart w:id="174" w:name="_Toc120614244"/>
      <w:r/>
      <w:bookmarkStart w:id="175" w:name="_Toc479757211"/>
      <w:r/>
      <w:bookmarkStart w:id="176" w:name="_Toc462564139"/>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注：以下为成交后签定本项目合同的通用条款，成交供应商不得提出实质性的修改，关于专用条款将由采购人与成交供应商结合本项目具体情况协商后签订。 </w:t>
      </w:r>
      <w:r/>
    </w:p>
    <w:p>
      <w:pPr>
        <w:pStyle w:val="825"/>
        <w:ind w:firstLine="964"/>
        <w:jc w:val="center"/>
        <w:spacing w:before="0" w:beforeAutospacing="0" w:after="0" w:afterAutospacing="0" w:line="380" w:lineRule="exact"/>
        <w:shd w:val="clear" w:color="auto" w:fill="ffffff"/>
        <w:rPr>
          <w:rFonts w:ascii="Times New Roman" w:hAnsi="Times New Roman" w:cs="Times New Roman"/>
          <w:b/>
          <w:bCs/>
          <w:color w:val="000000" w:themeColor="text1"/>
          <w:sz w:val="48"/>
          <w:szCs w:val="48"/>
          <w:shd w:val="clear" w:color="auto" w:fill="ffffff"/>
          <w14:textFill>
            <w14:solidFill>
              <w14:schemeClr w14:val="tx1"/>
            </w14:solidFill>
          </w14:textFill>
        </w:rPr>
      </w:pPr>
      <w:r>
        <w:rPr>
          <w:rFonts w:ascii="Times New Roman" w:hAnsi="Times New Roman" w:cs="Times New Roman"/>
          <w:b/>
          <w:bCs/>
          <w:color w:val="000000" w:themeColor="text1"/>
          <w:sz w:val="48"/>
          <w:szCs w:val="48"/>
          <w:shd w:val="clear" w:color="auto" w:fill="ffffff"/>
          <w14:textFill>
            <w14:solidFill>
              <w14:schemeClr w14:val="tx1"/>
            </w14:solidFill>
          </w14:textFill>
        </w:rPr>
      </w:r>
      <w:r/>
    </w:p>
    <w:p>
      <w:pPr>
        <w:jc w:val="center"/>
        <w:widowControl/>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t xml:space="preserve">南京市政府采购合同</w:t>
      </w:r>
      <w:r/>
    </w:p>
    <w:p>
      <w:pPr>
        <w:ind w:firstLine="723"/>
        <w:widowControl/>
        <w:rPr>
          <w:b/>
          <w:bCs/>
          <w:color w:val="000000" w:themeColor="text1"/>
          <w:sz w:val="36"/>
          <w:szCs w:val="36"/>
          <w14:textFill>
            <w14:solidFill>
              <w14:schemeClr w14:val="tx1"/>
            </w14:solidFill>
          </w14:textFill>
        </w:rPr>
      </w:pPr>
      <w:r>
        <w:rPr>
          <w:b/>
          <w:bCs/>
          <w:color w:val="000000" w:themeColor="text1"/>
          <w:sz w:val="36"/>
          <w:szCs w:val="36"/>
          <w14:textFill>
            <w14:solidFill>
              <w14:schemeClr w14:val="tx1"/>
            </w14:solidFill>
          </w14:textFill>
        </w:rPr>
      </w:r>
      <w:r/>
    </w:p>
    <w:p>
      <w:pPr>
        <w:ind w:firstLine="720"/>
        <w:widowControl/>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ind w:firstLine="720"/>
        <w:widowControl/>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ind w:firstLine="723"/>
        <w:widowControl/>
        <w:rPr>
          <w:b/>
          <w:bCs/>
          <w:color w:val="000000" w:themeColor="text1"/>
          <w:sz w:val="36"/>
          <w:szCs w:val="36"/>
          <w14:textFill>
            <w14:solidFill>
              <w14:schemeClr w14:val="tx1"/>
            </w14:solidFill>
          </w14:textFill>
        </w:rPr>
      </w:pPr>
      <w:r>
        <w:rPr>
          <w:b/>
          <w:bCs/>
          <w:color w:val="000000" w:themeColor="text1"/>
          <w:sz w:val="36"/>
          <w:szCs w:val="36"/>
          <w14:textFill>
            <w14:solidFill>
              <w14:schemeClr w14:val="tx1"/>
            </w14:solidFill>
          </w14:textFill>
        </w:rPr>
      </w:r>
      <w:r/>
    </w:p>
    <w:p>
      <w:pPr>
        <w:ind w:firstLine="720"/>
        <w:jc w:val="left"/>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t xml:space="preserve">合同编号 ：</w:t>
      </w:r>
      <w:r/>
    </w:p>
    <w:p>
      <w:pPr>
        <w:ind w:firstLine="720"/>
        <w:jc w:val="left"/>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t xml:space="preserve">项目名称 ：</w:t>
      </w:r>
      <w:r/>
    </w:p>
    <w:p>
      <w:pPr>
        <w:ind w:firstLine="720"/>
        <w:jc w:val="left"/>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t xml:space="preserve">采 购 人 ：南京市产品质量监督检验院</w:t>
      </w:r>
      <w:r/>
    </w:p>
    <w:p>
      <w:pPr>
        <w:ind w:firstLine="720"/>
        <w:jc w:val="left"/>
        <w:rPr>
          <w:color w:val="000000" w:themeColor="text1"/>
          <w:spacing w:val="-20"/>
          <w:sz w:val="36"/>
          <w:szCs w:val="36"/>
          <w14:textFill>
            <w14:solidFill>
              <w14:schemeClr w14:val="tx1"/>
            </w14:solidFill>
          </w14:textFill>
        </w:rPr>
      </w:pPr>
      <w:r>
        <w:rPr>
          <w:color w:val="000000" w:themeColor="text1"/>
          <w:sz w:val="36"/>
          <w:szCs w:val="36"/>
          <w14:textFill>
            <w14:solidFill>
              <w14:schemeClr w14:val="tx1"/>
            </w14:solidFill>
          </w14:textFill>
        </w:rPr>
        <w:t xml:space="preserve">          </w:t>
      </w:r>
      <w:r>
        <w:rPr>
          <w:color w:val="000000" w:themeColor="text1"/>
          <w:spacing w:val="-20"/>
          <w:sz w:val="36"/>
          <w:szCs w:val="36"/>
          <w14:textFill>
            <w14:solidFill>
              <w14:schemeClr w14:val="tx1"/>
            </w14:solidFill>
          </w14:textFill>
        </w:rPr>
        <w:t xml:space="preserve">（南京市质量发展与先进技术应用研究院）</w:t>
      </w:r>
      <w:r/>
    </w:p>
    <w:p>
      <w:pPr>
        <w:ind w:firstLine="720"/>
        <w:jc w:val="left"/>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t xml:space="preserve">供 应 商 ：</w:t>
      </w:r>
      <w:r/>
    </w:p>
    <w:p>
      <w:pPr>
        <w:ind w:firstLine="720"/>
        <w:jc w:val="left"/>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t xml:space="preserve">签订日期 ： </w:t>
      </w:r>
      <w:r>
        <w:rPr>
          <w:rFonts w:hint="eastAsia"/>
          <w:color w:val="000000" w:themeColor="text1"/>
          <w:sz w:val="36"/>
          <w:szCs w:val="36"/>
          <w:lang w:eastAsia="zh-CN"/>
          <w14:textFill>
            <w14:solidFill>
              <w14:schemeClr w14:val="tx1"/>
            </w14:solidFill>
          </w14:textFill>
        </w:rPr>
        <w:t xml:space="preserve">2026</w:t>
      </w:r>
      <w:r>
        <w:rPr>
          <w:color w:val="000000" w:themeColor="text1"/>
          <w:sz w:val="36"/>
          <w:szCs w:val="36"/>
          <w14:textFill>
            <w14:solidFill>
              <w14:schemeClr w14:val="tx1"/>
            </w14:solidFill>
          </w14:textFill>
        </w:rPr>
        <w:t xml:space="preserve">年  月  日</w:t>
      </w:r>
      <w:r/>
    </w:p>
    <w:p>
      <w:pPr>
        <w:ind w:firstLine="482"/>
        <w:jc w:val="center"/>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pStyle w:val="911"/>
        <w:ind w:firstLine="482"/>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pStyle w:val="911"/>
        <w:ind w:firstLine="482"/>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pStyle w:val="911"/>
        <w:ind w:firstLine="482"/>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pStyle w:val="911"/>
        <w:ind w:firstLine="482"/>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pStyle w:val="911"/>
        <w:ind w:firstLine="482"/>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pStyle w:val="911"/>
        <w:ind w:firstLine="482"/>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pStyle w:val="911"/>
        <w:ind w:firstLine="482"/>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pStyle w:val="911"/>
        <w:ind w:firstLine="482"/>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pStyle w:val="911"/>
        <w:ind w:firstLine="482"/>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pStyle w:val="911"/>
        <w:ind w:firstLine="482"/>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pStyle w:val="911"/>
        <w:ind w:firstLine="482"/>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pStyle w:val="911"/>
        <w:ind w:firstLine="482"/>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96"/>
        <w:gridCol w:w="2847"/>
      </w:tblGrid>
      <w:tr>
        <w:trPr>
          <w:jc w:val="center"/>
        </w:trPr>
        <w:tc>
          <w:tcPr>
            <w:tcBorders>
              <w:top w:val="none" w:color="000000" w:sz="4" w:space="0"/>
              <w:left w:val="none" w:color="000000" w:sz="4" w:space="0"/>
              <w:bottom w:val="none" w:color="000000" w:sz="4" w:space="0"/>
              <w:right w:val="none" w:color="000000" w:sz="4" w:space="0"/>
            </w:tcBorders>
            <w:tcW w:w="6096" w:type="dxa"/>
            <w:textDirection w:val="lrTb"/>
            <w:noWrap w:val="false"/>
          </w:tcPr>
          <w:p>
            <w:pPr>
              <w:ind w:firstLine="755"/>
              <w:jc w:val="center"/>
              <w:rPr>
                <w:rFonts w:eastAsia="华文楷体"/>
                <w:bCs/>
                <w:color w:val="000000" w:themeColor="text1"/>
                <w:sz w:val="36"/>
                <w:szCs w:val="36"/>
                <w14:textFill>
                  <w14:solidFill>
                    <w14:schemeClr w14:val="tx1"/>
                  </w14:solidFill>
                </w14:textFill>
              </w:rPr>
            </w:pPr>
            <w:r>
              <w:rPr>
                <w:rFonts w:eastAsia="华文楷体"/>
                <w:bCs/>
                <w:color w:val="000000" w:themeColor="text1"/>
                <w:sz w:val="36"/>
                <w:szCs w:val="36"/>
                <w14:textFill>
                  <w14:solidFill>
                    <w14:schemeClr w14:val="tx1"/>
                  </w14:solidFill>
                </w14:textFill>
              </w:rPr>
              <w:t xml:space="preserve">南京市市场监督管理局</w:t>
            </w:r>
            <w:r/>
          </w:p>
        </w:tc>
        <w:tc>
          <w:tcPr>
            <w:tcBorders>
              <w:top w:val="none" w:color="000000" w:sz="4" w:space="0"/>
              <w:left w:val="none" w:color="000000" w:sz="4" w:space="0"/>
              <w:bottom w:val="none" w:color="000000" w:sz="4" w:space="0"/>
              <w:right w:val="none" w:color="000000" w:sz="4" w:space="0"/>
            </w:tcBorders>
            <w:tcW w:w="2847" w:type="dxa"/>
            <w:vAlign w:val="center"/>
            <w:vMerge w:val="restart"/>
            <w:textDirection w:val="lrTb"/>
            <w:noWrap w:val="false"/>
          </w:tcPr>
          <w:p>
            <w:pPr>
              <w:ind w:firstLine="755"/>
              <w:jc w:val="left"/>
              <w:rPr>
                <w:rFonts w:eastAsia="华文楷体"/>
                <w:bCs/>
                <w:color w:val="000000" w:themeColor="text1"/>
                <w:sz w:val="36"/>
                <w:szCs w:val="36"/>
                <w14:textFill>
                  <w14:solidFill>
                    <w14:schemeClr w14:val="tx1"/>
                  </w14:solidFill>
                </w14:textFill>
              </w:rPr>
            </w:pPr>
            <w:r>
              <w:rPr>
                <w:rFonts w:eastAsia="华文楷体"/>
                <w:bCs/>
                <w:color w:val="000000" w:themeColor="text1"/>
                <w:sz w:val="36"/>
                <w:szCs w:val="36"/>
                <w14:textFill>
                  <w14:solidFill>
                    <w14:schemeClr w14:val="tx1"/>
                  </w14:solidFill>
                </w14:textFill>
              </w:rPr>
              <w:t xml:space="preserve">监制</w:t>
            </w:r>
            <w:r/>
          </w:p>
        </w:tc>
      </w:tr>
      <w:tr>
        <w:trPr>
          <w:jc w:val="center"/>
        </w:trPr>
        <w:tc>
          <w:tcPr>
            <w:tcBorders>
              <w:top w:val="none" w:color="000000" w:sz="4" w:space="0"/>
              <w:left w:val="none" w:color="000000" w:sz="4" w:space="0"/>
              <w:bottom w:val="none" w:color="000000" w:sz="4" w:space="0"/>
              <w:right w:val="none" w:color="000000" w:sz="4" w:space="0"/>
            </w:tcBorders>
            <w:tcW w:w="6096" w:type="dxa"/>
            <w:textDirection w:val="lrTb"/>
            <w:noWrap w:val="false"/>
          </w:tcPr>
          <w:p>
            <w:pPr>
              <w:ind w:firstLine="683"/>
              <w:jc w:val="center"/>
              <w:rPr>
                <w:rFonts w:eastAsia="华文楷体"/>
                <w:bCs/>
                <w:color w:val="000000" w:themeColor="text1"/>
                <w:sz w:val="36"/>
                <w:szCs w:val="36"/>
                <w14:textFill>
                  <w14:solidFill>
                    <w14:schemeClr w14:val="tx1"/>
                  </w14:solidFill>
                </w14:textFill>
              </w:rPr>
            </w:pPr>
            <w:r>
              <w:rPr>
                <w:rFonts w:eastAsia="华文楷体"/>
                <w:bCs/>
                <w:color w:val="000000" w:themeColor="text1"/>
                <w:sz w:val="36"/>
                <w:szCs w:val="36"/>
                <w14:textFill>
                  <w14:solidFill>
                    <w14:schemeClr w14:val="tx1"/>
                  </w14:solidFill>
                </w14:textFill>
              </w:rPr>
              <w:t xml:space="preserve">南  京  市  财  政  局</w:t>
            </w:r>
            <w:r/>
          </w:p>
        </w:tc>
        <w:tc>
          <w:tcPr>
            <w:tcBorders>
              <w:left w:val="none" w:color="000000" w:sz="4" w:space="0"/>
              <w:bottom w:val="none" w:color="000000" w:sz="4" w:space="0"/>
              <w:right w:val="none" w:color="000000" w:sz="4" w:space="0"/>
            </w:tcBorders>
            <w:tcW w:w="2847" w:type="dxa"/>
            <w:vAlign w:val="center"/>
            <w:vMerge w:val="continue"/>
            <w:textDirection w:val="lrTb"/>
            <w:noWrap w:val="false"/>
          </w:tcPr>
          <w:p>
            <w:pPr>
              <w:ind w:firstLine="755"/>
              <w:jc w:val="center"/>
              <w:rPr>
                <w:rFonts w:eastAsia="华文楷体"/>
                <w:bCs/>
                <w:color w:val="000000" w:themeColor="text1"/>
                <w:sz w:val="36"/>
                <w:szCs w:val="36"/>
                <w14:textFill>
                  <w14:solidFill>
                    <w14:schemeClr w14:val="tx1"/>
                  </w14:solidFill>
                </w14:textFill>
              </w:rPr>
            </w:pPr>
            <w:r>
              <w:rPr>
                <w:rFonts w:eastAsia="华文楷体"/>
                <w:bCs/>
                <w:color w:val="000000" w:themeColor="text1"/>
                <w:sz w:val="36"/>
                <w:szCs w:val="36"/>
                <w14:textFill>
                  <w14:solidFill>
                    <w14:schemeClr w14:val="tx1"/>
                  </w14:solidFill>
                </w14:textFill>
              </w:rPr>
            </w:r>
            <w:r/>
          </w:p>
        </w:tc>
      </w:tr>
    </w:tbl>
    <w:p>
      <w:pPr>
        <w:ind w:firstLine="480"/>
        <w:jc w:val="left"/>
        <w:widowControl/>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jc w:val="left"/>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  采购人：(以下称甲方)南京市产品质量监督检验院   供应商：（以下称乙方）</w:t>
      </w:r>
      <w:r/>
    </w:p>
    <w:p>
      <w:pPr>
        <w:ind w:firstLine="420"/>
        <w:jc w:val="left"/>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      (南京市质量发展与先进技术应用研究院)</w:t>
      </w:r>
      <w:r>
        <w:rPr>
          <w:color w:val="000000" w:themeColor="text1"/>
          <w14:textFill>
            <w14:solidFill>
              <w14:schemeClr w14:val="tx1"/>
            </w14:solidFill>
          </w14:textFill>
        </w:rPr>
        <w:tab/>
      </w:r>
      <w:r/>
    </w:p>
    <w:p>
      <w:pPr>
        <w:jc w:val="left"/>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  住所地：南京市建邺区嘉陵江东街3号</w:t>
      </w:r>
      <w:r>
        <w:rPr>
          <w:color w:val="000000" w:themeColor="text1"/>
          <w14:textFill>
            <w14:solidFill>
              <w14:schemeClr w14:val="tx1"/>
            </w14:solidFill>
          </w14:textFill>
        </w:rPr>
        <w:tab/>
      </w:r>
      <w:r>
        <w:rPr>
          <w:color w:val="000000" w:themeColor="text1"/>
          <w14:textFill>
            <w14:solidFill>
              <w14:schemeClr w14:val="tx1"/>
            </w14:solidFill>
          </w14:textFill>
        </w:rPr>
        <w:t xml:space="preserve">             住所地：</w:t>
      </w:r>
      <w:r/>
    </w:p>
    <w:p>
      <w:pPr>
        <w:ind w:firstLine="420"/>
        <w:jc w:val="left"/>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left"/>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根据《中华人民共和国政府采购法》、《中华人民共和国民法典》等法律法规的规定，甲乙双方按照采购代理机构的招标结果签订本合同。</w:t>
      </w:r>
      <w:r/>
    </w:p>
    <w:p>
      <w:pPr>
        <w:ind w:firstLine="422"/>
        <w:spacing w:line="360" w:lineRule="auto"/>
        <w:rPr>
          <w:color w:val="000000" w:themeColor="text1"/>
          <w14:textFill>
            <w14:solidFill>
              <w14:schemeClr w14:val="tx1"/>
            </w14:solidFill>
          </w14:textFill>
        </w:rPr>
        <w:outlineLvl w:val="9"/>
      </w:pPr>
      <w:r/>
      <w:bookmarkStart w:id="177" w:name="_Toc139360214"/>
      <w:r>
        <w:rPr>
          <w:b/>
          <w:bCs/>
          <w:color w:val="000000" w:themeColor="text1"/>
          <w14:textFill>
            <w14:solidFill>
              <w14:schemeClr w14:val="tx1"/>
            </w14:solidFill>
          </w14:textFill>
        </w:rPr>
        <w:t xml:space="preserve">第一条 合同标的</w:t>
      </w:r>
      <w:bookmarkEnd w:id="177"/>
      <w:r>
        <w:rPr>
          <w:color w:val="000000" w:themeColor="text1"/>
          <w14:textFill>
            <w14:solidFill>
              <w14:schemeClr w14:val="tx1"/>
            </w14:solidFill>
          </w14:textFill>
        </w:rPr>
        <w:t xml:space="preserve">  </w:t>
      </w:r>
      <w:r/>
    </w:p>
    <w:p>
      <w:pPr>
        <w:ind w:firstLine="420"/>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1、乙方根据甲方需求提供下列货物：</w:t>
      </w:r>
      <w:r/>
    </w:p>
    <w:tbl>
      <w:tblPr>
        <w:tblStyle w:val="795"/>
        <w:tblW w:w="494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5"/>
        <w:gridCol w:w="411"/>
        <w:gridCol w:w="664"/>
        <w:gridCol w:w="1279"/>
        <w:gridCol w:w="1461"/>
        <w:gridCol w:w="1226"/>
        <w:gridCol w:w="1377"/>
        <w:gridCol w:w="1153"/>
        <w:gridCol w:w="771"/>
      </w:tblGrid>
      <w:tr>
        <w:trPr>
          <w:jc w:val="center"/>
        </w:trPr>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spacing w:line="360" w:lineRule="auto"/>
              <w:widowControl/>
              <w:rPr>
                <w:b/>
                <w:bCs/>
                <w:color w:val="000000" w:themeColor="text1"/>
                <w14:textFill>
                  <w14:solidFill>
                    <w14:schemeClr w14:val="tx1"/>
                  </w14:solidFill>
                </w14:textFill>
              </w:rPr>
              <w:outlineLvl w:val="9"/>
            </w:pPr>
            <w:r>
              <w:rPr>
                <w:b/>
                <w:bCs/>
                <w:color w:val="000000" w:themeColor="text1"/>
                <w14:textFill>
                  <w14:solidFill>
                    <w14:schemeClr w14:val="tx1"/>
                  </w14:solidFill>
                </w14:textFill>
              </w:rPr>
              <w:t xml:space="preserve">序号</w:t>
            </w:r>
            <w:r/>
          </w:p>
        </w:tc>
        <w:tc>
          <w:tcPr>
            <w:gridSpan w:val="2"/>
            <w:tcBorders>
              <w:top w:val="single" w:color="000000" w:sz="4" w:space="0"/>
              <w:left w:val="single" w:color="000000" w:sz="4" w:space="0"/>
              <w:right w:val="single" w:color="000000" w:sz="4" w:space="0"/>
            </w:tcBorders>
            <w:tcW w:w="1102" w:type="dxa"/>
            <w:vAlign w:val="center"/>
            <w:textDirection w:val="lrTb"/>
            <w:noWrap w:val="false"/>
          </w:tcPr>
          <w:p>
            <w:pPr>
              <w:jc w:val="center"/>
              <w:spacing w:line="360" w:lineRule="auto"/>
              <w:widowControl/>
              <w:rPr>
                <w:b/>
                <w:bCs/>
                <w:color w:val="000000" w:themeColor="text1"/>
                <w14:textFill>
                  <w14:solidFill>
                    <w14:schemeClr w14:val="tx1"/>
                  </w14:solidFill>
                </w14:textFill>
              </w:rPr>
              <w:outlineLvl w:val="9"/>
            </w:pPr>
            <w:r>
              <w:rPr>
                <w:b/>
                <w:bCs/>
                <w:color w:val="000000" w:themeColor="text1"/>
                <w14:textFill>
                  <w14:solidFill>
                    <w14:schemeClr w14:val="tx1"/>
                  </w14:solidFill>
                </w14:textFill>
              </w:rPr>
              <w:t xml:space="preserve">名称</w:t>
            </w:r>
            <w:r/>
          </w:p>
        </w:tc>
        <w:tc>
          <w:tcPr>
            <w:tcBorders>
              <w:top w:val="single" w:color="000000" w:sz="4" w:space="0"/>
              <w:left w:val="single" w:color="000000" w:sz="4" w:space="0"/>
              <w:right w:val="single" w:color="000000" w:sz="4" w:space="0"/>
            </w:tcBorders>
            <w:tcW w:w="1311" w:type="dxa"/>
            <w:vAlign w:val="center"/>
            <w:textDirection w:val="lrTb"/>
            <w:noWrap w:val="false"/>
          </w:tcPr>
          <w:p>
            <w:pPr>
              <w:jc w:val="center"/>
              <w:spacing w:line="360" w:lineRule="auto"/>
              <w:widowControl/>
              <w:rPr>
                <w:b/>
                <w:bCs/>
                <w:color w:val="000000" w:themeColor="text1"/>
                <w14:textFill>
                  <w14:solidFill>
                    <w14:schemeClr w14:val="tx1"/>
                  </w14:solidFill>
                </w14:textFill>
              </w:rPr>
              <w:outlineLvl w:val="9"/>
            </w:pPr>
            <w:r>
              <w:rPr>
                <w:b/>
                <w:bCs/>
                <w:color w:val="000000" w:themeColor="text1"/>
                <w14:textFill>
                  <w14:solidFill>
                    <w14:schemeClr w14:val="tx1"/>
                  </w14:solidFill>
                </w14:textFill>
              </w:rPr>
              <w:t xml:space="preserve">规格型号</w:t>
            </w:r>
            <w:r/>
          </w:p>
        </w:tc>
        <w:tc>
          <w:tcPr>
            <w:tcBorders>
              <w:top w:val="single" w:color="000000" w:sz="4" w:space="0"/>
              <w:left w:val="single" w:color="000000" w:sz="4" w:space="0"/>
              <w:right w:val="single" w:color="000000" w:sz="4" w:space="0"/>
            </w:tcBorders>
            <w:tcW w:w="1498" w:type="dxa"/>
            <w:vAlign w:val="center"/>
            <w:textDirection w:val="lrTb"/>
            <w:noWrap w:val="false"/>
          </w:tcPr>
          <w:p>
            <w:pPr>
              <w:jc w:val="center"/>
              <w:spacing w:line="360" w:lineRule="auto"/>
              <w:widowControl/>
              <w:rPr>
                <w:b/>
                <w:bCs/>
                <w:color w:val="000000" w:themeColor="text1"/>
                <w14:textFill>
                  <w14:solidFill>
                    <w14:schemeClr w14:val="tx1"/>
                  </w14:solidFill>
                </w14:textFill>
              </w:rPr>
              <w:outlineLvl w:val="9"/>
            </w:pPr>
            <w:r>
              <w:rPr>
                <w:b/>
                <w:bCs/>
                <w:color w:val="000000" w:themeColor="text1"/>
                <w14:textFill>
                  <w14:solidFill>
                    <w14:schemeClr w14:val="tx1"/>
                  </w14:solidFill>
                </w14:textFill>
              </w:rPr>
              <w:t xml:space="preserve">生产厂家</w:t>
            </w:r>
            <w:r/>
          </w:p>
        </w:tc>
        <w:tc>
          <w:tcPr>
            <w:tcBorders>
              <w:top w:val="single" w:color="000000" w:sz="4" w:space="0"/>
              <w:left w:val="single" w:color="000000" w:sz="4" w:space="0"/>
              <w:right w:val="single" w:color="000000" w:sz="4" w:space="0"/>
            </w:tcBorders>
            <w:tcW w:w="1257" w:type="dxa"/>
            <w:vAlign w:val="center"/>
            <w:textDirection w:val="lrTb"/>
            <w:noWrap w:val="false"/>
          </w:tcPr>
          <w:p>
            <w:pPr>
              <w:jc w:val="center"/>
              <w:spacing w:line="360" w:lineRule="auto"/>
              <w:widowControl/>
              <w:rPr>
                <w:b/>
                <w:bCs/>
                <w:color w:val="000000" w:themeColor="text1"/>
                <w14:textFill>
                  <w14:solidFill>
                    <w14:schemeClr w14:val="tx1"/>
                  </w14:solidFill>
                </w14:textFill>
              </w:rPr>
              <w:outlineLvl w:val="9"/>
            </w:pPr>
            <w:r>
              <w:rPr>
                <w:b/>
                <w:bCs/>
                <w:color w:val="000000" w:themeColor="text1"/>
                <w14:textFill>
                  <w14:solidFill>
                    <w14:schemeClr w14:val="tx1"/>
                  </w14:solidFill>
                </w14:textFill>
              </w:rPr>
              <w:t xml:space="preserve">是否</w:t>
            </w:r>
            <w:r/>
          </w:p>
          <w:p>
            <w:pPr>
              <w:jc w:val="center"/>
              <w:spacing w:line="360" w:lineRule="auto"/>
              <w:widowControl/>
              <w:rPr>
                <w:b/>
                <w:bCs/>
                <w:color w:val="000000" w:themeColor="text1"/>
                <w14:textFill>
                  <w14:solidFill>
                    <w14:schemeClr w14:val="tx1"/>
                  </w14:solidFill>
                </w14:textFill>
              </w:rPr>
              <w:outlineLvl w:val="9"/>
            </w:pPr>
            <w:r>
              <w:rPr>
                <w:b/>
                <w:bCs/>
                <w:color w:val="000000" w:themeColor="text1"/>
                <w14:textFill>
                  <w14:solidFill>
                    <w14:schemeClr w14:val="tx1"/>
                  </w14:solidFill>
                </w14:textFill>
              </w:rPr>
              <w:t xml:space="preserve">进口设备</w:t>
            </w:r>
            <w:r/>
          </w:p>
        </w:tc>
        <w:tc>
          <w:tcPr>
            <w:tcBorders>
              <w:top w:val="single" w:color="000000" w:sz="4" w:space="0"/>
              <w:left w:val="single" w:color="000000" w:sz="4" w:space="0"/>
              <w:right w:val="single" w:color="000000" w:sz="4" w:space="0"/>
            </w:tcBorders>
            <w:tcW w:w="1412" w:type="dxa"/>
            <w:vAlign w:val="center"/>
            <w:textDirection w:val="lrTb"/>
            <w:noWrap w:val="false"/>
          </w:tcPr>
          <w:p>
            <w:pPr>
              <w:jc w:val="center"/>
              <w:spacing w:line="360" w:lineRule="auto"/>
              <w:widowControl/>
              <w:rPr>
                <w:b/>
                <w:bCs/>
                <w:color w:val="000000" w:themeColor="text1"/>
                <w14:textFill>
                  <w14:solidFill>
                    <w14:schemeClr w14:val="tx1"/>
                  </w14:solidFill>
                </w14:textFill>
              </w:rPr>
              <w:outlineLvl w:val="9"/>
            </w:pPr>
            <w:r>
              <w:rPr>
                <w:b/>
                <w:bCs/>
                <w:color w:val="000000" w:themeColor="text1"/>
                <w14:textFill>
                  <w14:solidFill>
                    <w14:schemeClr w14:val="tx1"/>
                  </w14:solidFill>
                </w14:textFill>
              </w:rPr>
              <w:t xml:space="preserve">单价</w:t>
            </w:r>
            <w:r/>
          </w:p>
          <w:p>
            <w:pPr>
              <w:jc w:val="center"/>
              <w:spacing w:line="360" w:lineRule="auto"/>
              <w:widowControl/>
              <w:rPr>
                <w:b/>
                <w:bCs/>
                <w:color w:val="000000" w:themeColor="text1"/>
                <w14:textFill>
                  <w14:solidFill>
                    <w14:schemeClr w14:val="tx1"/>
                  </w14:solidFill>
                </w14:textFill>
              </w:rPr>
              <w:outlineLvl w:val="9"/>
            </w:pPr>
            <w:r>
              <w:rPr>
                <w:b/>
                <w:bCs/>
                <w:color w:val="000000" w:themeColor="text1"/>
                <w14:textFill>
                  <w14:solidFill>
                    <w14:schemeClr w14:val="tx1"/>
                  </w14:solidFill>
                </w14:textFill>
              </w:rPr>
              <w:t xml:space="preserve">（元）</w:t>
            </w:r>
            <w:r/>
          </w:p>
        </w:tc>
        <w:tc>
          <w:tcPr>
            <w:tcBorders>
              <w:top w:val="single" w:color="000000" w:sz="4" w:space="0"/>
              <w:left w:val="single" w:color="000000" w:sz="4" w:space="0"/>
              <w:right w:val="single" w:color="000000" w:sz="4" w:space="0"/>
            </w:tcBorders>
            <w:tcW w:w="1182" w:type="dxa"/>
            <w:vAlign w:val="center"/>
            <w:textDirection w:val="lrTb"/>
            <w:noWrap w:val="false"/>
          </w:tcPr>
          <w:p>
            <w:pPr>
              <w:jc w:val="center"/>
              <w:spacing w:line="360" w:lineRule="auto"/>
              <w:widowControl/>
              <w:rPr>
                <w:b/>
                <w:bCs/>
                <w:color w:val="000000" w:themeColor="text1"/>
                <w14:textFill>
                  <w14:solidFill>
                    <w14:schemeClr w14:val="tx1"/>
                  </w14:solidFill>
                </w14:textFill>
              </w:rPr>
              <w:outlineLvl w:val="9"/>
            </w:pPr>
            <w:r>
              <w:rPr>
                <w:b/>
                <w:bCs/>
                <w:color w:val="000000" w:themeColor="text1"/>
                <w14:textFill>
                  <w14:solidFill>
                    <w14:schemeClr w14:val="tx1"/>
                  </w14:solidFill>
                </w14:textFill>
              </w:rPr>
              <w:t xml:space="preserve">数量</w:t>
            </w:r>
            <w:r/>
          </w:p>
          <w:p>
            <w:pPr>
              <w:jc w:val="center"/>
              <w:spacing w:line="360" w:lineRule="auto"/>
              <w:widowControl/>
              <w:rPr>
                <w:color w:val="000000" w:themeColor="text1"/>
                <w14:textFill>
                  <w14:solidFill>
                    <w14:schemeClr w14:val="tx1"/>
                  </w14:solidFill>
                </w14:textFill>
              </w:rPr>
              <w:outlineLvl w:val="9"/>
            </w:pPr>
            <w:r>
              <w:rPr>
                <w:b/>
                <w:bCs/>
                <w:color w:val="000000" w:themeColor="text1"/>
                <w14:textFill>
                  <w14:solidFill>
                    <w14:schemeClr w14:val="tx1"/>
                  </w14:solidFill>
                </w14:textFill>
              </w:rPr>
              <w:t xml:space="preserve">（台套）</w:t>
            </w:r>
            <w:r/>
          </w:p>
        </w:tc>
        <w:tc>
          <w:tcPr>
            <w:tcBorders>
              <w:top w:val="single" w:color="000000" w:sz="4" w:space="0"/>
              <w:left w:val="single" w:color="000000" w:sz="4" w:space="0"/>
              <w:right w:val="single" w:color="000000" w:sz="4" w:space="0"/>
            </w:tcBorders>
            <w:tcW w:w="790" w:type="dxa"/>
            <w:vAlign w:val="center"/>
            <w:textDirection w:val="lrTb"/>
            <w:noWrap w:val="false"/>
          </w:tcPr>
          <w:p>
            <w:pPr>
              <w:jc w:val="center"/>
              <w:spacing w:line="360" w:lineRule="auto"/>
              <w:widowControl/>
              <w:rPr>
                <w:b/>
                <w:bCs/>
                <w:color w:val="000000" w:themeColor="text1"/>
                <w14:textFill>
                  <w14:solidFill>
                    <w14:schemeClr w14:val="tx1"/>
                  </w14:solidFill>
                </w14:textFill>
              </w:rPr>
              <w:outlineLvl w:val="9"/>
            </w:pPr>
            <w:r>
              <w:rPr>
                <w:b/>
                <w:bCs/>
                <w:color w:val="000000" w:themeColor="text1"/>
                <w14:textFill>
                  <w14:solidFill>
                    <w14:schemeClr w14:val="tx1"/>
                  </w14:solidFill>
                </w14:textFill>
              </w:rPr>
              <w:t xml:space="preserve">小计</w:t>
            </w:r>
            <w:r/>
          </w:p>
          <w:p>
            <w:pPr>
              <w:jc w:val="center"/>
              <w:spacing w:line="360" w:lineRule="auto"/>
              <w:widowControl/>
              <w:rPr>
                <w:b/>
                <w:bCs/>
                <w:color w:val="000000" w:themeColor="text1"/>
                <w14:textFill>
                  <w14:solidFill>
                    <w14:schemeClr w14:val="tx1"/>
                  </w14:solidFill>
                </w14:textFill>
              </w:rPr>
              <w:outlineLvl w:val="9"/>
            </w:pPr>
            <w:r>
              <w:rPr>
                <w:b/>
                <w:bCs/>
                <w:color w:val="000000" w:themeColor="text1"/>
                <w14:textFill>
                  <w14:solidFill>
                    <w14:schemeClr w14:val="tx1"/>
                  </w14:solidFill>
                </w14:textFill>
              </w:rPr>
              <w:t xml:space="preserve">（元）</w:t>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1</w:t>
            </w:r>
            <w:r/>
          </w:p>
        </w:tc>
        <w:tc>
          <w:tcPr>
            <w:gridSpan w:val="2"/>
            <w:tcW w:w="1102"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c>
          <w:tcPr>
            <w:tcW w:w="1311"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c>
          <w:tcPr>
            <w:tcW w:w="1498" w:type="dxa"/>
            <w:vAlign w:val="center"/>
            <w:textDirection w:val="lrTb"/>
            <w:noWrap w:val="false"/>
          </w:tcPr>
          <w:p>
            <w:pPr>
              <w:jc w:val="center"/>
              <w:spacing w:line="360" w:lineRule="auto"/>
              <w:widowControl/>
              <w:rPr>
                <w:color w:val="000000" w:themeColor="text1"/>
                <w:lang w:bidi="ar"/>
                <w14:textFill>
                  <w14:solidFill>
                    <w14:schemeClr w14:val="tx1"/>
                  </w14:solidFill>
                </w14:textFill>
              </w:rPr>
              <w:outlineLvl w:val="9"/>
            </w:pPr>
            <w:r>
              <w:rPr>
                <w:color w:val="000000" w:themeColor="text1"/>
                <w:lang w:bidi="ar"/>
                <w14:textFill>
                  <w14:solidFill>
                    <w14:schemeClr w14:val="tx1"/>
                  </w14:solidFill>
                </w14:textFill>
              </w:rPr>
            </w:r>
            <w:r/>
          </w:p>
        </w:tc>
        <w:tc>
          <w:tcPr>
            <w:tcW w:w="1257"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c>
          <w:tcPr>
            <w:tcW w:w="1412"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c>
          <w:tcPr>
            <w:tcW w:w="1182"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c>
          <w:tcPr>
            <w:tcW w:w="790"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2</w:t>
            </w:r>
            <w:r/>
          </w:p>
        </w:tc>
        <w:tc>
          <w:tcPr>
            <w:gridSpan w:val="2"/>
            <w:tcW w:w="1102"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c>
          <w:tcPr>
            <w:tcW w:w="1311"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c>
          <w:tcPr>
            <w:tcW w:w="1498" w:type="dxa"/>
            <w:vAlign w:val="center"/>
            <w:textDirection w:val="lrTb"/>
            <w:noWrap w:val="false"/>
          </w:tcPr>
          <w:p>
            <w:pPr>
              <w:jc w:val="center"/>
              <w:spacing w:line="360" w:lineRule="auto"/>
              <w:widowControl/>
              <w:rPr>
                <w:color w:val="000000" w:themeColor="text1"/>
                <w:lang w:bidi="ar"/>
                <w14:textFill>
                  <w14:solidFill>
                    <w14:schemeClr w14:val="tx1"/>
                  </w14:solidFill>
                </w14:textFill>
              </w:rPr>
              <w:outlineLvl w:val="9"/>
            </w:pPr>
            <w:r>
              <w:rPr>
                <w:color w:val="000000" w:themeColor="text1"/>
                <w:lang w:bidi="ar"/>
                <w14:textFill>
                  <w14:solidFill>
                    <w14:schemeClr w14:val="tx1"/>
                  </w14:solidFill>
                </w14:textFill>
              </w:rPr>
            </w:r>
            <w:r/>
          </w:p>
        </w:tc>
        <w:tc>
          <w:tcPr>
            <w:tcW w:w="1257"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c>
          <w:tcPr>
            <w:tcW w:w="1412"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c>
          <w:tcPr>
            <w:tcW w:w="1182"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c>
          <w:tcPr>
            <w:tcW w:w="790"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3</w:t>
            </w:r>
            <w:r/>
          </w:p>
        </w:tc>
        <w:tc>
          <w:tcPr>
            <w:gridSpan w:val="2"/>
            <w:tcW w:w="1102"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c>
          <w:tcPr>
            <w:tcW w:w="1311"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c>
          <w:tcPr>
            <w:tcW w:w="1498" w:type="dxa"/>
            <w:vAlign w:val="center"/>
            <w:textDirection w:val="lrTb"/>
            <w:noWrap w:val="false"/>
          </w:tcPr>
          <w:p>
            <w:pPr>
              <w:jc w:val="center"/>
              <w:spacing w:line="360" w:lineRule="auto"/>
              <w:widowControl/>
              <w:rPr>
                <w:color w:val="000000" w:themeColor="text1"/>
                <w:lang w:bidi="ar"/>
                <w14:textFill>
                  <w14:solidFill>
                    <w14:schemeClr w14:val="tx1"/>
                  </w14:solidFill>
                </w14:textFill>
              </w:rPr>
              <w:outlineLvl w:val="9"/>
            </w:pPr>
            <w:r>
              <w:rPr>
                <w:color w:val="000000" w:themeColor="text1"/>
                <w:lang w:bidi="ar"/>
                <w14:textFill>
                  <w14:solidFill>
                    <w14:schemeClr w14:val="tx1"/>
                  </w14:solidFill>
                </w14:textFill>
              </w:rPr>
            </w:r>
            <w:r/>
          </w:p>
        </w:tc>
        <w:tc>
          <w:tcPr>
            <w:tcW w:w="1257"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c>
          <w:tcPr>
            <w:tcW w:w="1412"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c>
          <w:tcPr>
            <w:tcW w:w="1182"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c>
          <w:tcPr>
            <w:tcW w:w="790"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4</w:t>
            </w:r>
            <w:r/>
          </w:p>
        </w:tc>
        <w:tc>
          <w:tcPr>
            <w:gridSpan w:val="2"/>
            <w:tcW w:w="1102" w:type="dxa"/>
            <w:vAlign w:val="center"/>
            <w:textDirection w:val="lrTb"/>
            <w:noWrap w:val="false"/>
          </w:tcPr>
          <w:p>
            <w:pPr>
              <w:jc w:val="center"/>
              <w:spacing w:line="360" w:lineRule="auto"/>
              <w:widowControl/>
              <w:rPr>
                <w:color w:val="000000" w:themeColor="text1"/>
                <w:lang w:bidi="ar"/>
                <w14:textFill>
                  <w14:solidFill>
                    <w14:schemeClr w14:val="tx1"/>
                  </w14:solidFill>
                </w14:textFill>
              </w:rPr>
              <w:outlineLvl w:val="9"/>
            </w:pPr>
            <w:r>
              <w:rPr>
                <w:color w:val="000000" w:themeColor="text1"/>
                <w:lang w:bidi="ar"/>
                <w14:textFill>
                  <w14:solidFill>
                    <w14:schemeClr w14:val="tx1"/>
                  </w14:solidFill>
                </w14:textFill>
              </w:rPr>
            </w:r>
            <w:r/>
          </w:p>
        </w:tc>
        <w:tc>
          <w:tcPr>
            <w:tcW w:w="1311"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c>
          <w:tcPr>
            <w:tcW w:w="1498" w:type="dxa"/>
            <w:vAlign w:val="center"/>
            <w:textDirection w:val="lrTb"/>
            <w:noWrap w:val="false"/>
          </w:tcPr>
          <w:p>
            <w:pPr>
              <w:jc w:val="center"/>
              <w:spacing w:line="360" w:lineRule="auto"/>
              <w:widowControl/>
              <w:rPr>
                <w:color w:val="000000" w:themeColor="text1"/>
                <w:lang w:bidi="ar"/>
                <w14:textFill>
                  <w14:solidFill>
                    <w14:schemeClr w14:val="tx1"/>
                  </w14:solidFill>
                </w14:textFill>
              </w:rPr>
              <w:outlineLvl w:val="9"/>
            </w:pPr>
            <w:r>
              <w:rPr>
                <w:color w:val="000000" w:themeColor="text1"/>
                <w:lang w:bidi="ar"/>
                <w14:textFill>
                  <w14:solidFill>
                    <w14:schemeClr w14:val="tx1"/>
                  </w14:solidFill>
                </w14:textFill>
              </w:rPr>
            </w:r>
            <w:r/>
          </w:p>
        </w:tc>
        <w:tc>
          <w:tcPr>
            <w:tcW w:w="1257" w:type="dxa"/>
            <w:vAlign w:val="center"/>
            <w:textDirection w:val="lrTb"/>
            <w:noWrap w:val="false"/>
          </w:tcPr>
          <w:p>
            <w:pPr>
              <w:jc w:val="center"/>
              <w:spacing w:line="360" w:lineRule="auto"/>
              <w:widowControl/>
              <w:rPr>
                <w:color w:val="000000" w:themeColor="text1"/>
                <w:lang w:bidi="ar"/>
                <w14:textFill>
                  <w14:solidFill>
                    <w14:schemeClr w14:val="tx1"/>
                  </w14:solidFill>
                </w14:textFill>
              </w:rPr>
              <w:outlineLvl w:val="9"/>
            </w:pPr>
            <w:r>
              <w:rPr>
                <w:color w:val="000000" w:themeColor="text1"/>
                <w:lang w:bidi="ar"/>
                <w14:textFill>
                  <w14:solidFill>
                    <w14:schemeClr w14:val="tx1"/>
                  </w14:solidFill>
                </w14:textFill>
              </w:rPr>
            </w:r>
            <w:r/>
          </w:p>
        </w:tc>
        <w:tc>
          <w:tcPr>
            <w:tcW w:w="1412" w:type="dxa"/>
            <w:vAlign w:val="center"/>
            <w:textDirection w:val="lrTb"/>
            <w:noWrap w:val="false"/>
          </w:tcPr>
          <w:p>
            <w:pPr>
              <w:jc w:val="center"/>
              <w:spacing w:line="360" w:lineRule="auto"/>
              <w:widowControl/>
              <w:rPr>
                <w:color w:val="000000" w:themeColor="text1"/>
                <w:lang w:bidi="ar"/>
                <w14:textFill>
                  <w14:solidFill>
                    <w14:schemeClr w14:val="tx1"/>
                  </w14:solidFill>
                </w14:textFill>
              </w:rPr>
              <w:outlineLvl w:val="9"/>
            </w:pPr>
            <w:r>
              <w:rPr>
                <w:color w:val="000000" w:themeColor="text1"/>
                <w:lang w:bidi="ar"/>
                <w14:textFill>
                  <w14:solidFill>
                    <w14:schemeClr w14:val="tx1"/>
                  </w14:solidFill>
                </w14:textFill>
              </w:rPr>
            </w:r>
            <w:r/>
          </w:p>
        </w:tc>
        <w:tc>
          <w:tcPr>
            <w:tcW w:w="1182" w:type="dxa"/>
            <w:vAlign w:val="center"/>
            <w:textDirection w:val="lrTb"/>
            <w:noWrap w:val="false"/>
          </w:tcPr>
          <w:p>
            <w:pPr>
              <w:jc w:val="center"/>
              <w:spacing w:line="360" w:lineRule="auto"/>
              <w:widowControl/>
              <w:rPr>
                <w:color w:val="000000" w:themeColor="text1"/>
                <w:lang w:bidi="ar"/>
                <w14:textFill>
                  <w14:solidFill>
                    <w14:schemeClr w14:val="tx1"/>
                  </w14:solidFill>
                </w14:textFill>
              </w:rPr>
              <w:outlineLvl w:val="9"/>
            </w:pPr>
            <w:r>
              <w:rPr>
                <w:color w:val="000000" w:themeColor="text1"/>
                <w:lang w:bidi="ar"/>
                <w14:textFill>
                  <w14:solidFill>
                    <w14:schemeClr w14:val="tx1"/>
                  </w14:solidFill>
                </w14:textFill>
              </w:rPr>
            </w:r>
            <w:r/>
          </w:p>
        </w:tc>
        <w:tc>
          <w:tcPr>
            <w:tcW w:w="790" w:type="dxa"/>
            <w:vAlign w:val="center"/>
            <w:textDirection w:val="lrTb"/>
            <w:noWrap w:val="false"/>
          </w:tcPr>
          <w:p>
            <w:pPr>
              <w:jc w:val="center"/>
              <w:spacing w:line="360" w:lineRule="auto"/>
              <w:widowControl/>
              <w:rPr>
                <w:color w:val="000000" w:themeColor="text1"/>
                <w:lang w:bidi="ar"/>
                <w14:textFill>
                  <w14:solidFill>
                    <w14:schemeClr w14:val="tx1"/>
                  </w14:solidFill>
                </w14:textFill>
              </w:rPr>
              <w:outlineLvl w:val="9"/>
            </w:pPr>
            <w:r>
              <w:rPr>
                <w:color w:val="000000" w:themeColor="text1"/>
                <w:lang w:bidi="ar"/>
                <w14:textFill>
                  <w14:solidFill>
                    <w14:schemeClr w14:val="tx1"/>
                  </w14:solidFill>
                </w14:textFill>
              </w:rPr>
            </w:r>
            <w:r/>
          </w:p>
        </w:tc>
      </w:tr>
      <w:tr>
        <w:trPr>
          <w:jc w:val="center"/>
          <w:trHeight w:val="307"/>
        </w:trPr>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w:t>
            </w:r>
            <w:r/>
          </w:p>
        </w:tc>
        <w:tc>
          <w:tcPr>
            <w:gridSpan w:val="2"/>
            <w:tcW w:w="1102" w:type="dxa"/>
            <w:vAlign w:val="center"/>
            <w:textDirection w:val="lrTb"/>
            <w:noWrap w:val="false"/>
          </w:tcPr>
          <w:p>
            <w:pPr>
              <w:jc w:val="center"/>
              <w:spacing w:line="360" w:lineRule="auto"/>
              <w:widowControl/>
              <w:rPr>
                <w:color w:val="000000" w:themeColor="text1"/>
                <w:lang w:bidi="ar"/>
                <w14:textFill>
                  <w14:solidFill>
                    <w14:schemeClr w14:val="tx1"/>
                  </w14:solidFill>
                </w14:textFill>
              </w:rPr>
              <w:outlineLvl w:val="9"/>
            </w:pPr>
            <w:r>
              <w:rPr>
                <w:color w:val="000000" w:themeColor="text1"/>
                <w:lang w:bidi="ar"/>
                <w14:textFill>
                  <w14:solidFill>
                    <w14:schemeClr w14:val="tx1"/>
                  </w14:solidFill>
                </w14:textFill>
              </w:rPr>
            </w:r>
            <w:r/>
          </w:p>
        </w:tc>
        <w:tc>
          <w:tcPr>
            <w:tcW w:w="1311" w:type="dxa"/>
            <w:vAlign w:val="center"/>
            <w:textDirection w:val="lrTb"/>
            <w:noWrap w:val="false"/>
          </w:tcPr>
          <w:p>
            <w:pPr>
              <w:jc w:val="center"/>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r>
            <w:r/>
          </w:p>
        </w:tc>
        <w:tc>
          <w:tcPr>
            <w:tcW w:w="1498" w:type="dxa"/>
            <w:vAlign w:val="center"/>
            <w:textDirection w:val="lrTb"/>
            <w:noWrap w:val="false"/>
          </w:tcPr>
          <w:p>
            <w:pPr>
              <w:jc w:val="center"/>
              <w:spacing w:line="360" w:lineRule="auto"/>
              <w:widowControl/>
              <w:rPr>
                <w:color w:val="000000" w:themeColor="text1"/>
                <w:lang w:bidi="ar"/>
                <w14:textFill>
                  <w14:solidFill>
                    <w14:schemeClr w14:val="tx1"/>
                  </w14:solidFill>
                </w14:textFill>
              </w:rPr>
              <w:outlineLvl w:val="9"/>
            </w:pPr>
            <w:r>
              <w:rPr>
                <w:color w:val="000000" w:themeColor="text1"/>
                <w:lang w:bidi="ar"/>
                <w14:textFill>
                  <w14:solidFill>
                    <w14:schemeClr w14:val="tx1"/>
                  </w14:solidFill>
                </w14:textFill>
              </w:rPr>
            </w:r>
            <w:r/>
          </w:p>
        </w:tc>
        <w:tc>
          <w:tcPr>
            <w:tcW w:w="1257" w:type="dxa"/>
            <w:vAlign w:val="center"/>
            <w:textDirection w:val="lrTb"/>
            <w:noWrap w:val="false"/>
          </w:tcPr>
          <w:p>
            <w:pPr>
              <w:jc w:val="center"/>
              <w:spacing w:line="360" w:lineRule="auto"/>
              <w:widowControl/>
              <w:rPr>
                <w:color w:val="000000" w:themeColor="text1"/>
                <w:lang w:bidi="ar"/>
                <w14:textFill>
                  <w14:solidFill>
                    <w14:schemeClr w14:val="tx1"/>
                  </w14:solidFill>
                </w14:textFill>
              </w:rPr>
              <w:outlineLvl w:val="9"/>
            </w:pPr>
            <w:r>
              <w:rPr>
                <w:color w:val="000000" w:themeColor="text1"/>
                <w:lang w:bidi="ar"/>
                <w14:textFill>
                  <w14:solidFill>
                    <w14:schemeClr w14:val="tx1"/>
                  </w14:solidFill>
                </w14:textFill>
              </w:rPr>
            </w:r>
            <w:r/>
          </w:p>
        </w:tc>
        <w:tc>
          <w:tcPr>
            <w:tcW w:w="1412" w:type="dxa"/>
            <w:vAlign w:val="center"/>
            <w:textDirection w:val="lrTb"/>
            <w:noWrap w:val="false"/>
          </w:tcPr>
          <w:p>
            <w:pPr>
              <w:jc w:val="center"/>
              <w:spacing w:line="360" w:lineRule="auto"/>
              <w:widowControl/>
              <w:rPr>
                <w:color w:val="000000" w:themeColor="text1"/>
                <w:lang w:bidi="ar"/>
                <w14:textFill>
                  <w14:solidFill>
                    <w14:schemeClr w14:val="tx1"/>
                  </w14:solidFill>
                </w14:textFill>
              </w:rPr>
              <w:outlineLvl w:val="9"/>
            </w:pPr>
            <w:r>
              <w:rPr>
                <w:color w:val="000000" w:themeColor="text1"/>
                <w:lang w:bidi="ar"/>
                <w14:textFill>
                  <w14:solidFill>
                    <w14:schemeClr w14:val="tx1"/>
                  </w14:solidFill>
                </w14:textFill>
              </w:rPr>
            </w:r>
            <w:r/>
          </w:p>
        </w:tc>
        <w:tc>
          <w:tcPr>
            <w:tcW w:w="1182" w:type="dxa"/>
            <w:vAlign w:val="center"/>
            <w:textDirection w:val="lrTb"/>
            <w:noWrap w:val="false"/>
          </w:tcPr>
          <w:p>
            <w:pPr>
              <w:jc w:val="center"/>
              <w:spacing w:line="360" w:lineRule="auto"/>
              <w:widowControl/>
              <w:rPr>
                <w:color w:val="000000" w:themeColor="text1"/>
                <w:lang w:bidi="ar"/>
                <w14:textFill>
                  <w14:solidFill>
                    <w14:schemeClr w14:val="tx1"/>
                  </w14:solidFill>
                </w14:textFill>
              </w:rPr>
              <w:outlineLvl w:val="9"/>
            </w:pPr>
            <w:r>
              <w:rPr>
                <w:color w:val="000000" w:themeColor="text1"/>
                <w:lang w:bidi="ar"/>
                <w14:textFill>
                  <w14:solidFill>
                    <w14:schemeClr w14:val="tx1"/>
                  </w14:solidFill>
                </w14:textFill>
              </w:rPr>
            </w:r>
            <w:r/>
          </w:p>
        </w:tc>
        <w:tc>
          <w:tcPr>
            <w:tcW w:w="790" w:type="dxa"/>
            <w:vAlign w:val="center"/>
            <w:textDirection w:val="lrTb"/>
            <w:noWrap w:val="false"/>
          </w:tcPr>
          <w:p>
            <w:pPr>
              <w:jc w:val="center"/>
              <w:spacing w:line="360" w:lineRule="auto"/>
              <w:widowControl/>
              <w:rPr>
                <w:color w:val="000000" w:themeColor="text1"/>
                <w:lang w:bidi="ar"/>
                <w14:textFill>
                  <w14:solidFill>
                    <w14:schemeClr w14:val="tx1"/>
                  </w14:solidFill>
                </w14:textFill>
              </w:rPr>
              <w:outlineLvl w:val="9"/>
            </w:pPr>
            <w:r>
              <w:rPr>
                <w:color w:val="000000" w:themeColor="text1"/>
                <w:lang w:bidi="ar"/>
                <w14:textFill>
                  <w14:solidFill>
                    <w14:schemeClr w14:val="tx1"/>
                  </w14:solidFill>
                </w14:textFill>
              </w:rPr>
            </w:r>
            <w:r/>
          </w:p>
        </w:tc>
      </w:tr>
      <w:tr>
        <w:trPr>
          <w:jc w:val="center"/>
          <w:trHeight w:val="498"/>
        </w:trPr>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right"/>
              <w:spacing w:line="360" w:lineRule="auto"/>
              <w:widowControl/>
              <w:rPr>
                <w:color w:val="000000" w:themeColor="text1"/>
                <w:lang w:bidi="ar"/>
                <w14:textFill>
                  <w14:solidFill>
                    <w14:schemeClr w14:val="tx1"/>
                  </w14:solidFill>
                </w14:textFill>
              </w:rPr>
              <w:outlineLvl w:val="9"/>
            </w:pPr>
            <w:r>
              <w:rPr>
                <w:color w:val="000000" w:themeColor="text1"/>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right"/>
              <w:spacing w:line="360" w:lineRule="auto"/>
              <w:widowControl/>
              <w:rPr>
                <w:color w:val="000000" w:themeColor="text1"/>
                <w:lang w:bidi="ar"/>
                <w14:textFill>
                  <w14:solidFill>
                    <w14:schemeClr w14:val="tx1"/>
                  </w14:solidFill>
                </w14:textFill>
              </w:rPr>
              <w:outlineLvl w:val="9"/>
            </w:pPr>
            <w:r>
              <w:rPr>
                <w:color w:val="000000" w:themeColor="text1"/>
                <w:lang w:bidi="ar"/>
                <w14:textFill>
                  <w14:solidFill>
                    <w14:schemeClr w14:val="tx1"/>
                  </w14:solidFill>
                </w14:textFill>
              </w:rPr>
            </w:r>
            <w:r/>
          </w:p>
        </w:tc>
        <w:tc>
          <w:tcPr>
            <w:gridSpan w:val="7"/>
            <w:tcBorders>
              <w:top w:val="single" w:color="000000" w:sz="4" w:space="0"/>
              <w:left w:val="single" w:color="000000" w:sz="4" w:space="0"/>
              <w:bottom w:val="single" w:color="000000" w:sz="4" w:space="0"/>
              <w:right w:val="single" w:color="000000" w:sz="4" w:space="0"/>
            </w:tcBorders>
            <w:tcW w:w="8131" w:type="dxa"/>
            <w:vAlign w:val="center"/>
            <w:textDirection w:val="lrTb"/>
            <w:noWrap w:val="false"/>
          </w:tcPr>
          <w:p>
            <w:pPr>
              <w:jc w:val="right"/>
              <w:spacing w:line="360" w:lineRule="auto"/>
              <w:widowControl/>
              <w:rPr>
                <w:color w:val="000000" w:themeColor="text1"/>
                <w:lang w:bidi="ar"/>
                <w14:textFill>
                  <w14:solidFill>
                    <w14:schemeClr w14:val="tx1"/>
                  </w14:solidFill>
                </w14:textFill>
              </w:rPr>
              <w:outlineLvl w:val="9"/>
            </w:pPr>
            <w:r>
              <w:rPr>
                <w:color w:val="000000" w:themeColor="text1"/>
                <w:lang w:bidi="ar"/>
                <w14:textFill>
                  <w14:solidFill>
                    <w14:schemeClr w14:val="tx1"/>
                  </w14:solidFill>
                </w14:textFill>
              </w:rPr>
              <w:t xml:space="preserve">合计：          元</w:t>
            </w:r>
            <w:r/>
          </w:p>
        </w:tc>
      </w:tr>
    </w:tbl>
    <w:p>
      <w:pPr>
        <w:ind w:firstLine="420"/>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2、货物名称及参数详见乙方响应文件。</w:t>
      </w:r>
      <w:r/>
    </w:p>
    <w:p>
      <w:pPr>
        <w:ind w:firstLine="422"/>
        <w:jc w:val="left"/>
        <w:spacing w:line="360" w:lineRule="auto"/>
        <w:rPr>
          <w:b/>
          <w:bCs/>
          <w:color w:val="000000" w:themeColor="text1"/>
          <w14:textFill>
            <w14:solidFill>
              <w14:schemeClr w14:val="tx1"/>
            </w14:solidFill>
          </w14:textFill>
        </w:rPr>
        <w:outlineLvl w:val="9"/>
      </w:pPr>
      <w:r/>
      <w:bookmarkStart w:id="178" w:name="_Toc139360215"/>
      <w:r>
        <w:rPr>
          <w:b/>
          <w:bCs/>
          <w:color w:val="000000" w:themeColor="text1"/>
          <w14:textFill>
            <w14:solidFill>
              <w14:schemeClr w14:val="tx1"/>
            </w14:solidFill>
          </w14:textFill>
        </w:rPr>
        <w:t xml:space="preserve">第二条 合同总价款</w:t>
      </w:r>
      <w:bookmarkEnd w:id="178"/>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1、本合同项下货物总价款为</w:t>
      </w:r>
      <w:r>
        <w:rPr>
          <w:color w:val="000000" w:themeColor="text1"/>
          <w:u w:val="single"/>
          <w14:textFill>
            <w14:solidFill>
              <w14:schemeClr w14:val="tx1"/>
            </w14:solidFill>
          </w14:textFill>
        </w:rPr>
        <w:t xml:space="preserve"> </w:t>
      </w:r>
      <w:r>
        <w:rPr>
          <w:b/>
          <w:bCs/>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（大写）人民币，分项价款在乙方“响应文件价格部分”中有明确规定。</w:t>
      </w:r>
      <w:r/>
    </w:p>
    <w:p>
      <w:pPr>
        <w:ind w:firstLine="420"/>
        <w:spacing w:line="360" w:lineRule="auto"/>
        <w:rPr>
          <w:b/>
          <w:color w:val="000000" w:themeColor="text1"/>
          <w14:textFill>
            <w14:solidFill>
              <w14:schemeClr w14:val="tx1"/>
            </w14:solidFill>
          </w14:textFill>
        </w:rPr>
        <w:outlineLvl w:val="9"/>
      </w:pPr>
      <w:r>
        <w:rPr>
          <w:color w:val="000000" w:themeColor="text1"/>
          <w14:textFill>
            <w14:solidFill>
              <w14:schemeClr w14:val="tx1"/>
            </w14:solidFill>
          </w14:textFill>
        </w:rPr>
        <w:t xml:space="preserve">2、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bCs/>
          <w:color w:val="000000" w:themeColor="text1"/>
          <w14:textFill>
            <w14:solidFill>
              <w14:schemeClr w14:val="tx1"/>
            </w14:solidFill>
          </w14:textFill>
        </w:rPr>
        <w:t xml:space="preserve">，以</w:t>
      </w:r>
      <w:r>
        <w:rPr>
          <w:color w:val="000000" w:themeColor="text1"/>
          <w14:textFill>
            <w14:solidFill>
              <w14:schemeClr w14:val="tx1"/>
            </w14:solidFill>
          </w14:textFill>
        </w:rPr>
        <w:t xml:space="preserve">及乙方认为需要的其他费用等。</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3、本合同总价款还包含乙方应当提供的伴随服务/售后服务费用。</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4、本合同执行期间合同总价款不变。</w:t>
      </w:r>
      <w:r/>
    </w:p>
    <w:p>
      <w:pPr>
        <w:ind w:firstLine="422"/>
        <w:spacing w:line="360" w:lineRule="auto"/>
        <w:rPr>
          <w:b/>
          <w:bCs/>
          <w:color w:val="000000" w:themeColor="text1"/>
          <w14:textFill>
            <w14:solidFill>
              <w14:schemeClr w14:val="tx1"/>
            </w14:solidFill>
          </w14:textFill>
        </w:rPr>
        <w:outlineLvl w:val="9"/>
      </w:pPr>
      <w:r/>
      <w:bookmarkStart w:id="179" w:name="_Toc139360216"/>
      <w:r>
        <w:rPr>
          <w:b/>
          <w:bCs/>
          <w:color w:val="000000" w:themeColor="text1"/>
          <w14:textFill>
            <w14:solidFill>
              <w14:schemeClr w14:val="tx1"/>
            </w14:solidFill>
          </w14:textFill>
        </w:rPr>
        <w:t xml:space="preserve">第三条 组成本合同的有关文件</w:t>
      </w:r>
      <w:bookmarkEnd w:id="179"/>
      <w:r/>
      <w:r/>
    </w:p>
    <w:p>
      <w:pPr>
        <w:ind w:firstLine="420"/>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下列关于</w:t>
      </w:r>
      <w:r>
        <w:rPr>
          <w:bCs/>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号标的招标文件或与本次采购活动方式相适应的文件及有关附件是本合同不可分割的组成部分，与本合同具有同等法律效力，这些文件包括但不限于：</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1、公开招标文件；</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2、乙方提供的响应文件；</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3、供货一览表；</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4、交货一览表；</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5、成交承诺/服务承诺；</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6、成交通知书；</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7、甲乙双方商定的其他文件等。</w:t>
      </w:r>
      <w:r/>
    </w:p>
    <w:p>
      <w:pPr>
        <w:ind w:firstLine="422"/>
        <w:jc w:val="left"/>
        <w:spacing w:line="360" w:lineRule="auto"/>
        <w:rPr>
          <w:b/>
          <w:bCs/>
          <w:color w:val="000000" w:themeColor="text1"/>
          <w14:textFill>
            <w14:solidFill>
              <w14:schemeClr w14:val="tx1"/>
            </w14:solidFill>
          </w14:textFill>
        </w:rPr>
        <w:outlineLvl w:val="9"/>
      </w:pPr>
      <w:r/>
      <w:bookmarkStart w:id="180" w:name="_Toc139360217"/>
      <w:r>
        <w:rPr>
          <w:b/>
          <w:bCs/>
          <w:color w:val="000000" w:themeColor="text1"/>
          <w14:textFill>
            <w14:solidFill>
              <w14:schemeClr w14:val="tx1"/>
            </w14:solidFill>
          </w14:textFill>
        </w:rPr>
        <w:t xml:space="preserve">第四条 权利保证</w:t>
      </w:r>
      <w:bookmarkEnd w:id="180"/>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1、乙方应保证甲方在使用该货物或其任何一部分时不受第三方提出侵犯其专利权、版权、商标权或其他权利的起诉。一旦出现侵权，乙方应承担全部责任。</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2、乙方保证所交付的货物的所有权完全属于乙方且无任何抵押、查封等产权瑕疵。</w:t>
      </w:r>
      <w:r/>
    </w:p>
    <w:p>
      <w:pPr>
        <w:ind w:firstLine="422"/>
        <w:jc w:val="left"/>
        <w:spacing w:line="360" w:lineRule="auto"/>
        <w:rPr>
          <w:b/>
          <w:bCs/>
          <w:color w:val="000000" w:themeColor="text1"/>
          <w14:textFill>
            <w14:solidFill>
              <w14:schemeClr w14:val="tx1"/>
            </w14:solidFill>
          </w14:textFill>
        </w:rPr>
        <w:outlineLvl w:val="9"/>
      </w:pPr>
      <w:r/>
      <w:bookmarkStart w:id="181" w:name="_Toc139360218"/>
      <w:r>
        <w:rPr>
          <w:b/>
          <w:bCs/>
          <w:color w:val="000000" w:themeColor="text1"/>
          <w14:textFill>
            <w14:solidFill>
              <w14:schemeClr w14:val="tx1"/>
            </w14:solidFill>
          </w14:textFill>
        </w:rPr>
        <w:t xml:space="preserve">第五条 质量保证</w:t>
      </w:r>
      <w:bookmarkEnd w:id="181"/>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1、乙方所提供的货物的技术规格应与招标文件规定的技术规格及投标文件所附的“技术条款偏离表”相一致；若技术性能无特殊说明，则按国家有关部门最新颁布的标准及规范为准。</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2、乙方应保证货物是全新、未使用过的、原包装未拆封的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2"/>
        <w:jc w:val="left"/>
        <w:spacing w:line="360" w:lineRule="auto"/>
        <w:rPr>
          <w:b/>
          <w:bCs/>
          <w:color w:val="000000" w:themeColor="text1"/>
          <w14:textFill>
            <w14:solidFill>
              <w14:schemeClr w14:val="tx1"/>
            </w14:solidFill>
          </w14:textFill>
        </w:rPr>
        <w:outlineLvl w:val="9"/>
      </w:pPr>
      <w:r/>
      <w:bookmarkStart w:id="182" w:name="_Toc139360219"/>
      <w:r>
        <w:rPr>
          <w:b/>
          <w:bCs/>
          <w:color w:val="000000" w:themeColor="text1"/>
          <w14:textFill>
            <w14:solidFill>
              <w14:schemeClr w14:val="tx1"/>
            </w14:solidFill>
          </w14:textFill>
        </w:rPr>
        <w:t xml:space="preserve">第六条 包装要求</w:t>
      </w:r>
      <w:bookmarkEnd w:id="182"/>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2、每一包装单元内应附详细的装箱单和质量合格凭证。</w:t>
      </w:r>
      <w:r/>
    </w:p>
    <w:p>
      <w:pPr>
        <w:ind w:firstLine="422"/>
        <w:jc w:val="left"/>
        <w:spacing w:line="360" w:lineRule="auto"/>
        <w:rPr>
          <w:b/>
          <w:bCs/>
          <w:color w:val="000000" w:themeColor="text1"/>
          <w14:textFill>
            <w14:solidFill>
              <w14:schemeClr w14:val="tx1"/>
            </w14:solidFill>
          </w14:textFill>
        </w:rPr>
        <w:outlineLvl w:val="9"/>
      </w:pPr>
      <w:r/>
      <w:bookmarkStart w:id="183" w:name="_Toc139360220"/>
      <w:r>
        <w:rPr>
          <w:b/>
          <w:bCs/>
          <w:color w:val="000000" w:themeColor="text1"/>
          <w14:textFill>
            <w14:solidFill>
              <w14:schemeClr w14:val="tx1"/>
            </w14:solidFill>
          </w14:textFill>
        </w:rPr>
        <w:t xml:space="preserve">第七条 交货和验收</w:t>
      </w:r>
      <w:bookmarkEnd w:id="183"/>
      <w:r/>
      <w:r/>
    </w:p>
    <w:p>
      <w:pPr>
        <w:ind w:firstLine="420"/>
        <w:jc w:val="left"/>
        <w:spacing w:line="360" w:lineRule="auto"/>
        <w:rPr>
          <w:color w:val="000000" w:themeColor="text1"/>
          <w:u w:val="single"/>
          <w14:textFill>
            <w14:solidFill>
              <w14:schemeClr w14:val="tx1"/>
            </w14:solidFill>
          </w14:textFill>
        </w:rPr>
        <w:outlineLvl w:val="9"/>
      </w:pPr>
      <w:r>
        <w:rPr>
          <w:color w:val="000000" w:themeColor="text1"/>
          <w14:textFill>
            <w14:solidFill>
              <w14:schemeClr w14:val="tx1"/>
            </w14:solidFill>
          </w14:textFill>
        </w:rPr>
        <w:t xml:space="preserve">1、乙方应当在</w:t>
      </w:r>
      <w:r>
        <w:rPr>
          <w:bCs/>
          <w:color w:val="000000" w:themeColor="text1"/>
          <w14:textFill>
            <w14:solidFill>
              <w14:schemeClr w14:val="tx1"/>
            </w14:solidFill>
          </w14:textFill>
        </w:rPr>
        <w:t xml:space="preserve">合同签订后</w:t>
      </w:r>
      <w:r>
        <w:rPr>
          <w:bCs/>
          <w:color w:val="000000" w:themeColor="text1"/>
          <w:u w:val="single"/>
          <w14:textFill>
            <w14:solidFill>
              <w14:schemeClr w14:val="tx1"/>
            </w14:solidFill>
          </w14:textFill>
        </w:rPr>
        <w:t xml:space="preserve"> </w:t>
      </w:r>
      <w:r>
        <w:rPr>
          <w:b/>
          <w:color w:val="000000" w:themeColor="text1"/>
          <w:u w:val="single"/>
          <w14:textFill>
            <w14:solidFill>
              <w14:schemeClr w14:val="tx1"/>
            </w14:solidFill>
          </w14:textFill>
        </w:rPr>
        <w:t xml:space="preserve">      </w:t>
      </w:r>
      <w:r>
        <w:rPr>
          <w:bCs/>
          <w:color w:val="000000" w:themeColor="text1"/>
          <w:u w:val="single"/>
          <w14:textFill>
            <w14:solidFill>
              <w14:schemeClr w14:val="tx1"/>
            </w14:solidFill>
          </w14:textFill>
        </w:rPr>
        <w:t xml:space="preserve"> </w:t>
      </w:r>
      <w:r>
        <w:rPr>
          <w:bCs/>
          <w:color w:val="000000" w:themeColor="text1"/>
          <w14:textFill>
            <w14:solidFill>
              <w14:schemeClr w14:val="tx1"/>
            </w14:solidFill>
          </w14:textFill>
        </w:rPr>
        <w:t xml:space="preserve">天内</w:t>
      </w:r>
      <w:r>
        <w:rPr>
          <w:color w:val="000000" w:themeColor="text1"/>
          <w14:textFill>
            <w14:solidFill>
              <w14:schemeClr w14:val="tx1"/>
            </w14:solidFill>
          </w14:textFill>
        </w:rPr>
        <w:t xml:space="preserve">将货物安装调试完毕交付甲方正常使用，地点由甲方指定。招标文件另有约定的，从其约定。</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3、货物的到货验收包括：型号、规格、数量、外观质量、及货物包装是否完好。</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5、货物和调试验收标准：按行业通行标准、厂方出厂标准和乙方投标文件的承诺（不低于国家相关标准）。</w:t>
      </w:r>
      <w:r/>
    </w:p>
    <w:p>
      <w:pPr>
        <w:ind w:firstLine="422"/>
        <w:jc w:val="left"/>
        <w:spacing w:line="360" w:lineRule="auto"/>
        <w:rPr>
          <w:b/>
          <w:bCs/>
          <w:color w:val="000000" w:themeColor="text1"/>
          <w14:textFill>
            <w14:solidFill>
              <w14:schemeClr w14:val="tx1"/>
            </w14:solidFill>
          </w14:textFill>
        </w:rPr>
        <w:outlineLvl w:val="9"/>
      </w:pPr>
      <w:r/>
      <w:bookmarkStart w:id="184" w:name="_Toc139360221"/>
      <w:r>
        <w:rPr>
          <w:b/>
          <w:bCs/>
          <w:color w:val="000000" w:themeColor="text1"/>
          <w14:textFill>
            <w14:solidFill>
              <w14:schemeClr w14:val="tx1"/>
            </w14:solidFill>
          </w14:textFill>
        </w:rPr>
        <w:t xml:space="preserve">第八条 伴随服务／售后服务</w:t>
      </w:r>
      <w:bookmarkEnd w:id="184"/>
      <w:r/>
      <w:r/>
    </w:p>
    <w:p>
      <w:pPr>
        <w:ind w:firstLine="420"/>
        <w:jc w:val="left"/>
        <w:spacing w:line="360" w:lineRule="auto"/>
        <w:tabs>
          <w:tab w:val="left" w:pos="1620" w:leader="none"/>
        </w:tabs>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1、乙方应按照国家有关法律法规规章和“三包”规定以及招标文件所规定的“服务承诺”提供服务。</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2、除前款规定外，乙方还应提供下列服务：</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(1) 货物的现场安装、调试和/或启动监督；</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(2) 就货物的安装、启动、运行及维护等对甲方人员进行免费培训。</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3、若招标文件中不包含有关伴随服务或售后服务的承诺，双方作如下约定：</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3.2 所购货物按乙方投标承诺提供免费维护和质量保证，保修费用计入总价。</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3.3 保修期内，乙方负责对其提供的货物整机进行维修和系统维护，不再收取任何费用，但不可抗力（如火灾、雷击等）造成的故障除外。</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3.4 货物故障报修的响应时间按乙方投标承诺执行。</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3.5 若货物故障在检修8工作小时后仍无法排除，乙方应在48小时内免费提供不低于故障货物规格型号档次的备用货物供甲方使用，直至故障货物修复。</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3.6 所有货物保修服务方式均为乙方上门保修，即由乙方派员到货物使用现场维修，由此产生的一切费用均由乙方承担。</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3.7 保修期后的货物维护由双方协商再定。</w:t>
      </w:r>
      <w:r/>
    </w:p>
    <w:p>
      <w:pPr>
        <w:ind w:firstLine="422"/>
        <w:jc w:val="left"/>
        <w:spacing w:line="360" w:lineRule="auto"/>
        <w:rPr>
          <w:b/>
          <w:bCs/>
          <w:color w:val="000000" w:themeColor="text1"/>
          <w14:textFill>
            <w14:solidFill>
              <w14:schemeClr w14:val="tx1"/>
            </w14:solidFill>
          </w14:textFill>
        </w:rPr>
        <w:outlineLvl w:val="9"/>
      </w:pPr>
      <w:r/>
      <w:bookmarkStart w:id="185" w:name="_Toc139360222"/>
      <w:r>
        <w:rPr>
          <w:b/>
          <w:bCs/>
          <w:color w:val="000000" w:themeColor="text1"/>
          <w14:textFill>
            <w14:solidFill>
              <w14:schemeClr w14:val="tx1"/>
            </w14:solidFill>
          </w14:textFill>
        </w:rPr>
        <w:t xml:space="preserve">第九条 履约保证金</w:t>
      </w:r>
      <w:bookmarkEnd w:id="185"/>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本次</w:t>
      </w:r>
      <w:r>
        <w:rPr>
          <w:color w:val="000000" w:themeColor="text1"/>
          <w:u w:val="single"/>
          <w14:textFill>
            <w14:solidFill>
              <w14:schemeClr w14:val="tx1"/>
            </w14:solidFill>
          </w14:textFill>
        </w:rPr>
        <w:t xml:space="preserve">    □收取/□不收取      </w:t>
      </w:r>
      <w:r>
        <w:rPr>
          <w:color w:val="000000" w:themeColor="text1"/>
          <w14:textFill>
            <w14:solidFill>
              <w14:schemeClr w14:val="tx1"/>
            </w14:solidFill>
          </w14:textFill>
        </w:rPr>
        <w:t xml:space="preserve">履约保证金。履约保证金金额为</w:t>
      </w:r>
      <w:r>
        <w:rPr>
          <w:color w:val="000000" w:themeColor="text1"/>
          <w:u w:val="single"/>
          <w14:textFill>
            <w14:solidFill>
              <w14:schemeClr w14:val="tx1"/>
            </w14:solidFill>
          </w14:textFill>
        </w:rPr>
        <w:t xml:space="preserve">  </w:t>
      </w:r>
      <w:r>
        <w:rPr>
          <w:b/>
          <w:bCs/>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元，形式为</w:t>
      </w:r>
      <w:r>
        <w:rPr>
          <w:color w:val="000000" w:themeColor="text1"/>
          <w:u w:val="single"/>
          <w14:textFill>
            <w14:solidFill>
              <w14:schemeClr w14:val="tx1"/>
            </w14:solidFill>
          </w14:textFill>
        </w:rPr>
        <w:t xml:space="preserve">□</w:t>
      </w:r>
      <w:r>
        <w:rPr>
          <w:color w:val="000000" w:themeColor="text1"/>
          <w14:textFill>
            <w14:solidFill>
              <w14:schemeClr w14:val="tx1"/>
            </w14:solidFill>
          </w14:textFill>
        </w:rPr>
        <w:t xml:space="preserve">银行保函/</w:t>
      </w:r>
      <w:r>
        <w:rPr>
          <w:color w:val="000000" w:themeColor="text1"/>
          <w:u w:val="single"/>
          <w14:textFill>
            <w14:solidFill>
              <w14:schemeClr w14:val="tx1"/>
            </w14:solidFill>
          </w14:textFill>
        </w:rPr>
        <w:t xml:space="preserve">□</w:t>
      </w:r>
      <w:r>
        <w:rPr>
          <w:color w:val="000000" w:themeColor="text1"/>
          <w14:textFill>
            <w14:solidFill>
              <w14:schemeClr w14:val="tx1"/>
            </w14:solidFill>
          </w14:textFill>
        </w:rPr>
        <w:t xml:space="preserve">银行汇款。</w:t>
      </w:r>
      <w:r/>
    </w:p>
    <w:p>
      <w:pPr>
        <w:ind w:firstLine="422"/>
        <w:jc w:val="left"/>
        <w:spacing w:line="360" w:lineRule="auto"/>
        <w:rPr>
          <w:b/>
          <w:bCs/>
          <w:i/>
          <w:iCs/>
          <w:color w:val="000000" w:themeColor="text1"/>
          <w14:textFill>
            <w14:solidFill>
              <w14:schemeClr w14:val="tx1"/>
            </w14:solidFill>
          </w14:textFill>
        </w:rPr>
        <w:outlineLvl w:val="9"/>
      </w:pPr>
      <w:r/>
      <w:bookmarkStart w:id="186" w:name="_Toc139360223"/>
      <w:r>
        <w:rPr>
          <w:b/>
          <w:bCs/>
          <w:color w:val="000000" w:themeColor="text1"/>
          <w14:textFill>
            <w14:solidFill>
              <w14:schemeClr w14:val="tx1"/>
            </w14:solidFill>
          </w14:textFill>
        </w:rPr>
        <w:t xml:space="preserve">第十条 合同款支付</w:t>
      </w:r>
      <w:bookmarkEnd w:id="186"/>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1、本合同项下所有款项均以人民币支付。</w:t>
      </w:r>
      <w:r/>
    </w:p>
    <w:p>
      <w:pPr>
        <w:ind w:firstLine="420"/>
        <w:jc w:val="left"/>
        <w:spacing w:line="360" w:lineRule="auto"/>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2、本合同项下的采购资金由甲方自行支付，乙方向甲方开具发票。</w:t>
      </w:r>
      <w:r/>
    </w:p>
    <w:p>
      <w:pPr>
        <w:ind w:firstLine="472"/>
        <w:spacing w:line="360" w:lineRule="auto"/>
        <w:rPr>
          <w:rFonts w:hint="default" w:ascii="Times New Roman" w:hAnsi="Times New Roman" w:eastAsia="宋体" w:cs="Times New Roman"/>
          <w:bCs/>
          <w:color w:val="000000" w:themeColor="text1"/>
          <w:highlight w:val="none"/>
          <w:lang w:val="en-US" w:eastAsia="zh-CN"/>
          <w14:textFill>
            <w14:solidFill>
              <w14:schemeClr w14:val="tx1"/>
            </w14:solidFill>
          </w14:textFill>
        </w:rPr>
        <w:outlineLvl w:val="9"/>
      </w:pPr>
      <w:r>
        <w:rPr>
          <w:rFonts w:ascii="Times New Roman" w:hAnsi="Times New Roman" w:eastAsia="宋体" w:cs="Times New Roman"/>
          <w:bCs/>
          <w:color w:val="000000" w:themeColor="text1"/>
          <w:highlight w:val="none"/>
          <w14:textFill>
            <w14:solidFill>
              <w14:schemeClr w14:val="tx1"/>
            </w14:solidFill>
          </w14:textFill>
        </w:rPr>
        <w:t xml:space="preserve">3、付款条件：</w:t>
      </w:r>
      <w:r>
        <w:rPr>
          <w:rFonts w:hint="eastAsia" w:ascii="Times New Roman" w:hAnsi="Times New Roman" w:eastAsia="宋体" w:cs="Times New Roman"/>
          <w:bCs/>
          <w:color w:val="000000" w:themeColor="text1"/>
          <w:highlight w:val="none"/>
          <w14:textFill>
            <w14:solidFill>
              <w14:schemeClr w14:val="tx1"/>
            </w14:solidFill>
          </w14:textFill>
        </w:rPr>
        <w:t xml:space="preserve">合同签订后，</w:t>
      </w:r>
      <w:r>
        <w:rPr>
          <w:rFonts w:hint="eastAsia" w:ascii="Times New Roman" w:hAnsi="Times New Roman" w:eastAsia="宋体" w:cs="Times New Roman"/>
          <w:bCs/>
          <w:color w:val="000000" w:themeColor="text1"/>
          <w:highlight w:val="none"/>
          <w:lang w:val="en-US" w:eastAsia="zh-CN"/>
          <w14:textFill>
            <w14:solidFill>
              <w14:schemeClr w14:val="tx1"/>
            </w14:solidFill>
          </w14:textFill>
        </w:rPr>
        <w:t xml:space="preserve">甲方</w:t>
      </w:r>
      <w:r>
        <w:rPr>
          <w:rFonts w:hint="eastAsia" w:ascii="Times New Roman" w:hAnsi="Times New Roman" w:eastAsia="宋体" w:cs="Times New Roman"/>
          <w:bCs/>
          <w:color w:val="000000" w:themeColor="text1"/>
          <w:highlight w:val="none"/>
          <w14:textFill>
            <w14:solidFill>
              <w14:schemeClr w14:val="tx1"/>
            </w14:solidFill>
          </w14:textFill>
        </w:rPr>
        <w:t xml:space="preserve">支付合同金额的50%作为预付款；设备验收数量超过合同总数量的一半，甲方再支付30%作为进度款，所有设备验收完毕，甲方支付20%合同尾款。（特殊情况时根据双方协商的意见办理。）</w:t>
      </w:r>
      <w:r/>
    </w:p>
    <w:p>
      <w:pPr>
        <w:ind w:firstLine="422"/>
        <w:jc w:val="left"/>
        <w:spacing w:line="360" w:lineRule="auto"/>
        <w:rPr>
          <w:b/>
          <w:bCs/>
          <w:color w:val="000000" w:themeColor="text1"/>
          <w14:textFill>
            <w14:solidFill>
              <w14:schemeClr w14:val="tx1"/>
            </w14:solidFill>
          </w14:textFill>
        </w:rPr>
        <w:outlineLvl w:val="9"/>
      </w:pPr>
      <w:r/>
      <w:bookmarkStart w:id="187" w:name="_Toc139360224"/>
      <w:r>
        <w:rPr>
          <w:b/>
          <w:bCs/>
          <w:color w:val="000000" w:themeColor="text1"/>
          <w14:textFill>
            <w14:solidFill>
              <w14:schemeClr w14:val="tx1"/>
            </w14:solidFill>
          </w14:textFill>
        </w:rPr>
        <w:t xml:space="preserve">第十一条 违约责任</w:t>
      </w:r>
      <w:bookmarkEnd w:id="187"/>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1、甲方无正当理由拒收货物、拒付货物款的，由甲方向乙方偿付合同总价的5%违约金。</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2、甲方未按合同规定的期限向乙方支付货款的，每逾期1天甲方向乙方偿付欠款总额的5‰滞纳金，但累计滞纳金总额不超过欠款总额的5%。</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3、如乙方不能交付货物、完成安装调试的，乙方应向甲方支付合同总价5%的违约金。</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4、乙方逾期交付的，每逾期1天，乙方向甲方偿付合同总额的5‰的滞纳金。如乙方逾期交付达10天，甲方有权解除合同，解除合同的通知自到达乙方时生效。</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5、乙方所交付的货物品种、型号、规格不符合合同规定的，甲方有权拒收。甲方拒收的，乙方应向甲方支付货款总额5%的违约金。甲方未拒收的，采购代理机构发现后将向有关部门反映，并责成乙方按照采购结果提供货物和服务。</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7、乙方未按本合同的规定和“服务承诺”提供伴随服务/售后服务的，应按合同总价款的5%向甲方承担违约责任。</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8、乙方在承担上述4-6款一项或多项违约责任后，仍应继续履行合同规定的义务（甲方解除合同的除外）。甲方未能及时追究乙方的任何一项违约责任并不表明甲方放弃追究乙方该项或其他违约责任。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9、乙方投标属虚假承诺，或经权威部门监测提供的货物不能满足招标文件要求，或是由于乙方的过错造成合同无法继续履行的，乙方应向甲方支付不少于合同总价30%赔偿金。</w:t>
      </w:r>
      <w:r/>
    </w:p>
    <w:p>
      <w:pPr>
        <w:ind w:firstLine="422"/>
        <w:jc w:val="left"/>
        <w:spacing w:line="360" w:lineRule="auto"/>
        <w:widowControl/>
        <w:rPr>
          <w:b/>
          <w:bCs/>
          <w:color w:val="000000" w:themeColor="text1"/>
          <w14:textFill>
            <w14:solidFill>
              <w14:schemeClr w14:val="tx1"/>
            </w14:solidFill>
          </w14:textFill>
        </w:rPr>
        <w:outlineLvl w:val="9"/>
      </w:pPr>
      <w:r/>
      <w:bookmarkStart w:id="188" w:name="_Toc139360225"/>
      <w:r>
        <w:rPr>
          <w:b/>
          <w:bCs/>
          <w:color w:val="000000" w:themeColor="text1"/>
          <w14:textFill>
            <w14:solidFill>
              <w14:schemeClr w14:val="tx1"/>
            </w14:solidFill>
          </w14:textFill>
        </w:rPr>
        <w:t xml:space="preserve">第十二条 项目履约验收</w:t>
      </w:r>
      <w:bookmarkEnd w:id="188"/>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1、甲方有权对乙方项目实施执行过程及完成结果进行履约验收；</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2、甲方可以邀请参加本项目的其他供应商或者第三方机构参与验收，乙方应积极配合并响应；</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3、参与验收的供应商或者第三方机构的意见作为验收书的参考资料一并存档。</w:t>
      </w:r>
      <w:r/>
    </w:p>
    <w:p>
      <w:pPr>
        <w:ind w:firstLine="422"/>
        <w:jc w:val="left"/>
        <w:spacing w:line="360" w:lineRule="auto"/>
        <w:widowControl/>
        <w:rPr>
          <w:b/>
          <w:bCs/>
          <w:color w:val="000000" w:themeColor="text1"/>
          <w14:textFill>
            <w14:solidFill>
              <w14:schemeClr w14:val="tx1"/>
            </w14:solidFill>
          </w14:textFill>
        </w:rPr>
        <w:outlineLvl w:val="9"/>
      </w:pPr>
      <w:r/>
      <w:bookmarkStart w:id="189" w:name="_Toc139360226"/>
      <w:r>
        <w:rPr>
          <w:b/>
          <w:bCs/>
          <w:color w:val="000000" w:themeColor="text1"/>
          <w14:textFill>
            <w14:solidFill>
              <w14:schemeClr w14:val="tx1"/>
            </w14:solidFill>
          </w14:textFill>
        </w:rPr>
        <w:t xml:space="preserve">第十三条 合同的变更和终止</w:t>
      </w:r>
      <w:bookmarkEnd w:id="189"/>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1、除《政府采购法》第50条第二款规定的情形外，本合同一经签订，甲乙双方不得擅自变更、中止或终止合同。</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2、除发生法律规定的不能预见、不能避免并不能克服的客观情况外，甲乙双方不得放弃或拒绝履行合同。</w:t>
      </w:r>
      <w:r/>
    </w:p>
    <w:p>
      <w:pPr>
        <w:ind w:firstLine="422"/>
        <w:jc w:val="left"/>
        <w:spacing w:line="360" w:lineRule="auto"/>
        <w:widowControl/>
        <w:rPr>
          <w:b/>
          <w:bCs/>
          <w:color w:val="000000" w:themeColor="text1"/>
          <w14:textFill>
            <w14:solidFill>
              <w14:schemeClr w14:val="tx1"/>
            </w14:solidFill>
          </w14:textFill>
        </w:rPr>
        <w:outlineLvl w:val="9"/>
      </w:pPr>
      <w:r/>
      <w:bookmarkStart w:id="190" w:name="_Toc139360227"/>
      <w:r>
        <w:rPr>
          <w:b/>
          <w:bCs/>
          <w:color w:val="000000" w:themeColor="text1"/>
          <w14:textFill>
            <w14:solidFill>
              <w14:schemeClr w14:val="tx1"/>
            </w14:solidFill>
          </w14:textFill>
        </w:rPr>
        <w:t xml:space="preserve">第十四条 合同的转让</w:t>
      </w:r>
      <w:bookmarkEnd w:id="190"/>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乙方不得擅自部分或全部转让其应履行的合同义务。</w:t>
      </w:r>
      <w:r/>
    </w:p>
    <w:p>
      <w:pPr>
        <w:ind w:firstLine="422"/>
        <w:jc w:val="left"/>
        <w:spacing w:line="360" w:lineRule="auto"/>
        <w:widowControl/>
        <w:rPr>
          <w:b/>
          <w:bCs/>
          <w:color w:val="000000" w:themeColor="text1"/>
          <w14:textFill>
            <w14:solidFill>
              <w14:schemeClr w14:val="tx1"/>
            </w14:solidFill>
          </w14:textFill>
        </w:rPr>
        <w:outlineLvl w:val="9"/>
      </w:pPr>
      <w:r/>
      <w:bookmarkStart w:id="191" w:name="_Toc139360228"/>
      <w:r>
        <w:rPr>
          <w:b/>
          <w:bCs/>
          <w:color w:val="000000" w:themeColor="text1"/>
          <w14:textFill>
            <w14:solidFill>
              <w14:schemeClr w14:val="tx1"/>
            </w14:solidFill>
          </w14:textFill>
        </w:rPr>
        <w:t xml:space="preserve">第十五条 争议的解决</w:t>
      </w:r>
      <w:bookmarkEnd w:id="191"/>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1、因货物的质量问题发生争议的，应当邀请国家认可的质量检测机构对货物质量进行鉴定。符合标准的，鉴定费由甲方承担；不符合质量标准的，鉴定费由乙方承担。</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2、因履行本合同引起的或与本合同有关的争议，甲、乙双方应首先通过友好协商解决，如果协商不能解决争议，则采取以下第（1）种方式解决争议：</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(1) 向甲方所在地有管辖权的人民法院提起诉讼；</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(2) 向南京仲裁委员会按其仲裁规则申请仲裁。</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3、在仲裁期间，本合同应继续履行。</w:t>
      </w:r>
      <w:r/>
    </w:p>
    <w:p>
      <w:pPr>
        <w:ind w:firstLine="422"/>
        <w:jc w:val="left"/>
        <w:spacing w:line="360" w:lineRule="auto"/>
        <w:widowControl/>
        <w:rPr>
          <w:b/>
          <w:bCs/>
          <w:color w:val="000000" w:themeColor="text1"/>
          <w14:textFill>
            <w14:solidFill>
              <w14:schemeClr w14:val="tx1"/>
            </w14:solidFill>
          </w14:textFill>
        </w:rPr>
        <w:outlineLvl w:val="9"/>
      </w:pPr>
      <w:r/>
      <w:bookmarkStart w:id="192" w:name="_Toc139360229"/>
      <w:r>
        <w:rPr>
          <w:b/>
          <w:bCs/>
          <w:color w:val="000000" w:themeColor="text1"/>
          <w14:textFill>
            <w14:solidFill>
              <w14:schemeClr w14:val="tx1"/>
            </w14:solidFill>
          </w14:textFill>
        </w:rPr>
        <w:t xml:space="preserve">第十六条 诚实信用</w:t>
      </w:r>
      <w:bookmarkEnd w:id="192"/>
      <w:r>
        <w:rPr>
          <w:b/>
          <w:bCs/>
          <w:color w:val="000000" w:themeColor="text1"/>
          <w14:textFill>
            <w14:solidFill>
              <w14:schemeClr w14:val="tx1"/>
            </w14:solidFill>
          </w14:textFill>
        </w:rPr>
        <w:t xml:space="preserve"> </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乙方应诚实信用，严格按照招标文件要求和投标承诺履行合同，不向甲方进行商业贿赂或者提供不正当利益。</w:t>
      </w:r>
      <w:r/>
    </w:p>
    <w:p>
      <w:pPr>
        <w:ind w:firstLine="422"/>
        <w:jc w:val="left"/>
        <w:spacing w:line="360" w:lineRule="auto"/>
        <w:widowControl/>
        <w:rPr>
          <w:b/>
          <w:bCs/>
          <w:color w:val="000000" w:themeColor="text1"/>
          <w14:textFill>
            <w14:solidFill>
              <w14:schemeClr w14:val="tx1"/>
            </w14:solidFill>
          </w14:textFill>
        </w:rPr>
        <w:outlineLvl w:val="9"/>
      </w:pPr>
      <w:r/>
      <w:bookmarkStart w:id="193" w:name="_Toc139360230"/>
      <w:r>
        <w:rPr>
          <w:b/>
          <w:bCs/>
          <w:color w:val="000000" w:themeColor="text1"/>
          <w14:textFill>
            <w14:solidFill>
              <w14:schemeClr w14:val="tx1"/>
            </w14:solidFill>
          </w14:textFill>
        </w:rPr>
        <w:t xml:space="preserve">第十七条 不可抗力事件处理</w:t>
      </w:r>
      <w:bookmarkEnd w:id="193"/>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2、不可抗力事件发生后，应立即通知对方，并寄送有关权威机构出具的证明。</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3、不可抗力事件延续120天以上，双方应通过友好协商，确定是否继续履行合同。</w:t>
      </w:r>
      <w:r/>
    </w:p>
    <w:p>
      <w:pPr>
        <w:ind w:firstLine="422"/>
        <w:jc w:val="left"/>
        <w:spacing w:line="360" w:lineRule="auto"/>
        <w:widowControl/>
        <w:rPr>
          <w:b/>
          <w:bCs/>
          <w:color w:val="000000" w:themeColor="text1"/>
          <w14:textFill>
            <w14:solidFill>
              <w14:schemeClr w14:val="tx1"/>
            </w14:solidFill>
          </w14:textFill>
        </w:rPr>
        <w:outlineLvl w:val="9"/>
      </w:pPr>
      <w:r/>
      <w:bookmarkStart w:id="194" w:name="_Toc139360231"/>
      <w:r>
        <w:rPr>
          <w:b/>
          <w:bCs/>
          <w:color w:val="000000" w:themeColor="text1"/>
          <w14:textFill>
            <w14:solidFill>
              <w14:schemeClr w14:val="tx1"/>
            </w14:solidFill>
          </w14:textFill>
        </w:rPr>
        <w:t xml:space="preserve">第十八条 合同生效及其他</w:t>
      </w:r>
      <w:bookmarkEnd w:id="194"/>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1、本合同自签订之日起生效。</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2、本合同一式肆份，甲乙双方各执贰份。</w:t>
      </w:r>
      <w:r/>
    </w:p>
    <w:p>
      <w:pPr>
        <w:ind w:firstLine="420"/>
        <w:jc w:val="left"/>
        <w:spacing w:line="360" w:lineRule="auto"/>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3、本合同应按照中华人民共和国的现行法律进行解释。</w:t>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71"/>
        <w:gridCol w:w="4472"/>
      </w:tblGrid>
      <w:tr>
        <w:trPr>
          <w:jc w:val="center"/>
          <w:trHeight w:val="606"/>
        </w:trPr>
        <w:tc>
          <w:tcPr>
            <w:tcW w:w="4471" w:type="dxa"/>
            <w:vAlign w:val="center"/>
            <w:textDirection w:val="lrTb"/>
            <w:noWrap w:val="false"/>
          </w:tcPr>
          <w:p>
            <w:pPr>
              <w:widowControl/>
              <w:rPr>
                <w:color w:val="000000" w:themeColor="text1"/>
                <w14:textFill>
                  <w14:solidFill>
                    <w14:schemeClr w14:val="tx1"/>
                  </w14:solidFill>
                </w14:textFill>
              </w:rPr>
              <w:outlineLvl w:val="9"/>
            </w:pPr>
            <w:r>
              <w:rPr>
                <w:color w:val="000000" w:themeColor="text1"/>
                <w14:textFill>
                  <w14:solidFill>
                    <w14:schemeClr w14:val="tx1"/>
                  </w14:solidFill>
                </w14:textFill>
              </w:rPr>
              <w:t xml:space="preserve">甲方(采购人)：南京市产品质量监督检验院(南京市质量发展与先进技术应用研究院)</w:t>
            </w:r>
            <w:r/>
          </w:p>
        </w:tc>
        <w:tc>
          <w:tcPr>
            <w:tcW w:w="4472" w:type="dxa"/>
            <w:vAlign w:val="center"/>
            <w:textDirection w:val="lrTb"/>
            <w:noWrap w:val="false"/>
          </w:tcPr>
          <w:p>
            <w:pPr>
              <w:pStyle w:val="809"/>
              <w:jc w:val="left"/>
              <w:rPr>
                <w:rFonts w:ascii="Times New Roman" w:hAnsi="Times New Roman" w:cs="Times New Roman"/>
                <w:color w:val="000000" w:themeColor="text1"/>
                <w14:textFill>
                  <w14:solidFill>
                    <w14:schemeClr w14:val="tx1"/>
                  </w14:solidFill>
                </w14:textFill>
              </w:rPr>
              <w:outlineLvl w:val="9"/>
            </w:pPr>
            <w:r>
              <w:rPr>
                <w:rFonts w:ascii="Times New Roman" w:hAnsi="Times New Roman" w:cs="Times New Roman"/>
                <w:color w:val="000000" w:themeColor="text1"/>
                <w14:textFill>
                  <w14:solidFill>
                    <w14:schemeClr w14:val="tx1"/>
                  </w14:solidFill>
                </w14:textFill>
              </w:rPr>
              <w:t xml:space="preserve">乙方(供应商)：</w:t>
            </w:r>
            <w:r/>
          </w:p>
        </w:tc>
      </w:tr>
      <w:tr>
        <w:trPr>
          <w:jc w:val="center"/>
          <w:trHeight w:val="606"/>
        </w:trPr>
        <w:tc>
          <w:tcPr>
            <w:tcW w:w="4471" w:type="dxa"/>
            <w:vAlign w:val="center"/>
            <w:textDirection w:val="lrTb"/>
            <w:noWrap w:val="false"/>
          </w:tcPr>
          <w:p>
            <w:pPr>
              <w:pStyle w:val="809"/>
              <w:rPr>
                <w:rFonts w:ascii="Times New Roman" w:hAnsi="Times New Roman" w:cs="Times New Roman"/>
                <w:color w:val="000000" w:themeColor="text1"/>
                <w14:textFill>
                  <w14:solidFill>
                    <w14:schemeClr w14:val="tx1"/>
                  </w14:solidFill>
                </w14:textFill>
              </w:rPr>
              <w:outlineLvl w:val="9"/>
            </w:pPr>
            <w:r>
              <w:rPr>
                <w:rFonts w:ascii="Times New Roman" w:hAnsi="Times New Roman" w:cs="Times New Roman"/>
                <w:color w:val="000000" w:themeColor="text1"/>
                <w:spacing w:val="82"/>
                <w14:textFill>
                  <w14:solidFill>
                    <w14:schemeClr w14:val="tx1"/>
                  </w14:solidFill>
                </w14:textFill>
              </w:rPr>
              <w:t xml:space="preserve">代表</w:t>
            </w:r>
            <w:r>
              <w:rPr>
                <w:rFonts w:ascii="Times New Roman" w:hAnsi="Times New Roman" w:cs="Times New Roman"/>
                <w:color w:val="000000" w:themeColor="text1"/>
                <w:spacing w:val="1"/>
                <w14:textFill>
                  <w14:solidFill>
                    <w14:schemeClr w14:val="tx1"/>
                  </w14:solidFill>
                </w14:textFill>
              </w:rPr>
              <w:t xml:space="preserve">人</w:t>
            </w:r>
            <w:r>
              <w:rPr>
                <w:rFonts w:ascii="Times New Roman" w:hAnsi="Times New Roman" w:cs="Times New Roman"/>
                <w:color w:val="000000" w:themeColor="text1"/>
                <w14:textFill>
                  <w14:solidFill>
                    <w14:schemeClr w14:val="tx1"/>
                  </w14:solidFill>
                </w14:textFill>
              </w:rPr>
              <w:t xml:space="preserve">：周骏贵</w:t>
            </w:r>
            <w:r/>
          </w:p>
        </w:tc>
        <w:tc>
          <w:tcPr>
            <w:tcW w:w="4472" w:type="dxa"/>
            <w:vAlign w:val="center"/>
            <w:textDirection w:val="lrTb"/>
            <w:noWrap w:val="false"/>
          </w:tcPr>
          <w:p>
            <w:pPr>
              <w:pStyle w:val="809"/>
              <w:jc w:val="left"/>
              <w:rPr>
                <w:rFonts w:ascii="Times New Roman" w:hAnsi="Times New Roman" w:cs="Times New Roman"/>
                <w:color w:val="000000" w:themeColor="text1"/>
                <w14:textFill>
                  <w14:solidFill>
                    <w14:schemeClr w14:val="tx1"/>
                  </w14:solidFill>
                </w14:textFill>
              </w:rPr>
              <w:outlineLvl w:val="9"/>
            </w:pPr>
            <w:r>
              <w:rPr>
                <w:rFonts w:ascii="Times New Roman" w:hAnsi="Times New Roman" w:cs="Times New Roman"/>
                <w:color w:val="000000" w:themeColor="text1"/>
                <w:spacing w:val="82"/>
                <w14:textFill>
                  <w14:solidFill>
                    <w14:schemeClr w14:val="tx1"/>
                  </w14:solidFill>
                </w14:textFill>
              </w:rPr>
              <w:t xml:space="preserve">代表</w:t>
            </w:r>
            <w:r>
              <w:rPr>
                <w:rFonts w:ascii="Times New Roman" w:hAnsi="Times New Roman" w:cs="Times New Roman"/>
                <w:color w:val="000000" w:themeColor="text1"/>
                <w:spacing w:val="1"/>
                <w14:textFill>
                  <w14:solidFill>
                    <w14:schemeClr w14:val="tx1"/>
                  </w14:solidFill>
                </w14:textFill>
              </w:rPr>
              <w:t xml:space="preserve">人</w:t>
            </w:r>
            <w:r>
              <w:rPr>
                <w:rFonts w:ascii="Times New Roman" w:hAnsi="Times New Roman" w:cs="Times New Roman"/>
                <w:color w:val="000000" w:themeColor="text1"/>
                <w14:textFill>
                  <w14:solidFill>
                    <w14:schemeClr w14:val="tx1"/>
                  </w14:solidFill>
                </w14:textFill>
              </w:rPr>
              <w:t xml:space="preserve">：</w:t>
            </w:r>
            <w:r/>
          </w:p>
        </w:tc>
      </w:tr>
      <w:tr>
        <w:trPr>
          <w:jc w:val="center"/>
          <w:trHeight w:val="606"/>
        </w:trPr>
        <w:tc>
          <w:tcPr>
            <w:tcW w:w="4471" w:type="dxa"/>
            <w:vAlign w:val="center"/>
            <w:textDirection w:val="lrTb"/>
            <w:noWrap w:val="false"/>
          </w:tcPr>
          <w:p>
            <w:pPr>
              <w:pStyle w:val="809"/>
              <w:rPr>
                <w:rFonts w:ascii="Times New Roman" w:hAnsi="Times New Roman" w:cs="Times New Roman"/>
                <w:color w:val="000000" w:themeColor="text1"/>
                <w14:textFill>
                  <w14:solidFill>
                    <w14:schemeClr w14:val="tx1"/>
                  </w14:solidFill>
                </w14:textFill>
              </w:rPr>
              <w:outlineLvl w:val="9"/>
            </w:pPr>
            <w:r>
              <w:rPr>
                <w:rFonts w:ascii="Times New Roman" w:hAnsi="Times New Roman" w:cs="Times New Roman"/>
                <w:color w:val="000000" w:themeColor="text1"/>
                <w:spacing w:val="270"/>
                <w14:textFill>
                  <w14:solidFill>
                    <w14:schemeClr w14:val="tx1"/>
                  </w14:solidFill>
                </w14:textFill>
              </w:rPr>
              <w:t xml:space="preserve">电</w:t>
            </w:r>
            <w:r>
              <w:rPr>
                <w:rFonts w:ascii="Times New Roman" w:hAnsi="Times New Roman" w:cs="Times New Roman"/>
                <w:color w:val="000000" w:themeColor="text1"/>
                <w:spacing w:val="0"/>
                <w14:textFill>
                  <w14:solidFill>
                    <w14:schemeClr w14:val="tx1"/>
                  </w14:solidFill>
                </w14:textFill>
              </w:rPr>
              <w:t xml:space="preserve">话</w:t>
            </w:r>
            <w:r>
              <w:rPr>
                <w:rFonts w:ascii="Times New Roman" w:hAnsi="Times New Roman" w:cs="Times New Roman"/>
                <w:color w:val="000000" w:themeColor="text1"/>
                <w14:textFill>
                  <w14:solidFill>
                    <w14:schemeClr w14:val="tx1"/>
                  </w14:solidFill>
                </w14:textFill>
              </w:rPr>
              <w:t xml:space="preserve">：025-86673835</w:t>
            </w:r>
            <w:r/>
          </w:p>
        </w:tc>
        <w:tc>
          <w:tcPr>
            <w:tcW w:w="4472" w:type="dxa"/>
            <w:vAlign w:val="center"/>
            <w:textDirection w:val="lrTb"/>
            <w:noWrap w:val="false"/>
          </w:tcPr>
          <w:p>
            <w:pPr>
              <w:pStyle w:val="809"/>
              <w:jc w:val="left"/>
              <w:rPr>
                <w:rFonts w:ascii="Times New Roman" w:hAnsi="Times New Roman" w:cs="Times New Roman"/>
                <w:color w:val="000000" w:themeColor="text1"/>
                <w14:textFill>
                  <w14:solidFill>
                    <w14:schemeClr w14:val="tx1"/>
                  </w14:solidFill>
                </w14:textFill>
              </w:rPr>
              <w:outlineLvl w:val="9"/>
            </w:pPr>
            <w:r>
              <w:rPr>
                <w:rFonts w:ascii="Times New Roman" w:hAnsi="Times New Roman" w:cs="Times New Roman"/>
                <w:color w:val="000000" w:themeColor="text1"/>
                <w:spacing w:val="270"/>
                <w14:textFill>
                  <w14:solidFill>
                    <w14:schemeClr w14:val="tx1"/>
                  </w14:solidFill>
                </w14:textFill>
              </w:rPr>
              <w:t xml:space="preserve">电</w:t>
            </w:r>
            <w:r>
              <w:rPr>
                <w:rFonts w:ascii="Times New Roman" w:hAnsi="Times New Roman" w:cs="Times New Roman"/>
                <w:color w:val="000000" w:themeColor="text1"/>
                <w:spacing w:val="0"/>
                <w14:textFill>
                  <w14:solidFill>
                    <w14:schemeClr w14:val="tx1"/>
                  </w14:solidFill>
                </w14:textFill>
              </w:rPr>
              <w:t xml:space="preserve">话</w:t>
            </w:r>
            <w:r>
              <w:rPr>
                <w:rFonts w:ascii="Times New Roman" w:hAnsi="Times New Roman" w:cs="Times New Roman"/>
                <w:color w:val="000000" w:themeColor="text1"/>
                <w14:textFill>
                  <w14:solidFill>
                    <w14:schemeClr w14:val="tx1"/>
                  </w14:solidFill>
                </w14:textFill>
              </w:rPr>
              <w:t xml:space="preserve">：</w:t>
            </w:r>
            <w:r/>
          </w:p>
        </w:tc>
      </w:tr>
      <w:tr>
        <w:trPr>
          <w:jc w:val="center"/>
          <w:trHeight w:val="606"/>
        </w:trPr>
        <w:tc>
          <w:tcPr>
            <w:tcW w:w="4471" w:type="dxa"/>
            <w:vAlign w:val="center"/>
            <w:textDirection w:val="lrTb"/>
            <w:noWrap w:val="false"/>
          </w:tcPr>
          <w:p>
            <w:pPr>
              <w:pStyle w:val="809"/>
              <w:rPr>
                <w:rFonts w:ascii="Times New Roman" w:hAnsi="Times New Roman" w:cs="Times New Roman"/>
                <w:color w:val="000000" w:themeColor="text1"/>
                <w14:textFill>
                  <w14:solidFill>
                    <w14:schemeClr w14:val="tx1"/>
                  </w14:solidFill>
                </w14:textFill>
              </w:rPr>
              <w:outlineLvl w:val="9"/>
            </w:pPr>
            <w:r>
              <w:rPr>
                <w:rFonts w:ascii="Times New Roman" w:hAnsi="Times New Roman" w:cs="Times New Roman"/>
                <w:color w:val="000000" w:themeColor="text1"/>
                <w:spacing w:val="20"/>
                <w14:textFill>
                  <w14:solidFill>
                    <w14:schemeClr w14:val="tx1"/>
                  </w14:solidFill>
                </w14:textFill>
              </w:rPr>
              <w:t xml:space="preserve">开户银</w:t>
            </w:r>
            <w:r>
              <w:rPr>
                <w:rFonts w:ascii="Times New Roman" w:hAnsi="Times New Roman" w:cs="Times New Roman"/>
                <w:color w:val="000000" w:themeColor="text1"/>
                <w:spacing w:val="0"/>
                <w14:textFill>
                  <w14:solidFill>
                    <w14:schemeClr w14:val="tx1"/>
                  </w14:solidFill>
                </w14:textFill>
              </w:rPr>
              <w:t xml:space="preserve">行</w:t>
            </w:r>
            <w:r>
              <w:rPr>
                <w:rFonts w:ascii="Times New Roman" w:hAnsi="Times New Roman" w:cs="Times New Roman"/>
                <w:color w:val="000000" w:themeColor="text1"/>
                <w14:textFill>
                  <w14:solidFill>
                    <w14:schemeClr w14:val="tx1"/>
                  </w14:solidFill>
                </w14:textFill>
              </w:rPr>
              <w:t xml:space="preserve">：交通银行南京玄武支行</w:t>
            </w:r>
            <w:r/>
          </w:p>
        </w:tc>
        <w:tc>
          <w:tcPr>
            <w:tcW w:w="4472" w:type="dxa"/>
            <w:vAlign w:val="center"/>
            <w:textDirection w:val="lrTb"/>
            <w:noWrap w:val="false"/>
          </w:tcPr>
          <w:p>
            <w:pPr>
              <w:pStyle w:val="809"/>
              <w:jc w:val="left"/>
              <w:rPr>
                <w:rFonts w:ascii="Times New Roman" w:hAnsi="Times New Roman" w:cs="Times New Roman"/>
                <w:color w:val="000000" w:themeColor="text1"/>
                <w14:textFill>
                  <w14:solidFill>
                    <w14:schemeClr w14:val="tx1"/>
                  </w14:solidFill>
                </w14:textFill>
              </w:rPr>
              <w:outlineLvl w:val="9"/>
            </w:pPr>
            <w:r>
              <w:rPr>
                <w:rFonts w:ascii="Times New Roman" w:hAnsi="Times New Roman" w:cs="Times New Roman"/>
                <w:color w:val="000000" w:themeColor="text1"/>
                <w:spacing w:val="20"/>
                <w14:textFill>
                  <w14:solidFill>
                    <w14:schemeClr w14:val="tx1"/>
                  </w14:solidFill>
                </w14:textFill>
              </w:rPr>
              <w:t xml:space="preserve">开户银</w:t>
            </w:r>
            <w:r>
              <w:rPr>
                <w:rFonts w:ascii="Times New Roman" w:hAnsi="Times New Roman" w:cs="Times New Roman"/>
                <w:color w:val="000000" w:themeColor="text1"/>
                <w:spacing w:val="0"/>
                <w14:textFill>
                  <w14:solidFill>
                    <w14:schemeClr w14:val="tx1"/>
                  </w14:solidFill>
                </w14:textFill>
              </w:rPr>
              <w:t xml:space="preserve">行</w:t>
            </w:r>
            <w:r>
              <w:rPr>
                <w:rFonts w:ascii="Times New Roman" w:hAnsi="Times New Roman" w:cs="Times New Roman"/>
                <w:color w:val="000000" w:themeColor="text1"/>
                <w14:textFill>
                  <w14:solidFill>
                    <w14:schemeClr w14:val="tx1"/>
                  </w14:solidFill>
                </w14:textFill>
              </w:rPr>
              <w:t xml:space="preserve">：</w:t>
            </w:r>
            <w:r/>
          </w:p>
        </w:tc>
      </w:tr>
      <w:tr>
        <w:trPr>
          <w:jc w:val="center"/>
          <w:trHeight w:val="606"/>
        </w:trPr>
        <w:tc>
          <w:tcPr>
            <w:tcW w:w="4471" w:type="dxa"/>
            <w:vAlign w:val="center"/>
            <w:textDirection w:val="lrTb"/>
            <w:noWrap w:val="false"/>
          </w:tcPr>
          <w:p>
            <w:pPr>
              <w:pStyle w:val="809"/>
              <w:rPr>
                <w:rFonts w:ascii="Times New Roman" w:hAnsi="Times New Roman" w:cs="Times New Roman"/>
                <w:color w:val="000000" w:themeColor="text1"/>
                <w14:textFill>
                  <w14:solidFill>
                    <w14:schemeClr w14:val="tx1"/>
                  </w14:solidFill>
                </w14:textFill>
              </w:rPr>
              <w:outlineLvl w:val="9"/>
            </w:pPr>
            <w:r>
              <w:rPr>
                <w:rFonts w:ascii="Times New Roman" w:hAnsi="Times New Roman" w:cs="Times New Roman"/>
                <w:color w:val="000000" w:themeColor="text1"/>
                <w:spacing w:val="270"/>
                <w14:textFill>
                  <w14:solidFill>
                    <w14:schemeClr w14:val="tx1"/>
                  </w14:solidFill>
                </w14:textFill>
              </w:rPr>
              <w:t xml:space="preserve">帐</w:t>
            </w:r>
            <w:r>
              <w:rPr>
                <w:rFonts w:ascii="Times New Roman" w:hAnsi="Times New Roman" w:cs="Times New Roman"/>
                <w:color w:val="000000" w:themeColor="text1"/>
                <w:spacing w:val="0"/>
                <w14:textFill>
                  <w14:solidFill>
                    <w14:schemeClr w14:val="tx1"/>
                  </w14:solidFill>
                </w14:textFill>
              </w:rPr>
              <w:t xml:space="preserve">号</w:t>
            </w:r>
            <w:r>
              <w:rPr>
                <w:rFonts w:ascii="Times New Roman" w:hAnsi="Times New Roman" w:cs="Times New Roman"/>
                <w:color w:val="000000" w:themeColor="text1"/>
                <w14:textFill>
                  <w14:solidFill>
                    <w14:schemeClr w14:val="tx1"/>
                  </w14:solidFill>
                </w14:textFill>
              </w:rPr>
              <w:t xml:space="preserve">：320006610013001447712</w:t>
            </w:r>
            <w:r/>
          </w:p>
        </w:tc>
        <w:tc>
          <w:tcPr>
            <w:tcW w:w="4472" w:type="dxa"/>
            <w:vAlign w:val="center"/>
            <w:textDirection w:val="lrTb"/>
            <w:noWrap w:val="false"/>
          </w:tcPr>
          <w:p>
            <w:pPr>
              <w:pStyle w:val="809"/>
              <w:jc w:val="left"/>
              <w:rPr>
                <w:rFonts w:ascii="Times New Roman" w:hAnsi="Times New Roman" w:cs="Times New Roman"/>
                <w:color w:val="000000" w:themeColor="text1"/>
                <w14:textFill>
                  <w14:solidFill>
                    <w14:schemeClr w14:val="tx1"/>
                  </w14:solidFill>
                </w14:textFill>
              </w:rPr>
              <w:outlineLvl w:val="9"/>
            </w:pPr>
            <w:r>
              <w:rPr>
                <w:rFonts w:ascii="Times New Roman" w:hAnsi="Times New Roman" w:cs="Times New Roman"/>
                <w:color w:val="000000" w:themeColor="text1"/>
                <w:spacing w:val="270"/>
                <w14:textFill>
                  <w14:solidFill>
                    <w14:schemeClr w14:val="tx1"/>
                  </w14:solidFill>
                </w14:textFill>
              </w:rPr>
              <w:t xml:space="preserve">帐</w:t>
            </w:r>
            <w:r>
              <w:rPr>
                <w:rFonts w:ascii="Times New Roman" w:hAnsi="Times New Roman" w:cs="Times New Roman"/>
                <w:color w:val="000000" w:themeColor="text1"/>
                <w:spacing w:val="0"/>
                <w14:textFill>
                  <w14:solidFill>
                    <w14:schemeClr w14:val="tx1"/>
                  </w14:solidFill>
                </w14:textFill>
              </w:rPr>
              <w:t xml:space="preserve">号</w:t>
            </w:r>
            <w:r>
              <w:rPr>
                <w:rFonts w:ascii="Times New Roman" w:hAnsi="Times New Roman" w:cs="Times New Roman"/>
                <w:color w:val="000000" w:themeColor="text1"/>
                <w14:textFill>
                  <w14:solidFill>
                    <w14:schemeClr w14:val="tx1"/>
                  </w14:solidFill>
                </w14:textFill>
              </w:rPr>
              <w:t xml:space="preserve">：</w:t>
            </w:r>
            <w:r/>
          </w:p>
        </w:tc>
      </w:tr>
      <w:tr>
        <w:trPr>
          <w:jc w:val="center"/>
          <w:trHeight w:val="606"/>
        </w:trPr>
        <w:tc>
          <w:tcPr>
            <w:tcW w:w="4471" w:type="dxa"/>
            <w:vAlign w:val="center"/>
            <w:textDirection w:val="lrTb"/>
            <w:noWrap w:val="false"/>
          </w:tcPr>
          <w:p>
            <w:pPr>
              <w:pStyle w:val="809"/>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70"/>
                <w14:textFill>
                  <w14:solidFill>
                    <w14:schemeClr w14:val="tx1"/>
                  </w14:solidFill>
                </w14:textFill>
              </w:rPr>
              <w:t xml:space="preserve">日</w:t>
            </w:r>
            <w:r>
              <w:rPr>
                <w:rFonts w:ascii="Times New Roman" w:hAnsi="Times New Roman" w:cs="Times New Roman"/>
                <w:color w:val="000000" w:themeColor="text1"/>
                <w:spacing w:val="0"/>
                <w14:textFill>
                  <w14:solidFill>
                    <w14:schemeClr w14:val="tx1"/>
                  </w14:solidFill>
                </w14:textFill>
              </w:rPr>
              <w:t xml:space="preserve">期</w:t>
            </w:r>
            <w:r>
              <w:rPr>
                <w:rFonts w:ascii="Times New Roman" w:hAnsi="Times New Roman" w:cs="Times New Roman"/>
                <w:color w:val="000000" w:themeColor="text1"/>
                <w14:textFill>
                  <w14:solidFill>
                    <w14:schemeClr w14:val="tx1"/>
                  </w14:solidFill>
                </w14:textFill>
              </w:rPr>
              <w:t xml:space="preserve">：                年   月   日</w:t>
            </w:r>
            <w:r/>
          </w:p>
        </w:tc>
        <w:tc>
          <w:tcPr>
            <w:tcW w:w="4472" w:type="dxa"/>
            <w:vAlign w:val="center"/>
            <w:textDirection w:val="lrTb"/>
            <w:noWrap w:val="false"/>
          </w:tcPr>
          <w:p>
            <w:pPr>
              <w:pStyle w:val="809"/>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70"/>
                <w14:textFill>
                  <w14:solidFill>
                    <w14:schemeClr w14:val="tx1"/>
                  </w14:solidFill>
                </w14:textFill>
              </w:rPr>
              <w:t xml:space="preserve">日</w:t>
            </w:r>
            <w:r>
              <w:rPr>
                <w:rFonts w:ascii="Times New Roman" w:hAnsi="Times New Roman" w:cs="Times New Roman"/>
                <w:color w:val="000000" w:themeColor="text1"/>
                <w:spacing w:val="0"/>
                <w14:textFill>
                  <w14:solidFill>
                    <w14:schemeClr w14:val="tx1"/>
                  </w14:solidFill>
                </w14:textFill>
              </w:rPr>
              <w:t xml:space="preserve">期</w:t>
            </w:r>
            <w:r>
              <w:rPr>
                <w:rFonts w:ascii="Times New Roman" w:hAnsi="Times New Roman" w:cs="Times New Roman"/>
                <w:color w:val="000000" w:themeColor="text1"/>
                <w14:textFill>
                  <w14:solidFill>
                    <w14:schemeClr w14:val="tx1"/>
                  </w14:solidFill>
                </w14:textFill>
              </w:rPr>
              <w:t xml:space="preserve">：                年   月   日</w:t>
            </w:r>
            <w:r/>
          </w:p>
        </w:tc>
      </w:tr>
    </w:tbl>
    <w:p>
      <w:pPr>
        <w:pStyle w:val="809"/>
        <w:jc w:val="center"/>
        <w:spacing w:before="120" w:after="120" w:line="0" w:lineRule="atLeast"/>
        <w:rPr>
          <w:rFonts w:ascii="Times New Roman" w:hAnsi="Times New Roman" w:cs="Times New Roman"/>
          <w:color w:val="000000" w:themeColor="text1"/>
          <w:sz w:val="24"/>
          <w:szCs w:val="24"/>
          <w14:textFill>
            <w14:solidFill>
              <w14:schemeClr w14:val="tx1"/>
            </w14:solidFill>
          </w14:textFill>
        </w:rPr>
        <w:outlineLvl w:val="0"/>
      </w:pPr>
      <w:r>
        <w:rPr>
          <w:rFonts w:ascii="Times New Roman" w:hAnsi="Times New Roman" w:eastAsia="黑体" w:cs="Times New Roman"/>
          <w:bCs/>
          <w:color w:val="000000" w:themeColor="text1"/>
          <w:sz w:val="44"/>
          <w14:textFill>
            <w14:solidFill>
              <w14:schemeClr w14:val="tx1"/>
            </w14:solidFill>
          </w14:textFill>
        </w:rPr>
        <w:br w:type="page" w:clear="all"/>
      </w:r>
      <w:bookmarkStart w:id="195" w:name="_Toc4416"/>
      <w:r>
        <w:rPr>
          <w:rFonts w:ascii="Times New Roman" w:hAnsi="Times New Roman" w:eastAsia="黑体" w:cs="Times New Roman"/>
          <w:bCs/>
          <w:color w:val="000000" w:themeColor="text1"/>
          <w:sz w:val="44"/>
          <w14:textFill>
            <w14:solidFill>
              <w14:schemeClr w14:val="tx1"/>
            </w14:solidFill>
          </w14:textFill>
        </w:rPr>
        <w:t xml:space="preserve">第</w:t>
      </w:r>
      <w:bookmarkEnd w:id="171"/>
      <w:r>
        <w:rPr>
          <w:rFonts w:ascii="Times New Roman" w:hAnsi="Times New Roman" w:eastAsia="黑体" w:cs="Times New Roman"/>
          <w:bCs/>
          <w:color w:val="000000" w:themeColor="text1"/>
          <w:sz w:val="44"/>
          <w14:textFill>
            <w14:solidFill>
              <w14:schemeClr w14:val="tx1"/>
            </w14:solidFill>
          </w14:textFill>
        </w:rPr>
        <w:t xml:space="preserve">四章 采购需求</w:t>
      </w:r>
      <w:bookmarkEnd w:id="172"/>
      <w:r/>
      <w:bookmarkEnd w:id="173"/>
      <w:r/>
      <w:bookmarkEnd w:id="174"/>
      <w:r/>
      <w:bookmarkEnd w:id="195"/>
      <w:r/>
      <w:r/>
    </w:p>
    <w:p>
      <w:pPr>
        <w:numPr>
          <w:ilvl w:val="0"/>
          <w:numId w:val="0"/>
        </w:numPr>
        <w:ind w:firstLine="422"/>
        <w:jc w:val="left"/>
        <w:keepLines w:val="0"/>
        <w:keepNext w:val="0"/>
        <w:pageBreakBefore w:val="0"/>
        <w:spacing w:line="380" w:lineRule="exact"/>
        <w:widowControl/>
        <w:rPr>
          <w:b/>
          <w:iCs/>
          <w:sz w:val="21"/>
          <w:szCs w:val="21"/>
        </w:rPr>
      </w:pPr>
      <w:r/>
      <w:bookmarkStart w:id="196" w:name="_Toc49090575"/>
      <w:r/>
      <w:bookmarkStart w:id="197" w:name="_Toc120614281"/>
      <w:r/>
      <w:bookmarkStart w:id="198" w:name="_Toc26554093"/>
      <w:r>
        <w:rPr>
          <w:rFonts w:hint="eastAsia"/>
          <w:b/>
          <w:iCs/>
          <w:sz w:val="21"/>
          <w:szCs w:val="21"/>
          <w:lang w:val="en-US" w:eastAsia="zh-CN"/>
        </w:rPr>
        <w:t xml:space="preserve">一、采购标的清单</w:t>
      </w:r>
      <w:r/>
    </w:p>
    <w:tbl>
      <w:tblPr>
        <w:tblStyle w:val="79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2532"/>
        <w:gridCol w:w="824"/>
        <w:gridCol w:w="2303"/>
        <w:gridCol w:w="1266"/>
        <w:gridCol w:w="1069"/>
      </w:tblGrid>
      <w:tr>
        <w:trPr>
          <w:jc w:val="center"/>
          <w:trHeight w:val="861"/>
        </w:trPr>
        <w:tc>
          <w:tcPr>
            <w:tcW w:w="527" w:type="pct"/>
            <w:vAlign w:val="center"/>
            <w:textDirection w:val="lrTb"/>
            <w:noWrap w:val="false"/>
          </w:tcPr>
          <w:p>
            <w:pPr>
              <w:ind w:firstLine="0"/>
              <w:jc w:val="center"/>
              <w:keepLines w:val="0"/>
              <w:keepNext w:val="0"/>
              <w:pageBreakBefore w:val="0"/>
              <w:spacing w:line="380" w:lineRule="exact"/>
              <w:rPr>
                <w:rFonts w:hint="eastAsia"/>
                <w:highlight w:val="none"/>
              </w:rPr>
            </w:pPr>
            <w:r>
              <w:rPr>
                <w:rFonts w:hint="eastAsia"/>
                <w:highlight w:val="none"/>
                <w:lang w:val="en-US" w:eastAsia="zh-CN"/>
              </w:rPr>
              <w:t xml:space="preserve">序号</w:t>
            </w:r>
            <w:r/>
          </w:p>
        </w:tc>
        <w:tc>
          <w:tcPr>
            <w:tcW w:w="1416" w:type="pct"/>
            <w:vAlign w:val="center"/>
            <w:textDirection w:val="lrTb"/>
            <w:noWrap w:val="false"/>
          </w:tcPr>
          <w:p>
            <w:pPr>
              <w:ind w:firstLine="0"/>
              <w:jc w:val="center"/>
              <w:keepLines w:val="0"/>
              <w:keepNext w:val="0"/>
              <w:pageBreakBefore w:val="0"/>
              <w:spacing w:line="380" w:lineRule="exact"/>
              <w:rPr>
                <w:rFonts w:hint="eastAsia"/>
                <w:highlight w:val="none"/>
              </w:rPr>
            </w:pPr>
            <w:r>
              <w:rPr>
                <w:rFonts w:hint="eastAsia"/>
                <w:highlight w:val="none"/>
                <w:lang w:val="en-US" w:eastAsia="zh-CN"/>
              </w:rPr>
              <w:t xml:space="preserve">设备名称</w:t>
            </w:r>
            <w:r/>
          </w:p>
        </w:tc>
        <w:tc>
          <w:tcPr>
            <w:tcW w:w="461" w:type="pct"/>
            <w:vAlign w:val="center"/>
            <w:textDirection w:val="lrTb"/>
            <w:noWrap w:val="false"/>
          </w:tcPr>
          <w:p>
            <w:pPr>
              <w:ind w:firstLine="0"/>
              <w:jc w:val="center"/>
              <w:keepLines w:val="0"/>
              <w:keepNext w:val="0"/>
              <w:pageBreakBefore w:val="0"/>
              <w:spacing w:line="380" w:lineRule="exact"/>
              <w:rPr>
                <w:rFonts w:hint="eastAsia"/>
                <w:highlight w:val="none"/>
              </w:rPr>
            </w:pPr>
            <w:r>
              <w:rPr>
                <w:rFonts w:hint="eastAsia"/>
                <w:highlight w:val="none"/>
                <w:lang w:val="en-US" w:eastAsia="zh-CN"/>
              </w:rPr>
              <w:t xml:space="preserve">数量</w:t>
            </w:r>
            <w:r/>
          </w:p>
        </w:tc>
        <w:tc>
          <w:tcPr>
            <w:tcW w:w="1288" w:type="pct"/>
            <w:vAlign w:val="center"/>
            <w:textDirection w:val="lrTb"/>
            <w:noWrap w:val="false"/>
          </w:tcPr>
          <w:p>
            <w:pPr>
              <w:ind w:firstLine="0"/>
              <w:jc w:val="center"/>
              <w:keepLines w:val="0"/>
              <w:keepNext w:val="0"/>
              <w:pageBreakBefore w:val="0"/>
              <w:spacing w:line="380" w:lineRule="exact"/>
              <w:rPr>
                <w:rFonts w:hint="eastAsia"/>
                <w:highlight w:val="none"/>
              </w:rPr>
            </w:pPr>
            <w:r>
              <w:rPr>
                <w:rFonts w:hint="eastAsia"/>
                <w:highlight w:val="none"/>
              </w:rPr>
              <w:t xml:space="preserve">预算金额及最高限价</w:t>
            </w:r>
            <w:r/>
          </w:p>
          <w:p>
            <w:pPr>
              <w:ind w:firstLine="0"/>
              <w:jc w:val="center"/>
              <w:keepLines w:val="0"/>
              <w:keepNext w:val="0"/>
              <w:pageBreakBefore w:val="0"/>
              <w:spacing w:line="380" w:lineRule="exact"/>
              <w:rPr>
                <w:rFonts w:hint="eastAsia"/>
                <w:highlight w:val="none"/>
                <w:lang w:eastAsia="zh-CN"/>
              </w:rPr>
            </w:pPr>
            <w:r>
              <w:rPr>
                <w:rFonts w:hint="eastAsia"/>
                <w:highlight w:val="none"/>
                <w:lang w:eastAsia="zh-CN"/>
              </w:rPr>
              <w:t xml:space="preserve">（</w:t>
            </w:r>
            <w:r>
              <w:rPr>
                <w:rFonts w:hint="eastAsia"/>
                <w:highlight w:val="none"/>
              </w:rPr>
              <w:t xml:space="preserve">万元/人民币</w:t>
            </w:r>
            <w:r>
              <w:rPr>
                <w:rFonts w:hint="eastAsia"/>
                <w:highlight w:val="none"/>
                <w:lang w:eastAsia="zh-CN"/>
              </w:rPr>
              <w:t xml:space="preserve">）</w:t>
            </w:r>
            <w:r/>
          </w:p>
        </w:tc>
        <w:tc>
          <w:tcPr>
            <w:tcW w:w="708" w:type="pct"/>
            <w:vAlign w:val="center"/>
            <w:textDirection w:val="lrTb"/>
            <w:noWrap w:val="false"/>
          </w:tcPr>
          <w:p>
            <w:pPr>
              <w:ind w:firstLine="0"/>
              <w:jc w:val="center"/>
              <w:keepLines w:val="0"/>
              <w:keepNext w:val="0"/>
              <w:pageBreakBefore w:val="0"/>
              <w:spacing w:line="380" w:lineRule="exact"/>
              <w:rPr>
                <w:rFonts w:hint="eastAsia"/>
                <w:highlight w:val="none"/>
                <w:lang w:val="en-US" w:eastAsia="zh-CN"/>
              </w:rPr>
            </w:pPr>
            <w:r>
              <w:rPr>
                <w:rFonts w:hint="eastAsia"/>
                <w:highlight w:val="none"/>
                <w:lang w:val="en-US" w:eastAsia="zh-CN"/>
              </w:rPr>
              <w:t xml:space="preserve">是否接受进口产品投标</w:t>
            </w:r>
            <w:r/>
          </w:p>
        </w:tc>
        <w:tc>
          <w:tcPr>
            <w:tcW w:w="598" w:type="pct"/>
            <w:vAlign w:val="center"/>
            <w:textDirection w:val="lrTb"/>
            <w:noWrap w:val="false"/>
          </w:tcPr>
          <w:p>
            <w:pPr>
              <w:ind w:firstLine="0"/>
              <w:jc w:val="center"/>
              <w:keepLines w:val="0"/>
              <w:keepNext w:val="0"/>
              <w:pageBreakBefore w:val="0"/>
              <w:spacing w:line="380" w:lineRule="exact"/>
              <w:rPr>
                <w:rFonts w:hint="eastAsia"/>
                <w:highlight w:val="none"/>
              </w:rPr>
            </w:pPr>
            <w:r>
              <w:rPr>
                <w:rFonts w:hint="eastAsia"/>
                <w:highlight w:val="none"/>
              </w:rPr>
              <w:t xml:space="preserve">是否为核心产品</w:t>
            </w:r>
            <w:r/>
          </w:p>
        </w:tc>
      </w:tr>
      <w:tr>
        <w:trPr>
          <w:jc w:val="center"/>
          <w:trHeight w:val="510"/>
        </w:trPr>
        <w:tc>
          <w:tcPr>
            <w:tcW w:w="527" w:type="pct"/>
            <w:vAlign w:val="center"/>
            <w:textDirection w:val="lrTb"/>
            <w:noWrap w:val="false"/>
          </w:tcPr>
          <w:p>
            <w:pPr>
              <w:ind w:firstLine="0"/>
              <w:jc w:val="center"/>
              <w:keepLines w:val="0"/>
              <w:keepNext w:val="0"/>
              <w:pageBreakBefore w:val="0"/>
              <w:spacing w:line="380" w:lineRule="exact"/>
              <w:rPr>
                <w:rFonts w:hint="eastAsia"/>
                <w:highlight w:val="none"/>
              </w:rPr>
            </w:pPr>
            <w:r>
              <w:rPr>
                <w:rFonts w:hint="eastAsia"/>
                <w:highlight w:val="none"/>
                <w:lang w:val="en-US" w:eastAsia="zh-CN"/>
              </w:rPr>
              <w:t xml:space="preserve">1</w:t>
            </w:r>
            <w:r/>
          </w:p>
        </w:tc>
        <w:tc>
          <w:tcPr>
            <w:tcW w:w="1416" w:type="pct"/>
            <w:vAlign w:val="center"/>
            <w:textDirection w:val="lrTb"/>
            <w:noWrap w:val="false"/>
          </w:tcPr>
          <w:p>
            <w:pPr>
              <w:ind w:firstLine="0"/>
              <w:keepLines w:val="0"/>
              <w:keepNext w:val="0"/>
              <w:pageBreakBefore w:val="0"/>
              <w:spacing w:line="380" w:lineRule="exact"/>
              <w:rPr>
                <w:rFonts w:hint="eastAsia"/>
                <w:highlight w:val="none"/>
                <w:lang w:val="en-US"/>
              </w:rPr>
            </w:pPr>
            <w:r>
              <w:rPr>
                <w:rFonts w:hint="eastAsia"/>
                <w:highlight w:val="none"/>
                <w:lang w:val="en-US" w:eastAsia="zh-CN"/>
              </w:rPr>
              <w:t xml:space="preserve">激光跟踪仪</w:t>
            </w:r>
            <w:r/>
          </w:p>
        </w:tc>
        <w:tc>
          <w:tcPr>
            <w:tcW w:w="461" w:type="pct"/>
            <w:vAlign w:val="center"/>
            <w:textDirection w:val="lrTb"/>
            <w:noWrap w:val="false"/>
          </w:tcPr>
          <w:p>
            <w:pPr>
              <w:ind w:firstLine="0"/>
              <w:jc w:val="center"/>
              <w:keepLines w:val="0"/>
              <w:keepNext w:val="0"/>
              <w:pageBreakBefore w:val="0"/>
              <w:spacing w:line="380" w:lineRule="exact"/>
              <w:rPr>
                <w:rFonts w:hint="eastAsia"/>
                <w:highlight w:val="none"/>
                <w:lang w:val="en-US" w:eastAsia="zh-CN"/>
              </w:rPr>
            </w:pPr>
            <w:r>
              <w:rPr>
                <w:rFonts w:hint="eastAsia"/>
                <w:highlight w:val="none"/>
                <w:lang w:val="en-US" w:eastAsia="zh-CN"/>
              </w:rPr>
              <w:t xml:space="preserve">1</w:t>
            </w:r>
            <w:r/>
          </w:p>
        </w:tc>
        <w:tc>
          <w:tcPr>
            <w:tcW w:w="1288" w:type="pct"/>
            <w:vAlign w:val="center"/>
            <w:textDirection w:val="lrTb"/>
            <w:noWrap w:val="false"/>
          </w:tcPr>
          <w:p>
            <w:pPr>
              <w:ind w:firstLine="0"/>
              <w:jc w:val="center"/>
              <w:keepLines w:val="0"/>
              <w:keepNext w:val="0"/>
              <w:pageBreakBefore w:val="0"/>
              <w:spacing w:line="380" w:lineRule="exact"/>
              <w:rPr>
                <w:rFonts w:hint="eastAsia"/>
                <w:highlight w:val="none"/>
                <w:lang w:val="en-US" w:eastAsia="zh-CN"/>
              </w:rPr>
            </w:pPr>
            <w:r>
              <w:rPr>
                <w:rFonts w:hint="eastAsia"/>
                <w:highlight w:val="none"/>
                <w:lang w:val="en-US" w:eastAsia="zh-CN"/>
              </w:rPr>
              <w:t xml:space="preserve">86.8</w:t>
            </w:r>
            <w:r/>
          </w:p>
        </w:tc>
        <w:tc>
          <w:tcPr>
            <w:tcW w:w="708" w:type="pct"/>
            <w:vAlign w:val="center"/>
            <w:textDirection w:val="lrTb"/>
            <w:noWrap w:val="false"/>
          </w:tcPr>
          <w:p>
            <w:pPr>
              <w:ind w:firstLine="0"/>
              <w:jc w:val="center"/>
              <w:keepLines w:val="0"/>
              <w:keepNext w:val="0"/>
              <w:pageBreakBefore w:val="0"/>
              <w:spacing w:line="380" w:lineRule="exact"/>
              <w:rPr>
                <w:rFonts w:hint="eastAsia"/>
                <w:highlight w:val="none"/>
                <w:lang w:val="en-US" w:eastAsia="zh-CN"/>
              </w:rPr>
            </w:pPr>
            <w:r>
              <w:rPr>
                <w:rFonts w:hint="eastAsia"/>
                <w:highlight w:val="none"/>
                <w:lang w:val="en-US" w:eastAsia="zh-CN"/>
              </w:rPr>
              <w:t xml:space="preserve">否</w:t>
            </w:r>
            <w:r/>
          </w:p>
        </w:tc>
        <w:tc>
          <w:tcPr>
            <w:tcW w:w="598" w:type="pct"/>
            <w:vAlign w:val="center"/>
            <w:textDirection w:val="lrTb"/>
            <w:noWrap w:val="false"/>
          </w:tcPr>
          <w:p>
            <w:pPr>
              <w:ind w:firstLine="0"/>
              <w:jc w:val="center"/>
              <w:keepLines w:val="0"/>
              <w:keepNext w:val="0"/>
              <w:pageBreakBefore w:val="0"/>
              <w:spacing w:line="380" w:lineRule="exact"/>
              <w:rPr>
                <w:rFonts w:hint="eastAsia"/>
                <w:highlight w:val="none"/>
                <w:lang w:val="en-US" w:eastAsia="zh-CN"/>
              </w:rPr>
            </w:pPr>
            <w:r>
              <w:rPr>
                <w:rFonts w:hint="eastAsia"/>
                <w:highlight w:val="none"/>
                <w:lang w:val="en-US" w:eastAsia="zh-CN"/>
              </w:rPr>
              <w:t xml:space="preserve">是</w:t>
            </w:r>
            <w:r/>
          </w:p>
        </w:tc>
      </w:tr>
      <w:tr>
        <w:trPr>
          <w:jc w:val="center"/>
          <w:trHeight w:val="510"/>
        </w:trPr>
        <w:tc>
          <w:tcPr>
            <w:tcW w:w="527" w:type="pct"/>
            <w:vAlign w:val="center"/>
            <w:textDirection w:val="lrTb"/>
            <w:noWrap w:val="false"/>
          </w:tcPr>
          <w:p>
            <w:pPr>
              <w:ind w:firstLine="0"/>
              <w:jc w:val="center"/>
              <w:keepLines w:val="0"/>
              <w:keepNext w:val="0"/>
              <w:pageBreakBefore w:val="0"/>
              <w:spacing w:line="380" w:lineRule="exact"/>
              <w:rPr>
                <w:rFonts w:hint="eastAsia"/>
                <w:highlight w:val="none"/>
                <w:lang w:val="en-US" w:eastAsia="zh-CN"/>
              </w:rPr>
            </w:pPr>
            <w:r>
              <w:rPr>
                <w:rFonts w:hint="eastAsia"/>
                <w:highlight w:val="none"/>
                <w:lang w:val="en-US" w:eastAsia="zh-CN"/>
              </w:rPr>
              <w:t xml:space="preserve">2</w:t>
            </w:r>
            <w:r/>
          </w:p>
        </w:tc>
        <w:tc>
          <w:tcPr>
            <w:tcW w:w="1416" w:type="pct"/>
            <w:vAlign w:val="center"/>
            <w:textDirection w:val="lrTb"/>
            <w:noWrap w:val="false"/>
          </w:tcPr>
          <w:p>
            <w:pPr>
              <w:ind w:firstLine="0"/>
              <w:keepLines w:val="0"/>
              <w:keepNext w:val="0"/>
              <w:pageBreakBefore w:val="0"/>
              <w:spacing w:line="380" w:lineRule="exact"/>
              <w:rPr>
                <w:rFonts w:hint="eastAsia"/>
                <w:highlight w:val="none"/>
              </w:rPr>
            </w:pPr>
            <w:r>
              <w:rPr>
                <w:rFonts w:hint="eastAsia"/>
                <w:highlight w:val="none"/>
                <w:lang w:val="en-US" w:eastAsia="zh-CN"/>
              </w:rPr>
              <w:t xml:space="preserve">激光干涉仪</w:t>
            </w:r>
            <w:r/>
          </w:p>
        </w:tc>
        <w:tc>
          <w:tcPr>
            <w:tcW w:w="461" w:type="pct"/>
            <w:vAlign w:val="center"/>
            <w:textDirection w:val="lrTb"/>
            <w:noWrap w:val="false"/>
          </w:tcPr>
          <w:p>
            <w:pPr>
              <w:ind w:firstLine="0"/>
              <w:jc w:val="center"/>
              <w:keepLines w:val="0"/>
              <w:keepNext w:val="0"/>
              <w:pageBreakBefore w:val="0"/>
              <w:spacing w:line="380" w:lineRule="exact"/>
              <w:rPr>
                <w:rFonts w:hint="eastAsia"/>
                <w:highlight w:val="none"/>
                <w:lang w:val="en-US" w:eastAsia="zh-CN"/>
              </w:rPr>
            </w:pPr>
            <w:r>
              <w:rPr>
                <w:rFonts w:hint="eastAsia"/>
                <w:highlight w:val="none"/>
                <w:lang w:val="en-US" w:eastAsia="zh-CN"/>
              </w:rPr>
              <w:t xml:space="preserve">1</w:t>
            </w:r>
            <w:r/>
          </w:p>
        </w:tc>
        <w:tc>
          <w:tcPr>
            <w:tcW w:w="1288" w:type="pct"/>
            <w:vAlign w:val="center"/>
            <w:textDirection w:val="lrTb"/>
            <w:noWrap w:val="false"/>
          </w:tcPr>
          <w:p>
            <w:pPr>
              <w:ind w:firstLine="0"/>
              <w:jc w:val="center"/>
              <w:keepLines w:val="0"/>
              <w:keepNext w:val="0"/>
              <w:pageBreakBefore w:val="0"/>
              <w:spacing w:line="380" w:lineRule="exact"/>
              <w:rPr>
                <w:rFonts w:hint="eastAsia"/>
                <w:highlight w:val="none"/>
                <w:lang w:val="en-US" w:eastAsia="zh-CN"/>
              </w:rPr>
            </w:pPr>
            <w:r>
              <w:rPr>
                <w:rFonts w:hint="eastAsia"/>
                <w:highlight w:val="none"/>
                <w:lang w:val="en-US" w:eastAsia="zh-CN"/>
              </w:rPr>
              <w:t xml:space="preserve">39.2</w:t>
            </w:r>
            <w:r/>
          </w:p>
        </w:tc>
        <w:tc>
          <w:tcPr>
            <w:tcW w:w="708" w:type="pct"/>
            <w:vAlign w:val="center"/>
            <w:textDirection w:val="lrTb"/>
            <w:noWrap w:val="false"/>
          </w:tcPr>
          <w:p>
            <w:pPr>
              <w:ind w:firstLine="0"/>
              <w:jc w:val="center"/>
              <w:keepLines w:val="0"/>
              <w:keepNext w:val="0"/>
              <w:pageBreakBefore w:val="0"/>
              <w:spacing w:line="380" w:lineRule="exact"/>
              <w:rPr>
                <w:rFonts w:hint="eastAsia"/>
                <w:highlight w:val="none"/>
                <w:lang w:val="en-US" w:eastAsia="zh-CN"/>
              </w:rPr>
            </w:pPr>
            <w:r>
              <w:rPr>
                <w:rFonts w:hint="eastAsia"/>
                <w:highlight w:val="none"/>
                <w:lang w:val="en-US" w:eastAsia="zh-CN"/>
              </w:rPr>
              <w:t xml:space="preserve">否</w:t>
            </w:r>
            <w:r/>
          </w:p>
        </w:tc>
        <w:tc>
          <w:tcPr>
            <w:tcW w:w="598" w:type="pct"/>
            <w:vAlign w:val="center"/>
            <w:textDirection w:val="lrTb"/>
            <w:noWrap w:val="false"/>
          </w:tcPr>
          <w:p>
            <w:pPr>
              <w:ind w:firstLine="0"/>
              <w:jc w:val="center"/>
              <w:keepLines w:val="0"/>
              <w:keepNext w:val="0"/>
              <w:pageBreakBefore w:val="0"/>
              <w:spacing w:line="380" w:lineRule="exact"/>
              <w:rPr>
                <w:rFonts w:hint="eastAsia"/>
                <w:highlight w:val="none"/>
              </w:rPr>
            </w:pPr>
            <w:r>
              <w:rPr>
                <w:rFonts w:hint="eastAsia"/>
                <w:highlight w:val="none"/>
                <w:lang w:val="en-US" w:eastAsia="zh-CN"/>
              </w:rPr>
              <w:t xml:space="preserve">否</w:t>
            </w:r>
            <w:r/>
          </w:p>
        </w:tc>
      </w:tr>
      <w:tr>
        <w:trPr>
          <w:jc w:val="center"/>
          <w:trHeight w:val="510"/>
        </w:trPr>
        <w:tc>
          <w:tcPr>
            <w:tcW w:w="527" w:type="pct"/>
            <w:vAlign w:val="center"/>
            <w:textDirection w:val="lrTb"/>
            <w:noWrap w:val="false"/>
          </w:tcPr>
          <w:p>
            <w:pPr>
              <w:ind w:firstLine="0"/>
              <w:jc w:val="center"/>
              <w:keepLines w:val="0"/>
              <w:keepNext w:val="0"/>
              <w:pageBreakBefore w:val="0"/>
              <w:spacing w:line="380" w:lineRule="exact"/>
              <w:rPr>
                <w:rFonts w:hint="eastAsia"/>
                <w:highlight w:val="none"/>
                <w:lang w:val="en-US" w:eastAsia="zh-CN"/>
              </w:rPr>
            </w:pPr>
            <w:r>
              <w:rPr>
                <w:rFonts w:hint="eastAsia"/>
                <w:highlight w:val="none"/>
                <w:lang w:val="en-US" w:eastAsia="zh-CN"/>
              </w:rPr>
              <w:t xml:space="preserve">3</w:t>
            </w:r>
            <w:r/>
          </w:p>
        </w:tc>
        <w:tc>
          <w:tcPr>
            <w:tcW w:w="1416" w:type="pct"/>
            <w:vAlign w:val="center"/>
            <w:textDirection w:val="lrTb"/>
            <w:noWrap w:val="false"/>
          </w:tcPr>
          <w:p>
            <w:pPr>
              <w:ind w:firstLine="0"/>
              <w:keepLines w:val="0"/>
              <w:keepNext w:val="0"/>
              <w:pageBreakBefore w:val="0"/>
              <w:spacing w:line="380" w:lineRule="exact"/>
              <w:rPr>
                <w:rFonts w:hint="eastAsia"/>
                <w:highlight w:val="none"/>
              </w:rPr>
            </w:pPr>
            <w:r>
              <w:rPr>
                <w:rFonts w:hint="eastAsia"/>
                <w:highlight w:val="none"/>
                <w:lang w:val="en-US" w:eastAsia="zh-CN"/>
              </w:rPr>
              <w:t xml:space="preserve">浪涌信号线耦合去耦网络</w:t>
            </w:r>
            <w:r/>
          </w:p>
        </w:tc>
        <w:tc>
          <w:tcPr>
            <w:tcW w:w="461" w:type="pct"/>
            <w:vAlign w:val="center"/>
            <w:textDirection w:val="lrTb"/>
            <w:noWrap w:val="false"/>
          </w:tcPr>
          <w:p>
            <w:pPr>
              <w:ind w:firstLine="0"/>
              <w:jc w:val="center"/>
              <w:keepLines w:val="0"/>
              <w:keepNext w:val="0"/>
              <w:pageBreakBefore w:val="0"/>
              <w:spacing w:line="380" w:lineRule="exact"/>
              <w:rPr>
                <w:rFonts w:hint="eastAsia"/>
                <w:highlight w:val="none"/>
                <w:lang w:val="en-US" w:eastAsia="zh-CN"/>
              </w:rPr>
            </w:pPr>
            <w:r>
              <w:rPr>
                <w:rFonts w:hint="eastAsia"/>
                <w:highlight w:val="none"/>
                <w:lang w:val="en-US" w:eastAsia="zh-CN"/>
              </w:rPr>
              <w:t xml:space="preserve">1</w:t>
            </w:r>
            <w:r/>
          </w:p>
        </w:tc>
        <w:tc>
          <w:tcPr>
            <w:tcW w:w="1288" w:type="pct"/>
            <w:vAlign w:val="center"/>
            <w:textDirection w:val="lrTb"/>
            <w:noWrap w:val="false"/>
          </w:tcPr>
          <w:p>
            <w:pPr>
              <w:ind w:firstLine="0"/>
              <w:jc w:val="center"/>
              <w:keepLines w:val="0"/>
              <w:keepNext w:val="0"/>
              <w:pageBreakBefore w:val="0"/>
              <w:spacing w:line="380" w:lineRule="exact"/>
              <w:rPr>
                <w:rFonts w:hint="eastAsia"/>
                <w:highlight w:val="none"/>
                <w:lang w:val="en-US" w:eastAsia="zh-CN"/>
              </w:rPr>
            </w:pPr>
            <w:r>
              <w:rPr>
                <w:rFonts w:hint="eastAsia"/>
                <w:highlight w:val="none"/>
                <w:lang w:val="en-US" w:eastAsia="zh-CN"/>
              </w:rPr>
              <w:t xml:space="preserve">8.24</w:t>
            </w:r>
            <w:r/>
          </w:p>
        </w:tc>
        <w:tc>
          <w:tcPr>
            <w:tcW w:w="708" w:type="pct"/>
            <w:vAlign w:val="center"/>
            <w:textDirection w:val="lrTb"/>
            <w:noWrap w:val="false"/>
          </w:tcPr>
          <w:p>
            <w:pPr>
              <w:ind w:firstLine="0"/>
              <w:jc w:val="center"/>
              <w:keepLines w:val="0"/>
              <w:keepNext w:val="0"/>
              <w:pageBreakBefore w:val="0"/>
              <w:spacing w:line="380" w:lineRule="exact"/>
              <w:rPr>
                <w:rFonts w:hint="eastAsia"/>
                <w:highlight w:val="none"/>
                <w:lang w:val="en-US" w:eastAsia="zh-CN"/>
              </w:rPr>
            </w:pPr>
            <w:r>
              <w:rPr>
                <w:rFonts w:hint="eastAsia"/>
                <w:highlight w:val="none"/>
                <w:lang w:val="en-US" w:eastAsia="zh-CN"/>
              </w:rPr>
              <w:t xml:space="preserve">否</w:t>
            </w:r>
            <w:r/>
          </w:p>
        </w:tc>
        <w:tc>
          <w:tcPr>
            <w:tcW w:w="598" w:type="pct"/>
            <w:vAlign w:val="center"/>
            <w:textDirection w:val="lrTb"/>
            <w:noWrap w:val="false"/>
          </w:tcPr>
          <w:p>
            <w:pPr>
              <w:ind w:firstLine="0"/>
              <w:jc w:val="center"/>
              <w:keepLines w:val="0"/>
              <w:keepNext w:val="0"/>
              <w:pageBreakBefore w:val="0"/>
              <w:spacing w:line="380" w:lineRule="exact"/>
              <w:rPr>
                <w:rFonts w:hint="eastAsia"/>
                <w:highlight w:val="none"/>
              </w:rPr>
            </w:pPr>
            <w:r>
              <w:rPr>
                <w:rFonts w:hint="eastAsia"/>
                <w:highlight w:val="none"/>
                <w:lang w:val="en-US" w:eastAsia="zh-CN"/>
              </w:rPr>
              <w:t xml:space="preserve">否</w:t>
            </w:r>
            <w:r/>
          </w:p>
        </w:tc>
      </w:tr>
      <w:tr>
        <w:trPr>
          <w:jc w:val="center"/>
          <w:trHeight w:val="510"/>
        </w:trPr>
        <w:tc>
          <w:tcPr>
            <w:tcW w:w="527" w:type="pct"/>
            <w:vAlign w:val="center"/>
            <w:textDirection w:val="lrTb"/>
            <w:noWrap w:val="false"/>
          </w:tcPr>
          <w:p>
            <w:pPr>
              <w:ind w:firstLine="0"/>
              <w:jc w:val="center"/>
              <w:keepLines w:val="0"/>
              <w:keepNext w:val="0"/>
              <w:pageBreakBefore w:val="0"/>
              <w:spacing w:line="380" w:lineRule="exact"/>
              <w:rPr>
                <w:rFonts w:hint="eastAsia"/>
                <w:highlight w:val="none"/>
                <w:lang w:val="en-US" w:eastAsia="zh-CN"/>
              </w:rPr>
            </w:pPr>
            <w:r>
              <w:rPr>
                <w:rFonts w:hint="eastAsia"/>
                <w:highlight w:val="none"/>
                <w:lang w:val="en-US" w:eastAsia="zh-CN"/>
              </w:rPr>
              <w:t xml:space="preserve">4</w:t>
            </w:r>
            <w:r/>
          </w:p>
        </w:tc>
        <w:tc>
          <w:tcPr>
            <w:tcW w:w="1416" w:type="pct"/>
            <w:vAlign w:val="center"/>
            <w:textDirection w:val="lrTb"/>
            <w:noWrap w:val="false"/>
          </w:tcPr>
          <w:p>
            <w:pPr>
              <w:ind w:firstLine="0"/>
              <w:keepLines w:val="0"/>
              <w:keepNext w:val="0"/>
              <w:pageBreakBefore w:val="0"/>
              <w:spacing w:line="380" w:lineRule="exact"/>
              <w:rPr>
                <w:rFonts w:hint="eastAsia"/>
                <w:highlight w:val="none"/>
              </w:rPr>
            </w:pPr>
            <w:r>
              <w:rPr>
                <w:rFonts w:hint="eastAsia"/>
                <w:highlight w:val="none"/>
                <w:lang w:val="en-US" w:eastAsia="zh-CN"/>
              </w:rPr>
              <w:t xml:space="preserve">噪声传感器（含前置放大器）</w:t>
            </w:r>
            <w:r/>
          </w:p>
        </w:tc>
        <w:tc>
          <w:tcPr>
            <w:tcW w:w="461" w:type="pct"/>
            <w:vAlign w:val="center"/>
            <w:textDirection w:val="lrTb"/>
            <w:noWrap w:val="false"/>
          </w:tcPr>
          <w:p>
            <w:pPr>
              <w:ind w:firstLine="0"/>
              <w:jc w:val="center"/>
              <w:keepLines w:val="0"/>
              <w:keepNext w:val="0"/>
              <w:pageBreakBefore w:val="0"/>
              <w:spacing w:line="380" w:lineRule="exact"/>
              <w:rPr>
                <w:rFonts w:hint="eastAsia"/>
                <w:highlight w:val="none"/>
                <w:lang w:val="en-US" w:eastAsia="zh-CN"/>
              </w:rPr>
            </w:pPr>
            <w:r>
              <w:rPr>
                <w:rFonts w:hint="eastAsia"/>
                <w:highlight w:val="none"/>
                <w:lang w:val="en-US" w:eastAsia="zh-CN"/>
              </w:rPr>
              <w:t xml:space="preserve">2</w:t>
            </w:r>
            <w:r/>
          </w:p>
        </w:tc>
        <w:tc>
          <w:tcPr>
            <w:tcW w:w="1288" w:type="pct"/>
            <w:vAlign w:val="center"/>
            <w:textDirection w:val="lrTb"/>
            <w:noWrap w:val="false"/>
          </w:tcPr>
          <w:p>
            <w:pPr>
              <w:ind w:firstLine="0"/>
              <w:jc w:val="center"/>
              <w:keepLines w:val="0"/>
              <w:keepNext w:val="0"/>
              <w:pageBreakBefore w:val="0"/>
              <w:spacing w:line="380" w:lineRule="exact"/>
              <w:rPr>
                <w:rFonts w:hint="eastAsia"/>
                <w:highlight w:val="none"/>
                <w:lang w:val="en-US" w:eastAsia="zh-CN"/>
              </w:rPr>
            </w:pPr>
            <w:r>
              <w:rPr>
                <w:rFonts w:hint="eastAsia"/>
                <w:highlight w:val="none"/>
                <w:lang w:val="en-US" w:eastAsia="zh-CN"/>
              </w:rPr>
              <w:t xml:space="preserve">5.66</w:t>
            </w:r>
            <w:r/>
          </w:p>
        </w:tc>
        <w:tc>
          <w:tcPr>
            <w:tcW w:w="708" w:type="pct"/>
            <w:vAlign w:val="center"/>
            <w:textDirection w:val="lrTb"/>
            <w:noWrap w:val="false"/>
          </w:tcPr>
          <w:p>
            <w:pPr>
              <w:ind w:firstLine="0"/>
              <w:jc w:val="center"/>
              <w:keepLines w:val="0"/>
              <w:keepNext w:val="0"/>
              <w:pageBreakBefore w:val="0"/>
              <w:spacing w:line="380" w:lineRule="exact"/>
              <w:rPr>
                <w:rFonts w:hint="eastAsia"/>
                <w:highlight w:val="none"/>
                <w:lang w:val="en-US" w:eastAsia="zh-CN"/>
              </w:rPr>
            </w:pPr>
            <w:r>
              <w:rPr>
                <w:rFonts w:hint="eastAsia"/>
                <w:highlight w:val="none"/>
                <w:lang w:val="en-US" w:eastAsia="zh-CN"/>
              </w:rPr>
              <w:t xml:space="preserve">否</w:t>
            </w:r>
            <w:r/>
          </w:p>
        </w:tc>
        <w:tc>
          <w:tcPr>
            <w:tcW w:w="598" w:type="pct"/>
            <w:vAlign w:val="center"/>
            <w:textDirection w:val="lrTb"/>
            <w:noWrap w:val="false"/>
          </w:tcPr>
          <w:p>
            <w:pPr>
              <w:ind w:firstLine="0"/>
              <w:jc w:val="center"/>
              <w:keepLines w:val="0"/>
              <w:keepNext w:val="0"/>
              <w:pageBreakBefore w:val="0"/>
              <w:spacing w:line="380" w:lineRule="exact"/>
              <w:rPr>
                <w:rFonts w:hint="eastAsia"/>
                <w:highlight w:val="none"/>
                <w:lang w:val="en-US" w:eastAsia="zh-CN"/>
              </w:rPr>
            </w:pPr>
            <w:r>
              <w:rPr>
                <w:rFonts w:hint="eastAsia"/>
                <w:highlight w:val="none"/>
                <w:lang w:val="en-US" w:eastAsia="zh-CN"/>
              </w:rPr>
              <w:t xml:space="preserve">否</w:t>
            </w:r>
            <w:r/>
          </w:p>
        </w:tc>
      </w:tr>
      <w:tr>
        <w:trPr>
          <w:jc w:val="center"/>
          <w:trHeight w:val="382"/>
        </w:trPr>
        <w:tc>
          <w:tcPr>
            <w:gridSpan w:val="2"/>
            <w:tcW w:w="1943" w:type="pct"/>
            <w:vAlign w:val="center"/>
            <w:textDirection w:val="lrTb"/>
            <w:noWrap w:val="false"/>
          </w:tcPr>
          <w:p>
            <w:pPr>
              <w:ind w:firstLine="0"/>
              <w:jc w:val="center"/>
              <w:keepLines w:val="0"/>
              <w:keepNext w:val="0"/>
              <w:pageBreakBefore w:val="0"/>
              <w:spacing w:line="380" w:lineRule="exact"/>
              <w:rPr>
                <w:rFonts w:hint="eastAsia"/>
                <w:highlight w:val="none"/>
              </w:rPr>
            </w:pPr>
            <w:r>
              <w:rPr>
                <w:rFonts w:hint="eastAsia"/>
                <w:highlight w:val="none"/>
              </w:rPr>
              <w:t xml:space="preserve">合计</w:t>
            </w:r>
            <w:r/>
          </w:p>
        </w:tc>
        <w:tc>
          <w:tcPr>
            <w:tcW w:w="461" w:type="pct"/>
            <w:vAlign w:val="center"/>
            <w:textDirection w:val="lrTb"/>
            <w:noWrap w:val="false"/>
          </w:tcPr>
          <w:p>
            <w:pPr>
              <w:ind w:firstLine="0"/>
              <w:jc w:val="center"/>
              <w:keepLines w:val="0"/>
              <w:keepNext w:val="0"/>
              <w:pageBreakBefore w:val="0"/>
              <w:spacing w:line="380" w:lineRule="exact"/>
              <w:rPr>
                <w:rFonts w:hint="eastAsia"/>
                <w:highlight w:val="none"/>
                <w:lang w:val="en-US" w:eastAsia="zh-CN"/>
              </w:rPr>
            </w:pPr>
            <w:r>
              <w:rPr>
                <w:rFonts w:hint="eastAsia"/>
                <w:highlight w:val="none"/>
                <w:lang w:val="en-US" w:eastAsia="zh-CN"/>
              </w:rPr>
              <w:t xml:space="preserve">5</w:t>
            </w:r>
            <w:r/>
          </w:p>
        </w:tc>
        <w:tc>
          <w:tcPr>
            <w:tcW w:w="1288" w:type="pct"/>
            <w:vAlign w:val="center"/>
            <w:textDirection w:val="lrTb"/>
            <w:noWrap w:val="false"/>
          </w:tcPr>
          <w:p>
            <w:pPr>
              <w:ind w:firstLine="0"/>
              <w:jc w:val="center"/>
              <w:keepLines w:val="0"/>
              <w:keepNext w:val="0"/>
              <w:pageBreakBefore w:val="0"/>
              <w:spacing w:line="380" w:lineRule="exact"/>
              <w:rPr>
                <w:rFonts w:hint="eastAsia"/>
                <w:highlight w:val="none"/>
                <w:lang w:val="en-US"/>
              </w:rPr>
            </w:pPr>
            <w:r>
              <w:rPr>
                <w:rFonts w:hint="eastAsia"/>
                <w:highlight w:val="none"/>
                <w:lang w:val="en-US"/>
              </w:rPr>
              <w:t xml:space="preserve">139.9</w:t>
            </w:r>
            <w:r/>
          </w:p>
        </w:tc>
        <w:tc>
          <w:tcPr>
            <w:tcW w:w="708" w:type="pct"/>
            <w:vAlign w:val="center"/>
            <w:textDirection w:val="lrTb"/>
            <w:noWrap w:val="false"/>
          </w:tcPr>
          <w:p>
            <w:pPr>
              <w:ind w:firstLine="0"/>
              <w:keepLines w:val="0"/>
              <w:keepNext w:val="0"/>
              <w:pageBreakBefore w:val="0"/>
              <w:spacing w:line="380" w:lineRule="exact"/>
              <w:rPr>
                <w:rFonts w:hint="eastAsia"/>
                <w:highlight w:val="none"/>
              </w:rPr>
            </w:pPr>
            <w:r>
              <w:rPr>
                <w:rFonts w:hint="eastAsia"/>
                <w:highlight w:val="none"/>
              </w:rPr>
            </w:r>
            <w:r/>
          </w:p>
        </w:tc>
        <w:tc>
          <w:tcPr>
            <w:tcW w:w="598" w:type="pct"/>
            <w:vAlign w:val="center"/>
            <w:textDirection w:val="lrTb"/>
            <w:noWrap w:val="false"/>
          </w:tcPr>
          <w:p>
            <w:pPr>
              <w:ind w:firstLine="0"/>
              <w:keepLines w:val="0"/>
              <w:keepNext w:val="0"/>
              <w:pageBreakBefore w:val="0"/>
              <w:spacing w:line="380" w:lineRule="exact"/>
              <w:rPr>
                <w:rFonts w:hint="eastAsia"/>
                <w:highlight w:val="none"/>
              </w:rPr>
            </w:pPr>
            <w:r>
              <w:rPr>
                <w:rFonts w:hint="eastAsia"/>
                <w:highlight w:val="none"/>
              </w:rPr>
            </w:r>
            <w:r/>
          </w:p>
        </w:tc>
      </w:tr>
    </w:tbl>
    <w:p>
      <w:pPr>
        <w:numPr>
          <w:ilvl w:val="0"/>
          <w:numId w:val="0"/>
        </w:numPr>
        <w:ind w:firstLine="422"/>
        <w:jc w:val="left"/>
        <w:keepLines w:val="0"/>
        <w:keepNext w:val="0"/>
        <w:pageBreakBefore w:val="0"/>
        <w:spacing w:line="380" w:lineRule="exact"/>
        <w:widowControl/>
        <w:rPr>
          <w:rFonts w:hint="eastAsia" w:ascii="Times New Roman" w:hAnsi="Times New Roman" w:eastAsia="宋体" w:cs="Times New Roman"/>
          <w:b/>
          <w:iCs/>
          <w:sz w:val="21"/>
          <w:szCs w:val="21"/>
          <w:lang w:val="en-US" w:eastAsia="zh-CN"/>
        </w:rPr>
      </w:pPr>
      <w:r>
        <w:rPr>
          <w:rFonts w:hint="eastAsia" w:ascii="Times New Roman" w:hAnsi="Times New Roman" w:eastAsia="宋体" w:cs="Times New Roman"/>
          <w:b/>
          <w:iCs/>
          <w:sz w:val="21"/>
          <w:szCs w:val="21"/>
          <w:lang w:val="en-US" w:eastAsia="zh-CN"/>
        </w:rPr>
        <w:t xml:space="preserve">二、政府采购中实施本国产品标准及相关政策</w:t>
      </w:r>
      <w:r/>
    </w:p>
    <w:p>
      <w:pPr>
        <w:ind w:firstLine="420"/>
        <w:keepLines w:val="0"/>
        <w:keepNext w:val="0"/>
        <w:pageBreakBefore w:val="0"/>
        <w:spacing w:line="380" w:lineRule="exact"/>
        <w:rPr>
          <w:rFonts w:hint="default" w:ascii="Times New Roman" w:hAnsi="Times New Roman" w:cs="Times New Roman"/>
        </w:rPr>
      </w:pPr>
      <w:r>
        <w:rPr>
          <w:rFonts w:hint="eastAsia" w:ascii="Times New Roman" w:hAnsi="Times New Roman" w:cs="Times New Roman"/>
          <w:lang w:eastAsia="zh-CN"/>
        </w:rPr>
        <w:t xml:space="preserve">（</w:t>
      </w:r>
      <w:r>
        <w:rPr>
          <w:rFonts w:hint="default" w:ascii="Times New Roman" w:hAnsi="Times New Roman" w:cs="Times New Roman"/>
          <w:lang w:val="en-US" w:eastAsia="zh-CN"/>
        </w:rPr>
        <w:t xml:space="preserve">1</w:t>
      </w:r>
      <w:r>
        <w:rPr>
          <w:rFonts w:hint="eastAsia" w:ascii="Times New Roman" w:hAnsi="Times New Roman" w:cs="Times New Roman"/>
          <w:lang w:eastAsia="zh-CN"/>
        </w:rPr>
        <w:t xml:space="preserve">）</w:t>
      </w:r>
      <w:r>
        <w:rPr>
          <w:rFonts w:hint="default" w:ascii="Times New Roman" w:hAnsi="Times New Roman" w:cs="Times New Roman"/>
        </w:rPr>
        <w:t xml:space="preserve">本项目对采购本国产品给予政策支持，具体内容见招标文件“第五章 评标方法与评标标准”。</w:t>
      </w:r>
      <w:r/>
    </w:p>
    <w:p>
      <w:pPr>
        <w:ind w:firstLine="420"/>
        <w:keepLines w:val="0"/>
        <w:keepNext w:val="0"/>
        <w:pageBreakBefore w:val="0"/>
        <w:spacing w:line="380" w:lineRule="exact"/>
        <w:rPr>
          <w:rFonts w:hint="default" w:ascii="Times New Roman" w:hAnsi="Times New Roman" w:cs="Times New Roman"/>
        </w:rPr>
      </w:pPr>
      <w:r>
        <w:rPr>
          <w:rFonts w:hint="eastAsia" w:ascii="Times New Roman" w:hAnsi="Times New Roman" w:cs="Times New Roman"/>
          <w:lang w:eastAsia="zh-CN"/>
        </w:rPr>
        <w:t xml:space="preserve">（</w:t>
      </w:r>
      <w:r>
        <w:rPr>
          <w:rFonts w:hint="default" w:ascii="Times New Roman" w:hAnsi="Times New Roman" w:cs="Times New Roman"/>
          <w:lang w:val="en-US" w:eastAsia="zh-CN"/>
        </w:rPr>
        <w:t xml:space="preserve">2</w:t>
      </w:r>
      <w:r>
        <w:rPr>
          <w:rFonts w:hint="eastAsia" w:ascii="Times New Roman" w:hAnsi="Times New Roman" w:cs="Times New Roman"/>
          <w:lang w:eastAsia="zh-CN"/>
        </w:rPr>
        <w:t xml:space="preserve">）</w:t>
      </w:r>
      <w:r>
        <w:rPr>
          <w:rFonts w:hint="default" w:ascii="Times New Roman" w:hAnsi="Times New Roman" w:cs="Times New Roma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80" w:lineRule="exact"/>
        <w:rPr>
          <w:rFonts w:hint="default" w:ascii="Times New Roman" w:hAnsi="Times New Roman" w:cs="Times New Roman"/>
        </w:rPr>
      </w:pPr>
      <w:r>
        <w:rPr>
          <w:rFonts w:hint="eastAsia" w:ascii="Times New Roman" w:hAnsi="Times New Roman" w:cs="Times New Roman"/>
          <w:lang w:eastAsia="zh-CN"/>
        </w:rPr>
        <w:t xml:space="preserve">（</w:t>
      </w:r>
      <w:r>
        <w:rPr>
          <w:rFonts w:hint="default" w:ascii="Times New Roman" w:hAnsi="Times New Roman" w:cs="Times New Roman"/>
          <w:lang w:val="en-US" w:eastAsia="zh-CN"/>
        </w:rPr>
        <w:t xml:space="preserve">3</w:t>
      </w:r>
      <w:r>
        <w:rPr>
          <w:rFonts w:hint="eastAsia" w:ascii="Times New Roman" w:hAnsi="Times New Roman" w:cs="Times New Roman"/>
          <w:lang w:eastAsia="zh-CN"/>
        </w:rPr>
        <w:t xml:space="preserve">）</w:t>
      </w:r>
      <w:r>
        <w:rPr>
          <w:rFonts w:hint="default" w:ascii="Times New Roman" w:hAnsi="Times New Roman" w:cs="Times New Roma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22"/>
        <w:jc w:val="left"/>
        <w:keepLines w:val="0"/>
        <w:keepNext w:val="0"/>
        <w:pageBreakBefore w:val="0"/>
        <w:spacing w:line="380" w:lineRule="exact"/>
        <w:widowControl/>
        <w:rPr>
          <w:rFonts w:hint="eastAsia" w:ascii="Times New Roman" w:hAnsi="Times New Roman" w:eastAsia="宋体" w:cs="Times New Roman"/>
          <w:b/>
          <w:iCs/>
          <w:sz w:val="21"/>
          <w:szCs w:val="21"/>
          <w:lang w:val="en-US" w:eastAsia="zh-CN"/>
        </w:rPr>
      </w:pPr>
      <w:r>
        <w:rPr>
          <w:rFonts w:hint="eastAsia" w:ascii="Times New Roman" w:hAnsi="Times New Roman" w:eastAsia="宋体" w:cs="Times New Roman"/>
          <w:b/>
          <w:iCs/>
          <w:sz w:val="21"/>
          <w:szCs w:val="21"/>
          <w:lang w:val="en-US" w:eastAsia="zh-CN"/>
        </w:rPr>
        <w:t xml:space="preserve">三、技术</w:t>
      </w:r>
      <w:r>
        <w:rPr>
          <w:rFonts w:hint="eastAsia" w:cs="Times New Roman"/>
          <w:b/>
          <w:iCs/>
          <w:sz w:val="21"/>
          <w:szCs w:val="21"/>
          <w:lang w:val="en-US" w:eastAsia="zh-CN"/>
        </w:rPr>
        <w:t xml:space="preserve">参数</w:t>
      </w:r>
      <w:r/>
    </w:p>
    <w:p>
      <w:pPr>
        <w:ind w:firstLine="422"/>
        <w:keepLines w:val="0"/>
        <w:keepNext w:val="0"/>
        <w:pageBreakBefore w:val="0"/>
        <w:spacing w:line="380" w:lineRule="exact"/>
        <w:rPr>
          <w:rFonts w:hint="eastAsia"/>
          <w:b/>
        </w:rPr>
        <w:outlineLvl w:val="9"/>
      </w:pPr>
      <w:r>
        <w:rPr>
          <w:b/>
        </w:rPr>
        <w:t xml:space="preserve">品目1：</w:t>
      </w:r>
      <w:r>
        <w:rPr>
          <w:rFonts w:hint="eastAsia"/>
          <w:b/>
          <w:lang w:val="en-US" w:eastAsia="zh-CN"/>
        </w:rPr>
        <w:t xml:space="preserve">激光跟踪仪</w:t>
      </w:r>
      <w:r>
        <w:rPr>
          <w:rFonts w:hint="eastAsia"/>
          <w:b/>
          <w:highlight w:val="none"/>
          <w:lang w:val="en-US" w:eastAsia="zh-CN"/>
        </w:rPr>
        <w:t xml:space="preserve">（核心产品，1台）</w:t>
      </w:r>
      <w:r/>
    </w:p>
    <w:p>
      <w:pPr>
        <w:ind w:firstLine="420"/>
        <w:keepLines w:val="0"/>
        <w:keepNext w:val="0"/>
        <w:pageBreakBefore w:val="0"/>
        <w:spacing w:line="380" w:lineRule="exact"/>
        <w:rPr>
          <w:rFonts w:hint="eastAsia" w:eastAsia="宋体"/>
          <w:bCs/>
          <w:lang w:eastAsia="zh-CN"/>
        </w:rPr>
        <w:outlineLvl w:val="9"/>
      </w:pPr>
      <w:r>
        <w:rPr>
          <w:rFonts w:hint="eastAsia"/>
          <w:bCs/>
          <w:lang w:val="en-US" w:eastAsia="zh-CN"/>
        </w:rPr>
        <w:t xml:space="preserve">1.</w:t>
      </w:r>
      <w:r>
        <w:rPr>
          <w:rFonts w:hint="eastAsia"/>
          <w:bCs/>
        </w:rPr>
        <w:t xml:space="preserve">1空间测量半径 ≥ 50m，最小测量范围：0米起，无测量死程</w:t>
      </w:r>
      <w:r>
        <w:rPr>
          <w:rFonts w:hint="eastAsia"/>
          <w:bCs/>
          <w:lang w:eastAsia="zh-CN"/>
        </w:rPr>
        <w:t xml:space="preserve">。</w:t>
      </w:r>
      <w:r/>
    </w:p>
    <w:p>
      <w:pPr>
        <w:ind w:firstLine="420"/>
        <w:keepLines w:val="0"/>
        <w:keepNext w:val="0"/>
        <w:pageBreakBefore w:val="0"/>
        <w:spacing w:line="380" w:lineRule="exact"/>
        <w:rPr>
          <w:rFonts w:hint="eastAsia" w:eastAsia="宋体"/>
          <w:bCs/>
          <w:lang w:eastAsia="zh-CN"/>
        </w:rPr>
        <w:outlineLvl w:val="9"/>
      </w:pPr>
      <w:r>
        <w:rPr>
          <w:rFonts w:hint="eastAsia"/>
          <w:bCs/>
          <w:lang w:val="en-US" w:eastAsia="zh-CN"/>
        </w:rPr>
        <w:t xml:space="preserve">1.</w:t>
      </w:r>
      <w:r>
        <w:rPr>
          <w:rFonts w:hint="eastAsia"/>
          <w:bCs/>
        </w:rPr>
        <w:t xml:space="preserve">2水平转角范围 : ≥320º</w:t>
      </w:r>
      <w:r>
        <w:rPr>
          <w:rFonts w:hint="eastAsia"/>
          <w:bCs/>
          <w:lang w:eastAsia="zh-CN"/>
        </w:rPr>
        <w:t xml:space="preserve">。</w:t>
      </w:r>
      <w:r/>
    </w:p>
    <w:p>
      <w:pPr>
        <w:ind w:firstLine="420"/>
        <w:keepLines w:val="0"/>
        <w:keepNext w:val="0"/>
        <w:pageBreakBefore w:val="0"/>
        <w:spacing w:line="380" w:lineRule="exact"/>
        <w:rPr>
          <w:rFonts w:hint="eastAsia"/>
          <w:bCs/>
        </w:rPr>
        <w:outlineLvl w:val="9"/>
      </w:pPr>
      <w:r>
        <w:rPr>
          <w:rFonts w:hint="eastAsia"/>
          <w:b w:val="0"/>
          <w:bCs w:val="0"/>
          <w:color w:val="auto"/>
          <w:lang w:val="en-US" w:eastAsia="zh-CN"/>
        </w:rPr>
        <w:t xml:space="preserve">▲</w:t>
      </w:r>
      <w:r>
        <w:rPr>
          <w:rFonts w:hint="eastAsia"/>
          <w:bCs/>
          <w:lang w:val="en-US" w:eastAsia="zh-CN"/>
        </w:rPr>
        <w:t xml:space="preserve">1.</w:t>
      </w:r>
      <w:r>
        <w:rPr>
          <w:rFonts w:hint="eastAsia"/>
          <w:bCs/>
        </w:rPr>
        <w:t xml:space="preserve">3俯仰角转角范围（水平面为基准） : ≥-59º ～+79º。</w:t>
      </w:r>
      <w:r/>
    </w:p>
    <w:p>
      <w:pPr>
        <w:ind w:firstLine="420"/>
        <w:keepLines w:val="0"/>
        <w:keepNext w:val="0"/>
        <w:pageBreakBefore w:val="0"/>
        <w:spacing w:line="380" w:lineRule="exact"/>
        <w:rPr>
          <w:rFonts w:hint="eastAsia" w:eastAsia="宋体"/>
          <w:bCs/>
          <w:highlight w:val="none"/>
          <w:lang w:eastAsia="zh-CN"/>
        </w:rPr>
        <w:outlineLvl w:val="9"/>
      </w:pPr>
      <w:r>
        <w:rPr>
          <w:rFonts w:hint="eastAsia"/>
          <w:bCs/>
          <w:highlight w:val="none"/>
          <w:lang w:val="en-US" w:eastAsia="zh-CN"/>
        </w:rPr>
        <w:t xml:space="preserve">★1.</w:t>
      </w:r>
      <w:r>
        <w:rPr>
          <w:rFonts w:hint="eastAsia"/>
          <w:bCs/>
          <w:highlight w:val="none"/>
        </w:rPr>
        <w:t xml:space="preserve">4空间测量精度（MPE值）：≤15μm+5μm/m</w:t>
      </w:r>
      <w:r>
        <w:rPr>
          <w:rFonts w:hint="eastAsia"/>
          <w:bCs/>
          <w:highlight w:val="none"/>
          <w:lang w:eastAsia="zh-CN"/>
        </w:rPr>
        <w:t xml:space="preserve">。</w:t>
      </w:r>
      <w:r/>
    </w:p>
    <w:p>
      <w:pPr>
        <w:ind w:firstLine="420"/>
        <w:keepLines w:val="0"/>
        <w:keepNext w:val="0"/>
        <w:pageBreakBefore w:val="0"/>
        <w:spacing w:line="380" w:lineRule="exact"/>
        <w:rPr>
          <w:rFonts w:hint="eastAsia" w:eastAsia="宋体"/>
          <w:bCs/>
          <w:highlight w:val="none"/>
          <w:lang w:eastAsia="zh-CN"/>
        </w:rPr>
        <w:outlineLvl w:val="9"/>
      </w:pPr>
      <w:r>
        <w:rPr>
          <w:rFonts w:hint="eastAsia"/>
          <w:bCs/>
          <w:highlight w:val="none"/>
          <w:lang w:val="en-US" w:eastAsia="zh-CN"/>
        </w:rPr>
        <w:t xml:space="preserve">★1.</w:t>
      </w:r>
      <w:r>
        <w:rPr>
          <w:rFonts w:hint="eastAsia"/>
          <w:bCs/>
          <w:highlight w:val="none"/>
        </w:rPr>
        <w:t xml:space="preserve">5角度测量精度（MPE值）：≤3.5μm/m</w:t>
      </w:r>
      <w:r>
        <w:rPr>
          <w:rFonts w:hint="eastAsia"/>
          <w:bCs/>
          <w:highlight w:val="none"/>
          <w:lang w:eastAsia="zh-CN"/>
        </w:rPr>
        <w:t xml:space="preserve">。</w:t>
      </w:r>
      <w:r/>
    </w:p>
    <w:p>
      <w:pPr>
        <w:ind w:firstLine="420"/>
        <w:keepLines w:val="0"/>
        <w:keepNext w:val="0"/>
        <w:pageBreakBefore w:val="0"/>
        <w:spacing w:line="380" w:lineRule="exact"/>
        <w:rPr>
          <w:rFonts w:hint="eastAsia" w:eastAsia="宋体"/>
          <w:bCs/>
          <w:lang w:eastAsia="zh-CN"/>
        </w:rPr>
        <w:outlineLvl w:val="9"/>
      </w:pPr>
      <w:r>
        <w:rPr>
          <w:rFonts w:hint="eastAsia"/>
          <w:bCs/>
          <w:lang w:val="en-US" w:eastAsia="zh-CN"/>
        </w:rPr>
        <w:t xml:space="preserve">1.</w:t>
      </w:r>
      <w:r>
        <w:rPr>
          <w:rFonts w:hint="eastAsia"/>
          <w:bCs/>
        </w:rPr>
        <w:t xml:space="preserve">6</w:t>
      </w:r>
      <w:r>
        <w:rPr>
          <w:rFonts w:hint="eastAsia"/>
          <w:bCs/>
          <w:lang w:val="en-US" w:eastAsia="zh-CN"/>
        </w:rPr>
        <w:t xml:space="preserve"> </w:t>
      </w:r>
      <w:r>
        <w:rPr>
          <w:rFonts w:hint="eastAsia"/>
          <w:bCs/>
        </w:rPr>
        <w:t xml:space="preserve">ADM测距精度：±15μm或0.7μm/m</w:t>
      </w:r>
      <w:r>
        <w:rPr>
          <w:rFonts w:hint="eastAsia"/>
          <w:bCs/>
          <w:lang w:eastAsia="zh-CN"/>
        </w:rPr>
        <w:t xml:space="preserve">。</w:t>
      </w:r>
      <w:r/>
    </w:p>
    <w:p>
      <w:pPr>
        <w:ind w:firstLine="420"/>
        <w:keepLines w:val="0"/>
        <w:keepNext w:val="0"/>
        <w:pageBreakBefore w:val="0"/>
        <w:spacing w:line="380" w:lineRule="exact"/>
        <w:rPr>
          <w:rFonts w:hint="eastAsia" w:eastAsia="宋体"/>
          <w:bCs/>
          <w:lang w:eastAsia="zh-CN"/>
        </w:rPr>
        <w:outlineLvl w:val="9"/>
      </w:pPr>
      <w:r>
        <w:rPr>
          <w:rFonts w:hint="eastAsia"/>
          <w:bCs/>
          <w:lang w:val="en-US" w:eastAsia="zh-CN"/>
        </w:rPr>
        <w:t xml:space="preserve">1.</w:t>
      </w:r>
      <w:r>
        <w:rPr>
          <w:rFonts w:hint="eastAsia"/>
          <w:bCs/>
        </w:rPr>
        <w:t xml:space="preserve">7角度分辨率：≤0.018″</w:t>
      </w:r>
      <w:r>
        <w:rPr>
          <w:rFonts w:hint="eastAsia"/>
          <w:bCs/>
          <w:lang w:eastAsia="zh-CN"/>
        </w:rPr>
        <w:t xml:space="preserve">。</w:t>
      </w:r>
      <w:r/>
    </w:p>
    <w:p>
      <w:pPr>
        <w:ind w:firstLine="420"/>
        <w:keepLines w:val="0"/>
        <w:keepNext w:val="0"/>
        <w:pageBreakBefore w:val="0"/>
        <w:spacing w:line="380" w:lineRule="exact"/>
        <w:rPr>
          <w:rFonts w:hint="eastAsia"/>
          <w:bCs/>
          <w:lang w:eastAsia="zh-CN"/>
        </w:rPr>
        <w:outlineLvl w:val="9"/>
      </w:pPr>
      <w:r>
        <w:rPr>
          <w:rFonts w:hint="eastAsia"/>
          <w:bCs/>
          <w:lang w:val="en-US" w:eastAsia="zh-CN"/>
        </w:rPr>
        <w:t xml:space="preserve">1.</w:t>
      </w:r>
      <w:r>
        <w:rPr>
          <w:rFonts w:hint="eastAsia"/>
          <w:bCs/>
        </w:rPr>
        <w:t xml:space="preserve">8内置电子水平仪精度： ± 2 ″</w:t>
      </w:r>
      <w:r>
        <w:rPr>
          <w:rFonts w:hint="eastAsia"/>
          <w:bCs/>
          <w:lang w:eastAsia="zh-CN"/>
        </w:rPr>
        <w:t xml:space="preserve">。</w:t>
      </w:r>
      <w:r/>
    </w:p>
    <w:p>
      <w:pPr>
        <w:ind w:firstLine="420"/>
        <w:keepLines w:val="0"/>
        <w:keepNext w:val="0"/>
        <w:pageBreakBefore w:val="0"/>
        <w:spacing w:line="380" w:lineRule="exact"/>
        <w:rPr>
          <w:rFonts w:hint="default"/>
          <w:bCs/>
          <w:lang w:val="en-US" w:eastAsia="zh-CN"/>
        </w:rPr>
        <w:outlineLvl w:val="9"/>
      </w:pPr>
      <w:r>
        <w:rPr>
          <w:rFonts w:hint="eastAsia"/>
          <w:bCs/>
          <w:lang w:val="en-US" w:eastAsia="zh-CN"/>
        </w:rPr>
        <w:t xml:space="preserve">1.9水平仪测量范围:±2°。</w:t>
      </w:r>
      <w:r/>
    </w:p>
    <w:p>
      <w:pPr>
        <w:ind w:firstLine="420"/>
        <w:keepLines w:val="0"/>
        <w:keepNext w:val="0"/>
        <w:pageBreakBefore w:val="0"/>
        <w:spacing w:line="380" w:lineRule="exact"/>
        <w:rPr>
          <w:rFonts w:hint="eastAsia" w:eastAsia="宋体"/>
          <w:bCs/>
          <w:lang w:eastAsia="zh-CN"/>
        </w:rPr>
        <w:outlineLvl w:val="9"/>
      </w:pPr>
      <w:r>
        <w:rPr>
          <w:rFonts w:hint="eastAsia"/>
          <w:bCs/>
          <w:lang w:val="en-US" w:eastAsia="zh-CN"/>
        </w:rPr>
        <w:t xml:space="preserve">1.10</w:t>
      </w:r>
      <w:r>
        <w:rPr>
          <w:rFonts w:hint="eastAsia"/>
          <w:bCs/>
        </w:rPr>
        <w:t xml:space="preserve">最大角速度：≥ 180°/秒 </w:t>
      </w:r>
      <w:r>
        <w:rPr>
          <w:rFonts w:hint="eastAsia"/>
          <w:bCs/>
          <w:lang w:eastAsia="zh-CN"/>
        </w:rPr>
        <w:t xml:space="preserve">。</w:t>
      </w:r>
      <w:r/>
    </w:p>
    <w:p>
      <w:pPr>
        <w:ind w:firstLine="420"/>
        <w:keepLines w:val="0"/>
        <w:keepNext w:val="0"/>
        <w:pageBreakBefore w:val="0"/>
        <w:spacing w:line="380" w:lineRule="exact"/>
        <w:rPr>
          <w:rFonts w:hint="eastAsia"/>
          <w:bCs/>
        </w:rPr>
        <w:outlineLvl w:val="9"/>
      </w:pPr>
      <w:r>
        <w:rPr>
          <w:rFonts w:hint="eastAsia"/>
          <w:bCs/>
          <w:lang w:val="en-US" w:eastAsia="zh-CN"/>
        </w:rPr>
        <w:t xml:space="preserve">1.</w:t>
      </w:r>
      <w:r>
        <w:rPr>
          <w:rFonts w:hint="eastAsia"/>
          <w:bCs/>
        </w:rPr>
        <w:t xml:space="preserve">1</w:t>
      </w:r>
      <w:r>
        <w:rPr>
          <w:rFonts w:hint="eastAsia"/>
          <w:bCs/>
          <w:lang w:val="en-US" w:eastAsia="zh-CN"/>
        </w:rPr>
        <w:t xml:space="preserve">1</w:t>
      </w:r>
      <w:r>
        <w:rPr>
          <w:rFonts w:hint="eastAsia"/>
          <w:bCs/>
        </w:rPr>
        <w:t xml:space="preserve">最大角加速度：≥180°/秒²。</w:t>
      </w:r>
      <w:r/>
    </w:p>
    <w:p>
      <w:pPr>
        <w:ind w:firstLine="420"/>
        <w:keepLines w:val="0"/>
        <w:keepNext w:val="0"/>
        <w:pageBreakBefore w:val="0"/>
        <w:spacing w:line="380" w:lineRule="exact"/>
        <w:rPr>
          <w:rFonts w:hint="eastAsia"/>
          <w:bCs/>
        </w:rPr>
        <w:outlineLvl w:val="9"/>
      </w:pPr>
      <w:r>
        <w:rPr>
          <w:rFonts w:hint="eastAsia"/>
          <w:b w:val="0"/>
          <w:bCs w:val="0"/>
          <w:color w:val="auto"/>
          <w:lang w:val="en-US" w:eastAsia="zh-CN"/>
        </w:rPr>
        <w:t xml:space="preserve">▲</w:t>
      </w:r>
      <w:r>
        <w:rPr>
          <w:rFonts w:hint="eastAsia"/>
          <w:bCs/>
          <w:lang w:val="en-US" w:eastAsia="zh-CN"/>
        </w:rPr>
        <w:t xml:space="preserve">1.</w:t>
      </w:r>
      <w:r>
        <w:rPr>
          <w:rFonts w:hint="eastAsia"/>
          <w:bCs/>
        </w:rPr>
        <w:t xml:space="preserve">1</w:t>
      </w:r>
      <w:r>
        <w:rPr>
          <w:rFonts w:hint="eastAsia"/>
          <w:bCs/>
          <w:lang w:val="en-US" w:eastAsia="zh-CN"/>
        </w:rPr>
        <w:t xml:space="preserve">2</w:t>
      </w:r>
      <w:r>
        <w:rPr>
          <w:rFonts w:hint="eastAsia"/>
          <w:bCs/>
        </w:rPr>
        <w:t xml:space="preserve">采样输出速率≥1000点/秒。</w:t>
      </w:r>
      <w:r/>
    </w:p>
    <w:p>
      <w:pPr>
        <w:ind w:firstLine="420"/>
        <w:keepLines w:val="0"/>
        <w:keepNext w:val="0"/>
        <w:pageBreakBefore w:val="0"/>
        <w:spacing w:line="380" w:lineRule="exact"/>
        <w:rPr>
          <w:rFonts w:hint="eastAsia"/>
          <w:bCs/>
        </w:rPr>
        <w:outlineLvl w:val="9"/>
      </w:pPr>
      <w:r>
        <w:rPr>
          <w:rFonts w:hint="eastAsia"/>
          <w:bCs/>
          <w:lang w:val="en-US" w:eastAsia="zh-CN"/>
        </w:rPr>
        <w:t xml:space="preserve">★1.</w:t>
      </w:r>
      <w:r>
        <w:rPr>
          <w:rFonts w:hint="eastAsia"/>
          <w:bCs/>
        </w:rPr>
        <w:t xml:space="preserve">1</w:t>
      </w:r>
      <w:r>
        <w:rPr>
          <w:rFonts w:hint="eastAsia"/>
          <w:bCs/>
          <w:lang w:val="en-US" w:eastAsia="zh-CN"/>
        </w:rPr>
        <w:t xml:space="preserve">3</w:t>
      </w:r>
      <w:r>
        <w:rPr>
          <w:rFonts w:hint="eastAsia"/>
          <w:bCs/>
        </w:rPr>
        <w:t xml:space="preserve">具有断光自动续接功能，自动接光角度范围≥30°。</w:t>
      </w:r>
      <w:r/>
    </w:p>
    <w:p>
      <w:pPr>
        <w:ind w:firstLine="420"/>
        <w:keepLines w:val="0"/>
        <w:keepNext w:val="0"/>
        <w:pageBreakBefore w:val="0"/>
        <w:spacing w:line="380" w:lineRule="exact"/>
        <w:rPr>
          <w:rFonts w:hint="eastAsia"/>
          <w:bCs/>
        </w:rPr>
        <w:outlineLvl w:val="9"/>
      </w:pPr>
      <w:r>
        <w:rPr>
          <w:rFonts w:hint="eastAsia"/>
          <w:bCs/>
          <w:lang w:val="en-US" w:eastAsia="zh-CN"/>
        </w:rPr>
        <w:t xml:space="preserve">1.</w:t>
      </w:r>
      <w:r>
        <w:rPr>
          <w:rFonts w:hint="eastAsia"/>
          <w:bCs/>
        </w:rPr>
        <w:t xml:space="preserve">1</w:t>
      </w:r>
      <w:r>
        <w:rPr>
          <w:rFonts w:hint="eastAsia"/>
          <w:bCs/>
          <w:lang w:val="en-US" w:eastAsia="zh-CN"/>
        </w:rPr>
        <w:t xml:space="preserve">4 配备</w:t>
      </w:r>
      <w:r>
        <w:rPr>
          <w:rFonts w:hint="eastAsia"/>
          <w:bCs/>
        </w:rPr>
        <w:t xml:space="preserve">1.5″空心靶球3个，十字靶球工装架一件，靶球座3个。</w:t>
      </w:r>
      <w:r/>
    </w:p>
    <w:p>
      <w:pPr>
        <w:ind w:firstLine="420"/>
        <w:keepLines w:val="0"/>
        <w:keepNext w:val="0"/>
        <w:pageBreakBefore w:val="0"/>
        <w:spacing w:line="380" w:lineRule="exact"/>
        <w:rPr>
          <w:rFonts w:hint="eastAsia"/>
          <w:bCs/>
        </w:rPr>
        <w:outlineLvl w:val="9"/>
      </w:pPr>
      <w:r>
        <w:rPr>
          <w:rFonts w:hint="eastAsia"/>
          <w:bCs/>
          <w:lang w:val="en-US" w:eastAsia="zh-CN"/>
        </w:rPr>
        <w:t xml:space="preserve">1.</w:t>
      </w:r>
      <w:r>
        <w:rPr>
          <w:rFonts w:hint="eastAsia"/>
          <w:bCs/>
        </w:rPr>
        <w:t xml:space="preserve">1</w:t>
      </w:r>
      <w:r>
        <w:rPr>
          <w:rFonts w:hint="eastAsia"/>
          <w:bCs/>
          <w:lang w:val="en-US" w:eastAsia="zh-CN"/>
        </w:rPr>
        <w:t xml:space="preserve">5</w:t>
      </w:r>
      <w:r>
        <w:rPr>
          <w:rFonts w:hint="eastAsia"/>
          <w:bCs/>
        </w:rPr>
        <w:t xml:space="preserve">仪器可在恶劣的条件下和封闭拥挤的不同车间环境中使用并保持测量精度，具有环境探测传感器和补偿系统，可对温度、压力等变化自动进行补偿。 </w:t>
      </w:r>
      <w:r/>
    </w:p>
    <w:p>
      <w:pPr>
        <w:ind w:firstLine="420"/>
        <w:keepLines w:val="0"/>
        <w:keepNext w:val="0"/>
        <w:pageBreakBefore w:val="0"/>
        <w:spacing w:line="380" w:lineRule="exact"/>
        <w:rPr>
          <w:rFonts w:hint="eastAsia"/>
          <w:bCs/>
        </w:rPr>
        <w:outlineLvl w:val="9"/>
      </w:pPr>
      <w:r>
        <w:rPr>
          <w:rFonts w:hint="eastAsia"/>
          <w:bCs/>
          <w:lang w:val="en-US" w:eastAsia="zh-CN"/>
        </w:rPr>
        <w:t xml:space="preserve">1.</w:t>
      </w:r>
      <w:r>
        <w:rPr>
          <w:rFonts w:hint="eastAsia"/>
          <w:bCs/>
        </w:rPr>
        <w:t xml:space="preserve">1</w:t>
      </w:r>
      <w:r>
        <w:rPr>
          <w:rFonts w:hint="eastAsia"/>
          <w:bCs/>
          <w:lang w:val="en-US" w:eastAsia="zh-CN"/>
        </w:rPr>
        <w:t xml:space="preserve">6</w:t>
      </w:r>
      <w:r>
        <w:rPr>
          <w:rFonts w:hint="eastAsia"/>
          <w:bCs/>
        </w:rPr>
        <w:t xml:space="preserve">设备使用支持多种安装方式，水平、竖直、倾斜等任意位置都可以使用，使用之前不需要进行物理调平。 </w:t>
      </w:r>
      <w:r/>
    </w:p>
    <w:p>
      <w:pPr>
        <w:ind w:firstLine="420"/>
        <w:keepLines w:val="0"/>
        <w:keepNext w:val="0"/>
        <w:pageBreakBefore w:val="0"/>
        <w:spacing w:line="380" w:lineRule="exact"/>
        <w:rPr>
          <w:rFonts w:hint="eastAsia"/>
          <w:bCs/>
        </w:rPr>
        <w:outlineLvl w:val="9"/>
      </w:pPr>
      <w:r>
        <w:rPr>
          <w:rFonts w:hint="eastAsia"/>
          <w:bCs/>
          <w:lang w:val="en-US" w:eastAsia="zh-CN"/>
        </w:rPr>
        <w:t xml:space="preserve">1.</w:t>
      </w:r>
      <w:r>
        <w:rPr>
          <w:rFonts w:hint="eastAsia"/>
          <w:bCs/>
        </w:rPr>
        <w:t xml:space="preserve">1</w:t>
      </w:r>
      <w:r>
        <w:rPr>
          <w:rFonts w:hint="eastAsia"/>
          <w:bCs/>
          <w:lang w:val="en-US" w:eastAsia="zh-CN"/>
        </w:rPr>
        <w:t xml:space="preserve">7</w:t>
      </w:r>
      <w:r>
        <w:rPr>
          <w:rFonts w:hint="eastAsia"/>
          <w:bCs/>
        </w:rPr>
        <w:t xml:space="preserve">具有快速装卸功能</w:t>
      </w:r>
      <w:r>
        <w:rPr>
          <w:rFonts w:hint="eastAsia"/>
          <w:bCs/>
          <w:lang w:eastAsia="zh-CN"/>
        </w:rPr>
        <w:t xml:space="preserve">，</w:t>
      </w:r>
      <w:r>
        <w:rPr>
          <w:rFonts w:hint="eastAsia"/>
          <w:bCs/>
        </w:rPr>
        <w:t xml:space="preserve">配备三角架及三脚架运输箱，系统防震便携箱。</w:t>
      </w:r>
      <w:r/>
    </w:p>
    <w:p>
      <w:pPr>
        <w:ind w:firstLine="420"/>
        <w:keepLines w:val="0"/>
        <w:keepNext w:val="0"/>
        <w:pageBreakBefore w:val="0"/>
        <w:spacing w:line="380" w:lineRule="exact"/>
        <w:rPr>
          <w:rFonts w:hint="eastAsia" w:eastAsia="宋体"/>
          <w:bCs/>
          <w:lang w:eastAsia="zh-CN"/>
        </w:rPr>
        <w:outlineLvl w:val="9"/>
      </w:pPr>
      <w:r>
        <w:rPr>
          <w:rFonts w:hint="eastAsia"/>
          <w:b w:val="0"/>
          <w:bCs w:val="0"/>
          <w:color w:val="auto"/>
          <w:lang w:val="en-US" w:eastAsia="zh-CN"/>
        </w:rPr>
        <w:t xml:space="preserve">▲</w:t>
      </w:r>
      <w:r>
        <w:rPr>
          <w:rFonts w:hint="eastAsia"/>
          <w:bCs/>
          <w:lang w:val="en-US" w:eastAsia="zh-CN"/>
        </w:rPr>
        <w:t xml:space="preserve">1.</w:t>
      </w:r>
      <w:r>
        <w:rPr>
          <w:rFonts w:hint="eastAsia"/>
          <w:bCs/>
        </w:rPr>
        <w:t xml:space="preserve">18配备六轴</w:t>
      </w:r>
      <w:r>
        <w:rPr>
          <w:rFonts w:hint="eastAsia"/>
          <w:bCs/>
          <w:lang w:val="en-US" w:eastAsia="zh-CN"/>
        </w:rPr>
        <w:t xml:space="preserve">及以上</w:t>
      </w:r>
      <w:r>
        <w:rPr>
          <w:rFonts w:hint="eastAsia"/>
          <w:bCs/>
        </w:rPr>
        <w:t xml:space="preserve">机械臂及安装底座，负载≥</w:t>
      </w:r>
      <w:r>
        <w:rPr>
          <w:rFonts w:hint="eastAsia"/>
          <w:bCs/>
          <w:lang w:val="en-US" w:eastAsia="zh-CN"/>
        </w:rPr>
        <w:t xml:space="preserve">7</w:t>
      </w:r>
      <w:r>
        <w:rPr>
          <w:rFonts w:hint="eastAsia"/>
          <w:bCs/>
        </w:rPr>
        <w:t xml:space="preserve">Kg，臂展≥900mm</w:t>
      </w:r>
      <w:r>
        <w:rPr>
          <w:rFonts w:hint="eastAsia"/>
          <w:bCs/>
          <w:lang w:eastAsia="zh-CN"/>
        </w:rPr>
        <w:t xml:space="preserve">。</w:t>
      </w:r>
      <w:r/>
    </w:p>
    <w:p>
      <w:pPr>
        <w:ind w:firstLine="420"/>
        <w:keepLines w:val="0"/>
        <w:keepNext w:val="0"/>
        <w:pageBreakBefore w:val="0"/>
        <w:spacing w:line="380" w:lineRule="exact"/>
        <w:rPr>
          <w:rFonts w:hint="eastAsia"/>
          <w:bCs/>
        </w:rPr>
        <w:outlineLvl w:val="9"/>
      </w:pPr>
      <w:r>
        <w:rPr>
          <w:rFonts w:hint="eastAsia"/>
          <w:bCs/>
          <w:lang w:val="en-US" w:eastAsia="zh-CN"/>
        </w:rPr>
        <w:t xml:space="preserve">1.</w:t>
      </w:r>
      <w:r>
        <w:rPr>
          <w:rFonts w:hint="eastAsia"/>
          <w:bCs/>
        </w:rPr>
        <w:t xml:space="preserve">19系统应支持220V交流和电池等多种供电方式，电池一次充电完成后供电时间不小于5小时。</w:t>
      </w:r>
      <w:r/>
    </w:p>
    <w:p>
      <w:pPr>
        <w:ind w:firstLine="420"/>
        <w:keepLines w:val="0"/>
        <w:keepNext w:val="0"/>
        <w:pageBreakBefore w:val="0"/>
        <w:spacing w:line="380" w:lineRule="exact"/>
        <w:rPr>
          <w:rFonts w:hint="eastAsia"/>
          <w:bCs/>
        </w:rPr>
        <w:outlineLvl w:val="9"/>
      </w:pPr>
      <w:r>
        <w:rPr>
          <w:rFonts w:hint="eastAsia"/>
          <w:bCs/>
          <w:lang w:val="en-US" w:eastAsia="zh-CN"/>
        </w:rPr>
        <w:t xml:space="preserve">1.</w:t>
      </w:r>
      <w:r>
        <w:rPr>
          <w:rFonts w:hint="eastAsia"/>
          <w:bCs/>
        </w:rPr>
        <w:t xml:space="preserve">20跟踪仪没有视野盲区，以出光口为起点，可在0米到50米范围内进行测量。</w:t>
      </w:r>
      <w:r/>
    </w:p>
    <w:p>
      <w:pPr>
        <w:ind w:firstLine="420"/>
        <w:keepLines w:val="0"/>
        <w:keepNext w:val="0"/>
        <w:pageBreakBefore w:val="0"/>
        <w:spacing w:line="380" w:lineRule="exact"/>
        <w:rPr>
          <w:rFonts w:hint="eastAsia" w:eastAsia="宋体"/>
          <w:bCs/>
          <w:lang w:eastAsia="zh-CN"/>
        </w:rPr>
        <w:outlineLvl w:val="9"/>
      </w:pPr>
      <w:r>
        <w:rPr>
          <w:rFonts w:hint="eastAsia"/>
          <w:b w:val="0"/>
          <w:bCs w:val="0"/>
          <w:color w:val="auto"/>
          <w:lang w:val="en-US" w:eastAsia="zh-CN"/>
        </w:rPr>
        <w:t xml:space="preserve">▲</w:t>
      </w:r>
      <w:r>
        <w:rPr>
          <w:rFonts w:hint="eastAsia"/>
          <w:bCs/>
          <w:lang w:val="en-US" w:eastAsia="zh-CN"/>
        </w:rPr>
        <w:t xml:space="preserve">1.</w:t>
      </w:r>
      <w:r>
        <w:rPr>
          <w:rFonts w:hint="eastAsia"/>
          <w:bCs/>
        </w:rPr>
        <w:t xml:space="preserve">21跟踪仪主机</w:t>
      </w:r>
      <w:r>
        <w:rPr>
          <w:rFonts w:hint="eastAsia"/>
          <w:bCs/>
          <w:lang w:val="en-US" w:eastAsia="zh-CN"/>
        </w:rPr>
        <w:t xml:space="preserve">便携，</w:t>
      </w:r>
      <w:r>
        <w:rPr>
          <w:rFonts w:hint="eastAsia"/>
          <w:bCs/>
        </w:rPr>
        <w:t xml:space="preserve">整体重量</w:t>
      </w:r>
      <w:r>
        <w:rPr>
          <w:rFonts w:hint="eastAsia"/>
          <w:bCs/>
          <w:lang w:eastAsia="zh-CN"/>
        </w:rPr>
        <w:t xml:space="preserve">：</w:t>
      </w:r>
      <w:r>
        <w:rPr>
          <w:rFonts w:hint="eastAsia"/>
          <w:bCs/>
        </w:rPr>
        <w:t xml:space="preserve">≤11Kg</w:t>
      </w:r>
      <w:r>
        <w:rPr>
          <w:rFonts w:hint="eastAsia"/>
          <w:bCs/>
          <w:lang w:eastAsia="zh-CN"/>
        </w:rPr>
        <w:t xml:space="preserve">。</w:t>
      </w:r>
      <w:r/>
    </w:p>
    <w:p>
      <w:pPr>
        <w:ind w:firstLine="420"/>
        <w:keepLines w:val="0"/>
        <w:keepNext w:val="0"/>
        <w:pageBreakBefore w:val="0"/>
        <w:spacing w:line="380" w:lineRule="exact"/>
        <w:rPr>
          <w:rFonts w:hint="eastAsia" w:eastAsia="宋体"/>
          <w:bCs/>
          <w:lang w:eastAsia="zh-CN"/>
        </w:rPr>
        <w:outlineLvl w:val="9"/>
      </w:pPr>
      <w:r>
        <w:rPr>
          <w:rFonts w:hint="eastAsia"/>
          <w:bCs/>
          <w:lang w:val="en-US" w:eastAsia="zh-CN"/>
        </w:rPr>
        <w:t xml:space="preserve">1.</w:t>
      </w:r>
      <w:r>
        <w:rPr>
          <w:rFonts w:hint="eastAsia"/>
          <w:bCs/>
        </w:rPr>
        <w:t xml:space="preserve">22搭载检测用专用软件专用高性能笔记本电脑2台</w:t>
      </w:r>
      <w:r>
        <w:rPr>
          <w:rFonts w:hint="eastAsia" w:ascii="Times New Roman" w:hAnsi="Times New Roman" w:eastAsia="宋体" w:cs="Times New Roman"/>
          <w:b w:val="0"/>
          <w:bCs/>
          <w:sz w:val="21"/>
          <w:szCs w:val="21"/>
          <w:lang w:val="en-US" w:eastAsia="zh-CN"/>
        </w:rPr>
        <w:t xml:space="preserve">（配置不低于：i7 CPU、16GB DDR</w:t>
      </w:r>
      <w:r>
        <w:rPr>
          <w:rFonts w:hint="eastAsia" w:cs="Times New Roman"/>
          <w:b w:val="0"/>
          <w:bCs/>
          <w:sz w:val="21"/>
          <w:szCs w:val="21"/>
          <w:lang w:val="en-US" w:eastAsia="zh-CN"/>
        </w:rPr>
        <w:t xml:space="preserve">5</w:t>
      </w:r>
      <w:r>
        <w:rPr>
          <w:rFonts w:hint="eastAsia" w:ascii="Times New Roman" w:hAnsi="Times New Roman" w:eastAsia="宋体" w:cs="Times New Roman"/>
          <w:b w:val="0"/>
          <w:bCs/>
          <w:sz w:val="21"/>
          <w:szCs w:val="21"/>
          <w:lang w:val="en-US" w:eastAsia="zh-CN"/>
        </w:rPr>
        <w:t xml:space="preserve">、512GB SSD、独立显卡）</w:t>
      </w:r>
      <w:r>
        <w:rPr>
          <w:rFonts w:hint="eastAsia"/>
          <w:bCs/>
          <w:lang w:eastAsia="zh-CN"/>
        </w:rPr>
        <w:t xml:space="preserve">。</w:t>
      </w:r>
      <w:r/>
    </w:p>
    <w:p>
      <w:pPr>
        <w:ind w:firstLine="420"/>
        <w:keepLines w:val="0"/>
        <w:keepNext w:val="0"/>
        <w:pageBreakBefore w:val="0"/>
        <w:spacing w:line="380" w:lineRule="exact"/>
        <w:rPr>
          <w:rFonts w:hint="eastAsia"/>
          <w:bCs/>
        </w:rPr>
        <w:outlineLvl w:val="9"/>
      </w:pPr>
      <w:r>
        <w:rPr>
          <w:rFonts w:hint="eastAsia"/>
          <w:bCs/>
          <w:lang w:val="en-US" w:eastAsia="zh-CN"/>
        </w:rPr>
        <w:t xml:space="preserve">1.</w:t>
      </w:r>
      <w:r>
        <w:rPr>
          <w:rFonts w:hint="eastAsia"/>
          <w:bCs/>
        </w:rPr>
        <w:t xml:space="preserve">2</w:t>
      </w:r>
      <w:r>
        <w:rPr>
          <w:rFonts w:hint="eastAsia"/>
          <w:bCs/>
          <w:lang w:val="en-US" w:eastAsia="zh-CN"/>
        </w:rPr>
        <w:t xml:space="preserve">3</w:t>
      </w:r>
      <w:r>
        <w:rPr>
          <w:rFonts w:hint="eastAsia"/>
          <w:bCs/>
        </w:rPr>
        <w:t xml:space="preserve">工业机器人测量软件可适用于通用6轴工业机器人、SCARA、码垛机器人等通用机器人的校准及性能测试。</w:t>
      </w:r>
      <w:r/>
    </w:p>
    <w:p>
      <w:pPr>
        <w:ind w:firstLine="420"/>
        <w:keepLines w:val="0"/>
        <w:keepNext w:val="0"/>
        <w:pageBreakBefore w:val="0"/>
        <w:spacing w:line="380" w:lineRule="exact"/>
        <w:rPr>
          <w:rFonts w:hint="eastAsia"/>
          <w:bCs/>
        </w:rPr>
        <w:outlineLvl w:val="9"/>
      </w:pPr>
      <w:r>
        <w:rPr>
          <w:rFonts w:hint="eastAsia"/>
          <w:bCs/>
          <w:lang w:val="en-US" w:eastAsia="zh-CN"/>
        </w:rPr>
        <w:t xml:space="preserve">1.</w:t>
      </w:r>
      <w:r>
        <w:rPr>
          <w:rFonts w:hint="eastAsia"/>
          <w:bCs/>
        </w:rPr>
        <w:t xml:space="preserve">2</w:t>
      </w:r>
      <w:r>
        <w:rPr>
          <w:rFonts w:hint="eastAsia"/>
          <w:bCs/>
          <w:lang w:val="en-US" w:eastAsia="zh-CN"/>
        </w:rPr>
        <w:t xml:space="preserve">4</w:t>
      </w:r>
      <w:r>
        <w:rPr>
          <w:rFonts w:hint="eastAsia"/>
          <w:bCs/>
        </w:rPr>
        <w:t xml:space="preserve">工业机器人测量软件能校准工业机器人杆长、零位、减速比、耦合比等参数。</w:t>
      </w:r>
      <w:r/>
    </w:p>
    <w:p>
      <w:pPr>
        <w:ind w:firstLine="420"/>
        <w:keepLines w:val="0"/>
        <w:keepNext w:val="0"/>
        <w:pageBreakBefore w:val="0"/>
        <w:spacing w:line="380" w:lineRule="exact"/>
        <w:rPr>
          <w:rFonts w:hint="eastAsia"/>
          <w:bCs/>
        </w:rPr>
        <w:outlineLvl w:val="9"/>
      </w:pPr>
      <w:r>
        <w:rPr>
          <w:rFonts w:hint="eastAsia"/>
          <w:bCs/>
          <w:lang w:val="en-US" w:eastAsia="zh-CN"/>
        </w:rPr>
        <w:t xml:space="preserve">1.</w:t>
      </w:r>
      <w:r>
        <w:rPr>
          <w:rFonts w:hint="eastAsia"/>
          <w:bCs/>
        </w:rPr>
        <w:t xml:space="preserve">2</w:t>
      </w:r>
      <w:r>
        <w:rPr>
          <w:rFonts w:hint="eastAsia"/>
          <w:bCs/>
          <w:lang w:val="en-US" w:eastAsia="zh-CN"/>
        </w:rPr>
        <w:t xml:space="preserve">5 </w:t>
      </w:r>
      <w:r>
        <w:rPr>
          <w:rFonts w:hint="eastAsia"/>
          <w:bCs/>
        </w:rPr>
        <w:t xml:space="preserve">能根据GB/T 12642-2013实现静态性能测试（至少包含以下6项）：位姿准确度和位姿重复性，多方向位姿准确度变动，距离准确度和距离重复性，位姿特性漂移，互换性，静态柔顺性；以及动态性能测试（至少包含以下8项）：位置稳定时间，位置超调量，轨迹准确度和重复性，重定向轨迹准确度，拐角偏差，轨迹速度特性，最小定位时间，摆动偏差。</w:t>
      </w:r>
      <w:r/>
    </w:p>
    <w:p>
      <w:pPr>
        <w:ind w:firstLine="420"/>
        <w:keepLines w:val="0"/>
        <w:keepNext w:val="0"/>
        <w:pageBreakBefore w:val="0"/>
        <w:spacing w:line="380" w:lineRule="exact"/>
        <w:rPr>
          <w:rFonts w:hint="eastAsia"/>
          <w:bCs/>
          <w:lang w:eastAsia="zh-CN"/>
        </w:rPr>
        <w:outlineLvl w:val="9"/>
      </w:pPr>
      <w:r>
        <w:rPr>
          <w:rFonts w:hint="eastAsia"/>
          <w:bCs/>
          <w:lang w:val="en-US" w:eastAsia="zh-CN"/>
        </w:rPr>
        <w:t xml:space="preserve">1.</w:t>
      </w:r>
      <w:r>
        <w:rPr>
          <w:rFonts w:hint="eastAsia"/>
          <w:bCs/>
        </w:rPr>
        <w:t xml:space="preserve">2</w:t>
      </w:r>
      <w:r>
        <w:rPr>
          <w:rFonts w:hint="eastAsia"/>
          <w:bCs/>
          <w:lang w:val="en-US" w:eastAsia="zh-CN"/>
        </w:rPr>
        <w:t xml:space="preserve">6软件</w:t>
      </w:r>
      <w:r>
        <w:rPr>
          <w:rFonts w:hint="eastAsia"/>
          <w:bCs/>
        </w:rPr>
        <w:t xml:space="preserve">支持单轴反向间隙与重复性测试，需提供测试界面</w:t>
      </w:r>
      <w:r>
        <w:rPr>
          <w:rFonts w:hint="eastAsia"/>
          <w:bCs/>
          <w:lang w:eastAsia="zh-CN"/>
        </w:rPr>
        <w:t xml:space="preserve">。</w:t>
      </w:r>
      <w:r/>
    </w:p>
    <w:p>
      <w:pPr>
        <w:ind w:firstLine="420"/>
        <w:keepLines w:val="0"/>
        <w:keepNext w:val="0"/>
        <w:pageBreakBefore w:val="0"/>
        <w:spacing w:line="380" w:lineRule="exact"/>
        <w:rPr>
          <w:rFonts w:hint="default"/>
          <w:bCs/>
          <w:lang w:val="en-US" w:eastAsia="zh-CN"/>
        </w:rPr>
        <w:outlineLvl w:val="9"/>
      </w:pPr>
      <w:r>
        <w:rPr>
          <w:rFonts w:hint="eastAsia"/>
          <w:bCs/>
          <w:lang w:val="en-US" w:eastAsia="zh-CN"/>
        </w:rPr>
        <w:t xml:space="preserve">1.27软件支持机器人TCP误差测量功能，需提供测试界面。</w:t>
      </w:r>
      <w:r/>
    </w:p>
    <w:p>
      <w:pPr>
        <w:ind w:firstLine="422"/>
        <w:keepLines w:val="0"/>
        <w:keepNext w:val="0"/>
        <w:pageBreakBefore w:val="0"/>
        <w:spacing w:line="380" w:lineRule="exact"/>
        <w:rPr>
          <w:rFonts w:hint="eastAsia" w:eastAsia="宋体"/>
          <w:b/>
          <w:lang w:eastAsia="zh-CN"/>
        </w:rPr>
        <w:outlineLvl w:val="9"/>
      </w:pPr>
      <w:r>
        <w:rPr>
          <w:b/>
        </w:rPr>
        <w:t xml:space="preserve">品目</w:t>
      </w:r>
      <w:r>
        <w:rPr>
          <w:rFonts w:hint="eastAsia"/>
          <w:b/>
          <w:lang w:val="en-US" w:eastAsia="zh-CN"/>
        </w:rPr>
        <w:t xml:space="preserve">2</w:t>
      </w:r>
      <w:r>
        <w:rPr>
          <w:b/>
        </w:rPr>
        <w:t xml:space="preserve">：</w:t>
      </w:r>
      <w:r>
        <w:rPr>
          <w:rFonts w:hint="eastAsia"/>
          <w:b/>
          <w:bCs/>
          <w:color w:val="auto"/>
        </w:rPr>
        <w:t xml:space="preserve">激光干涉仪</w:t>
      </w:r>
      <w:r>
        <w:rPr>
          <w:rFonts w:hint="eastAsia"/>
          <w:b/>
          <w:bCs/>
          <w:color w:val="auto"/>
          <w:lang w:eastAsia="zh-CN"/>
        </w:rPr>
        <w:t xml:space="preserve">（</w:t>
      </w:r>
      <w:r>
        <w:rPr>
          <w:rFonts w:hint="eastAsia"/>
          <w:b/>
          <w:bCs/>
          <w:color w:val="auto"/>
          <w:lang w:val="en-US" w:eastAsia="zh-CN"/>
        </w:rPr>
        <w:t xml:space="preserve">1台</w:t>
      </w:r>
      <w:r>
        <w:rPr>
          <w:rFonts w:hint="eastAsia"/>
          <w:b/>
          <w:bCs/>
          <w:color w:val="auto"/>
          <w:lang w:eastAsia="zh-CN"/>
        </w:rPr>
        <w:t xml:space="preserve">）</w:t>
      </w:r>
      <w:r/>
    </w:p>
    <w:p>
      <w:pPr>
        <w:ind w:firstLine="420"/>
        <w:keepLines w:val="0"/>
        <w:keepNext w:val="0"/>
        <w:pageBreakBefore w:val="0"/>
        <w:spacing w:line="380" w:lineRule="exact"/>
        <w:rPr>
          <w:rFonts w:hint="eastAsia"/>
          <w:bCs/>
          <w:lang w:val="en-US" w:eastAsia="zh-CN"/>
        </w:rPr>
        <w:outlineLvl w:val="9"/>
      </w:pPr>
      <w:r>
        <w:rPr>
          <w:rFonts w:hint="eastAsia"/>
          <w:bCs/>
          <w:lang w:val="en-US" w:eastAsia="zh-CN"/>
        </w:rPr>
        <w:t xml:space="preserve">★2.1激光光源：HeNe双频激光器。</w:t>
      </w:r>
      <w:r/>
    </w:p>
    <w:p>
      <w:pPr>
        <w:ind w:firstLine="420"/>
        <w:keepLines w:val="0"/>
        <w:keepNext w:val="0"/>
        <w:pageBreakBefore w:val="0"/>
        <w:spacing w:line="380" w:lineRule="exact"/>
        <w:rPr>
          <w:rFonts w:hint="eastAsia"/>
          <w:bCs/>
          <w:lang w:val="en-US" w:eastAsia="zh-CN"/>
        </w:rPr>
        <w:outlineLvl w:val="9"/>
      </w:pPr>
      <w:r>
        <w:rPr>
          <w:rFonts w:hint="eastAsia"/>
          <w:b w:val="0"/>
          <w:bCs w:val="0"/>
          <w:color w:val="auto"/>
          <w:lang w:val="en-US" w:eastAsia="zh-CN"/>
        </w:rPr>
        <w:t xml:space="preserve">▲</w:t>
      </w:r>
      <w:r>
        <w:rPr>
          <w:rFonts w:hint="eastAsia"/>
          <w:bCs/>
          <w:lang w:val="en-US" w:eastAsia="zh-CN"/>
        </w:rPr>
        <w:t xml:space="preserve">2.2双频激光频差：7±0.5MHz。</w:t>
      </w:r>
      <w:r/>
    </w:p>
    <w:p>
      <w:pPr>
        <w:ind w:firstLine="420"/>
        <w:keepLines w:val="0"/>
        <w:keepNext w:val="0"/>
        <w:pageBreakBefore w:val="0"/>
        <w:spacing w:line="380" w:lineRule="exact"/>
        <w:rPr>
          <w:rFonts w:hint="eastAsia"/>
          <w:bCs/>
          <w:lang w:val="en-US" w:eastAsia="zh-CN"/>
        </w:rPr>
        <w:outlineLvl w:val="9"/>
      </w:pPr>
      <w:r>
        <w:rPr>
          <w:rFonts w:hint="eastAsia"/>
          <w:bCs/>
          <w:lang w:val="en-US" w:eastAsia="zh-CN"/>
        </w:rPr>
        <w:t xml:space="preserve">2.3激光功率：＞0.5mW。</w:t>
      </w:r>
      <w:r/>
    </w:p>
    <w:p>
      <w:pPr>
        <w:ind w:firstLine="420"/>
        <w:keepLines w:val="0"/>
        <w:keepNext w:val="0"/>
        <w:pageBreakBefore w:val="0"/>
        <w:spacing w:line="380" w:lineRule="exact"/>
        <w:rPr>
          <w:rFonts w:hint="eastAsia"/>
          <w:bCs/>
          <w:lang w:val="en-US" w:eastAsia="zh-CN"/>
        </w:rPr>
        <w:outlineLvl w:val="9"/>
      </w:pPr>
      <w:r>
        <w:rPr>
          <w:rFonts w:hint="eastAsia"/>
          <w:bCs/>
          <w:lang w:val="en-US" w:eastAsia="zh-CN"/>
        </w:rPr>
        <w:t xml:space="preserve">2.4激光稳频精度：±0.03ppm。</w:t>
      </w:r>
      <w:r/>
    </w:p>
    <w:p>
      <w:pPr>
        <w:ind w:firstLine="420"/>
        <w:keepLines w:val="0"/>
        <w:keepNext w:val="0"/>
        <w:pageBreakBefore w:val="0"/>
        <w:spacing w:line="380" w:lineRule="exact"/>
        <w:rPr>
          <w:rFonts w:hint="eastAsia"/>
          <w:bCs/>
          <w:lang w:val="en-US" w:eastAsia="zh-CN"/>
        </w:rPr>
        <w:outlineLvl w:val="9"/>
      </w:pPr>
      <w:r>
        <w:rPr>
          <w:rFonts w:hint="eastAsia"/>
          <w:bCs/>
          <w:lang w:val="en-US" w:eastAsia="zh-CN"/>
        </w:rPr>
        <w:t xml:space="preserve">▲2.5（线性）测量精度：±0.4ppm。</w:t>
      </w:r>
      <w:r/>
    </w:p>
    <w:p>
      <w:pPr>
        <w:ind w:firstLine="420"/>
        <w:keepLines w:val="0"/>
        <w:keepNext w:val="0"/>
        <w:pageBreakBefore w:val="0"/>
        <w:spacing w:line="380" w:lineRule="exact"/>
        <w:rPr>
          <w:rFonts w:hint="eastAsia"/>
          <w:bCs/>
          <w:lang w:val="en-US" w:eastAsia="zh-CN"/>
        </w:rPr>
        <w:outlineLvl w:val="9"/>
      </w:pPr>
      <w:r>
        <w:rPr>
          <w:rFonts w:hint="eastAsia"/>
          <w:bCs/>
          <w:lang w:val="en-US" w:eastAsia="zh-CN"/>
        </w:rPr>
        <w:t xml:space="preserve">★2.6配备回转轴测量组件，（角度）测量精度：±1角秒。</w:t>
      </w:r>
      <w:r/>
    </w:p>
    <w:p>
      <w:pPr>
        <w:ind w:firstLine="420"/>
        <w:keepLines w:val="0"/>
        <w:keepNext w:val="0"/>
        <w:pageBreakBefore w:val="0"/>
        <w:spacing w:line="380" w:lineRule="exact"/>
        <w:rPr>
          <w:rFonts w:hint="eastAsia"/>
          <w:bCs/>
          <w:highlight w:val="none"/>
          <w:lang w:val="en-US" w:eastAsia="zh-CN"/>
        </w:rPr>
        <w:outlineLvl w:val="9"/>
      </w:pPr>
      <w:r>
        <w:rPr>
          <w:rFonts w:hint="eastAsia"/>
          <w:bCs/>
          <w:highlight w:val="none"/>
          <w:lang w:val="en-US" w:eastAsia="zh-CN"/>
        </w:rPr>
        <w:t xml:space="preserve">2.7分辨率：</w:t>
      </w:r>
      <w:r>
        <w:rPr>
          <w:rFonts w:hint="eastAsia"/>
          <w:bCs/>
          <w:highlight w:val="none"/>
        </w:rPr>
        <w:t xml:space="preserve">≤</w:t>
      </w:r>
      <w:r>
        <w:rPr>
          <w:rFonts w:hint="eastAsia"/>
          <w:bCs/>
          <w:highlight w:val="none"/>
          <w:lang w:val="en-US" w:eastAsia="zh-CN"/>
        </w:rPr>
        <w:t xml:space="preserve">1nm。</w:t>
      </w:r>
      <w:r/>
    </w:p>
    <w:p>
      <w:pPr>
        <w:ind w:firstLine="420"/>
        <w:keepLines w:val="0"/>
        <w:keepNext w:val="0"/>
        <w:pageBreakBefore w:val="0"/>
        <w:spacing w:line="380" w:lineRule="exact"/>
        <w:rPr>
          <w:rFonts w:hint="eastAsia"/>
          <w:bCs/>
          <w:highlight w:val="none"/>
          <w:lang w:val="en-US" w:eastAsia="zh-CN"/>
        </w:rPr>
        <w:outlineLvl w:val="9"/>
      </w:pPr>
      <w:r>
        <w:rPr>
          <w:rFonts w:hint="eastAsia"/>
          <w:bCs/>
          <w:highlight w:val="none"/>
          <w:lang w:val="en-US" w:eastAsia="zh-CN"/>
        </w:rPr>
        <w:t xml:space="preserve">2.8测量范围：0-80m。</w:t>
      </w:r>
      <w:r/>
    </w:p>
    <w:p>
      <w:pPr>
        <w:ind w:firstLine="420"/>
        <w:keepLines w:val="0"/>
        <w:keepNext w:val="0"/>
        <w:pageBreakBefore w:val="0"/>
        <w:spacing w:line="380" w:lineRule="exact"/>
        <w:rPr>
          <w:rFonts w:hint="eastAsia"/>
          <w:bCs/>
          <w:highlight w:val="none"/>
          <w:lang w:val="en-US" w:eastAsia="zh-CN"/>
        </w:rPr>
        <w:outlineLvl w:val="9"/>
      </w:pPr>
      <w:r>
        <w:rPr>
          <w:rFonts w:hint="eastAsia"/>
          <w:bCs/>
          <w:highlight w:val="none"/>
          <w:lang w:val="en-US" w:eastAsia="zh-CN"/>
        </w:rPr>
        <w:t xml:space="preserve">2.9最高测量速度：</w:t>
      </w:r>
      <w:r>
        <w:rPr>
          <w:rFonts w:hint="eastAsia"/>
          <w:bCs/>
          <w:highlight w:val="none"/>
        </w:rPr>
        <w:t xml:space="preserve">≥</w:t>
      </w:r>
      <w:r>
        <w:rPr>
          <w:rFonts w:hint="eastAsia"/>
          <w:bCs/>
          <w:highlight w:val="none"/>
          <w:lang w:val="en-US" w:eastAsia="zh-CN"/>
        </w:rPr>
        <w:t xml:space="preserve">2m/s。</w:t>
      </w:r>
      <w:r/>
    </w:p>
    <w:p>
      <w:pPr>
        <w:ind w:firstLine="420"/>
        <w:keepLines w:val="0"/>
        <w:keepNext w:val="0"/>
        <w:pageBreakBefore w:val="0"/>
        <w:spacing w:line="380" w:lineRule="exact"/>
        <w:rPr>
          <w:rFonts w:hint="eastAsia"/>
          <w:bCs/>
          <w:lang w:val="en-US" w:eastAsia="zh-CN"/>
        </w:rPr>
        <w:outlineLvl w:val="9"/>
      </w:pPr>
      <w:r>
        <w:rPr>
          <w:rFonts w:hint="eastAsia"/>
          <w:bCs/>
          <w:highlight w:val="none"/>
          <w:lang w:val="en-US" w:eastAsia="zh-CN"/>
        </w:rPr>
        <w:t xml:space="preserve">2.10动态采集频率：0.1Hz-100kHz</w:t>
      </w:r>
      <w:r>
        <w:rPr>
          <w:rFonts w:hint="eastAsia"/>
          <w:bCs/>
          <w:lang w:val="en-US" w:eastAsia="zh-CN"/>
        </w:rPr>
        <w:t xml:space="preserve">。</w:t>
      </w:r>
      <w:r/>
    </w:p>
    <w:p>
      <w:pPr>
        <w:ind w:firstLine="420"/>
        <w:keepLines w:val="0"/>
        <w:keepNext w:val="0"/>
        <w:pageBreakBefore w:val="0"/>
        <w:spacing w:line="380" w:lineRule="exact"/>
        <w:rPr>
          <w:rFonts w:hint="eastAsia"/>
          <w:bCs/>
          <w:lang w:val="en-US" w:eastAsia="zh-CN"/>
        </w:rPr>
        <w:outlineLvl w:val="9"/>
      </w:pPr>
      <w:r>
        <w:rPr>
          <w:rFonts w:hint="eastAsia"/>
          <w:bCs/>
          <w:lang w:val="en-US" w:eastAsia="zh-CN"/>
        </w:rPr>
        <w:t xml:space="preserve">2.11配备专用笔记本电脑1台</w:t>
      </w:r>
      <w:r>
        <w:rPr>
          <w:rFonts w:hint="eastAsia" w:ascii="Times New Roman" w:hAnsi="Times New Roman" w:eastAsia="宋体" w:cs="Times New Roman"/>
          <w:b w:val="0"/>
          <w:bCs/>
          <w:sz w:val="21"/>
          <w:szCs w:val="21"/>
          <w:lang w:val="en-US" w:eastAsia="zh-CN"/>
        </w:rPr>
        <w:t xml:space="preserve">（配置不低于：i7 CPU、16GB DDR</w:t>
      </w:r>
      <w:r>
        <w:rPr>
          <w:rFonts w:hint="eastAsia" w:cs="Times New Roman"/>
          <w:b w:val="0"/>
          <w:bCs/>
          <w:sz w:val="21"/>
          <w:szCs w:val="21"/>
          <w:lang w:val="en-US" w:eastAsia="zh-CN"/>
        </w:rPr>
        <w:t xml:space="preserve">5</w:t>
      </w:r>
      <w:r>
        <w:rPr>
          <w:rFonts w:hint="eastAsia" w:ascii="Times New Roman" w:hAnsi="Times New Roman" w:eastAsia="宋体" w:cs="Times New Roman"/>
          <w:b w:val="0"/>
          <w:bCs/>
          <w:sz w:val="21"/>
          <w:szCs w:val="21"/>
          <w:lang w:val="en-US" w:eastAsia="zh-CN"/>
        </w:rPr>
        <w:t xml:space="preserve">、512GB SSD、独立显卡）</w:t>
      </w:r>
      <w:r>
        <w:rPr>
          <w:rFonts w:hint="eastAsia"/>
          <w:bCs/>
          <w:lang w:val="en-US" w:eastAsia="zh-CN"/>
        </w:rPr>
        <w:t xml:space="preserve">。</w:t>
      </w:r>
      <w:r/>
    </w:p>
    <w:p>
      <w:pPr>
        <w:ind w:firstLine="422"/>
        <w:keepLines w:val="0"/>
        <w:keepNext w:val="0"/>
        <w:pageBreakBefore w:val="0"/>
        <w:spacing w:line="380" w:lineRule="exact"/>
        <w:rPr>
          <w:rFonts w:hint="eastAsia"/>
          <w:b/>
          <w:bCs/>
          <w:color w:val="auto"/>
        </w:rPr>
        <w:outlineLvl w:val="9"/>
      </w:pPr>
      <w:r>
        <w:rPr>
          <w:b/>
        </w:rPr>
        <w:t xml:space="preserve">品目</w:t>
      </w:r>
      <w:r>
        <w:rPr>
          <w:rFonts w:hint="eastAsia"/>
          <w:b/>
          <w:lang w:val="en-US" w:eastAsia="zh-CN"/>
        </w:rPr>
        <w:t xml:space="preserve">3</w:t>
      </w:r>
      <w:r>
        <w:rPr>
          <w:b/>
        </w:rPr>
        <w:t xml:space="preserve">：</w:t>
      </w:r>
      <w:r>
        <w:rPr>
          <w:rFonts w:hint="eastAsia"/>
          <w:b/>
          <w:bCs/>
          <w:color w:val="auto"/>
        </w:rPr>
        <w:t xml:space="preserve">浪涌信号线耦合去耦网络</w:t>
      </w:r>
      <w:r>
        <w:rPr>
          <w:rFonts w:hint="eastAsia"/>
          <w:b/>
          <w:bCs/>
          <w:color w:val="auto"/>
          <w:lang w:eastAsia="zh-CN"/>
        </w:rPr>
        <w:t xml:space="preserve">（</w:t>
      </w:r>
      <w:r>
        <w:rPr>
          <w:rFonts w:hint="eastAsia"/>
          <w:b/>
          <w:bCs/>
          <w:color w:val="auto"/>
          <w:lang w:val="en-US" w:eastAsia="zh-CN"/>
        </w:rPr>
        <w:t xml:space="preserve">1台</w:t>
      </w:r>
      <w:r>
        <w:rPr>
          <w:rFonts w:hint="eastAsia"/>
          <w:b/>
          <w:bCs/>
          <w:color w:val="auto"/>
          <w:lang w:eastAsia="zh-CN"/>
        </w:rPr>
        <w:t xml:space="preserve">）</w:t>
      </w:r>
      <w:r/>
    </w:p>
    <w:p>
      <w:pPr>
        <w:ind w:firstLine="420"/>
        <w:keepLines w:val="0"/>
        <w:keepNext w:val="0"/>
        <w:pageBreakBefore w:val="0"/>
        <w:spacing w:line="380" w:lineRule="exact"/>
        <w:rPr>
          <w:rFonts w:hint="eastAsia"/>
          <w:b w:val="0"/>
          <w:bCs w:val="0"/>
          <w:color w:val="auto"/>
          <w:lang w:val="en-US" w:eastAsia="zh-CN"/>
        </w:rPr>
        <w:outlineLvl w:val="9"/>
      </w:pPr>
      <w:r>
        <w:rPr>
          <w:rFonts w:hint="eastAsia"/>
          <w:b w:val="0"/>
          <w:bCs w:val="0"/>
          <w:color w:val="auto"/>
          <w:lang w:val="en-US" w:eastAsia="zh-CN"/>
        </w:rPr>
        <w:t xml:space="preserve">3.1符合1.2/50us、10/700us浪涌波形抗扰度试验的特点和要求。</w:t>
      </w:r>
      <w:r/>
    </w:p>
    <w:p>
      <w:pPr>
        <w:ind w:firstLine="420"/>
        <w:keepLines w:val="0"/>
        <w:keepNext w:val="0"/>
        <w:pageBreakBefore w:val="0"/>
        <w:spacing w:line="380" w:lineRule="exact"/>
        <w:rPr>
          <w:rFonts w:hint="eastAsia"/>
          <w:b w:val="0"/>
          <w:bCs w:val="0"/>
          <w:color w:val="auto"/>
          <w:lang w:val="en-US" w:eastAsia="zh-CN"/>
        </w:rPr>
        <w:outlineLvl w:val="9"/>
      </w:pPr>
      <w:r>
        <w:rPr>
          <w:rFonts w:hint="eastAsia"/>
          <w:b w:val="0"/>
          <w:bCs w:val="0"/>
          <w:color w:val="auto"/>
          <w:lang w:val="en-US" w:eastAsia="zh-CN"/>
        </w:rPr>
        <w:t xml:space="preserve">▲3.2耦合网络符合GB/T 17626.5-2019中图9、图10、图11的要求，可搭配实验室现有雷击浪涌发生器主机完成信号线测试，可满足1对/2对非屏蔽对称线、4线非屏蔽不对称线在线测试，数据速率不低于5Mbit/s。</w:t>
      </w:r>
      <w:r/>
    </w:p>
    <w:p>
      <w:pPr>
        <w:ind w:firstLine="420"/>
        <w:keepLines w:val="0"/>
        <w:keepNext w:val="0"/>
        <w:pageBreakBefore w:val="0"/>
        <w:spacing w:line="380" w:lineRule="exact"/>
        <w:rPr>
          <w:rFonts w:hint="eastAsia"/>
          <w:b w:val="0"/>
          <w:bCs w:val="0"/>
          <w:color w:val="auto"/>
          <w:lang w:val="en-US" w:eastAsia="zh-CN"/>
        </w:rPr>
        <w:outlineLvl w:val="9"/>
      </w:pPr>
      <w:r>
        <w:rPr>
          <w:rFonts w:hint="eastAsia"/>
          <w:b w:val="0"/>
          <w:bCs w:val="0"/>
          <w:color w:val="auto"/>
          <w:lang w:val="en-US" w:eastAsia="zh-CN"/>
        </w:rPr>
        <w:t xml:space="preserve">3.3满足4对高速通信线在线测试，数据速率不低于1000Mbit/s。</w:t>
      </w:r>
      <w:r/>
    </w:p>
    <w:p>
      <w:pPr>
        <w:ind w:firstLine="420"/>
        <w:keepLines w:val="0"/>
        <w:keepNext w:val="0"/>
        <w:pageBreakBefore w:val="0"/>
        <w:spacing w:line="380" w:lineRule="exact"/>
        <w:rPr>
          <w:rFonts w:hint="eastAsia"/>
          <w:b w:val="0"/>
          <w:bCs w:val="0"/>
          <w:color w:val="auto"/>
          <w:lang w:val="en-US" w:eastAsia="zh-CN"/>
        </w:rPr>
        <w:outlineLvl w:val="9"/>
      </w:pPr>
      <w:r>
        <w:rPr>
          <w:rFonts w:hint="eastAsia"/>
          <w:b w:val="0"/>
          <w:bCs w:val="0"/>
          <w:color w:val="auto"/>
          <w:lang w:val="en-US" w:eastAsia="zh-CN"/>
        </w:rPr>
        <w:t xml:space="preserve">3.4配置信号线耦合/去耦网络：一套。</w:t>
      </w:r>
      <w:r/>
    </w:p>
    <w:p>
      <w:pPr>
        <w:ind w:firstLine="420"/>
        <w:keepLines w:val="0"/>
        <w:keepNext w:val="0"/>
        <w:pageBreakBefore w:val="0"/>
        <w:spacing w:line="380" w:lineRule="exact"/>
        <w:rPr>
          <w:rFonts w:hint="eastAsia"/>
          <w:b w:val="0"/>
          <w:bCs w:val="0"/>
          <w:color w:val="auto"/>
          <w:lang w:val="en-US" w:eastAsia="zh-CN"/>
        </w:rPr>
        <w:outlineLvl w:val="9"/>
      </w:pPr>
      <w:r>
        <w:rPr>
          <w:rFonts w:hint="eastAsia"/>
          <w:b w:val="0"/>
          <w:bCs w:val="0"/>
          <w:color w:val="auto"/>
          <w:lang w:val="en-US" w:eastAsia="zh-CN"/>
        </w:rPr>
        <w:t xml:space="preserve">3.5配置高速通信线耦合/去耦网络：一套。</w:t>
      </w:r>
      <w:r/>
    </w:p>
    <w:p>
      <w:pPr>
        <w:ind w:firstLine="420"/>
        <w:keepLines w:val="0"/>
        <w:keepNext w:val="0"/>
        <w:pageBreakBefore w:val="0"/>
        <w:spacing w:line="380" w:lineRule="exact"/>
        <w:rPr>
          <w:rFonts w:hint="eastAsia"/>
          <w:b w:val="0"/>
          <w:bCs w:val="0"/>
          <w:color w:val="auto"/>
          <w:lang w:val="en-US" w:eastAsia="zh-CN"/>
        </w:rPr>
        <w:outlineLvl w:val="9"/>
      </w:pPr>
      <w:r>
        <w:rPr>
          <w:rFonts w:hint="eastAsia"/>
          <w:b w:val="0"/>
          <w:bCs w:val="0"/>
          <w:color w:val="auto"/>
          <w:lang w:val="en-US" w:eastAsia="zh-CN"/>
        </w:rPr>
        <w:t xml:space="preserve">3.6配置配套测试线：一套。</w:t>
      </w:r>
      <w:r/>
    </w:p>
    <w:p>
      <w:pPr>
        <w:ind w:firstLine="420"/>
        <w:keepLines w:val="0"/>
        <w:keepNext w:val="0"/>
        <w:pageBreakBefore w:val="0"/>
        <w:spacing w:line="380" w:lineRule="exact"/>
        <w:rPr>
          <w:rFonts w:hint="eastAsia"/>
          <w:b w:val="0"/>
          <w:bCs w:val="0"/>
          <w:color w:val="auto"/>
          <w:lang w:val="en-US" w:eastAsia="zh-CN"/>
        </w:rPr>
        <w:outlineLvl w:val="9"/>
      </w:pPr>
      <w:r>
        <w:rPr>
          <w:rFonts w:hint="eastAsia"/>
          <w:bCs/>
          <w:lang w:val="en-US" w:eastAsia="zh-CN"/>
        </w:rPr>
        <w:t xml:space="preserve">★</w:t>
      </w:r>
      <w:r>
        <w:rPr>
          <w:rFonts w:hint="eastAsia"/>
          <w:b w:val="0"/>
          <w:bCs w:val="0"/>
          <w:color w:val="auto"/>
          <w:lang w:val="en-US" w:eastAsia="zh-CN"/>
        </w:rPr>
        <w:t xml:space="preserve">3.7需适配实验室现有设备（现有设备为杭州远方的高功率浪涌脉冲测试系统的EMS7000和TESEQ的三相雷击浪涌振铃波测试系统NSG3060）。</w:t>
      </w:r>
      <w:r/>
    </w:p>
    <w:p>
      <w:pPr>
        <w:ind w:firstLine="422"/>
        <w:keepLines w:val="0"/>
        <w:keepNext w:val="0"/>
        <w:pageBreakBefore w:val="0"/>
        <w:spacing w:line="380" w:lineRule="exact"/>
        <w:rPr>
          <w:rFonts w:hint="eastAsia" w:eastAsia="宋体"/>
          <w:b/>
          <w:bCs/>
          <w:color w:val="auto"/>
          <w:lang w:eastAsia="zh-CN"/>
        </w:rPr>
        <w:outlineLvl w:val="9"/>
      </w:pPr>
      <w:r>
        <w:rPr>
          <w:b/>
        </w:rPr>
        <w:t xml:space="preserve">品目</w:t>
      </w:r>
      <w:r>
        <w:rPr>
          <w:rFonts w:hint="eastAsia"/>
          <w:b/>
          <w:lang w:val="en-US" w:eastAsia="zh-CN"/>
        </w:rPr>
        <w:t xml:space="preserve">4</w:t>
      </w:r>
      <w:r>
        <w:rPr>
          <w:b/>
        </w:rPr>
        <w:t xml:space="preserve">：</w:t>
      </w:r>
      <w:r>
        <w:rPr>
          <w:rFonts w:hint="eastAsia"/>
          <w:b/>
          <w:bCs/>
          <w:color w:val="auto"/>
        </w:rPr>
        <w:t xml:space="preserve">噪声传感器</w:t>
      </w:r>
      <w:r>
        <w:rPr>
          <w:rFonts w:hint="eastAsia"/>
          <w:b/>
          <w:bCs/>
          <w:color w:val="auto"/>
          <w:lang w:eastAsia="zh-CN"/>
        </w:rPr>
        <w:t xml:space="preserve">（</w:t>
      </w:r>
      <w:r>
        <w:rPr>
          <w:rFonts w:hint="eastAsia"/>
          <w:b/>
          <w:bCs/>
          <w:color w:val="auto"/>
          <w:lang w:val="en-US" w:eastAsia="zh-CN"/>
        </w:rPr>
        <w:t xml:space="preserve">含</w:t>
      </w:r>
      <w:r>
        <w:rPr>
          <w:rFonts w:hint="eastAsia"/>
          <w:b/>
          <w:bCs/>
          <w:color w:val="auto"/>
        </w:rPr>
        <w:t xml:space="preserve">前置放大器</w:t>
      </w:r>
      <w:r>
        <w:rPr>
          <w:rFonts w:hint="eastAsia"/>
          <w:b/>
          <w:bCs/>
          <w:color w:val="auto"/>
          <w:lang w:eastAsia="zh-CN"/>
        </w:rPr>
        <w:t xml:space="preserve">）（</w:t>
      </w:r>
      <w:r>
        <w:rPr>
          <w:rFonts w:hint="eastAsia"/>
          <w:b/>
          <w:bCs/>
          <w:color w:val="auto"/>
          <w:lang w:val="en-US" w:eastAsia="zh-CN"/>
        </w:rPr>
        <w:t xml:space="preserve">2套</w:t>
      </w:r>
      <w:r>
        <w:rPr>
          <w:rFonts w:hint="eastAsia"/>
          <w:b/>
          <w:bCs/>
          <w:color w:val="auto"/>
          <w:lang w:eastAsia="zh-CN"/>
        </w:rPr>
        <w:t xml:space="preserve">）</w:t>
      </w:r>
      <w:r/>
    </w:p>
    <w:p>
      <w:pPr>
        <w:ind w:firstLine="420"/>
        <w:keepLines w:val="0"/>
        <w:keepNext w:val="0"/>
        <w:pageBreakBefore w:val="0"/>
        <w:spacing w:line="380" w:lineRule="exact"/>
        <w:rPr>
          <w:rFonts w:hint="eastAsia"/>
          <w:b w:val="0"/>
          <w:bCs w:val="0"/>
          <w:color w:val="auto"/>
          <w:lang w:val="en-US" w:eastAsia="zh-CN"/>
        </w:rPr>
        <w:outlineLvl w:val="9"/>
      </w:pPr>
      <w:r>
        <w:rPr>
          <w:rFonts w:hint="eastAsia"/>
          <w:b w:val="0"/>
          <w:bCs w:val="0"/>
          <w:color w:val="auto"/>
          <w:lang w:val="en-US" w:eastAsia="zh-CN"/>
        </w:rPr>
        <w:t xml:space="preserve">4.1符合IEC 61094-4/WS2F标准要求。</w:t>
      </w:r>
      <w:r/>
    </w:p>
    <w:p>
      <w:pPr>
        <w:ind w:firstLine="420"/>
        <w:keepLines w:val="0"/>
        <w:keepNext w:val="0"/>
        <w:pageBreakBefore w:val="0"/>
        <w:spacing w:line="380" w:lineRule="exact"/>
        <w:rPr>
          <w:rFonts w:hint="eastAsia"/>
          <w:b w:val="0"/>
          <w:bCs w:val="0"/>
          <w:color w:val="auto"/>
          <w:lang w:val="en-US" w:eastAsia="zh-CN"/>
        </w:rPr>
        <w:outlineLvl w:val="9"/>
      </w:pPr>
      <w:r>
        <w:rPr>
          <w:rFonts w:hint="eastAsia"/>
          <w:b w:val="0"/>
          <w:bCs w:val="0"/>
          <w:color w:val="auto"/>
          <w:lang w:val="en-US" w:eastAsia="zh-CN"/>
        </w:rPr>
        <w:t xml:space="preserve">4.2配套前置放大器。</w:t>
      </w:r>
      <w:r/>
    </w:p>
    <w:p>
      <w:pPr>
        <w:ind w:firstLine="420"/>
        <w:keepLines w:val="0"/>
        <w:keepNext w:val="0"/>
        <w:pageBreakBefore w:val="0"/>
        <w:spacing w:line="380" w:lineRule="exact"/>
        <w:rPr>
          <w:rFonts w:hint="eastAsia"/>
          <w:b w:val="0"/>
          <w:bCs w:val="0"/>
          <w:color w:val="auto"/>
          <w:lang w:val="en-US" w:eastAsia="zh-CN"/>
        </w:rPr>
        <w:outlineLvl w:val="9"/>
      </w:pPr>
      <w:r>
        <w:rPr>
          <w:rFonts w:hint="eastAsia"/>
          <w:b w:val="0"/>
          <w:bCs w:val="0"/>
          <w:color w:val="auto"/>
          <w:lang w:val="en-US" w:eastAsia="zh-CN"/>
        </w:rPr>
        <w:t xml:space="preserve">4.3.频率响应范围：在±2 dB允差下，不小于6.3 Hz至20 kHz。</w:t>
      </w:r>
      <w:r/>
    </w:p>
    <w:p>
      <w:pPr>
        <w:ind w:firstLine="420"/>
        <w:keepLines w:val="0"/>
        <w:keepNext w:val="0"/>
        <w:pageBreakBefore w:val="0"/>
        <w:spacing w:line="380" w:lineRule="exact"/>
        <w:rPr>
          <w:rFonts w:hint="eastAsia"/>
          <w:b w:val="0"/>
          <w:bCs w:val="0"/>
          <w:color w:val="auto"/>
          <w:lang w:val="en-US" w:eastAsia="zh-CN"/>
        </w:rPr>
        <w:outlineLvl w:val="9"/>
      </w:pPr>
      <w:r>
        <w:rPr>
          <w:rFonts w:hint="eastAsia"/>
          <w:b w:val="0"/>
          <w:bCs w:val="0"/>
          <w:color w:val="auto"/>
          <w:lang w:val="en-US" w:eastAsia="zh-CN"/>
        </w:rPr>
        <w:t xml:space="preserve">4.4自由场频率范围：在-20℃至+60℃下（±1 dB）：10 Hz 至 8 kHz；在-50℃至+125℃下（±1 dB）：20Hz至8kHz。</w:t>
      </w:r>
      <w:r/>
    </w:p>
    <w:p>
      <w:pPr>
        <w:ind w:firstLine="420"/>
        <w:keepLines w:val="0"/>
        <w:keepNext w:val="0"/>
        <w:pageBreakBefore w:val="0"/>
        <w:spacing w:line="380" w:lineRule="exact"/>
        <w:rPr>
          <w:rFonts w:hint="eastAsia"/>
          <w:b w:val="0"/>
          <w:bCs w:val="0"/>
          <w:color w:val="auto"/>
          <w:lang w:val="en-US" w:eastAsia="zh-CN"/>
        </w:rPr>
        <w:outlineLvl w:val="9"/>
      </w:pPr>
      <w:r>
        <w:rPr>
          <w:rFonts w:hint="eastAsia"/>
          <w:b w:val="0"/>
          <w:bCs w:val="0"/>
          <w:color w:val="auto"/>
          <w:lang w:val="en-US" w:eastAsia="zh-CN"/>
        </w:rPr>
        <w:t xml:space="preserve">4.5动态范围：16.5 dB（A） 至 134 dB。</w:t>
      </w:r>
      <w:r/>
    </w:p>
    <w:p>
      <w:pPr>
        <w:ind w:firstLine="420"/>
        <w:keepLines w:val="0"/>
        <w:keepNext w:val="0"/>
        <w:pageBreakBefore w:val="0"/>
        <w:spacing w:line="380" w:lineRule="exact"/>
        <w:rPr>
          <w:rFonts w:hint="eastAsia"/>
          <w:b w:val="0"/>
          <w:bCs w:val="0"/>
          <w:color w:val="auto"/>
          <w:lang w:val="en-US" w:eastAsia="zh-CN"/>
        </w:rPr>
        <w:outlineLvl w:val="9"/>
      </w:pPr>
      <w:r>
        <w:rPr>
          <w:rFonts w:hint="eastAsia"/>
          <w:b w:val="0"/>
          <w:bCs w:val="0"/>
          <w:color w:val="auto"/>
          <w:lang w:val="en-US" w:eastAsia="zh-CN"/>
        </w:rPr>
        <w:t xml:space="preserve">4.6灵</w:t>
      </w:r>
      <w:r>
        <w:rPr>
          <w:rFonts w:hint="eastAsia"/>
          <w:b w:val="0"/>
          <w:bCs w:val="0"/>
          <w:color w:val="auto"/>
          <w:highlight w:val="none"/>
          <w:lang w:val="en-US" w:eastAsia="zh-CN"/>
        </w:rPr>
        <w:t xml:space="preserve">敏度：</w:t>
      </w:r>
      <w:r>
        <w:rPr>
          <w:rFonts w:hint="eastAsia"/>
          <w:bCs/>
          <w:highlight w:val="none"/>
        </w:rPr>
        <w:t xml:space="preserve">≥</w:t>
      </w:r>
      <w:r>
        <w:rPr>
          <w:rFonts w:hint="eastAsia"/>
          <w:b w:val="0"/>
          <w:bCs w:val="0"/>
          <w:color w:val="auto"/>
          <w:highlight w:val="none"/>
          <w:lang w:val="en-US" w:eastAsia="zh-CN"/>
        </w:rPr>
        <w:t xml:space="preserve">（45~50）mV/Pa。</w:t>
      </w:r>
      <w:r/>
    </w:p>
    <w:p>
      <w:pPr>
        <w:ind w:firstLine="420"/>
        <w:keepLines w:val="0"/>
        <w:keepNext w:val="0"/>
        <w:pageBreakBefore w:val="0"/>
        <w:spacing w:line="380" w:lineRule="exact"/>
        <w:rPr>
          <w:rFonts w:hint="eastAsia"/>
          <w:b w:val="0"/>
          <w:bCs w:val="0"/>
          <w:color w:val="auto"/>
          <w:lang w:val="en-US" w:eastAsia="zh-CN"/>
        </w:rPr>
        <w:outlineLvl w:val="9"/>
      </w:pPr>
      <w:r>
        <w:rPr>
          <w:rFonts w:hint="eastAsia"/>
          <w:b w:val="0"/>
          <w:bCs w:val="0"/>
          <w:color w:val="auto"/>
          <w:lang w:val="en-US" w:eastAsia="zh-CN"/>
        </w:rPr>
        <w:t xml:space="preserve">4.7工作温度范围：支持在-50至+125°C（-58至+257°F）的极端温度下工作。</w:t>
      </w:r>
      <w:r/>
    </w:p>
    <w:p>
      <w:pPr>
        <w:ind w:firstLine="420"/>
        <w:keepLines w:val="0"/>
        <w:keepNext w:val="0"/>
        <w:pageBreakBefore w:val="0"/>
        <w:spacing w:line="380" w:lineRule="exact"/>
        <w:rPr>
          <w:rFonts w:hint="eastAsia"/>
          <w:b w:val="0"/>
          <w:bCs w:val="0"/>
          <w:color w:val="auto"/>
          <w:lang w:val="en-US" w:eastAsia="zh-CN"/>
        </w:rPr>
        <w:outlineLvl w:val="9"/>
      </w:pPr>
      <w:r>
        <w:rPr>
          <w:rFonts w:hint="eastAsia"/>
          <w:b w:val="0"/>
          <w:bCs w:val="0"/>
          <w:color w:val="auto"/>
          <w:lang w:val="en-US" w:eastAsia="zh-CN"/>
        </w:rPr>
        <w:t xml:space="preserve">4.8湿度要求：在无冷凝环境下，湿度对设备无测得的影响；支持工作湿度范围0至93%RH。 </w:t>
      </w:r>
      <w:r/>
    </w:p>
    <w:p>
      <w:pPr>
        <w:ind w:firstLine="420"/>
        <w:keepLines w:val="0"/>
        <w:keepNext w:val="0"/>
        <w:pageBreakBefore w:val="0"/>
        <w:spacing w:line="380" w:lineRule="exact"/>
        <w:rPr>
          <w:rFonts w:hint="eastAsia"/>
          <w:b w:val="0"/>
          <w:bCs w:val="0"/>
          <w:color w:val="auto"/>
          <w:lang w:val="en-US" w:eastAsia="zh-CN"/>
        </w:rPr>
        <w:outlineLvl w:val="9"/>
      </w:pPr>
      <w:r>
        <w:rPr>
          <w:rFonts w:hint="eastAsia"/>
          <w:b w:val="0"/>
          <w:bCs w:val="0"/>
          <w:color w:val="auto"/>
          <w:lang w:val="en-US" w:eastAsia="zh-CN"/>
        </w:rPr>
        <w:t xml:space="preserve">4.9供电要求：采用CCLD供电。</w:t>
      </w:r>
      <w:r/>
    </w:p>
    <w:p>
      <w:pPr>
        <w:ind w:firstLine="420"/>
        <w:keepLines w:val="0"/>
        <w:keepNext w:val="0"/>
        <w:pageBreakBefore w:val="0"/>
        <w:spacing w:line="380" w:lineRule="exact"/>
        <w:rPr>
          <w:rFonts w:hint="eastAsia"/>
          <w:b w:val="0"/>
          <w:bCs w:val="0"/>
          <w:color w:val="auto"/>
          <w:lang w:val="en-US" w:eastAsia="zh-CN"/>
        </w:rPr>
        <w:outlineLvl w:val="9"/>
      </w:pPr>
      <w:r>
        <w:rPr>
          <w:rFonts w:hint="eastAsia"/>
          <w:b w:val="0"/>
          <w:bCs w:val="0"/>
          <w:color w:val="auto"/>
          <w:lang w:val="en-US" w:eastAsia="zh-CN"/>
        </w:rPr>
        <w:t xml:space="preserve">4.10物理接口：采用BNC接口连接方式。</w:t>
      </w:r>
      <w:r/>
    </w:p>
    <w:p>
      <w:pPr>
        <w:ind w:firstLine="420"/>
        <w:keepLines w:val="0"/>
        <w:keepNext w:val="0"/>
        <w:pageBreakBefore w:val="0"/>
        <w:spacing w:line="380" w:lineRule="exact"/>
        <w:rPr>
          <w:rFonts w:hint="eastAsia"/>
          <w:b w:val="0"/>
          <w:bCs w:val="0"/>
          <w:color w:val="auto"/>
          <w:lang w:val="en-US" w:eastAsia="zh-CN"/>
        </w:rPr>
        <w:outlineLvl w:val="9"/>
      </w:pPr>
      <w:r>
        <w:rPr>
          <w:rFonts w:hint="eastAsia"/>
          <w:b w:val="0"/>
          <w:bCs w:val="0"/>
          <w:color w:val="auto"/>
          <w:lang w:val="en-US" w:eastAsia="zh-CN"/>
        </w:rPr>
        <w:t xml:space="preserve">▲4.11内置智能识别TEDS，符合IEEE 1451.4(版本1.0)标准的要求。</w:t>
      </w:r>
      <w:r/>
    </w:p>
    <w:p>
      <w:pPr>
        <w:ind w:firstLine="420"/>
        <w:keepLines w:val="0"/>
        <w:keepNext w:val="0"/>
        <w:pageBreakBefore w:val="0"/>
        <w:spacing w:line="380" w:lineRule="exact"/>
        <w:rPr>
          <w:rFonts w:hint="eastAsia"/>
          <w:b w:val="0"/>
          <w:bCs w:val="0"/>
          <w:color w:val="auto"/>
          <w:lang w:val="en-US" w:eastAsia="zh-CN"/>
        </w:rPr>
        <w:outlineLvl w:val="9"/>
      </w:pPr>
      <w:r>
        <w:rPr>
          <w:rFonts w:hint="eastAsia"/>
          <w:b w:val="0"/>
          <w:bCs w:val="0"/>
          <w:color w:val="auto"/>
          <w:lang w:val="en-US" w:eastAsia="zh-CN"/>
        </w:rPr>
        <w:t xml:space="preserve">4.12尺寸设计：包含连接器和保护格栅的总长度＜100 mm，带格栅直径＜15 mm ，呈圆柱形。</w:t>
      </w:r>
      <w:r/>
    </w:p>
    <w:p>
      <w:pPr>
        <w:ind w:firstLine="420"/>
        <w:jc w:val="left"/>
        <w:keepLines w:val="0"/>
        <w:keepNext w:val="0"/>
        <w:pageBreakBefore w:val="0"/>
        <w:spacing w:after="0" w:line="380" w:lineRule="exact"/>
        <w:widowControl/>
        <w:rPr>
          <w:rFonts w:hint="eastAsia" w:ascii="Times New Roman" w:hAnsi="Times New Roman" w:eastAsia="宋体" w:cs="Times New Roman"/>
          <w:b w:val="0"/>
          <w:bCs w:val="0"/>
          <w:color w:val="auto"/>
          <w:sz w:val="21"/>
          <w:szCs w:val="21"/>
          <w:lang w:val="en-US" w:eastAsia="zh-CN"/>
        </w:rPr>
        <w:outlineLvl w:val="9"/>
      </w:pPr>
      <w:r>
        <w:rPr>
          <w:rFonts w:hint="eastAsia" w:ascii="Times New Roman" w:hAnsi="Times New Roman" w:eastAsia="宋体" w:cs="Times New Roman"/>
          <w:b w:val="0"/>
          <w:bCs w:val="0"/>
          <w:color w:val="auto"/>
          <w:sz w:val="21"/>
          <w:szCs w:val="21"/>
          <w:lang w:val="en-US" w:eastAsia="zh-CN"/>
        </w:rPr>
        <w:t xml:space="preserve">★4.13需适配实验室现有噪声测试系统（现有设备为丹麦B&amp;K传声系统）。</w:t>
      </w:r>
      <w:r/>
    </w:p>
    <w:p>
      <w:pPr>
        <w:numPr>
          <w:ilvl w:val="0"/>
          <w:numId w:val="0"/>
        </w:numPr>
        <w:ind w:firstLine="422"/>
        <w:jc w:val="left"/>
        <w:keepLines w:val="0"/>
        <w:keepNext w:val="0"/>
        <w:pageBreakBefore w:val="0"/>
        <w:spacing w:line="380" w:lineRule="exact"/>
        <w:widowControl/>
        <w:rPr>
          <w:rFonts w:hint="eastAsia" w:ascii="Times New Roman" w:hAnsi="Times New Roman" w:eastAsia="宋体" w:cs="Times New Roman"/>
          <w:b/>
          <w:iCs/>
          <w:sz w:val="21"/>
          <w:szCs w:val="21"/>
          <w:lang w:val="en-US" w:eastAsia="zh-CN"/>
        </w:rPr>
      </w:pPr>
      <w:r>
        <w:rPr>
          <w:rFonts w:hint="eastAsia" w:ascii="Times New Roman" w:hAnsi="Times New Roman" w:eastAsia="宋体" w:cs="Times New Roman"/>
          <w:b/>
          <w:iCs/>
          <w:sz w:val="21"/>
          <w:szCs w:val="21"/>
          <w:lang w:val="en-US" w:eastAsia="zh-CN"/>
        </w:rPr>
        <w:t xml:space="preserve">四、商务条款</w:t>
      </w:r>
      <w:r/>
    </w:p>
    <w:p>
      <w:pPr>
        <w:ind w:firstLine="420"/>
        <w:keepLines w:val="0"/>
        <w:keepNext w:val="0"/>
        <w:pageBreakBefore w:val="0"/>
        <w:spacing w:line="380" w:lineRule="exact"/>
        <w:rPr>
          <w:rFonts w:hint="default" w:ascii="Times New Roman" w:hAnsi="Times New Roman" w:eastAsia="宋体" w:cs="Times New Roman"/>
          <w:b w:val="0"/>
          <w:bCs w:val="0"/>
          <w:color w:val="auto"/>
          <w:lang w:val="en-US" w:eastAsia="zh-CN"/>
        </w:rPr>
        <w:outlineLvl w:val="9"/>
      </w:pPr>
      <w:r>
        <w:rPr>
          <w:rFonts w:hint="eastAsia" w:ascii="Times New Roman" w:hAnsi="Times New Roman" w:eastAsia="宋体" w:cs="Times New Roman"/>
          <w:b w:val="0"/>
          <w:bCs w:val="0"/>
          <w:color w:val="auto"/>
          <w:lang w:val="en-US" w:eastAsia="zh-CN"/>
        </w:rPr>
        <w:t xml:space="preserve">1、质保期：不低于1年。</w:t>
      </w:r>
      <w:r/>
    </w:p>
    <w:p>
      <w:pPr>
        <w:ind w:firstLine="420"/>
        <w:keepLines w:val="0"/>
        <w:keepNext w:val="0"/>
        <w:pageBreakBefore w:val="0"/>
        <w:spacing w:line="380" w:lineRule="exact"/>
        <w:rPr>
          <w:rFonts w:hint="eastAsia" w:ascii="Times New Roman" w:hAnsi="Times New Roman" w:eastAsia="宋体" w:cs="Times New Roman"/>
          <w:b w:val="0"/>
          <w:bCs w:val="0"/>
          <w:color w:val="auto"/>
          <w:lang w:val="en-US" w:eastAsia="zh-CN"/>
        </w:rPr>
        <w:outlineLvl w:val="9"/>
      </w:pPr>
      <w:r>
        <w:rPr>
          <w:rFonts w:hint="eastAsia" w:ascii="Times New Roman" w:hAnsi="Times New Roman" w:eastAsia="宋体" w:cs="Times New Roman"/>
          <w:b w:val="0"/>
          <w:bCs w:val="0"/>
          <w:color w:val="auto"/>
          <w:lang w:val="en-US" w:eastAsia="zh-CN"/>
        </w:rPr>
        <w:t xml:space="preserve">2、合同履行期限：自合同签订收到预付款后 80日内（含备货）完成供货、安装并通过采购人验收合格。</w:t>
      </w:r>
      <w:r/>
    </w:p>
    <w:p>
      <w:pPr>
        <w:ind w:firstLine="420"/>
        <w:keepLines w:val="0"/>
        <w:keepNext w:val="0"/>
        <w:pageBreakBefore w:val="0"/>
        <w:spacing w:line="380" w:lineRule="exact"/>
        <w:rPr>
          <w:rFonts w:hint="default" w:ascii="Times New Roman" w:hAnsi="Times New Roman" w:eastAsia="宋体" w:cs="Times New Roman"/>
          <w:b w:val="0"/>
          <w:bCs w:val="0"/>
          <w:color w:val="auto"/>
          <w:lang w:val="en-US" w:eastAsia="zh-CN"/>
        </w:rPr>
        <w:outlineLvl w:val="9"/>
      </w:pPr>
      <w:r>
        <w:rPr>
          <w:rFonts w:hint="eastAsia" w:ascii="Times New Roman" w:hAnsi="Times New Roman" w:eastAsia="宋体" w:cs="Times New Roman"/>
          <w:b w:val="0"/>
          <w:bCs w:val="0"/>
          <w:color w:val="auto"/>
          <w:lang w:val="en-US" w:eastAsia="zh-CN"/>
        </w:rPr>
        <w:t xml:space="preserve">3、付款方式：合同签订后，甲方支付合同金额的50%作为预付款；设备验收数量超过合同总数量的一半，甲方再支付30%作为进度款，所有设备验收完毕，甲方支付20%合同尾款。（特殊情况时根据双方协商的意见办理。）</w:t>
      </w:r>
      <w:r/>
    </w:p>
    <w:p>
      <w:pPr>
        <w:ind w:firstLine="420"/>
        <w:keepLines w:val="0"/>
        <w:keepNext w:val="0"/>
        <w:pageBreakBefore w:val="0"/>
        <w:spacing w:line="380" w:lineRule="exact"/>
        <w:rPr>
          <w:rFonts w:hint="eastAsia" w:ascii="Times New Roman" w:hAnsi="Times New Roman" w:eastAsia="宋体" w:cs="Times New Roman"/>
          <w:b w:val="0"/>
          <w:bCs w:val="0"/>
          <w:color w:val="auto"/>
          <w:lang w:val="en-US" w:eastAsia="zh-CN"/>
        </w:rPr>
        <w:outlineLvl w:val="9"/>
      </w:pPr>
      <w:r>
        <w:rPr>
          <w:rFonts w:hint="eastAsia" w:ascii="Times New Roman" w:hAnsi="Times New Roman" w:eastAsia="宋体" w:cs="Times New Roman"/>
          <w:b w:val="0"/>
          <w:bCs w:val="0"/>
          <w:color w:val="auto"/>
          <w:lang w:val="en-US" w:eastAsia="zh-CN"/>
        </w:rPr>
        <w:t xml:space="preserve">4、售后服务：在保修期内如因产品质量问题发生故障将免费维修；质保期后终身维修，只收取成本费。无论在保修期内或保修期外，在接到故障信息后12小时内响应，并在仪器出现故障后的5个工作日之内到达现场，及时帮助用户解决问题。</w:t>
      </w:r>
      <w:r/>
    </w:p>
    <w:p>
      <w:pPr>
        <w:ind w:firstLine="420"/>
        <w:jc w:val="left"/>
        <w:spacing w:line="380" w:lineRule="exact"/>
        <w:widowControl/>
        <w:rPr>
          <w:rFonts w:eastAsia="黑体"/>
          <w:bCs/>
          <w:color w:val="000000" w:themeColor="text1"/>
          <w:sz w:val="44"/>
          <w:szCs w:val="28"/>
          <w14:textFill>
            <w14:solidFill>
              <w14:schemeClr w14:val="tx1"/>
            </w14:solidFill>
          </w14:textFill>
        </w:rPr>
        <w:outlineLvl w:val="9"/>
      </w:pPr>
      <w:r>
        <w:rPr>
          <w:rFonts w:hint="eastAsia" w:eastAsia="宋体"/>
          <w:bCs w:val="0"/>
          <w:color w:val="auto"/>
          <w:sz w:val="21"/>
          <w:szCs w:val="21"/>
        </w:rPr>
        <w:t xml:space="preserve">备注：标注“★”条款为实质性要求，供应商应当按照采购文件要求提供证明材料。否则，属于未实质性响应。</w:t>
      </w:r>
      <w:r>
        <w:rPr>
          <w:rFonts w:eastAsia="黑体"/>
          <w:bCs/>
          <w:color w:val="000000" w:themeColor="text1"/>
          <w:sz w:val="44"/>
          <w:szCs w:val="28"/>
          <w14:textFill>
            <w14:solidFill>
              <w14:schemeClr w14:val="tx1"/>
            </w14:solidFill>
          </w14:textFill>
        </w:rPr>
        <w:br w:type="page" w:clear="all"/>
      </w:r>
      <w:r/>
    </w:p>
    <w:p>
      <w:pPr>
        <w:jc w:val="left"/>
        <w:widowControl/>
        <w:rPr>
          <w:rFonts w:eastAsia="黑体"/>
          <w:bCs/>
          <w:color w:val="000000" w:themeColor="text1"/>
          <w:sz w:val="44"/>
          <w:szCs w:val="28"/>
          <w14:textFill>
            <w14:solidFill>
              <w14:schemeClr w14:val="tx1"/>
            </w14:solidFill>
          </w14:textFill>
        </w:rPr>
      </w:pPr>
      <w:r>
        <w:rPr>
          <w:rFonts w:eastAsia="黑体"/>
          <w:bCs/>
          <w:color w:val="000000" w:themeColor="text1"/>
          <w:sz w:val="44"/>
          <w:szCs w:val="28"/>
          <w14:textFill>
            <w14:solidFill>
              <w14:schemeClr w14:val="tx1"/>
            </w14:solidFill>
          </w14:textFill>
        </w:rPr>
      </w:r>
      <w:r/>
    </w:p>
    <w:p>
      <w:pPr>
        <w:pStyle w:val="785"/>
        <w:rPr>
          <w:rFonts w:ascii="Times New Roman" w:eastAsia="黑体"/>
          <w:bCs/>
          <w:color w:val="000000" w:themeColor="text1"/>
          <w:sz w:val="44"/>
          <w14:textFill>
            <w14:solidFill>
              <w14:schemeClr w14:val="tx1"/>
            </w14:solidFill>
          </w14:textFill>
        </w:rPr>
      </w:pPr>
      <w:r/>
      <w:bookmarkStart w:id="199" w:name="_Toc3075"/>
      <w:r>
        <w:rPr>
          <w:rFonts w:ascii="Times New Roman" w:eastAsia="黑体"/>
          <w:bCs/>
          <w:color w:val="000000" w:themeColor="text1"/>
          <w:sz w:val="44"/>
          <w14:textFill>
            <w14:solidFill>
              <w14:schemeClr w14:val="tx1"/>
            </w14:solidFill>
          </w14:textFill>
        </w:rPr>
        <w:t xml:space="preserve">第五章  </w:t>
      </w:r>
      <w:r>
        <w:rPr>
          <w:rFonts w:ascii="Times New Roman" w:eastAsia="黑体"/>
          <w:b/>
          <w:bCs/>
          <w:color w:val="000000" w:themeColor="text1"/>
          <w:sz w:val="44"/>
          <w14:textFill>
            <w14:solidFill>
              <w14:schemeClr w14:val="tx1"/>
            </w14:solidFill>
          </w14:textFill>
        </w:rPr>
        <w:t xml:space="preserve">评标方法与评标标准</w:t>
      </w:r>
      <w:bookmarkEnd w:id="199"/>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45"/>
        <w:ind w:firstLine="420"/>
        <w:spacing w:before="0" w:after="0" w:line="320" w:lineRule="exact"/>
        <w:rPr>
          <w:rFonts w:ascii="Times New Roman" w:hAnsi="Times New Roman" w:eastAsiaTheme="minorEastAsia"/>
          <w:b/>
          <w:color w:val="000000" w:themeColor="text1"/>
          <w:sz w:val="21"/>
          <w:szCs w:val="21"/>
          <w14:textFill>
            <w14:solidFill>
              <w14:schemeClr w14:val="tx1"/>
            </w14:solidFill>
          </w14:textFill>
        </w:rPr>
      </w:pPr>
      <w:r>
        <w:rPr>
          <w:rFonts w:ascii="Times New Roman" w:hAnsi="Times New Roman" w:eastAsiaTheme="minorEastAsia"/>
          <w:color w:val="000000" w:themeColor="text1"/>
          <w:sz w:val="21"/>
          <w:szCs w:val="21"/>
          <w14:textFill>
            <w14:solidFill>
              <w14:schemeClr w14:val="tx1"/>
            </w14:solidFill>
          </w14:textFill>
        </w:rPr>
        <w:t xml:space="preserve">采用综合评分法的，总分100分。计算分数时，将全部评委评分直接进行平均计算，小数点后保留两位。评标结果按评审后得分由高到低顺序排列。得分相同的，按投标报价由低到高顺序排列。得分且投标报价相同的，按照投标文件满足招标文件全部实质性要求和评审因素的量化指标顺序排列，由评标委员会确定中标候选人。</w:t>
      </w:r>
      <w:r/>
    </w:p>
    <w:tbl>
      <w:tblPr>
        <w:tblStyle w:val="795"/>
        <w:tblW w:w="899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556"/>
        <w:gridCol w:w="1617"/>
        <w:gridCol w:w="6818"/>
      </w:tblGrid>
      <w:tr>
        <w:trPr>
          <w:jc w:val="center"/>
          <w:trHeight w:val="767"/>
        </w:trPr>
        <w:tc>
          <w:tcPr>
            <w:tcBorders>
              <w:top w:val="single" w:color="auto" w:sz="12" w:space="0"/>
              <w:left w:val="single" w:color="auto" w:sz="12" w:space="0"/>
              <w:bottom w:val="single" w:color="auto" w:sz="6" w:space="0"/>
              <w:right w:val="single" w:color="auto" w:sz="4" w:space="0"/>
            </w:tcBorders>
            <w:tcW w:w="556" w:type="dxa"/>
            <w:vAlign w:val="center"/>
            <w:textDirection w:val="lrTb"/>
            <w:noWrap w:val="false"/>
          </w:tcPr>
          <w:p>
            <w:pPr>
              <w:jc w:val="center"/>
              <w:spacing w:line="360" w:lineRule="exact"/>
              <w:widowControl/>
              <w:rPr>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序号</w:t>
            </w:r>
            <w:r/>
          </w:p>
        </w:tc>
        <w:tc>
          <w:tcPr>
            <w:tcBorders>
              <w:top w:val="single" w:color="auto" w:sz="12" w:space="0"/>
              <w:left w:val="none" w:color="000000" w:sz="4" w:space="0"/>
              <w:bottom w:val="single" w:color="auto" w:sz="6" w:space="0"/>
              <w:right w:val="single" w:color="auto" w:sz="6" w:space="0"/>
            </w:tcBorders>
            <w:tcW w:w="1617" w:type="dxa"/>
            <w:vAlign w:val="center"/>
            <w:textDirection w:val="lrTb"/>
            <w:noWrap w:val="false"/>
          </w:tcPr>
          <w:p>
            <w:pPr>
              <w:jc w:val="center"/>
              <w:spacing w:line="360" w:lineRule="exact"/>
              <w:widowControl/>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评审因素</w:t>
            </w:r>
            <w:r/>
          </w:p>
          <w:p>
            <w:pPr>
              <w:jc w:val="center"/>
              <w:spacing w:line="360" w:lineRule="exact"/>
              <w:widowControl/>
              <w:rPr>
                <w:rFonts w:hint="default" w:eastAsia="宋体"/>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及分值</w:t>
            </w:r>
            <w:r/>
          </w:p>
        </w:tc>
        <w:tc>
          <w:tcPr>
            <w:tcBorders>
              <w:top w:val="single" w:color="auto" w:sz="12" w:space="0"/>
              <w:left w:val="single" w:color="auto" w:sz="6" w:space="0"/>
              <w:bottom w:val="single" w:color="auto" w:sz="6" w:space="0"/>
              <w:right w:val="single" w:color="auto" w:sz="12" w:space="0"/>
            </w:tcBorders>
            <w:tcW w:w="6818" w:type="dxa"/>
            <w:vAlign w:val="center"/>
            <w:textDirection w:val="lrTb"/>
            <w:noWrap w:val="false"/>
          </w:tcPr>
          <w:p>
            <w:pPr>
              <w:ind w:firstLine="422"/>
              <w:jc w:val="center"/>
              <w:spacing w:line="360" w:lineRule="exact"/>
              <w:rPr>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评分标准</w:t>
            </w:r>
            <w:r/>
          </w:p>
        </w:tc>
      </w:tr>
      <w:tr>
        <w:trPr>
          <w:jc w:val="center"/>
          <w:trHeight w:val="1402"/>
        </w:trPr>
        <w:tc>
          <w:tcPr>
            <w:tcBorders>
              <w:top w:val="single" w:color="000000" w:sz="4" w:space="0"/>
              <w:left w:val="single" w:color="000000" w:sz="12" w:space="0"/>
              <w:bottom w:val="single" w:color="000000" w:sz="4" w:space="0"/>
              <w:right w:val="single" w:color="auto" w:sz="4" w:space="0"/>
            </w:tcBorders>
            <w:tcMar>
              <w:left w:w="108" w:type="dxa"/>
              <w:top w:w="0" w:type="dxa"/>
              <w:right w:w="108" w:type="dxa"/>
              <w:bottom w:w="0" w:type="dxa"/>
            </w:tcMar>
            <w:tcW w:w="556" w:type="dxa"/>
            <w:vAlign w:val="center"/>
            <w:textDirection w:val="lrTb"/>
            <w:noWrap w:val="false"/>
          </w:tcPr>
          <w:p>
            <w:pPr>
              <w:jc w:val="center"/>
              <w:spacing w:line="360" w:lineRule="exact"/>
              <w:widowControl/>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auto" w:sz="4" w:space="0"/>
            </w:tcBorders>
            <w:tcMar>
              <w:left w:w="108" w:type="dxa"/>
              <w:top w:w="0" w:type="dxa"/>
              <w:right w:w="108" w:type="dxa"/>
              <w:bottom w:w="0" w:type="dxa"/>
            </w:tcMar>
            <w:tcW w:w="1617" w:type="dxa"/>
            <w:vAlign w:val="center"/>
            <w:textDirection w:val="lrTb"/>
            <w:noWrap w:val="false"/>
          </w:tcPr>
          <w:p>
            <w:pPr>
              <w:jc w:val="center"/>
              <w:spacing w:line="360" w:lineRule="exact"/>
              <w:widowControl/>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价格分</w:t>
            </w:r>
            <w:r/>
          </w:p>
          <w:p>
            <w:pPr>
              <w:jc w:val="center"/>
              <w:spacing w:line="360" w:lineRule="exact"/>
              <w:widowControl/>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（3</w:t>
            </w:r>
            <w:r>
              <w:rPr>
                <w:rFonts w:hint="eastAsia"/>
                <w:b/>
                <w:bCs/>
                <w:color w:val="000000" w:themeColor="text1"/>
                <w:highlight w:val="none"/>
                <w:lang w:val="en-US" w:eastAsia="zh-CN"/>
                <w14:textFill>
                  <w14:solidFill>
                    <w14:schemeClr w14:val="tx1"/>
                  </w14:solidFill>
                </w14:textFill>
              </w:rPr>
              <w:t xml:space="preserve">0</w:t>
            </w:r>
            <w:r>
              <w:rPr>
                <w:b/>
                <w:bCs/>
                <w:color w:val="000000" w:themeColor="text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12" w:space="0"/>
            </w:tcBorders>
            <w:tcMar>
              <w:left w:w="108" w:type="dxa"/>
              <w:top w:w="0" w:type="dxa"/>
              <w:right w:w="108" w:type="dxa"/>
              <w:bottom w:w="0" w:type="dxa"/>
            </w:tcMar>
            <w:tcW w:w="6818"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color w:val="000000" w:themeColor="text1"/>
                <w:highlight w:val="none"/>
                <w14:textFill>
                  <w14:solidFill>
                    <w14:schemeClr w14:val="tx1"/>
                  </w14:solidFill>
                </w14:textFill>
              </w:rPr>
              <w:t xml:space="preserve">1.1</w:t>
            </w:r>
            <w:r>
              <w:rPr>
                <w:color w:val="000000" w:themeColor="text1"/>
                <w:highlight w:val="none"/>
                <w14:textFill>
                  <w14:solidFill>
                    <w14:schemeClr w14:val="tx1"/>
                  </w14:solidFill>
                </w14:textFill>
              </w:rPr>
            </w:r>
            <w:r>
              <w:rPr>
                <w:rFonts w:ascii="SimSun" w:hAnsi="SimSun" w:eastAsia="SimSun" w:cs="SimSun"/>
                <w:color w:val="000000"/>
                <w:sz w:val="21"/>
              </w:rPr>
              <w:t xml:space="preserve">满足招标文件要求且投标价格最低的有效投标报价为评标基准价，其价格分为</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w:t>
            </w:r>
            <w:r/>
          </w:p>
          <w:p>
            <w:pPr>
              <w:spacing w:line="380" w:lineRule="exact"/>
              <w:rPr>
                <w:highlight w:val="none"/>
                <w14:textFill>
                  <w14:solidFill>
                    <w14:schemeClr w14:val="tx1"/>
                  </w14:solidFill>
                </w14:textFill>
              </w:rPr>
            </w:pPr>
            <w:r>
              <w:rPr>
                <w:rFonts w:ascii="SimSun" w:hAnsi="SimSun" w:eastAsia="SimSun" w:cs="SimSun"/>
                <w:color w:val="000000"/>
                <w:sz w:val="21"/>
              </w:rPr>
              <w:t xml:space="preserve">其他投标人的价格分统一按照下列公式计算：投标报价得分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评标基准价／投标报价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，小数点后保留两位。</w:t>
            </w:r>
            <w:r>
              <w:rPr>
                <w:color w:val="000000" w:themeColor="text1"/>
                <w:highlight w:val="none"/>
                <w14:textFill>
                  <w14:solidFill>
                    <w14:schemeClr w14:val="tx1"/>
                  </w14:solidFill>
                </w14:textFill>
              </w:rPr>
            </w:r>
            <w:r/>
            <w:r/>
          </w:p>
        </w:tc>
      </w:tr>
      <w:tr>
        <w:trPr>
          <w:jc w:val="center"/>
          <w:trHeight w:val="3002"/>
        </w:trPr>
        <w:tc>
          <w:tcPr>
            <w:tcBorders>
              <w:top w:val="single" w:color="000000" w:sz="4" w:space="0"/>
              <w:left w:val="single" w:color="000000" w:sz="12" w:space="0"/>
              <w:bottom w:val="single" w:color="000000" w:sz="4" w:space="0"/>
              <w:right w:val="single" w:color="auto" w:sz="4" w:space="0"/>
            </w:tcBorders>
            <w:tcMar>
              <w:left w:w="108" w:type="dxa"/>
              <w:top w:w="0" w:type="dxa"/>
              <w:right w:w="108" w:type="dxa"/>
              <w:bottom w:w="0" w:type="dxa"/>
            </w:tcMar>
            <w:tcW w:w="556" w:type="dxa"/>
            <w:vAlign w:val="center"/>
            <w:textDirection w:val="lrTb"/>
            <w:noWrap w:val="false"/>
          </w:tcPr>
          <w:p>
            <w:pPr>
              <w:jc w:val="center"/>
              <w:spacing w:line="36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auto" w:sz="4" w:space="0"/>
            </w:tcBorders>
            <w:tcMar>
              <w:left w:w="108" w:type="dxa"/>
              <w:top w:w="0" w:type="dxa"/>
              <w:right w:w="108" w:type="dxa"/>
              <w:bottom w:w="0" w:type="dxa"/>
            </w:tcMar>
            <w:tcW w:w="1617" w:type="dxa"/>
            <w:vAlign w:val="center"/>
            <w:textDirection w:val="lrTb"/>
            <w:noWrap w:val="false"/>
          </w:tcPr>
          <w:p>
            <w:pPr>
              <w:jc w:val="center"/>
              <w:spacing w:line="36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技术参数</w:t>
            </w:r>
            <w:r/>
          </w:p>
          <w:p>
            <w:pPr>
              <w:jc w:val="center"/>
              <w:spacing w:line="36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w:t>
            </w:r>
            <w:r>
              <w:rPr>
                <w:rFonts w:hint="eastAsia"/>
                <w:b/>
                <w:color w:val="000000" w:themeColor="text1"/>
                <w:highlight w:val="none"/>
                <w:lang w:val="en-US" w:eastAsia="zh-CN"/>
                <w14:textFill>
                  <w14:solidFill>
                    <w14:schemeClr w14:val="tx1"/>
                  </w14:solidFill>
                </w14:textFill>
              </w:rPr>
              <w:t xml:space="preserve">49</w:t>
            </w:r>
            <w:r>
              <w:rPr>
                <w:b/>
                <w:color w:val="000000" w:themeColor="text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12" w:space="0"/>
            </w:tcBorders>
            <w:tcMar>
              <w:left w:w="108" w:type="dxa"/>
              <w:top w:w="0" w:type="dxa"/>
              <w:right w:w="108" w:type="dxa"/>
              <w:bottom w:w="0" w:type="dxa"/>
            </w:tcMar>
            <w:tcW w:w="6818" w:type="dxa"/>
            <w:vAlign w:val="center"/>
            <w:textDirection w:val="lrTb"/>
            <w:noWrap w:val="false"/>
          </w:tcPr>
          <w:p>
            <w:pPr>
              <w:spacing w:line="380" w:lineRule="exact"/>
              <w:rPr>
                <w:rFonts w:hint="eastAsia" w:ascii="宋体" w:hAnsi="宋体" w:eastAsia="宋体" w:cs="宋体"/>
                <w:b/>
                <w:bCs/>
                <w:color w:val="auto"/>
                <w:sz w:val="21"/>
                <w:szCs w:val="21"/>
                <w:highlight w:val="none"/>
                <w:lang w:val="en-US" w:eastAsia="zh-CN"/>
              </w:rPr>
            </w:pPr>
            <w:r>
              <w:rPr>
                <w:bCs/>
                <w:color w:val="000000" w:themeColor="text1"/>
                <w:highlight w:val="none"/>
                <w14:textFill>
                  <w14:solidFill>
                    <w14:schemeClr w14:val="tx1"/>
                  </w14:solidFill>
                </w14:textFill>
              </w:rPr>
              <w:t xml:space="preserve">2.1</w:t>
            </w:r>
            <w:r>
              <w:rPr>
                <w:rFonts w:hint="eastAsia" w:ascii="宋体" w:hAnsi="宋体" w:eastAsia="宋体" w:cs="宋体"/>
                <w:color w:val="auto"/>
                <w:sz w:val="21"/>
                <w:szCs w:val="21"/>
                <w:highlight w:val="none"/>
                <w:lang w:val="en-US" w:eastAsia="zh-CN"/>
              </w:rPr>
              <w:t xml:space="preserve">根据供应商提供的产品的技术性能说明、技术偏离等情况描述，由评委进行客观评价，供应商的所有技术参数满足</w:t>
            </w:r>
            <w:r>
              <w:rPr>
                <w:rFonts w:hint="eastAsia" w:ascii="宋体" w:hAnsi="宋体" w:cs="宋体"/>
                <w:color w:val="auto"/>
                <w:sz w:val="21"/>
                <w:szCs w:val="21"/>
                <w:highlight w:val="none"/>
                <w:lang w:val="en-US" w:eastAsia="zh-CN"/>
              </w:rPr>
              <w:t xml:space="preserve">第四章采购需求中“三、技术参数”</w:t>
            </w:r>
            <w:r>
              <w:rPr>
                <w:rFonts w:hint="eastAsia" w:ascii="宋体" w:hAnsi="宋体" w:eastAsia="宋体" w:cs="宋体"/>
                <w:color w:val="auto"/>
                <w:sz w:val="21"/>
                <w:szCs w:val="21"/>
                <w:highlight w:val="none"/>
                <w:lang w:val="en-US" w:eastAsia="zh-CN"/>
              </w:rPr>
              <w:t xml:space="preserve">招标要求的得满分4</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分。其中技术参数</w:t>
            </w:r>
            <w:r>
              <w:rPr>
                <w:rFonts w:hint="eastAsia" w:ascii="宋体" w:hAnsi="宋体" w:eastAsia="宋体" w:cs="宋体"/>
                <w:bCs w:val="0"/>
                <w:color w:val="000000" w:themeColor="text1"/>
                <w:sz w:val="21"/>
                <w:szCs w:val="21"/>
                <w:highlight w:val="none"/>
                <w14:textFill>
                  <w14:solidFill>
                    <w14:schemeClr w14:val="tx1"/>
                  </w14:solidFill>
                </w14:textFill>
              </w:rPr>
              <w:t xml:space="preserve">标注“★”条款为实质性</w:t>
            </w:r>
            <w:r>
              <w:rPr>
                <w:rFonts w:hint="eastAsia" w:ascii="宋体" w:hAnsi="宋体" w:cs="宋体"/>
                <w:bCs w:val="0"/>
                <w:color w:val="000000" w:themeColor="text1"/>
                <w:sz w:val="21"/>
                <w:szCs w:val="21"/>
                <w:highlight w:val="none"/>
                <w:lang w:val="en-US" w:eastAsia="zh-CN"/>
                <w14:textFill>
                  <w14:solidFill>
                    <w14:schemeClr w14:val="tx1"/>
                  </w14:solidFill>
                </w14:textFill>
              </w:rPr>
              <w:t xml:space="preserve">技术参数，每有一条负偏离项</w:t>
            </w:r>
            <w:r>
              <w:t xml:space="preserve">作无效投标处理</w:t>
            </w:r>
            <w:r>
              <w:rPr>
                <w:rFonts w:hint="eastAsia" w:ascii="宋体" w:hAnsi="宋体" w:cs="宋体"/>
                <w:bCs w:val="0"/>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auto"/>
                <w:sz w:val="21"/>
                <w:szCs w:val="21"/>
                <w:highlight w:val="none"/>
                <w:lang w:val="en-US" w:eastAsia="zh-CN"/>
              </w:rPr>
              <w:t xml:space="preserve">标注“▲”</w:t>
            </w:r>
            <w:r>
              <w:rPr>
                <w:rFonts w:hint="eastAsia" w:ascii="宋体" w:hAnsi="宋体" w:cs="宋体"/>
                <w:color w:val="auto"/>
                <w:sz w:val="21"/>
                <w:szCs w:val="21"/>
                <w:highlight w:val="none"/>
                <w:lang w:val="en-US" w:eastAsia="zh-CN"/>
              </w:rPr>
              <w:t xml:space="preserve">条款</w:t>
            </w:r>
            <w:r>
              <w:rPr>
                <w:rFonts w:hint="eastAsia" w:ascii="宋体" w:hAnsi="宋体" w:eastAsia="宋体" w:cs="宋体"/>
                <w:color w:val="auto"/>
                <w:sz w:val="21"/>
                <w:szCs w:val="21"/>
                <w:highlight w:val="none"/>
                <w:lang w:val="en-US" w:eastAsia="zh-CN"/>
              </w:rPr>
              <w:t xml:space="preserve">为</w:t>
            </w:r>
            <w:r>
              <w:rPr>
                <w:rFonts w:hint="default" w:ascii="宋体" w:hAnsi="宋体" w:eastAsia="宋体" w:cs="宋体"/>
                <w:color w:val="auto"/>
                <w:sz w:val="21"/>
                <w:szCs w:val="21"/>
                <w:highlight w:val="none"/>
                <w:lang w:val="en-US" w:eastAsia="zh-CN"/>
              </w:rPr>
              <w:t xml:space="preserve">主</w:t>
            </w:r>
            <w:r>
              <w:rPr>
                <w:rFonts w:hint="eastAsia" w:ascii="宋体" w:hAnsi="宋体" w:eastAsia="宋体" w:cs="宋体"/>
                <w:color w:val="auto"/>
                <w:sz w:val="21"/>
                <w:szCs w:val="21"/>
                <w:highlight w:val="none"/>
                <w:lang w:val="en-US" w:eastAsia="zh-CN"/>
              </w:rPr>
              <w:t xml:space="preserve">要技术参数，每有一条负偏离项的扣</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分，未标注的</w:t>
            </w:r>
            <w:r>
              <w:rPr>
                <w:rFonts w:hint="eastAsia" w:ascii="宋体" w:hAnsi="宋体" w:cs="宋体"/>
                <w:color w:val="auto"/>
                <w:sz w:val="21"/>
                <w:szCs w:val="21"/>
                <w:highlight w:val="none"/>
                <w:lang w:val="en-US" w:eastAsia="zh-CN"/>
              </w:rPr>
              <w:t xml:space="preserve">条款</w:t>
            </w:r>
            <w:r>
              <w:rPr>
                <w:rFonts w:hint="eastAsia" w:ascii="宋体" w:hAnsi="宋体" w:eastAsia="宋体" w:cs="宋体"/>
                <w:color w:val="auto"/>
                <w:sz w:val="21"/>
                <w:szCs w:val="21"/>
                <w:highlight w:val="none"/>
                <w:lang w:val="en-US" w:eastAsia="zh-CN"/>
              </w:rPr>
              <w:t xml:space="preserve">为一般</w:t>
            </w:r>
            <w:r>
              <w:rPr>
                <w:rFonts w:hint="eastAsia" w:ascii="宋体" w:hAnsi="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lang w:val="en-US" w:eastAsia="zh-CN"/>
              </w:rPr>
              <w:t xml:space="preserve">参数，每有一条负偏离项的扣</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分，扣完为止。供应商提供可以满足</w:t>
            </w:r>
            <w:r>
              <w:rPr>
                <w:rFonts w:hint="eastAsia" w:ascii="宋体" w:hAnsi="宋体" w:cs="宋体"/>
                <w:color w:val="auto"/>
                <w:sz w:val="21"/>
                <w:szCs w:val="21"/>
                <w:highlight w:val="none"/>
                <w:lang w:val="en-US" w:eastAsia="zh-CN"/>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“▲”技术参数的详细技术资料。</w:t>
            </w:r>
            <w:r>
              <w:rPr>
                <w:rFonts w:hint="eastAsia" w:ascii="宋体" w:hAnsi="宋体" w:eastAsia="宋体" w:cs="宋体"/>
                <w:b/>
                <w:bCs/>
                <w:color w:val="auto"/>
                <w:sz w:val="21"/>
                <w:szCs w:val="21"/>
                <w:highlight w:val="none"/>
                <w:lang w:val="en-US" w:eastAsia="zh-CN"/>
              </w:rPr>
              <w:t xml:space="preserve">(技术参数中已经要求提供相关证明材料的须提供相关证明材料；若技术参数未列明要求提供材料的，对于</w:t>
            </w:r>
            <w:r>
              <w:rPr>
                <w:rFonts w:hint="eastAsia" w:ascii="宋体" w:hAnsi="宋体" w:cs="宋体"/>
                <w:color w:val="auto"/>
                <w:sz w:val="21"/>
                <w:szCs w:val="21"/>
                <w:highlight w:val="none"/>
                <w:lang w:val="en-US" w:eastAsia="zh-CN"/>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w:t>
            </w:r>
            <w:r>
              <w:rPr>
                <w:rFonts w:hint="eastAsia" w:ascii="宋体" w:hAnsi="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“▲”技术参数则以提供 CNAS或 CMA 认证的检验机构出具的检测报告或产品白皮书或产品彩页或其他产品技术证明资料等以证明其是否响应招标文件技术要求；对于非“▲”技术参数，若文件未有特殊要求的则根据技术条款偏离表的偏离情况进行打分。同时请投标单位在证明材料中醒目标注出能够直观证明满足相关参数的部分，未予标注的评标委员会经过合议后有权视为未提供证明材料，评标委员会将有可能视为不满足)。</w:t>
            </w:r>
            <w:r/>
          </w:p>
          <w:p>
            <w:pPr>
              <w:ind w:firstLine="420"/>
              <w:spacing w:line="38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①供应商须在技术条款偏离表中对采购需求中的货物清单内所有技术参数要求进行逐条响应，并在《技术条款偏离表》中如实详细填列所投产品的参数，且在偏差表中标明是否响应，招标文件要求提供证明材料的提供相应证明材料并标明所在页码；如因未注明支持资料具体页码和位置导致本项不得分的，由此产生的后果由供应商自行承担。</w:t>
            </w:r>
            <w:r/>
          </w:p>
          <w:p>
            <w:pPr>
              <w:ind w:firstLine="42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 2 \* GB3 \* MERGEFORMAT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 xml:space="preserve">凡标有最低一级序号的指标项即为一项技术条款，无论是否隶属于上一级编号。</w:t>
            </w:r>
            <w:r/>
          </w:p>
          <w:p>
            <w:pPr>
              <w:ind w:firstLine="42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③如技术支持性文件资料非中文版本的，请同时提供中文翻译版。</w:t>
            </w:r>
            <w:r/>
          </w:p>
        </w:tc>
      </w:tr>
      <w:tr>
        <w:trPr>
          <w:jc w:val="center"/>
          <w:trHeight w:val="937"/>
        </w:trPr>
        <w:tc>
          <w:tcPr>
            <w:tcBorders>
              <w:top w:val="single" w:color="000000" w:sz="4" w:space="0"/>
              <w:left w:val="single" w:color="000000" w:sz="12" w:space="0"/>
              <w:bottom w:val="single" w:color="000000" w:sz="4" w:space="0"/>
              <w:right w:val="single" w:color="auto" w:sz="4" w:space="0"/>
            </w:tcBorders>
            <w:tcMar>
              <w:left w:w="108" w:type="dxa"/>
              <w:top w:w="0" w:type="dxa"/>
              <w:right w:w="108" w:type="dxa"/>
              <w:bottom w:w="0" w:type="dxa"/>
            </w:tcMar>
            <w:tcW w:w="556" w:type="dxa"/>
            <w:vAlign w:val="center"/>
            <w:textDirection w:val="lrTb"/>
            <w:noWrap w:val="false"/>
          </w:tcPr>
          <w:p>
            <w:pPr>
              <w:jc w:val="center"/>
              <w:spacing w:line="360" w:lineRule="exact"/>
              <w:rPr>
                <w:rFonts w:hint="eastAsia" w:eastAsia="宋体"/>
                <w:b/>
                <w:color w:val="000000" w:themeColor="text1"/>
                <w:highlight w:val="none"/>
                <w:lang w:val="en-US" w:eastAsia="zh-CN"/>
                <w14:textFill>
                  <w14:solidFill>
                    <w14:schemeClr w14:val="tx1"/>
                  </w14:solidFill>
                </w14:textFill>
              </w:rPr>
            </w:pPr>
            <w:r>
              <w:rPr>
                <w:rFonts w:hint="eastAsia"/>
                <w:b/>
                <w:color w:val="000000" w:themeColor="text1"/>
                <w:highlight w:val="none"/>
                <w:lang w:val="en-US" w:eastAsia="zh-CN"/>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auto" w:sz="4" w:space="0"/>
            </w:tcBorders>
            <w:tcMar>
              <w:left w:w="108" w:type="dxa"/>
              <w:top w:w="0" w:type="dxa"/>
              <w:right w:w="108" w:type="dxa"/>
              <w:bottom w:w="0" w:type="dxa"/>
            </w:tcMar>
            <w:tcW w:w="1617" w:type="dxa"/>
            <w:vAlign w:val="center"/>
            <w:textDirection w:val="lrTb"/>
            <w:noWrap w:val="false"/>
          </w:tcPr>
          <w:p>
            <w:pPr>
              <w:jc w:val="center"/>
              <w:spacing w:line="360" w:lineRule="exact"/>
              <w:rPr>
                <w:rFonts w:hint="eastAsia"/>
                <w:b/>
                <w:color w:val="000000" w:themeColor="text1"/>
                <w:highlight w:val="none"/>
                <w:lang w:val="en-US" w:eastAsia="zh-CN"/>
                <w14:textFill>
                  <w14:solidFill>
                    <w14:schemeClr w14:val="tx1"/>
                  </w14:solidFill>
                </w14:textFill>
              </w:rPr>
            </w:pPr>
            <w:r>
              <w:rPr>
                <w:rFonts w:hint="eastAsia"/>
                <w:b/>
                <w:color w:val="000000" w:themeColor="text1"/>
                <w:highlight w:val="none"/>
                <w:lang w:val="en-US" w:eastAsia="zh-CN"/>
                <w14:textFill>
                  <w14:solidFill>
                    <w14:schemeClr w14:val="tx1"/>
                  </w14:solidFill>
                </w14:textFill>
              </w:rPr>
              <w:t xml:space="preserve">验证评价报告</w:t>
            </w:r>
            <w:r/>
          </w:p>
          <w:p>
            <w:pPr>
              <w:jc w:val="center"/>
              <w:spacing w:line="360" w:lineRule="exact"/>
              <w:rPr>
                <w:rFonts w:hint="default"/>
                <w:b/>
                <w:color w:val="000000" w:themeColor="text1"/>
                <w:highlight w:val="none"/>
                <w:lang w:val="en-US" w:eastAsia="zh-CN"/>
                <w14:textFill>
                  <w14:solidFill>
                    <w14:schemeClr w14:val="tx1"/>
                  </w14:solidFill>
                </w14:textFill>
              </w:rPr>
            </w:pPr>
            <w:r>
              <w:rPr>
                <w:rFonts w:hint="eastAsia"/>
                <w:b/>
                <w:color w:val="000000" w:themeColor="text1"/>
                <w:highlight w:val="none"/>
                <w:lang w:val="en-US" w:eastAsia="zh-CN"/>
                <w14:textFill>
                  <w14:solidFill>
                    <w14:schemeClr w14:val="tx1"/>
                  </w14:solidFill>
                </w14:textFill>
              </w:rPr>
              <w:t xml:space="preserve">（1分）</w:t>
            </w:r>
            <w:r/>
          </w:p>
        </w:tc>
        <w:tc>
          <w:tcPr>
            <w:tcBorders>
              <w:top w:val="single" w:color="000000" w:sz="4" w:space="0"/>
              <w:left w:val="none" w:color="000000" w:sz="4" w:space="0"/>
              <w:bottom w:val="single" w:color="000000" w:sz="4" w:space="0"/>
              <w:right w:val="single" w:color="000000" w:sz="12" w:space="0"/>
            </w:tcBorders>
            <w:tcMar>
              <w:left w:w="108" w:type="dxa"/>
              <w:top w:w="0" w:type="dxa"/>
              <w:right w:w="108" w:type="dxa"/>
              <w:bottom w:w="0" w:type="dxa"/>
            </w:tcMar>
            <w:tcW w:w="6818" w:type="dxa"/>
            <w:vAlign w:val="center"/>
            <w:textDirection w:val="lrTb"/>
            <w:noWrap w:val="false"/>
          </w:tcPr>
          <w:p>
            <w:pPr>
              <w:keepLines w:val="0"/>
              <w:keepNext w:val="0"/>
              <w:pageBreakBefore w:val="0"/>
              <w:spacing w:line="380" w:lineRule="exact"/>
              <w:rPr>
                <w:rFonts w:hint="eastAsia" w:ascii="宋体" w:hAnsi="宋体" w:eastAsia="宋体" w:cs="宋体"/>
                <w:color w:val="auto"/>
                <w:sz w:val="21"/>
                <w:szCs w:val="21"/>
                <w:highlight w:val="none"/>
                <w:lang w:val="en-US" w:eastAsia="zh-CN"/>
              </w:rPr>
              <w:outlineLvl w:val="9"/>
            </w:pPr>
            <w:r>
              <w:rPr>
                <w:rFonts w:hint="eastAsia"/>
                <w:bCs/>
                <w:highlight w:val="none"/>
                <w:lang w:val="en-US" w:eastAsia="zh-CN"/>
              </w:rPr>
              <w:t xml:space="preserve">投标人承诺中标后</w:t>
            </w:r>
            <w:r>
              <w:rPr>
                <w:rFonts w:hint="eastAsia"/>
                <w:bCs/>
                <w:highlight w:val="none"/>
              </w:rPr>
              <w:t xml:space="preserve">提供</w:t>
            </w:r>
            <w:r>
              <w:rPr>
                <w:rFonts w:hint="eastAsia"/>
                <w:bCs/>
                <w:highlight w:val="none"/>
                <w:lang w:val="en-US" w:eastAsia="zh-CN"/>
              </w:rPr>
              <w:t xml:space="preserve">激光跟踪仪、激光干涉仪</w:t>
            </w:r>
            <w:r>
              <w:rPr>
                <w:rFonts w:hint="eastAsia"/>
                <w:bCs/>
                <w:highlight w:val="none"/>
              </w:rPr>
              <w:t xml:space="preserve">第三方综合性能评测或</w:t>
            </w:r>
            <w:r>
              <w:rPr>
                <w:rFonts w:hint="eastAsia"/>
                <w:bCs/>
                <w:highlight w:val="none"/>
                <w:lang w:val="en-US" w:eastAsia="zh-CN"/>
              </w:rPr>
              <w:t xml:space="preserve">综合验证评价</w:t>
            </w:r>
            <w:r>
              <w:rPr>
                <w:rFonts w:hint="eastAsia"/>
                <w:bCs/>
                <w:highlight w:val="none"/>
              </w:rPr>
              <w:t xml:space="preserve">报告</w:t>
            </w:r>
            <w:r>
              <w:rPr>
                <w:rFonts w:hint="eastAsia"/>
                <w:bCs/>
                <w:highlight w:val="none"/>
                <w:lang w:val="en-US" w:eastAsia="zh-CN"/>
              </w:rPr>
              <w:t xml:space="preserve">的</w:t>
            </w:r>
            <w:r>
              <w:rPr>
                <w:rFonts w:hint="eastAsia"/>
                <w:bCs/>
                <w:highlight w:val="none"/>
                <w:lang w:eastAsia="zh-CN"/>
              </w:rPr>
              <w:t xml:space="preserve">，</w:t>
            </w:r>
            <w:r>
              <w:rPr>
                <w:rFonts w:hint="eastAsia"/>
                <w:bCs/>
                <w:highlight w:val="none"/>
                <w:lang w:val="en-US" w:eastAsia="zh-CN"/>
              </w:rPr>
              <w:t xml:space="preserve">每提供一个承诺书得0.5分，最高得1分</w:t>
            </w:r>
            <w:r>
              <w:rPr>
                <w:rFonts w:hint="eastAsia"/>
                <w:highlight w:val="none"/>
                <w:lang w:eastAsia="zh-CN"/>
              </w:rPr>
              <w:t xml:space="preserve">（</w:t>
            </w:r>
            <w:r>
              <w:rPr>
                <w:rFonts w:hint="eastAsia"/>
                <w:highlight w:val="none"/>
                <w:lang w:val="en-US" w:eastAsia="zh-CN"/>
              </w:rPr>
              <w:t xml:space="preserve">承诺书格式自拟，并加盖投标单位公章</w:t>
            </w:r>
            <w:r>
              <w:rPr>
                <w:rFonts w:hint="eastAsia"/>
                <w:highlight w:val="none"/>
                <w:lang w:eastAsia="zh-CN"/>
              </w:rPr>
              <w:t xml:space="preserve">）。</w:t>
            </w:r>
            <w:r/>
          </w:p>
        </w:tc>
      </w:tr>
      <w:tr>
        <w:trPr>
          <w:jc w:val="center"/>
          <w:trHeight w:val="1230"/>
        </w:trPr>
        <w:tc>
          <w:tcPr>
            <w:tcBorders>
              <w:top w:val="single" w:color="000000" w:sz="4" w:space="0"/>
              <w:left w:val="single" w:color="000000" w:sz="12" w:space="0"/>
              <w:bottom w:val="single" w:color="000000" w:sz="4" w:space="0"/>
              <w:right w:val="single" w:color="auto" w:sz="4" w:space="0"/>
            </w:tcBorders>
            <w:tcMar>
              <w:left w:w="108" w:type="dxa"/>
              <w:top w:w="0" w:type="dxa"/>
              <w:right w:w="108" w:type="dxa"/>
              <w:bottom w:w="0" w:type="dxa"/>
            </w:tcMar>
            <w:tcW w:w="556" w:type="dxa"/>
            <w:vAlign w:val="center"/>
            <w:textDirection w:val="lrTb"/>
            <w:noWrap w:val="false"/>
          </w:tcPr>
          <w:p>
            <w:pPr>
              <w:jc w:val="center"/>
              <w:spacing w:line="360" w:lineRule="exact"/>
              <w:rPr>
                <w:rFonts w:hint="eastAsia" w:eastAsia="宋体"/>
                <w:b/>
                <w:color w:val="000000" w:themeColor="text1"/>
                <w:highlight w:val="none"/>
                <w:lang w:eastAsia="zh-CN"/>
                <w14:textFill>
                  <w14:solidFill>
                    <w14:schemeClr w14:val="tx1"/>
                  </w14:solidFill>
                </w14:textFill>
              </w:rPr>
            </w:pPr>
            <w:r>
              <w:rPr>
                <w:rFonts w:hint="eastAsia"/>
                <w:b/>
                <w:color w:val="000000" w:themeColor="text1"/>
                <w:highlight w:val="none"/>
                <w:lang w:val="en-US" w:eastAsia="zh-CN"/>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auto" w:sz="4" w:space="0"/>
            </w:tcBorders>
            <w:tcMar>
              <w:left w:w="108" w:type="dxa"/>
              <w:top w:w="0" w:type="dxa"/>
              <w:right w:w="108" w:type="dxa"/>
              <w:bottom w:w="0" w:type="dxa"/>
            </w:tcMar>
            <w:tcW w:w="1617" w:type="dxa"/>
            <w:vAlign w:val="center"/>
            <w:textDirection w:val="lrTb"/>
            <w:noWrap w:val="false"/>
          </w:tcPr>
          <w:p>
            <w:pPr>
              <w:jc w:val="center"/>
              <w:spacing w:line="36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业绩及能力</w:t>
            </w:r>
            <w:r/>
          </w:p>
          <w:p>
            <w:pPr>
              <w:jc w:val="center"/>
              <w:spacing w:line="36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w:t>
            </w:r>
            <w:r>
              <w:rPr>
                <w:rFonts w:hint="eastAsia"/>
                <w:b/>
                <w:color w:val="000000" w:themeColor="text1"/>
                <w:highlight w:val="none"/>
                <w:lang w:val="en-US" w:eastAsia="zh-CN"/>
                <w14:textFill>
                  <w14:solidFill>
                    <w14:schemeClr w14:val="tx1"/>
                  </w14:solidFill>
                </w14:textFill>
              </w:rPr>
              <w:t xml:space="preserve">3</w:t>
            </w:r>
            <w:r>
              <w:rPr>
                <w:b/>
                <w:color w:val="000000" w:themeColor="text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12" w:space="0"/>
            </w:tcBorders>
            <w:tcMar>
              <w:left w:w="108" w:type="dxa"/>
              <w:top w:w="0" w:type="dxa"/>
              <w:right w:w="108" w:type="dxa"/>
              <w:bottom w:w="0" w:type="dxa"/>
            </w:tcMar>
            <w:tcW w:w="6818" w:type="dxa"/>
            <w:vAlign w:val="center"/>
            <w:textDirection w:val="lrTb"/>
            <w:noWrap w:val="false"/>
          </w:tcPr>
          <w:p>
            <w:pPr>
              <w:spacing w:line="380" w:lineRule="exact"/>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 xml:space="preserve">3.1</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供应商</w:t>
            </w:r>
            <w:r>
              <w:rPr>
                <w:rFonts w:hint="eastAsia" w:ascii="Times New Roman" w:hAnsi="Times New Roman" w:eastAsia="宋体" w:cs="Times New Roman"/>
                <w:color w:val="000000" w:themeColor="text1"/>
                <w:highlight w:val="none"/>
                <w:lang w:val="en-US"/>
                <w14:textFill>
                  <w14:solidFill>
                    <w14:schemeClr w14:val="tx1"/>
                  </w14:solidFill>
                </w14:textFill>
              </w:rPr>
              <w:t xml:space="preserve">自</w:t>
            </w:r>
            <w:r>
              <w:rPr>
                <w:rFonts w:hint="eastAsia" w:ascii="Times New Roman" w:hAnsi="Times New Roman" w:eastAsia="宋体" w:cs="Times New Roman"/>
                <w:color w:val="000000" w:themeColor="text1"/>
                <w:highlight w:val="none"/>
                <w14:textFill>
                  <w14:solidFill>
                    <w14:schemeClr w14:val="tx1"/>
                  </w14:solidFill>
                </w14:textFill>
              </w:rPr>
              <w:t xml:space="preserve">202</w:t>
            </w:r>
            <w:r>
              <w:rPr>
                <w:rFonts w:hint="eastAsia" w:ascii="Times New Roman" w:hAnsi="Times New Roman" w:eastAsia="宋体" w:cs="Times New Roman"/>
                <w:color w:val="000000" w:themeColor="text1"/>
                <w:highlight w:val="none"/>
                <w:lang w:val="en-US"/>
                <w14:textFill>
                  <w14:solidFill>
                    <w14:schemeClr w14:val="tx1"/>
                  </w14:solidFill>
                </w14:textFill>
              </w:rPr>
              <w:t xml:space="preserve">2</w:t>
            </w:r>
            <w:r>
              <w:rPr>
                <w:rFonts w:hint="eastAsia" w:ascii="Times New Roman" w:hAnsi="Times New Roman" w:eastAsia="宋体" w:cs="Times New Roman"/>
                <w:color w:val="000000" w:themeColor="text1"/>
                <w:highlight w:val="none"/>
                <w14:textFill>
                  <w14:solidFill>
                    <w14:schemeClr w14:val="tx1"/>
                  </w14:solidFill>
                </w14:textFill>
              </w:rPr>
              <w:t xml:space="preserve">年1月1日</w:t>
            </w:r>
            <w:r>
              <w:rPr>
                <w:rFonts w:hint="eastAsia" w:ascii="Times New Roman" w:hAnsi="Times New Roman" w:eastAsia="宋体" w:cs="Times New Roman"/>
                <w:color w:val="000000" w:themeColor="text1"/>
                <w:highlight w:val="none"/>
                <w:lang w:val="en-US"/>
                <w14:textFill>
                  <w14:solidFill>
                    <w14:schemeClr w14:val="tx1"/>
                  </w14:solidFill>
                </w14:textFill>
              </w:rPr>
              <w:t xml:space="preserve">（以合同签订日期为准）</w:t>
            </w:r>
            <w:r>
              <w:rPr>
                <w:rFonts w:hint="eastAsia" w:ascii="Times New Roman" w:hAnsi="Times New Roman" w:eastAsia="宋体" w:cs="Times New Roman"/>
                <w:color w:val="000000" w:themeColor="text1"/>
                <w:highlight w:val="none"/>
                <w14:textFill>
                  <w14:solidFill>
                    <w14:schemeClr w14:val="tx1"/>
                  </w14:solidFill>
                </w14:textFill>
              </w:rPr>
              <w:t xml:space="preserve">以来</w:t>
            </w:r>
            <w:r>
              <w:rPr>
                <w:rFonts w:hint="eastAsia" w:ascii="Times New Roman" w:hAnsi="Times New Roman" w:eastAsia="宋体" w:cs="Times New Roman"/>
                <w:color w:val="000000" w:themeColor="text1"/>
                <w:highlight w:val="none"/>
                <w:lang w:val="en-US"/>
                <w14:textFill>
                  <w14:solidFill>
                    <w14:schemeClr w14:val="tx1"/>
                  </w14:solidFill>
                </w14:textFill>
              </w:rPr>
              <w:t xml:space="preserve">销售的至少包含核心产品的业绩，每提供一个业绩</w:t>
            </w:r>
            <w:r>
              <w:rPr>
                <w:rFonts w:hint="eastAsia" w:ascii="Times New Roman" w:hAnsi="Times New Roman" w:eastAsia="宋体" w:cs="Times New Roman"/>
                <w:color w:val="000000" w:themeColor="text1"/>
                <w:highlight w:val="none"/>
                <w14:textFill>
                  <w14:solidFill>
                    <w14:schemeClr w14:val="tx1"/>
                  </w14:solidFill>
                </w14:textFill>
              </w:rPr>
              <w:t xml:space="preserve">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highlight w:val="none"/>
                <w14:textFill>
                  <w14:solidFill>
                    <w14:schemeClr w14:val="tx1"/>
                  </w14:solidFill>
                </w14:textFill>
              </w:rPr>
              <w:t xml:space="preserve">分</w:t>
            </w:r>
            <w:r>
              <w:rPr>
                <w:rFonts w:hint="eastAsia" w:ascii="Times New Roman" w:hAnsi="Times New Roman" w:eastAsia="宋体" w:cs="Times New Roman"/>
                <w:color w:val="000000" w:themeColor="text1"/>
                <w:highlight w:val="none"/>
                <w:lang w:val="en-US"/>
                <w14:textFill>
                  <w14:solidFill>
                    <w14:schemeClr w14:val="tx1"/>
                  </w14:solidFill>
                </w14:textFill>
              </w:rPr>
              <w:t xml:space="preserve">，</w:t>
            </w:r>
            <w:r>
              <w:rPr>
                <w:rFonts w:hint="eastAsia" w:ascii="Times New Roman" w:hAnsi="Times New Roman" w:eastAsia="宋体" w:cs="Times New Roman"/>
                <w:color w:val="000000" w:themeColor="text1"/>
                <w:highlight w:val="none"/>
                <w14:textFill>
                  <w14:solidFill>
                    <w14:schemeClr w14:val="tx1"/>
                  </w14:solidFill>
                </w14:textFill>
              </w:rPr>
              <w:t xml:space="preserve">最多得</w:t>
            </w:r>
            <w:r>
              <w:rPr>
                <w:rFonts w:hint="eastAsia" w:cs="Times New Roman"/>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s="Times New Roman"/>
                <w:color w:val="000000" w:themeColor="text1"/>
                <w:highlight w:val="none"/>
                <w14:textFill>
                  <w14:solidFill>
                    <w14:schemeClr w14:val="tx1"/>
                  </w14:solidFill>
                </w14:textFill>
              </w:rPr>
              <w:t xml:space="preserve">分</w:t>
            </w:r>
            <w:r>
              <w:rPr>
                <w:rFonts w:hint="eastAsia" w:ascii="Times New Roman" w:hAnsi="Times New Roman" w:eastAsia="宋体" w:cs="Times New Roman"/>
                <w:color w:val="000000" w:themeColor="text1"/>
                <w:highlight w:val="none"/>
                <w:lang w:val="en-US"/>
                <w14:textFill>
                  <w14:solidFill>
                    <w14:schemeClr w14:val="tx1"/>
                  </w14:solidFill>
                </w14:textFill>
              </w:rPr>
              <w:t xml:space="preserve">，未</w:t>
            </w:r>
            <w:r>
              <w:rPr>
                <w:rFonts w:hint="eastAsia" w:ascii="Times New Roman" w:hAnsi="Times New Roman" w:eastAsia="宋体" w:cs="Times New Roman"/>
                <w:color w:val="000000" w:themeColor="text1"/>
                <w:highlight w:val="none"/>
                <w14:textFill>
                  <w14:solidFill>
                    <w14:schemeClr w14:val="tx1"/>
                  </w14:solidFill>
                </w14:textFill>
              </w:rPr>
              <w:t xml:space="preserve">提供不得分。（</w:t>
            </w:r>
            <w:r>
              <w:rPr>
                <w:rFonts w:hint="eastAsia" w:ascii="Times New Roman" w:hAnsi="Times New Roman" w:eastAsia="宋体" w:cs="Times New Roman"/>
                <w:color w:val="000000" w:themeColor="text1"/>
                <w:highlight w:val="none"/>
                <w:lang w:val="en-US"/>
                <w14:textFill>
                  <w14:solidFill>
                    <w14:schemeClr w14:val="tx1"/>
                  </w14:solidFill>
                </w14:textFill>
              </w:rPr>
              <w:t xml:space="preserve">须</w:t>
            </w:r>
            <w:r>
              <w:rPr>
                <w:rFonts w:hint="eastAsia" w:ascii="Times New Roman" w:hAnsi="Times New Roman" w:eastAsia="宋体" w:cs="Times New Roman"/>
                <w:color w:val="000000" w:themeColor="text1"/>
                <w:highlight w:val="none"/>
                <w14:textFill>
                  <w14:solidFill>
                    <w14:schemeClr w14:val="tx1"/>
                  </w14:solidFill>
                </w14:textFill>
              </w:rPr>
              <w:t xml:space="preserve">提供合同复印件</w:t>
            </w:r>
            <w:r>
              <w:rPr>
                <w:rFonts w:hint="eastAsia" w:ascii="Times New Roman" w:hAnsi="Times New Roman" w:eastAsia="宋体" w:cs="Times New Roman"/>
                <w:color w:val="000000" w:themeColor="text1"/>
                <w:highlight w:val="none"/>
                <w:lang w:val="en-US"/>
                <w14:textFill>
                  <w14:solidFill>
                    <w14:schemeClr w14:val="tx1"/>
                  </w14:solidFill>
                </w14:textFill>
              </w:rPr>
              <w:t xml:space="preserve">加盖投标单位公章，</w:t>
            </w:r>
            <w:r>
              <w:rPr>
                <w:rFonts w:hint="eastAsia" w:ascii="Times New Roman" w:hAnsi="Times New Roman" w:eastAsia="宋体" w:cs="Times New Roman"/>
                <w:color w:val="000000" w:themeColor="text1"/>
                <w:highlight w:val="none"/>
                <w14:textFill>
                  <w14:solidFill>
                    <w14:schemeClr w14:val="tx1"/>
                  </w14:solidFill>
                </w14:textFill>
              </w:rPr>
              <w:t xml:space="preserve">合同复印件须清晰可见</w:t>
            </w:r>
            <w:r>
              <w:rPr>
                <w:rFonts w:hint="eastAsia" w:ascii="Times New Roman" w:hAnsi="Times New Roman" w:eastAsia="宋体" w:cs="Times New Roman"/>
                <w:color w:val="000000" w:themeColor="text1"/>
                <w:highlight w:val="none"/>
                <w:lang w:val="en-US"/>
                <w14:textFill>
                  <w14:solidFill>
                    <w14:schemeClr w14:val="tx1"/>
                  </w14:solidFill>
                </w14:textFill>
              </w:rPr>
              <w:t xml:space="preserve">产品名称、甲乙双方单位名称</w:t>
            </w:r>
            <w:r>
              <w:rPr>
                <w:rFonts w:hint="eastAsia" w:ascii="Times New Roman" w:hAnsi="Times New Roman" w:eastAsia="宋体" w:cs="Times New Roman"/>
                <w:color w:val="000000" w:themeColor="text1"/>
                <w:highlight w:val="none"/>
                <w14:textFill>
                  <w14:solidFill>
                    <w14:schemeClr w14:val="tx1"/>
                  </w14:solidFill>
                </w14:textFill>
              </w:rPr>
              <w:t xml:space="preserve">、</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合同签订</w:t>
            </w:r>
            <w:r>
              <w:rPr>
                <w:rFonts w:hint="eastAsia" w:ascii="Times New Roman" w:hAnsi="Times New Roman" w:eastAsia="宋体" w:cs="Times New Roman"/>
                <w:color w:val="000000" w:themeColor="text1"/>
                <w:highlight w:val="none"/>
                <w14:textFill>
                  <w14:solidFill>
                    <w14:schemeClr w14:val="tx1"/>
                  </w14:solidFill>
                </w14:textFill>
              </w:rPr>
              <w:t xml:space="preserve">日期等</w:t>
            </w:r>
            <w:r>
              <w:rPr>
                <w:rFonts w:hint="eastAsia" w:ascii="Times New Roman" w:hAnsi="Times New Roman" w:eastAsia="宋体" w:cs="Times New Roman"/>
                <w:color w:val="000000" w:themeColor="text1"/>
                <w:highlight w:val="none"/>
                <w:lang w:val="en-US"/>
                <w14:textFill>
                  <w14:solidFill>
                    <w14:schemeClr w14:val="tx1"/>
                  </w14:solidFill>
                </w14:textFill>
              </w:rPr>
              <w:t xml:space="preserve">关键</w:t>
            </w:r>
            <w:r>
              <w:rPr>
                <w:rFonts w:hint="eastAsia" w:ascii="Times New Roman" w:hAnsi="Times New Roman" w:eastAsia="宋体" w:cs="Times New Roman"/>
                <w:color w:val="000000" w:themeColor="text1"/>
                <w:highlight w:val="none"/>
                <w14:textFill>
                  <w14:solidFill>
                    <w14:schemeClr w14:val="tx1"/>
                  </w14:solidFill>
                </w14:textFill>
              </w:rPr>
              <w:t xml:space="preserve">内容</w:t>
            </w:r>
            <w:r>
              <w:rPr>
                <w:rFonts w:hint="eastAsia" w:ascii="Times New Roman" w:hAnsi="Times New Roman" w:eastAsia="宋体" w:cs="Times New Roman"/>
                <w:color w:val="000000" w:themeColor="text1"/>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highlight w:val="none"/>
                <w14:textFill>
                  <w14:solidFill>
                    <w14:schemeClr w14:val="tx1"/>
                  </w14:solidFill>
                </w14:textFill>
              </w:rPr>
              <w:t xml:space="preserve">否则不得分</w:t>
            </w:r>
            <w:r>
              <w:rPr>
                <w:rFonts w:hint="eastAsia" w:ascii="Times New Roman" w:hAnsi="Times New Roman" w:eastAsia="宋体" w:cs="Times New Roman"/>
                <w:color w:val="000000" w:themeColor="text1"/>
                <w:highlight w:val="none"/>
                <w:lang w:val="en-US"/>
                <w14:textFill>
                  <w14:solidFill>
                    <w14:schemeClr w14:val="tx1"/>
                  </w14:solidFill>
                </w14:textFill>
              </w:rPr>
              <w:t xml:space="preserve">。</w:t>
            </w:r>
            <w:r>
              <w:rPr>
                <w:rFonts w:hint="eastAsia" w:ascii="Times New Roman" w:hAnsi="Times New Roman" w:eastAsia="宋体" w:cs="Times New Roman"/>
                <w:color w:val="000000" w:themeColor="text1"/>
                <w:highlight w:val="none"/>
                <w14:textFill>
                  <w14:solidFill>
                    <w14:schemeClr w14:val="tx1"/>
                  </w14:solidFill>
                </w14:textFill>
              </w:rPr>
              <w:t xml:space="preserve">）</w:t>
            </w:r>
            <w:r/>
          </w:p>
        </w:tc>
      </w:tr>
      <w:tr>
        <w:trPr>
          <w:jc w:val="center"/>
          <w:trHeight w:val="409"/>
        </w:trPr>
        <w:tc>
          <w:tcPr>
            <w:tcBorders>
              <w:top w:val="single" w:color="000000" w:sz="4" w:space="0"/>
              <w:left w:val="single" w:color="000000" w:sz="12" w:space="0"/>
              <w:bottom w:val="single" w:color="000000" w:sz="4" w:space="0"/>
              <w:right w:val="single" w:color="auto" w:sz="4" w:space="0"/>
            </w:tcBorders>
            <w:tcMar>
              <w:left w:w="108" w:type="dxa"/>
              <w:top w:w="0" w:type="dxa"/>
              <w:right w:w="108" w:type="dxa"/>
              <w:bottom w:w="0" w:type="dxa"/>
            </w:tcMar>
            <w:tcW w:w="556" w:type="dxa"/>
            <w:vAlign w:val="center"/>
            <w:textDirection w:val="lrTb"/>
            <w:noWrap w:val="false"/>
          </w:tcPr>
          <w:p>
            <w:pPr>
              <w:jc w:val="center"/>
              <w:spacing w:line="360" w:lineRule="exact"/>
              <w:rPr>
                <w:rFonts w:hint="eastAsia" w:eastAsia="宋体"/>
                <w:b/>
                <w:color w:val="000000" w:themeColor="text1"/>
                <w:highlight w:val="none"/>
                <w:lang w:eastAsia="zh-CN"/>
                <w14:textFill>
                  <w14:solidFill>
                    <w14:schemeClr w14:val="tx1"/>
                  </w14:solidFill>
                </w14:textFill>
              </w:rPr>
            </w:pPr>
            <w:r>
              <w:rPr>
                <w:rFonts w:hint="eastAsia"/>
                <w:b/>
                <w:color w:val="000000" w:themeColor="text1"/>
                <w:highlight w:val="none"/>
                <w:lang w:val="en-US" w:eastAsia="zh-CN"/>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auto" w:sz="4" w:space="0"/>
            </w:tcBorders>
            <w:tcMar>
              <w:left w:w="108" w:type="dxa"/>
              <w:top w:w="0" w:type="dxa"/>
              <w:right w:w="108" w:type="dxa"/>
              <w:bottom w:w="0" w:type="dxa"/>
            </w:tcMar>
            <w:tcW w:w="1617" w:type="dxa"/>
            <w:vAlign w:val="center"/>
            <w:textDirection w:val="lrTb"/>
            <w:noWrap w:val="false"/>
          </w:tcPr>
          <w:p>
            <w:pPr>
              <w:jc w:val="center"/>
              <w:spacing w:line="360" w:lineRule="exact"/>
              <w:rPr>
                <w:rFonts w:hint="eastAsia" w:ascii="Times New Roman" w:hAnsi="Times New Roman" w:eastAsia="宋体" w:cs="Times New Roman"/>
                <w:b/>
                <w:color w:val="000000" w:themeColor="text1"/>
                <w:highlight w:val="none"/>
                <w14:textFill>
                  <w14:solidFill>
                    <w14:schemeClr w14:val="tx1"/>
                  </w14:solidFill>
                </w14:textFill>
              </w:rPr>
            </w:pPr>
            <w:r>
              <w:rPr>
                <w:rFonts w:hint="eastAsia" w:ascii="Times New Roman" w:hAnsi="Times New Roman" w:eastAsia="宋体" w:cs="Times New Roman"/>
                <w:b/>
                <w:color w:val="000000" w:themeColor="text1"/>
                <w:highlight w:val="none"/>
                <w:lang w:val="en-US" w:eastAsia="zh-CN"/>
                <w14:textFill>
                  <w14:solidFill>
                    <w14:schemeClr w14:val="tx1"/>
                  </w14:solidFill>
                </w14:textFill>
              </w:rPr>
              <w:t xml:space="preserve">项目实施</w:t>
            </w:r>
            <w:r>
              <w:rPr>
                <w:rFonts w:hint="eastAsia" w:ascii="Times New Roman" w:hAnsi="Times New Roman" w:eastAsia="宋体" w:cs="Times New Roman"/>
                <w:b/>
                <w:color w:val="000000" w:themeColor="text1"/>
                <w:highlight w:val="none"/>
                <w14:textFill>
                  <w14:solidFill>
                    <w14:schemeClr w14:val="tx1"/>
                  </w14:solidFill>
                </w14:textFill>
              </w:rPr>
              <w:t xml:space="preserve">方案</w:t>
            </w:r>
            <w:r/>
          </w:p>
          <w:p>
            <w:pPr>
              <w:jc w:val="center"/>
              <w:spacing w:line="360" w:lineRule="exact"/>
              <w:rPr>
                <w:rFonts w:ascii="Times New Roman" w:hAnsi="Times New Roman" w:eastAsia="宋体" w:cs="Times New Roman"/>
                <w:b/>
                <w:color w:val="000000" w:themeColor="text1"/>
                <w:highlight w:val="none"/>
                <w14:textFill>
                  <w14:solidFill>
                    <w14:schemeClr w14:val="tx1"/>
                  </w14:solidFill>
                </w14:textFill>
              </w:rPr>
            </w:pPr>
            <w:r>
              <w:rPr>
                <w:rFonts w:ascii="Times New Roman" w:hAnsi="Times New Roman" w:eastAsia="宋体" w:cs="Times New Roman"/>
                <w:b/>
                <w:color w:val="000000" w:themeColor="text1"/>
                <w:highlight w:val="none"/>
                <w14:textFill>
                  <w14:solidFill>
                    <w14:schemeClr w14:val="tx1"/>
                  </w14:solidFill>
                </w14:textFill>
              </w:rPr>
              <w:t xml:space="preserve">（</w:t>
            </w:r>
            <w:r>
              <w:rPr>
                <w:rFonts w:hint="eastAsia" w:cs="Times New Roman"/>
                <w:b/>
                <w:color w:val="000000" w:themeColor="text1"/>
                <w:highlight w:val="none"/>
                <w:lang w:val="en-US" w:eastAsia="zh-CN"/>
                <w14:textFill>
                  <w14:solidFill>
                    <w14:schemeClr w14:val="tx1"/>
                  </w14:solidFill>
                </w14:textFill>
              </w:rPr>
              <w:t xml:space="preserve">5</w:t>
            </w:r>
            <w:r>
              <w:rPr>
                <w:rFonts w:ascii="Times New Roman" w:hAnsi="Times New Roman" w:eastAsia="宋体" w:cs="Times New Roman"/>
                <w:b/>
                <w:color w:val="000000" w:themeColor="text1"/>
                <w:highlight w:val="none"/>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12" w:space="0"/>
            </w:tcBorders>
            <w:tcMar>
              <w:left w:w="108" w:type="dxa"/>
              <w:top w:w="0" w:type="dxa"/>
              <w:right w:w="108" w:type="dxa"/>
              <w:bottom w:w="0" w:type="dxa"/>
            </w:tcMar>
            <w:tcW w:w="6818" w:type="dxa"/>
            <w:vAlign w:val="center"/>
            <w:textDirection w:val="lrTb"/>
            <w:noWrap w:val="false"/>
          </w:tcPr>
          <w:p>
            <w:pPr>
              <w:spacing w:line="380" w:lineRule="exact"/>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highlight w:val="none"/>
                <w:lang w:val="en-US"/>
                <w14:textFill>
                  <w14:solidFill>
                    <w14:schemeClr w14:val="tx1"/>
                  </w14:solidFill>
                </w14:textFill>
              </w:rPr>
              <w:t xml:space="preserve">4.1</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根据投标人项目实施方案，包含供货准备、进度安排、实施保障等进行综合评分。</w:t>
            </w:r>
            <w:r/>
          </w:p>
          <w:p>
            <w:pPr>
              <w:spacing w:line="380" w:lineRule="exact"/>
              <w:rPr>
                <w:rFonts w:hint="eastAsia" w:ascii="Times New Roman" w:hAnsi="Times New Roman" w:eastAsia="宋体" w:cs="Times New Roman"/>
                <w:color w:val="000000" w:themeColor="text1"/>
                <w:highlight w:val="none"/>
                <w:lang w:val="en-US"/>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项目实施方案标准规范、人员配置科学合理，实施保障措施严谨可控</w:t>
            </w:r>
            <w:r>
              <w:rPr>
                <w:rFonts w:hint="eastAsia" w:cs="Times New Roman"/>
                <w:color w:val="000000" w:themeColor="text1"/>
                <w:highlight w:val="none"/>
                <w:lang w:val="en-US" w:eastAsia="zh-CN"/>
                <w14:textFill>
                  <w14:solidFill>
                    <w14:schemeClr w14:val="tx1"/>
                  </w14:solidFill>
                </w14:textFill>
              </w:rPr>
              <w:t xml:space="preserve">，优于项目需求</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的得</w:t>
            </w:r>
            <w:r>
              <w:rPr>
                <w:rFonts w:hint="eastAsia" w:cs="Times New Roman"/>
                <w:color w:val="000000" w:themeColor="text1"/>
                <w:highlight w:val="none"/>
                <w:lang w:val="en-US" w:eastAsia="zh-CN"/>
                <w14:textFill>
                  <w14:solidFill>
                    <w14:schemeClr w14:val="tx1"/>
                  </w14:solidFill>
                </w14:textFill>
              </w:rPr>
              <w:t xml:space="preserve">5</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分；项目实施方案及各项措施较为标准规范，人员配置较为科学合理，实施保障项措施较为严谨可控</w:t>
            </w:r>
            <w:r>
              <w:rPr>
                <w:rFonts w:hint="eastAsia" w:cs="Times New Roman"/>
                <w:color w:val="000000" w:themeColor="text1"/>
                <w:highlight w:val="none"/>
                <w:lang w:val="en-US" w:eastAsia="zh-CN"/>
                <w14:textFill>
                  <w14:solidFill>
                    <w14:schemeClr w14:val="tx1"/>
                  </w14:solidFill>
                </w14:textFill>
              </w:rPr>
              <w:t xml:space="preserve">，满足项目需求</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的得</w:t>
            </w:r>
            <w:r>
              <w:rPr>
                <w:rFonts w:hint="eastAsia" w:cs="Times New Roman"/>
                <w:color w:val="000000" w:themeColor="text1"/>
                <w:highlight w:val="none"/>
                <w:lang w:val="en-US" w:eastAsia="zh-CN"/>
                <w14:textFill>
                  <w14:solidFill>
                    <w14:schemeClr w14:val="tx1"/>
                  </w14:solidFill>
                </w14:textFill>
              </w:rPr>
              <w:t xml:space="preserve">3</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分；项目实施方案及各项措施不足或一般，实施保障措施等不够严谨可控</w:t>
            </w:r>
            <w:r>
              <w:rPr>
                <w:rFonts w:hint="eastAsia" w:cs="Times New Roman"/>
                <w:color w:val="000000" w:themeColor="text1"/>
                <w:highlight w:val="none"/>
                <w:lang w:val="en-US" w:eastAsia="zh-CN"/>
                <w14:textFill>
                  <w14:solidFill>
                    <w14:schemeClr w14:val="tx1"/>
                  </w14:solidFill>
                </w14:textFill>
              </w:rPr>
              <w:t xml:space="preserve">，基本满足项目需求</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的得1分。</w:t>
            </w:r>
            <w:r>
              <w:rPr>
                <w:rFonts w:hint="eastAsia" w:cs="Times New Roman"/>
                <w:color w:val="000000" w:themeColor="text1"/>
                <w:highlight w:val="none"/>
                <w:lang w:val="en-US" w:eastAsia="zh-CN"/>
                <w14:textFill>
                  <w14:solidFill>
                    <w14:schemeClr w14:val="tx1"/>
                  </w14:solidFill>
                </w14:textFill>
              </w:rPr>
              <w:t xml:space="preserve">不满足</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或未提供</w:t>
            </w:r>
            <w:r>
              <w:rPr>
                <w:rFonts w:hint="eastAsia" w:cs="Times New Roman"/>
                <w:color w:val="000000" w:themeColor="text1"/>
                <w:highlight w:val="none"/>
                <w:lang w:val="en-US" w:eastAsia="zh-CN"/>
                <w14:textFill>
                  <w14:solidFill>
                    <w14:schemeClr w14:val="tx1"/>
                  </w14:solidFill>
                </w14:textFill>
              </w:rPr>
              <w:t xml:space="preserve">的</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不得分。</w:t>
            </w:r>
            <w:r/>
          </w:p>
        </w:tc>
      </w:tr>
      <w:tr>
        <w:trPr>
          <w:jc w:val="center"/>
          <w:trHeight w:val="268"/>
        </w:trPr>
        <w:tc>
          <w:tcPr>
            <w:tcBorders>
              <w:top w:val="single" w:color="000000" w:sz="4" w:space="0"/>
              <w:left w:val="single" w:color="000000" w:sz="12" w:space="0"/>
              <w:bottom w:val="single" w:color="000000" w:sz="4" w:space="0"/>
              <w:right w:val="single" w:color="auto" w:sz="4" w:space="0"/>
            </w:tcBorders>
            <w:tcMar>
              <w:left w:w="108" w:type="dxa"/>
              <w:top w:w="0" w:type="dxa"/>
              <w:right w:w="108" w:type="dxa"/>
              <w:bottom w:w="0" w:type="dxa"/>
            </w:tcMar>
            <w:tcW w:w="556" w:type="dxa"/>
            <w:vAlign w:val="center"/>
            <w:textDirection w:val="lrTb"/>
            <w:noWrap w:val="false"/>
          </w:tcPr>
          <w:p>
            <w:pPr>
              <w:jc w:val="center"/>
              <w:spacing w:line="360" w:lineRule="exact"/>
              <w:rPr>
                <w:rFonts w:hint="eastAsia" w:eastAsia="宋体"/>
                <w:b/>
                <w:color w:val="000000" w:themeColor="text1"/>
                <w:highlight w:val="none"/>
                <w:lang w:eastAsia="zh-CN"/>
                <w14:textFill>
                  <w14:solidFill>
                    <w14:schemeClr w14:val="tx1"/>
                  </w14:solidFill>
                </w14:textFill>
              </w:rPr>
            </w:pPr>
            <w:r>
              <w:rPr>
                <w:rFonts w:hint="eastAsia"/>
                <w:b/>
                <w:color w:val="000000" w:themeColor="text1"/>
                <w:highlight w:val="none"/>
                <w:lang w:val="en-US" w:eastAsia="zh-CN"/>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auto" w:sz="4" w:space="0"/>
            </w:tcBorders>
            <w:tcMar>
              <w:left w:w="108" w:type="dxa"/>
              <w:top w:w="0" w:type="dxa"/>
              <w:right w:w="108" w:type="dxa"/>
              <w:bottom w:w="0" w:type="dxa"/>
            </w:tcMar>
            <w:tcW w:w="1617" w:type="dxa"/>
            <w:vAlign w:val="center"/>
            <w:textDirection w:val="lrTb"/>
            <w:noWrap w:val="false"/>
          </w:tcPr>
          <w:p>
            <w:pPr>
              <w:jc w:val="center"/>
              <w:spacing w:line="360" w:lineRule="exact"/>
              <w:rPr>
                <w:rFonts w:hint="eastAsia" w:ascii="Times New Roman" w:hAnsi="Times New Roman" w:eastAsia="宋体" w:cs="Times New Roman"/>
                <w:b/>
                <w:color w:val="000000" w:themeColor="text1"/>
                <w:highlight w:val="none"/>
                <w:lang w:val="en-US" w:eastAsia="zh-CN"/>
                <w14:textFill>
                  <w14:solidFill>
                    <w14:schemeClr w14:val="tx1"/>
                  </w14:solidFill>
                </w14:textFill>
              </w:rPr>
            </w:pPr>
            <w:r>
              <w:rPr>
                <w:rFonts w:hint="eastAsia" w:ascii="Times New Roman" w:hAnsi="Times New Roman" w:eastAsia="宋体" w:cs="Times New Roman"/>
                <w:b/>
                <w:color w:val="000000" w:themeColor="text1"/>
                <w:highlight w:val="none"/>
                <w:lang w:val="en-US" w:eastAsia="zh-CN"/>
                <w14:textFill>
                  <w14:solidFill>
                    <w14:schemeClr w14:val="tx1"/>
                  </w14:solidFill>
                </w14:textFill>
              </w:rPr>
              <w:t xml:space="preserve">质量把控及验收方案</w:t>
            </w:r>
            <w:r/>
          </w:p>
          <w:p>
            <w:pPr>
              <w:jc w:val="center"/>
              <w:spacing w:line="360" w:lineRule="exact"/>
              <w:rPr>
                <w:rFonts w:hint="eastAsia" w:ascii="Times New Roman" w:hAnsi="Times New Roman" w:eastAsia="宋体" w:cs="Times New Roman"/>
                <w:b/>
                <w:color w:val="000000" w:themeColor="text1"/>
                <w:highlight w:val="none"/>
                <w:lang w:val="en-US" w:eastAsia="zh-CN"/>
                <w14:textFill>
                  <w14:solidFill>
                    <w14:schemeClr w14:val="tx1"/>
                  </w14:solidFill>
                </w14:textFill>
              </w:rPr>
            </w:pPr>
            <w:r>
              <w:rPr>
                <w:rFonts w:hint="eastAsia" w:ascii="Times New Roman" w:hAnsi="Times New Roman" w:eastAsia="宋体" w:cs="Times New Roman"/>
                <w:b/>
                <w:color w:val="000000" w:themeColor="text1"/>
                <w:highlight w:val="none"/>
                <w:lang w:val="en-US" w:eastAsia="zh-CN"/>
                <w14:textFill>
                  <w14:solidFill>
                    <w14:schemeClr w14:val="tx1"/>
                  </w14:solidFill>
                </w14:textFill>
              </w:rPr>
              <w:t xml:space="preserve">（</w:t>
            </w:r>
            <w:r>
              <w:rPr>
                <w:rFonts w:hint="eastAsia" w:cs="Times New Roman"/>
                <w:b/>
                <w:color w:val="000000" w:themeColor="text1"/>
                <w:highlight w:val="none"/>
                <w:lang w:val="en-US" w:eastAsia="zh-CN"/>
                <w14:textFill>
                  <w14:solidFill>
                    <w14:schemeClr w14:val="tx1"/>
                  </w14:solidFill>
                </w14:textFill>
              </w:rPr>
              <w:t xml:space="preserve">6</w:t>
            </w:r>
            <w:r>
              <w:rPr>
                <w:rFonts w:hint="eastAsia" w:ascii="Times New Roman" w:hAnsi="Times New Roman" w:eastAsia="宋体" w:cs="Times New Roman"/>
                <w:b/>
                <w:color w:val="000000" w:themeColor="text1"/>
                <w:highlight w:val="none"/>
                <w:lang w:val="en-US" w:eastAsia="zh-CN"/>
                <w14:textFill>
                  <w14:solidFill>
                    <w14:schemeClr w14:val="tx1"/>
                  </w14:solidFill>
                </w14:textFill>
              </w:rPr>
              <w:t xml:space="preserve">分）</w:t>
            </w:r>
            <w:r/>
          </w:p>
        </w:tc>
        <w:tc>
          <w:tcPr>
            <w:tcBorders>
              <w:top w:val="single" w:color="000000" w:sz="4" w:space="0"/>
              <w:left w:val="none" w:color="000000" w:sz="4" w:space="0"/>
              <w:bottom w:val="single" w:color="000000" w:sz="4" w:space="0"/>
              <w:right w:val="single" w:color="000000" w:sz="12" w:space="0"/>
            </w:tcBorders>
            <w:tcMar>
              <w:left w:w="108" w:type="dxa"/>
              <w:top w:w="0" w:type="dxa"/>
              <w:right w:w="108" w:type="dxa"/>
              <w:bottom w:w="0" w:type="dxa"/>
            </w:tcMar>
            <w:tcW w:w="6818" w:type="dxa"/>
            <w:vAlign w:val="center"/>
            <w:textDirection w:val="lrTb"/>
            <w:noWrap w:val="false"/>
          </w:tcPr>
          <w:p>
            <w:pPr>
              <w:spacing w:line="380" w:lineRule="exact"/>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5.1根据投标人提供的质量把控（包括货物质量保证、货物检验标准、货物来源渠道等）及验收方案进行打分。</w:t>
            </w:r>
            <w:r/>
          </w:p>
          <w:p>
            <w:pPr>
              <w:spacing w:line="380" w:lineRule="exact"/>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质量把控及验收方案科学合理、严谨可控的，</w:t>
            </w:r>
            <w:r>
              <w:rPr>
                <w:rFonts w:hint="eastAsia" w:cs="Times New Roman"/>
                <w:color w:val="000000" w:themeColor="text1"/>
                <w:highlight w:val="none"/>
                <w:lang w:val="en-US" w:eastAsia="zh-CN"/>
                <w14:textFill>
                  <w14:solidFill>
                    <w14:schemeClr w14:val="tx1"/>
                  </w14:solidFill>
                </w14:textFill>
              </w:rPr>
              <w:t xml:space="preserve">优于项目需求的</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得</w:t>
            </w:r>
            <w:r>
              <w:rPr>
                <w:rFonts w:hint="eastAsia" w:cs="Times New Roman"/>
                <w:color w:val="000000" w:themeColor="text1"/>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分；质量把控及验收方案较为科学合理、严谨可控的，</w:t>
            </w:r>
            <w:r>
              <w:rPr>
                <w:rFonts w:hint="eastAsia" w:cs="Times New Roman"/>
                <w:color w:val="000000" w:themeColor="text1"/>
                <w:highlight w:val="none"/>
                <w:lang w:val="en-US" w:eastAsia="zh-CN"/>
                <w14:textFill>
                  <w14:solidFill>
                    <w14:schemeClr w14:val="tx1"/>
                  </w14:solidFill>
                </w14:textFill>
              </w:rPr>
              <w:t xml:space="preserve">满足项目需求</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的得</w:t>
            </w:r>
            <w:r>
              <w:rPr>
                <w:rFonts w:hint="eastAsia" w:cs="Times New Roman"/>
                <w:color w:val="000000" w:themeColor="text1"/>
                <w:highlight w:val="none"/>
                <w:lang w:val="en-US" w:eastAsia="zh-CN"/>
                <w14:textFill>
                  <w14:solidFill>
                    <w14:schemeClr w14:val="tx1"/>
                  </w14:solidFill>
                </w14:textFill>
              </w:rPr>
              <w:t xml:space="preserve">4</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分；质量把控及验收方案不足或一般，不够科学合理、严谨可控的，</w:t>
            </w:r>
            <w:r>
              <w:rPr>
                <w:rFonts w:hint="eastAsia" w:cs="Times New Roman"/>
                <w:color w:val="000000" w:themeColor="text1"/>
                <w:highlight w:val="none"/>
                <w:lang w:val="en-US" w:eastAsia="zh-CN"/>
                <w14:textFill>
                  <w14:solidFill>
                    <w14:schemeClr w14:val="tx1"/>
                  </w14:solidFill>
                </w14:textFill>
              </w:rPr>
              <w:t xml:space="preserve">基本满足项目需求</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的得</w:t>
            </w:r>
            <w:r>
              <w:rPr>
                <w:rFonts w:hint="eastAsia" w:cs="Times New Roman"/>
                <w:color w:val="000000" w:themeColor="text1"/>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分。</w:t>
            </w:r>
            <w:r>
              <w:rPr>
                <w:rFonts w:hint="eastAsia" w:cs="Times New Roman"/>
                <w:color w:val="000000" w:themeColor="text1"/>
                <w:highlight w:val="none"/>
                <w:lang w:val="en-US" w:eastAsia="zh-CN"/>
                <w14:textFill>
                  <w14:solidFill>
                    <w14:schemeClr w14:val="tx1"/>
                  </w14:solidFill>
                </w14:textFill>
              </w:rPr>
              <w:t xml:space="preserve">不满足</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或未提供</w:t>
            </w:r>
            <w:r>
              <w:rPr>
                <w:rFonts w:hint="eastAsia" w:cs="Times New Roman"/>
                <w:color w:val="000000" w:themeColor="text1"/>
                <w:highlight w:val="none"/>
                <w:lang w:val="en-US" w:eastAsia="zh-CN"/>
                <w14:textFill>
                  <w14:solidFill>
                    <w14:schemeClr w14:val="tx1"/>
                  </w14:solidFill>
                </w14:textFill>
              </w:rPr>
              <w:t xml:space="preserve">的</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不得分。</w:t>
            </w:r>
            <w:r/>
          </w:p>
        </w:tc>
      </w:tr>
      <w:tr>
        <w:trPr>
          <w:jc w:val="center"/>
          <w:trHeight w:val="268"/>
        </w:trPr>
        <w:tc>
          <w:tcPr>
            <w:shd w:val="clear" w:color="auto" w:fill="auto"/>
            <w:tcBorders>
              <w:top w:val="single" w:color="000000" w:sz="4" w:space="0"/>
              <w:left w:val="single" w:color="000000" w:sz="12" w:space="0"/>
              <w:bottom w:val="single" w:color="000000" w:sz="4" w:space="0"/>
              <w:right w:val="single" w:color="auto" w:sz="4" w:space="0"/>
            </w:tcBorders>
            <w:tcMar>
              <w:left w:w="108" w:type="dxa"/>
              <w:top w:w="0" w:type="dxa"/>
              <w:right w:w="108" w:type="dxa"/>
              <w:bottom w:w="0" w:type="dxa"/>
            </w:tcMar>
            <w:tcW w:w="556" w:type="dxa"/>
            <w:vAlign w:val="center"/>
            <w:textDirection w:val="lrTb"/>
            <w:noWrap w:val="false"/>
          </w:tcPr>
          <w:p>
            <w:pPr>
              <w:jc w:val="center"/>
              <w:spacing w:line="360" w:lineRule="exact"/>
              <w:rPr>
                <w:rFonts w:hint="eastAsia" w:ascii="Times New Roman" w:hAnsi="Times New Roman" w:eastAsia="宋体" w:cs="Times New Roman"/>
                <w:b/>
                <w:color w:val="000000" w:themeColor="text1"/>
                <w:sz w:val="24"/>
                <w:szCs w:val="24"/>
                <w:highlight w:val="none"/>
                <w:lang w:val="en-US" w:eastAsia="zh-CN" w:bidi="ar-SA"/>
                <w14:textFill>
                  <w14:solidFill>
                    <w14:schemeClr w14:val="tx1"/>
                  </w14:solidFill>
                </w14:textFill>
              </w:rPr>
            </w:pPr>
            <w:r>
              <w:rPr>
                <w:rFonts w:hint="eastAsia"/>
                <w:b/>
                <w:color w:val="000000" w:themeColor="text1"/>
                <w:sz w:val="24"/>
                <w:szCs w:val="24"/>
                <w:highlight w:val="none"/>
                <w:lang w:val="en-US" w:eastAsia="zh-CN"/>
                <w14:textFill>
                  <w14:solidFill>
                    <w14:schemeClr w14:val="tx1"/>
                  </w14:solidFill>
                </w14:textFill>
              </w:rPr>
              <w:t xml:space="preserve">7</w:t>
            </w:r>
            <w:r/>
          </w:p>
        </w:tc>
        <w:tc>
          <w:tcPr>
            <w:shd w:val="clear" w:color="auto" w:fill="auto"/>
            <w:tcBorders>
              <w:top w:val="single" w:color="000000" w:sz="4" w:space="0"/>
              <w:left w:val="none" w:color="000000" w:sz="4" w:space="0"/>
              <w:bottom w:val="single" w:color="000000" w:sz="4" w:space="0"/>
              <w:right w:val="single" w:color="auto" w:sz="4" w:space="0"/>
            </w:tcBorders>
            <w:tcMar>
              <w:left w:w="108" w:type="dxa"/>
              <w:top w:w="0" w:type="dxa"/>
              <w:right w:w="108" w:type="dxa"/>
              <w:bottom w:w="0" w:type="dxa"/>
            </w:tcMar>
            <w:tcW w:w="1617" w:type="dxa"/>
            <w:vAlign w:val="center"/>
            <w:textDirection w:val="lrTb"/>
            <w:noWrap w:val="false"/>
          </w:tcPr>
          <w:p>
            <w:pPr>
              <w:jc w:val="center"/>
              <w:spacing w:line="36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售后服务方案</w:t>
            </w:r>
            <w:r/>
          </w:p>
          <w:p>
            <w:pPr>
              <w:jc w:val="center"/>
              <w:spacing w:line="360" w:lineRule="exact"/>
              <w:rPr>
                <w:rFonts w:ascii="Times New Roman" w:hAnsi="Times New Roman" w:eastAsia="宋体" w:cs="Times New Roman"/>
                <w:b/>
                <w:color w:val="000000" w:themeColor="text1"/>
                <w:sz w:val="21"/>
                <w:szCs w:val="21"/>
                <w:highlight w:val="none"/>
                <w:lang w:val="en-US" w:eastAsia="zh-CN" w:bidi="ar-SA"/>
                <w14:textFill>
                  <w14:solidFill>
                    <w14:schemeClr w14:val="tx1"/>
                  </w14:solidFill>
                </w14:textFill>
              </w:rPr>
            </w:pPr>
            <w:r>
              <w:rPr>
                <w:b/>
                <w:color w:val="000000" w:themeColor="text1"/>
                <w:highlight w:val="none"/>
                <w14:textFill>
                  <w14:solidFill>
                    <w14:schemeClr w14:val="tx1"/>
                  </w14:solidFill>
                </w14:textFill>
              </w:rPr>
              <w:t xml:space="preserve">（</w:t>
            </w:r>
            <w:r>
              <w:rPr>
                <w:rFonts w:hint="eastAsia"/>
                <w:b/>
                <w:color w:val="000000" w:themeColor="text1"/>
                <w:highlight w:val="none"/>
                <w:lang w:val="en-US" w:eastAsia="zh-CN"/>
                <w14:textFill>
                  <w14:solidFill>
                    <w14:schemeClr w14:val="tx1"/>
                  </w14:solidFill>
                </w14:textFill>
              </w:rPr>
              <w:t xml:space="preserve">6</w:t>
            </w:r>
            <w:r>
              <w:rPr>
                <w:b/>
                <w:color w:val="000000" w:themeColor="text1"/>
                <w:highlight w:val="none"/>
                <w14:textFill>
                  <w14:solidFill>
                    <w14:schemeClr w14:val="tx1"/>
                  </w14:solidFill>
                </w14:textFill>
              </w:rPr>
              <w:t xml:space="preserve">分）</w:t>
            </w:r>
            <w:r/>
          </w:p>
        </w:tc>
        <w:tc>
          <w:tcPr>
            <w:shd w:val="clear" w:color="auto" w:fill="auto"/>
            <w:tcBorders>
              <w:top w:val="single" w:color="000000" w:sz="4" w:space="0"/>
              <w:left w:val="none" w:color="000000" w:sz="4" w:space="0"/>
              <w:bottom w:val="single" w:color="000000" w:sz="4" w:space="0"/>
              <w:right w:val="single" w:color="000000" w:sz="12" w:space="0"/>
            </w:tcBorders>
            <w:tcMar>
              <w:left w:w="108" w:type="dxa"/>
              <w:top w:w="0" w:type="dxa"/>
              <w:right w:w="108" w:type="dxa"/>
              <w:bottom w:w="0" w:type="dxa"/>
            </w:tcMar>
            <w:tcW w:w="6818" w:type="dxa"/>
            <w:vAlign w:val="center"/>
            <w:textDirection w:val="lrTb"/>
            <w:noWrap w:val="false"/>
          </w:tcPr>
          <w:p>
            <w:pPr>
              <w:spacing w:line="380" w:lineRule="exact"/>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 6.1根据投标人提供的售后服务方案（售后服务的主动性、实现的可能性、在项目所在地有履行合同相关专业服务机构及人员配置情况、对故障的接受工作制度和机制，人员培训、售后服务的响应时间、排除故障时间，质保期外的服务内容及收费标准等情况）进行打分。</w:t>
            </w:r>
            <w:r/>
          </w:p>
          <w:p>
            <w:pPr>
              <w:spacing w:line="380" w:lineRule="exact"/>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售后服务方案详细，可操作性强，服务响应时间及时，质保期长及售后服务范围广</w:t>
            </w:r>
            <w:r>
              <w:rPr>
                <w:rFonts w:hint="eastAsia" w:cs="Times New Roman"/>
                <w:color w:val="000000" w:themeColor="text1"/>
                <w:highlight w:val="none"/>
                <w:lang w:val="en-US" w:eastAsia="zh-CN"/>
                <w14:textFill>
                  <w14:solidFill>
                    <w14:schemeClr w14:val="tx1"/>
                  </w14:solidFill>
                </w14:textFill>
              </w:rPr>
              <w:t xml:space="preserve">，优于项目需求</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的得</w:t>
            </w:r>
            <w:r>
              <w:rPr>
                <w:rFonts w:hint="eastAsia" w:cs="Times New Roman"/>
                <w:color w:val="000000" w:themeColor="text1"/>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分；售后服务方案较为详细，可操作性较强，服务响应时间较及时，质保期较长及售后服务范围较广</w:t>
            </w:r>
            <w:r>
              <w:rPr>
                <w:rFonts w:hint="eastAsia" w:cs="Times New Roman"/>
                <w:color w:val="000000" w:themeColor="text1"/>
                <w:highlight w:val="none"/>
                <w:lang w:val="en-US" w:eastAsia="zh-CN"/>
                <w14:textFill>
                  <w14:solidFill>
                    <w14:schemeClr w14:val="tx1"/>
                  </w14:solidFill>
                </w14:textFill>
              </w:rPr>
              <w:t xml:space="preserve">，满足项目需求</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的得</w:t>
            </w:r>
            <w:r>
              <w:rPr>
                <w:rFonts w:hint="eastAsia" w:cs="Times New Roman"/>
                <w:color w:val="000000" w:themeColor="text1"/>
                <w:highlight w:val="none"/>
                <w:lang w:val="en-US" w:eastAsia="zh-CN"/>
                <w14:textFill>
                  <w14:solidFill>
                    <w14:schemeClr w14:val="tx1"/>
                  </w14:solidFill>
                </w14:textFill>
              </w:rPr>
              <w:t xml:space="preserve">4</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分；售后服务方案粗略，服务响应时间、质保期基本达到要求，售后服务范围无实质性内容</w:t>
            </w:r>
            <w:r>
              <w:rPr>
                <w:rFonts w:hint="eastAsia" w:cs="Times New Roman"/>
                <w:color w:val="000000" w:themeColor="text1"/>
                <w:highlight w:val="none"/>
                <w:lang w:val="en-US" w:eastAsia="zh-CN"/>
                <w14:textFill>
                  <w14:solidFill>
                    <w14:schemeClr w14:val="tx1"/>
                  </w14:solidFill>
                </w14:textFill>
              </w:rPr>
              <w:t xml:space="preserve">，基本满足项目需求</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的得</w:t>
            </w:r>
            <w:r>
              <w:rPr>
                <w:rFonts w:hint="eastAsia" w:cs="Times New Roman"/>
                <w:color w:val="000000" w:themeColor="text1"/>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分；</w:t>
            </w:r>
            <w:r>
              <w:rPr>
                <w:rFonts w:hint="eastAsia" w:cs="Times New Roman"/>
                <w:color w:val="000000" w:themeColor="text1"/>
                <w:highlight w:val="none"/>
                <w:lang w:val="en-US" w:eastAsia="zh-CN"/>
                <w14:textFill>
                  <w14:solidFill>
                    <w14:schemeClr w14:val="tx1"/>
                  </w14:solidFill>
                </w14:textFill>
              </w:rPr>
              <w:t xml:space="preserve">不满足</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或未提供</w:t>
            </w:r>
            <w:r>
              <w:rPr>
                <w:rFonts w:hint="eastAsia" w:cs="Times New Roman"/>
                <w:color w:val="000000" w:themeColor="text1"/>
                <w:highlight w:val="none"/>
                <w:lang w:val="en-US" w:eastAsia="zh-CN"/>
                <w14:textFill>
                  <w14:solidFill>
                    <w14:schemeClr w14:val="tx1"/>
                  </w14:solidFill>
                </w14:textFill>
              </w:rPr>
              <w:t xml:space="preserve">的</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不得分。</w:t>
            </w:r>
            <w:r/>
          </w:p>
        </w:tc>
      </w:tr>
    </w:tbl>
    <w:p>
      <w:pPr>
        <w:pStyle w:val="845"/>
        <w:ind w:firstLine="482"/>
        <w:spacing w:before="0" w:after="0" w:line="360" w:lineRule="exact"/>
        <w:rPr>
          <w:rFonts w:ascii="Times New Roman" w:hAnsi="Times New Roman"/>
          <w:b/>
          <w:color w:val="000000" w:themeColor="text1"/>
          <w:sz w:val="21"/>
          <w:szCs w:val="21"/>
          <w:highlight w:val="none"/>
          <w14:textFill>
            <w14:solidFill>
              <w14:schemeClr w14:val="tx1"/>
            </w14:solidFill>
          </w14:textFill>
        </w:rPr>
      </w:pPr>
      <w:r>
        <w:rPr>
          <w:rFonts w:ascii="Times New Roman" w:hAnsi="Times New Roman"/>
          <w:b/>
          <w:color w:val="000000" w:themeColor="text1"/>
          <w:sz w:val="21"/>
          <w:szCs w:val="21"/>
          <w:highlight w:val="none"/>
          <w14:textFill>
            <w14:solidFill>
              <w14:schemeClr w14:val="tx1"/>
            </w14:solidFill>
          </w14:textFill>
        </w:rPr>
        <w:t xml:space="preserve">政府采购政策功能落实</w:t>
      </w:r>
      <w:r/>
    </w:p>
    <w:p>
      <w:pPr>
        <w:pStyle w:val="845"/>
        <w:spacing w:before="0" w:after="0" w:line="36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1、小微型企业价格扣除</w:t>
      </w:r>
      <w:r/>
    </w:p>
    <w:p>
      <w:pPr>
        <w:pStyle w:val="845"/>
        <w:ind w:firstLine="315"/>
        <w:spacing w:before="0" w:after="0" w:line="360" w:lineRule="exact"/>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（1）本项目对小型和微型企业产品给予10%的扣除价格，用扣除后的价格</w:t>
      </w:r>
      <w:r>
        <w:rPr>
          <w:rFonts w:ascii="Times New Roman" w:hAnsi="Times New Roman"/>
          <w:color w:val="000000" w:themeColor="text1"/>
          <w:sz w:val="21"/>
          <w:szCs w:val="21"/>
          <w14:textFill>
            <w14:solidFill>
              <w14:schemeClr w14:val="tx1"/>
            </w14:solidFill>
          </w14:textFill>
        </w:rPr>
        <w:t xml:space="preserve">参与评审。</w:t>
      </w:r>
      <w:r/>
    </w:p>
    <w:p>
      <w:pPr>
        <w:pStyle w:val="845"/>
        <w:ind w:firstLine="315"/>
        <w:spacing w:before="0" w:after="0" w:line="360" w:lineRule="exact"/>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（2）供应商需按照采购文件的要求提供相应的《企业声明函》。</w:t>
      </w:r>
      <w:r/>
    </w:p>
    <w:p>
      <w:pPr>
        <w:pStyle w:val="845"/>
        <w:ind w:firstLine="315"/>
        <w:spacing w:before="0" w:after="0" w:line="360" w:lineRule="exact"/>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（3）企业标准请参照《关于印发中小企业划型标准规定的通知》（工信部联企业[2011]300号）文件规定自行填写。</w:t>
      </w:r>
      <w:r/>
    </w:p>
    <w:p>
      <w:pPr>
        <w:pStyle w:val="845"/>
        <w:spacing w:before="0" w:after="0" w:line="360" w:lineRule="exact"/>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2、残疾人福利单位价格扣除</w:t>
      </w:r>
      <w:r/>
    </w:p>
    <w:p>
      <w:pPr>
        <w:pStyle w:val="845"/>
        <w:ind w:left="120" w:firstLine="315"/>
        <w:spacing w:before="0" w:after="0" w:line="360" w:lineRule="exact"/>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（1）本项目对残疾人福利性单位视同小型、微型企业，给予10%的价格扣除，用扣除后的价格参与评审。</w:t>
      </w:r>
      <w:r/>
    </w:p>
    <w:p>
      <w:pPr>
        <w:pStyle w:val="845"/>
        <w:ind w:left="120" w:firstLine="315"/>
        <w:spacing w:before="0" w:after="0" w:line="360" w:lineRule="exact"/>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（2）残疾人福利单位需按照采购文件的要求提供《残疾人福利性单位声明函》。</w:t>
      </w:r>
      <w:r/>
    </w:p>
    <w:p>
      <w:pPr>
        <w:pStyle w:val="845"/>
        <w:ind w:left="120" w:firstLine="315"/>
        <w:spacing w:before="0" w:after="0" w:line="360" w:lineRule="exact"/>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（3）残疾人福利单位标准请参照《关于促进残疾人就业政府采购政策的通知》（财库〔2017〕141号）。</w:t>
      </w:r>
      <w:r/>
    </w:p>
    <w:p>
      <w:pPr>
        <w:pStyle w:val="845"/>
        <w:spacing w:before="0" w:after="0" w:line="360" w:lineRule="exact"/>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3、监狱和戒毒企业价格扣除</w:t>
      </w:r>
      <w:r/>
    </w:p>
    <w:p>
      <w:pPr>
        <w:pStyle w:val="845"/>
        <w:ind w:firstLine="315"/>
        <w:spacing w:before="0" w:after="0" w:line="360" w:lineRule="exact"/>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（1）本项目对监狱和戒毒企业（简称监狱企业）视同小型、微型企业，给予10%的价格扣除，用扣除后的价格参与评审。</w:t>
      </w:r>
      <w:r/>
    </w:p>
    <w:p>
      <w:pPr>
        <w:pStyle w:val="845"/>
        <w:ind w:firstLine="315"/>
        <w:spacing w:before="0" w:after="0" w:line="360" w:lineRule="exact"/>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5"/>
        <w:ind w:firstLine="315"/>
        <w:spacing w:before="0" w:after="0" w:line="360" w:lineRule="exact"/>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（3）监狱企业标准请参照《关于政府采购支持监狱企业发展有关问题的通知》（财库[2014]68号）。</w:t>
      </w:r>
      <w:r/>
    </w:p>
    <w:p>
      <w:pPr>
        <w:pStyle w:val="845"/>
        <w:spacing w:before="0" w:after="0" w:line="360" w:lineRule="exact"/>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4、残疾人福利单位、监狱企业属于小型、微型企业的，不重复享受政策。</w:t>
      </w:r>
      <w:r/>
    </w:p>
    <w:p>
      <w:pPr>
        <w:pStyle w:val="845"/>
        <w:spacing w:before="0" w:after="0" w:line="360" w:lineRule="exact"/>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5、</w:t>
      </w:r>
      <w:r>
        <w:rPr>
          <w:rFonts w:ascii="Times New Roman" w:hAnsi="Times New Roman"/>
          <w:color w:val="000000" w:themeColor="text1"/>
          <w:sz w:val="21"/>
          <w:szCs w:val="21"/>
          <w14:textFill>
            <w14:solidFill>
              <w14:schemeClr w14:val="tx1"/>
            </w14:solidFill>
          </w14:textFill>
        </w:rPr>
        <w:t xml:space="preserve">如果本项目同意联合体投标或同意分包履行合同的,</w:t>
      </w:r>
      <w:r>
        <w:rPr>
          <w:rFonts w:ascii="Times New Roman" w:hAnsi="Times New Roman"/>
          <w:color w:val="000000" w:themeColor="text1"/>
          <w:sz w:val="21"/>
          <w:szCs w:val="21"/>
          <w14:textFill>
            <w14:solidFill>
              <w14:schemeClr w14:val="tx1"/>
            </w14:solidFill>
          </w14:textFill>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pStyle w:val="845"/>
        <w:spacing w:before="0" w:after="0" w:line="360" w:lineRule="exact"/>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6、联合体各方均为小型、微型企业（残疾人福利单位、监狱企业）的，联合体享受10%价格扣除，用扣除后的价格参与评审。</w:t>
      </w:r>
      <w:r/>
    </w:p>
    <w:p>
      <w:pPr>
        <w:ind w:firstLine="420"/>
        <w:jc w:val="left"/>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7、采购本国产品的支持政策</w:t>
      </w:r>
      <w:r/>
    </w:p>
    <w:p>
      <w:pPr>
        <w:ind w:firstLine="420"/>
        <w:jc w:val="left"/>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7.1 本项目政府采购活动中既有本国产品又有非本国产品参与竞争的，依法对本国产品给予价格评审优惠，对本国产品的报价给予20%的价格扣除，用扣除后的价格参与评审。</w:t>
      </w:r>
      <w:r/>
    </w:p>
    <w:p>
      <w:pPr>
        <w:ind w:firstLine="420"/>
        <w:jc w:val="left"/>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jc w:val="left"/>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7.3 供应商需按照招标文件的要求提供《关于符合本国产品标准的声明函》（以下简称《声明函》），如不提供将不享受本国产品价格评审优惠。</w:t>
      </w:r>
      <w:r/>
    </w:p>
    <w:p>
      <w:pPr>
        <w:ind w:firstLine="420"/>
        <w:jc w:val="left"/>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20"/>
        <w:spacing w:line="360" w:lineRule="exact"/>
        <w:rPr>
          <w:b/>
          <w:bCs/>
          <w:sz w:val="36"/>
          <w:szCs w:val="36"/>
        </w:rPr>
      </w:pPr>
      <w:r>
        <w:rPr>
          <w:rFonts w:hint="eastAsia" w:ascii="Times New Roman" w:hAnsi="Times New Roman" w:eastAsia="宋体" w:cs="Times New Roman"/>
          <w:sz w:val="21"/>
          <w:szCs w:val="21"/>
          <w:lang w:val="en-US" w:eastAsia="zh-CN" w:bidi="ar-SA"/>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default" w:ascii="Times New Roman" w:hAnsi="Times New Roman" w:eastAsia="宋体" w:cs="Times New Roman"/>
          <w:sz w:val="21"/>
          <w:szCs w:val="21"/>
          <w:lang w:val="en-US" w:eastAsia="zh-CN" w:bidi="ar-SA"/>
        </w:rPr>
        <w:tab/>
      </w:r>
      <w:r/>
    </w:p>
    <w:p>
      <w:pPr>
        <w:pStyle w:val="845"/>
        <w:spacing w:before="0" w:after="0" w:line="360" w:lineRule="exact"/>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ab/>
      </w:r>
      <w:r/>
    </w:p>
    <w:p>
      <w:pPr>
        <w:ind w:firstLine="482"/>
        <w:spacing w:line="400" w:lineRule="exact"/>
        <w:rPr>
          <w:color w:val="000000" w:themeColor="text1"/>
          <w14:textFill>
            <w14:solidFill>
              <w14:schemeClr w14:val="tx1"/>
            </w14:solidFill>
          </w14:textFill>
        </w:rPr>
      </w:pPr>
      <w:r>
        <w:rPr>
          <w:b/>
          <w:color w:val="000000" w:themeColor="text1"/>
          <w:sz w:val="24"/>
          <w:szCs w:val="24"/>
          <w14:textFill>
            <w14:solidFill>
              <w14:schemeClr w14:val="tx1"/>
            </w14:solidFill>
          </w14:textFill>
        </w:rPr>
        <w:br w:type="page" w:clear="all"/>
      </w:r>
      <w:bookmarkEnd w:id="175"/>
      <w:bookmarkEnd w:id="176"/>
      <w:bookmarkEnd w:id="196"/>
      <w:bookmarkEnd w:id="197"/>
      <w:bookmarkEnd w:id="198"/>
      <w: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w:t>
      </w:r>
      <w: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w:t>
      </w:r>
      <w: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w:t>
      </w:r>
      <w:r/>
    </w:p>
    <w:p>
      <w:pPr>
        <w:jc w:val="center"/>
        <w:keepNext/>
        <w:rPr>
          <w:color w:val="000000" w:themeColor="text1"/>
          <w:sz w:val="24"/>
          <w:szCs w:val="24"/>
          <w14:textFill>
            <w14:solidFill>
              <w14:schemeClr w14:val="tx1"/>
            </w14:solidFill>
          </w14:textFill>
        </w:rPr>
        <w:outlineLvl w:val="0"/>
      </w:pPr>
      <w:r/>
      <w:bookmarkStart w:id="200" w:name="_Toc16595"/>
      <w:r>
        <w:rPr>
          <w:rFonts w:eastAsia="黑体"/>
          <w:color w:val="000000" w:themeColor="text1"/>
          <w:sz w:val="44"/>
          <w:szCs w:val="44"/>
          <w14:textFill>
            <w14:solidFill>
              <w14:schemeClr w14:val="tx1"/>
            </w14:solidFill>
          </w14:textFill>
        </w:rPr>
        <w:t xml:space="preserve">第六章  投标文件格式</w:t>
      </w:r>
      <w:bookmarkEnd w:id="200"/>
      <w:r>
        <w:rPr>
          <w:rFonts w:eastAsia="黑体"/>
          <w:color w:val="000000" w:themeColor="text1"/>
          <w:sz w:val="44"/>
          <w:szCs w:val="44"/>
          <w14:textFill>
            <w14:solidFill>
              <w14:schemeClr w14:val="tx1"/>
            </w14:solidFill>
          </w14:textFill>
        </w:rPr>
        <w:t xml:space="preserve"> </w:t>
      </w:r>
      <w:r/>
    </w:p>
    <w:p>
      <w:pPr>
        <w:jc w:val="center"/>
        <w:rPr>
          <w:color w:val="000000" w:themeColor="text1"/>
          <w:sz w:val="24"/>
          <w:szCs w:val="24"/>
          <w14:textFill>
            <w14:solidFill>
              <w14:schemeClr w14:val="tx1"/>
            </w14:solidFill>
          </w14:textFill>
        </w:rPr>
      </w:pPr>
      <w:r/>
      <w:bookmarkStart w:id="201" w:name="_Toc26554094"/>
      <w:r/>
      <w:bookmarkEnd w:id="201"/>
      <w:r/>
      <w:bookmarkStart w:id="202" w:name="_Toc49090576"/>
      <w:r/>
      <w:bookmarkEnd w:id="202"/>
      <w:r/>
      <w:bookmarkStart w:id="203" w:name="_Hlt26671244"/>
      <w:r/>
      <w:bookmarkEnd w:id="203"/>
      <w:r/>
      <w:bookmarkStart w:id="204" w:name="_Hlt26955039"/>
      <w:r/>
      <w:bookmarkEnd w:id="204"/>
      <w:r/>
      <w:bookmarkStart w:id="205" w:name="_Toc120614282"/>
      <w:r/>
      <w:bookmarkEnd w:id="205"/>
      <w:r>
        <w:rPr>
          <w:b/>
          <w:bCs/>
          <w:color w:val="000000" w:themeColor="text1"/>
          <w:sz w:val="72"/>
          <w:szCs w:val="72"/>
          <w14:textFill>
            <w14:solidFill>
              <w14:schemeClr w14:val="tx1"/>
            </w14:solidFill>
          </w14:textFill>
        </w:rPr>
        <w:t xml:space="preserve">投  标  文  件</w:t>
      </w:r>
      <w:r/>
    </w:p>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w:t>
      </w:r>
      <w:r/>
    </w:p>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w:t>
      </w:r>
      <w:r/>
    </w:p>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w:t>
      </w:r>
      <w:r/>
    </w:p>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w:t>
      </w:r>
      <w:r/>
    </w:p>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w:t>
      </w:r>
      <w:r/>
    </w:p>
    <w:p>
      <w:pPr>
        <w:ind w:firstLine="1084"/>
        <w:rPr>
          <w:color w:val="000000" w:themeColor="text1"/>
          <w:sz w:val="24"/>
          <w:szCs w:val="24"/>
          <w14:textFill>
            <w14:solidFill>
              <w14:schemeClr w14:val="tx1"/>
            </w14:solidFill>
          </w14:textFill>
        </w:rPr>
      </w:pPr>
      <w:r>
        <w:rPr>
          <w:b/>
          <w:bCs/>
          <w:color w:val="000000" w:themeColor="text1"/>
          <w:sz w:val="36"/>
          <w:szCs w:val="36"/>
          <w14:textFill>
            <w14:solidFill>
              <w14:schemeClr w14:val="tx1"/>
            </w14:solidFill>
          </w14:textFill>
        </w:rPr>
        <w:t xml:space="preserve">项 目 名 称：</w:t>
      </w:r>
      <w:r>
        <w:rPr>
          <w:b/>
          <w:bCs/>
          <w:color w:val="000000" w:themeColor="text1"/>
          <w:sz w:val="36"/>
          <w:szCs w:val="36"/>
          <w:u w:val="single"/>
          <w14:textFill>
            <w14:solidFill>
              <w14:schemeClr w14:val="tx1"/>
            </w14:solidFill>
          </w14:textFill>
        </w:rPr>
        <w:t xml:space="preserve">         </w:t>
      </w:r>
      <w:r>
        <w:rPr>
          <w:rFonts w:hint="eastAsia"/>
          <w:b/>
          <w:bCs/>
          <w:color w:val="000000" w:themeColor="text1"/>
          <w:sz w:val="36"/>
          <w:szCs w:val="36"/>
          <w:u w:val="single"/>
          <w:lang w:val="en-US" w:eastAsia="zh-CN"/>
          <w14:textFill>
            <w14:solidFill>
              <w14:schemeClr w14:val="tx1"/>
            </w14:solidFill>
          </w14:textFill>
        </w:rPr>
        <w:t xml:space="preserve">               </w:t>
      </w:r>
      <w:r>
        <w:rPr>
          <w:b/>
          <w:bCs/>
          <w:color w:val="000000" w:themeColor="text1"/>
          <w:sz w:val="36"/>
          <w:szCs w:val="36"/>
          <w:u w:val="single"/>
          <w14:textFill>
            <w14:solidFill>
              <w14:schemeClr w14:val="tx1"/>
            </w14:solidFill>
          </w14:textFill>
        </w:rPr>
        <w:t xml:space="preserve">      </w:t>
      </w:r>
      <w:r/>
    </w:p>
    <w:p>
      <w:pPr>
        <w:ind w:firstLine="1084"/>
        <w:rPr>
          <w:color w:val="000000" w:themeColor="text1"/>
          <w:sz w:val="24"/>
          <w:szCs w:val="24"/>
          <w14:textFill>
            <w14:solidFill>
              <w14:schemeClr w14:val="tx1"/>
            </w14:solidFill>
          </w14:textFill>
        </w:rPr>
      </w:pPr>
      <w:r>
        <w:rPr>
          <w:b/>
          <w:bCs/>
          <w:color w:val="000000" w:themeColor="text1"/>
          <w:sz w:val="36"/>
          <w:szCs w:val="36"/>
          <w14:textFill>
            <w14:solidFill>
              <w14:schemeClr w14:val="tx1"/>
            </w14:solidFill>
          </w14:textFill>
        </w:rPr>
        <w:t xml:space="preserve">项 目 编 号：</w:t>
      </w:r>
      <w:r>
        <w:rPr>
          <w:b/>
          <w:bCs/>
          <w:color w:val="000000" w:themeColor="text1"/>
          <w:sz w:val="36"/>
          <w:szCs w:val="36"/>
          <w:u w:val="single"/>
          <w14:textFill>
            <w14:solidFill>
              <w14:schemeClr w14:val="tx1"/>
            </w14:solidFill>
          </w14:textFill>
        </w:rPr>
        <w:t xml:space="preserve">          </w:t>
      </w:r>
      <w:r>
        <w:rPr>
          <w:rFonts w:hint="eastAsia"/>
          <w:b/>
          <w:bCs/>
          <w:color w:val="000000" w:themeColor="text1"/>
          <w:sz w:val="36"/>
          <w:szCs w:val="36"/>
          <w:u w:val="single"/>
          <w:lang w:val="en-US" w:eastAsia="zh-CN"/>
          <w14:textFill>
            <w14:solidFill>
              <w14:schemeClr w14:val="tx1"/>
            </w14:solidFill>
          </w14:textFill>
        </w:rPr>
        <w:t xml:space="preserve">               </w:t>
      </w:r>
      <w:r>
        <w:rPr>
          <w:b/>
          <w:bCs/>
          <w:color w:val="000000" w:themeColor="text1"/>
          <w:sz w:val="36"/>
          <w:szCs w:val="36"/>
          <w:u w:val="single"/>
          <w14:textFill>
            <w14:solidFill>
              <w14:schemeClr w14:val="tx1"/>
            </w14:solidFill>
          </w14:textFill>
        </w:rPr>
        <w:t xml:space="preserve">     </w:t>
      </w:r>
      <w:r/>
    </w:p>
    <w:p>
      <w:pPr>
        <w:rPr>
          <w:rFonts w:hint="default" w:eastAsia="宋体"/>
          <w:color w:val="000000" w:themeColor="text1"/>
          <w:sz w:val="24"/>
          <w:szCs w:val="24"/>
          <w:lang w:val="en-US" w:eastAsia="zh-CN"/>
          <w14:textFill>
            <w14:solidFill>
              <w14:schemeClr w14:val="tx1"/>
            </w14:solidFill>
          </w14:textFill>
        </w:rPr>
      </w:pPr>
      <w:r>
        <w:rPr>
          <w:b/>
          <w:bCs/>
          <w:color w:val="000000" w:themeColor="text1"/>
          <w:sz w:val="36"/>
          <w:szCs w:val="36"/>
          <w14:textFill>
            <w14:solidFill>
              <w14:schemeClr w14:val="tx1"/>
            </w14:solidFill>
          </w14:textFill>
        </w:rPr>
        <w:t xml:space="preserve">        投标人名称 ：</w:t>
      </w:r>
      <w:r>
        <w:rPr>
          <w:rFonts w:hint="eastAsia"/>
          <w:b/>
          <w:bCs/>
          <w:color w:val="000000" w:themeColor="text1"/>
          <w:sz w:val="36"/>
          <w:szCs w:val="36"/>
          <w:u w:val="single"/>
          <w:lang w:val="en-US" w:eastAsia="zh-CN"/>
          <w14:textFill>
            <w14:solidFill>
              <w14:schemeClr w14:val="tx1"/>
            </w14:solidFill>
          </w14:textFill>
        </w:rPr>
        <w:t xml:space="preserve"> </w:t>
      </w:r>
      <w:r>
        <w:rPr>
          <w:b/>
          <w:bCs/>
          <w:color w:val="000000" w:themeColor="text1"/>
          <w:sz w:val="36"/>
          <w:szCs w:val="36"/>
          <w:u w:val="single"/>
          <w14:textFill>
            <w14:solidFill>
              <w14:schemeClr w14:val="tx1"/>
            </w14:solidFill>
          </w14:textFill>
        </w:rPr>
        <w:t xml:space="preserve">（加盖CA电子公章）</w:t>
      </w:r>
      <w:r>
        <w:rPr>
          <w:rFonts w:hint="eastAsia"/>
          <w:b/>
          <w:bCs/>
          <w:color w:val="000000" w:themeColor="text1"/>
          <w:sz w:val="36"/>
          <w:szCs w:val="36"/>
          <w:u w:val="single"/>
          <w:lang w:val="en-US" w:eastAsia="zh-CN"/>
          <w14:textFill>
            <w14:solidFill>
              <w14:schemeClr w14:val="tx1"/>
            </w14:solidFill>
          </w14:textFill>
        </w:rPr>
        <w:t xml:space="preserve"> </w:t>
      </w:r>
      <w:r/>
    </w:p>
    <w:p>
      <w:pPr>
        <w:rPr>
          <w:color w:val="000000" w:themeColor="text1"/>
          <w:sz w:val="24"/>
          <w:szCs w:val="24"/>
          <w14:textFill>
            <w14:solidFill>
              <w14:schemeClr w14:val="tx1"/>
            </w14:solidFill>
          </w14:textFill>
        </w:rPr>
      </w:pPr>
      <w:r>
        <w:rPr>
          <w:b/>
          <w:bCs/>
          <w:color w:val="000000" w:themeColor="text1"/>
          <w:sz w:val="36"/>
          <w:szCs w:val="36"/>
          <w14:textFill>
            <w14:solidFill>
              <w14:schemeClr w14:val="tx1"/>
            </w14:solidFill>
          </w14:textFill>
        </w:rPr>
        <w:t xml:space="preserve">        日   期 ：</w:t>
      </w:r>
      <w:r>
        <w:rPr>
          <w:b/>
          <w:bCs/>
          <w:color w:val="000000" w:themeColor="text1"/>
          <w:sz w:val="36"/>
          <w:szCs w:val="36"/>
          <w:u w:val="single"/>
          <w14:textFill>
            <w14:solidFill>
              <w14:schemeClr w14:val="tx1"/>
            </w14:solidFill>
          </w14:textFill>
        </w:rPr>
        <w:t xml:space="preserve">      </w:t>
      </w:r>
      <w:r>
        <w:rPr>
          <w:rFonts w:hint="eastAsia"/>
          <w:b/>
          <w:bCs/>
          <w:color w:val="000000" w:themeColor="text1"/>
          <w:sz w:val="36"/>
          <w:szCs w:val="36"/>
          <w:u w:val="single"/>
          <w:lang w:val="en-US" w:eastAsia="zh-CN"/>
          <w14:textFill>
            <w14:solidFill>
              <w14:schemeClr w14:val="tx1"/>
            </w14:solidFill>
          </w14:textFill>
        </w:rPr>
        <w:t xml:space="preserve">                    </w:t>
      </w:r>
      <w:r>
        <w:rPr>
          <w:b/>
          <w:bCs/>
          <w:color w:val="000000" w:themeColor="text1"/>
          <w:sz w:val="36"/>
          <w:szCs w:val="36"/>
          <w:u w:val="single"/>
          <w14:textFill>
            <w14:solidFill>
              <w14:schemeClr w14:val="tx1"/>
            </w14:solidFill>
          </w14:textFill>
        </w:rPr>
        <w:t xml:space="preserve">       </w:t>
      </w:r>
      <w:r/>
    </w:p>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w:t>
      </w:r>
      <w: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w:t>
      </w:r>
      <w:r/>
    </w:p>
    <w:p>
      <w:pPr>
        <w:ind w:firstLine="1084"/>
        <w:rPr>
          <w:color w:val="000000" w:themeColor="text1"/>
          <w:sz w:val="24"/>
          <w:szCs w:val="24"/>
          <w14:textFill>
            <w14:solidFill>
              <w14:schemeClr w14:val="tx1"/>
            </w14:solidFill>
          </w14:textFill>
        </w:rPr>
      </w:pPr>
      <w:r>
        <w:rPr>
          <w:b/>
          <w:bCs/>
          <w:color w:val="000000" w:themeColor="text1"/>
          <w:sz w:val="36"/>
          <w:szCs w:val="36"/>
          <w14:textFill>
            <w14:solidFill>
              <w14:schemeClr w14:val="tx1"/>
            </w14:solidFill>
          </w14:textFill>
        </w:rPr>
        <w:br w:type="page" w:clear="all"/>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1"/>
          <w:szCs w:val="21"/>
        </w:rPr>
      </w:pPr>
      <w:r>
        <w:rPr>
          <w:rFonts w:hint="eastAsia" w:ascii="宋体" w:hAnsi="宋体"/>
          <w:b/>
          <w:sz w:val="21"/>
          <w:szCs w:val="21"/>
        </w:rPr>
        <w:t xml:space="preserve">一、基本目录</w:t>
      </w:r>
      <w:r/>
    </w:p>
    <w:p>
      <w:pPr>
        <w:ind w:left="480"/>
        <w:spacing w:line="400" w:lineRule="exact"/>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开标一览表（格式见附件</w:t>
      </w:r>
      <w:r>
        <w:rPr>
          <w:rFonts w:ascii="宋体" w:hAnsi="宋体"/>
          <w:sz w:val="21"/>
          <w:szCs w:val="21"/>
        </w:rPr>
        <w:t xml:space="preserve">1</w:t>
      </w:r>
      <w:r>
        <w:rPr>
          <w:rFonts w:hint="eastAsia" w:ascii="宋体" w:hAnsi="宋体"/>
          <w:sz w:val="21"/>
          <w:szCs w:val="21"/>
        </w:rPr>
        <w:t xml:space="preserve">）</w:t>
      </w:r>
      <w:r/>
    </w:p>
    <w:p>
      <w:pPr>
        <w:ind w:left="480"/>
        <w:spacing w:line="4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投标分项报价表（格式见</w:t>
      </w:r>
      <w:r>
        <w:rPr>
          <w:rFonts w:ascii="宋体" w:hAnsi="宋体"/>
          <w:sz w:val="21"/>
          <w:szCs w:val="21"/>
        </w:rPr>
        <w:t xml:space="preserve">附件2</w:t>
      </w:r>
      <w:r>
        <w:rPr>
          <w:rFonts w:hint="eastAsia" w:ascii="宋体" w:hAnsi="宋体"/>
          <w:sz w:val="21"/>
          <w:szCs w:val="21"/>
        </w:rPr>
        <w:t xml:space="preserve">）</w:t>
      </w:r>
      <w:r/>
    </w:p>
    <w:p>
      <w:pPr>
        <w:ind w:left="480"/>
        <w:spacing w:line="40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技术要求响应及偏离表（格式见</w:t>
      </w:r>
      <w:r>
        <w:rPr>
          <w:rFonts w:ascii="宋体" w:hAnsi="宋体"/>
          <w:sz w:val="21"/>
          <w:szCs w:val="21"/>
        </w:rPr>
        <w:t xml:space="preserve">附件3</w:t>
      </w:r>
      <w:r>
        <w:rPr>
          <w:rFonts w:hint="eastAsia" w:ascii="宋体" w:hAnsi="宋体"/>
          <w:sz w:val="21"/>
          <w:szCs w:val="21"/>
        </w:rPr>
        <w:t xml:space="preserve">）</w:t>
      </w:r>
      <w:r/>
    </w:p>
    <w:p>
      <w:pPr>
        <w:ind w:firstLine="420"/>
        <w:spacing w:line="40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商务要求响应及偏离表（格式见</w:t>
      </w:r>
      <w:r>
        <w:rPr>
          <w:rFonts w:ascii="宋体" w:hAnsi="宋体"/>
          <w:sz w:val="21"/>
          <w:szCs w:val="21"/>
        </w:rPr>
        <w:t xml:space="preserve">附件4</w:t>
      </w:r>
      <w:r>
        <w:rPr>
          <w:rFonts w:hint="eastAsia" w:ascii="宋体" w:hAnsi="宋体"/>
          <w:sz w:val="21"/>
          <w:szCs w:val="21"/>
        </w:rPr>
        <w:t xml:space="preserve">）</w:t>
      </w:r>
      <w:r/>
    </w:p>
    <w:p>
      <w:pPr>
        <w:ind w:left="480"/>
        <w:spacing w:line="400" w:lineRule="exact"/>
        <w:rPr>
          <w:rFonts w:hint="eastAsia" w:ascii="宋体" w:hAnsi="宋体"/>
          <w:b/>
          <w:sz w:val="21"/>
          <w:szCs w:val="21"/>
        </w:rPr>
      </w:pPr>
      <w:r>
        <w:rPr>
          <w:rFonts w:hint="eastAsia" w:ascii="宋体" w:hAnsi="宋体"/>
          <w:b/>
          <w:sz w:val="21"/>
          <w:szCs w:val="21"/>
        </w:rPr>
        <w:t xml:space="preserve">二</w:t>
      </w:r>
      <w:r>
        <w:rPr>
          <w:rFonts w:ascii="宋体" w:hAnsi="宋体"/>
          <w:b/>
          <w:sz w:val="21"/>
          <w:szCs w:val="21"/>
        </w:rPr>
        <w:t xml:space="preserve">、资格审查内容</w:t>
      </w:r>
      <w:r/>
    </w:p>
    <w:p>
      <w:pPr>
        <w:ind w:left="480"/>
        <w:spacing w:line="400" w:lineRule="exact"/>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法人或者其他组织的营业执照等证明文件，自然人的身份证明</w:t>
      </w:r>
      <w:r/>
    </w:p>
    <w:p>
      <w:pPr>
        <w:ind w:left="480"/>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上一年度的财务状况报告（投标人成立不满一年无需提供）</w:t>
      </w:r>
      <w:r/>
    </w:p>
    <w:p>
      <w:pPr>
        <w:ind w:left="480"/>
        <w:spacing w:line="400" w:lineRule="exact"/>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依法缴纳税收和社会保障资金的相关材料（提供提交投标文件截止时间</w:t>
      </w:r>
      <w:r/>
    </w:p>
    <w:p>
      <w:pPr>
        <w:spacing w:line="400" w:lineRule="exact"/>
        <w:rPr>
          <w:rFonts w:hint="eastAsia" w:ascii="宋体" w:hAnsi="宋体"/>
          <w:sz w:val="21"/>
          <w:szCs w:val="21"/>
        </w:rPr>
      </w:pPr>
      <w:r>
        <w:rPr>
          <w:rFonts w:hint="eastAsia" w:ascii="宋体" w:hAnsi="宋体"/>
          <w:sz w:val="21"/>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具备履行合同所必需的设备和专业技术能力的书面声明（格式见</w:t>
      </w:r>
      <w:r>
        <w:rPr>
          <w:rFonts w:ascii="宋体" w:hAnsi="宋体"/>
          <w:sz w:val="21"/>
          <w:szCs w:val="21"/>
        </w:rPr>
        <w:t xml:space="preserve">附件5</w:t>
      </w:r>
      <w:r>
        <w:rPr>
          <w:rFonts w:hint="eastAsia" w:ascii="宋体" w:hAnsi="宋体"/>
          <w:sz w:val="21"/>
          <w:szCs w:val="21"/>
        </w:rPr>
        <w:t xml:space="preserve">）</w:t>
      </w:r>
      <w:r/>
    </w:p>
    <w:p>
      <w:pPr>
        <w:ind w:left="480"/>
        <w:spacing w:line="400" w:lineRule="exact"/>
        <w:rPr>
          <w:rFonts w:ascii="宋体" w:hAnsi="宋体"/>
          <w:sz w:val="21"/>
          <w:szCs w:val="21"/>
        </w:rPr>
      </w:pPr>
      <w:r>
        <w:rPr>
          <w:rFonts w:hint="eastAsia" w:ascii="宋体" w:hAnsi="宋体"/>
          <w:sz w:val="21"/>
          <w:szCs w:val="21"/>
        </w:rPr>
        <w:t xml:space="preserve">5.参加政府采购活动前 3 年内在经营活动中没有重大违法记录的书面声</w:t>
      </w:r>
      <w:r/>
    </w:p>
    <w:p>
      <w:pPr>
        <w:spacing w:line="400" w:lineRule="exact"/>
        <w:rPr>
          <w:rFonts w:hint="eastAsia" w:ascii="宋体" w:hAnsi="宋体"/>
          <w:sz w:val="21"/>
          <w:szCs w:val="21"/>
        </w:rPr>
      </w:pPr>
      <w:r>
        <w:rPr>
          <w:rFonts w:hint="eastAsia" w:ascii="宋体" w:hAnsi="宋体"/>
          <w:sz w:val="21"/>
          <w:szCs w:val="21"/>
        </w:rPr>
        <w:t xml:space="preserve">明（格式见</w:t>
      </w:r>
      <w:r>
        <w:rPr>
          <w:rFonts w:ascii="宋体" w:hAnsi="宋体"/>
          <w:sz w:val="21"/>
          <w:szCs w:val="21"/>
        </w:rPr>
        <w:t xml:space="preserve">附件6</w:t>
      </w:r>
      <w:r>
        <w:rPr>
          <w:rFonts w:hint="eastAsia" w:ascii="宋体" w:hAnsi="宋体"/>
          <w:sz w:val="21"/>
          <w:szCs w:val="21"/>
        </w:rPr>
        <w:t xml:space="preserve">）</w:t>
      </w:r>
      <w:r/>
    </w:p>
    <w:p>
      <w:pPr>
        <w:ind w:firstLine="420"/>
        <w:spacing w:line="400" w:lineRule="exact"/>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特定资格要求的证明文件（如果本项目对投标人</w:t>
      </w:r>
      <w:r>
        <w:rPr>
          <w:rFonts w:ascii="宋体" w:hAnsi="宋体"/>
          <w:sz w:val="21"/>
          <w:szCs w:val="21"/>
        </w:rPr>
        <w:t xml:space="preserve">做出特定资格要求的</w:t>
      </w:r>
      <w:r>
        <w:rPr>
          <w:rFonts w:hint="eastAsia" w:ascii="宋体" w:hAnsi="宋体"/>
          <w:sz w:val="21"/>
          <w:szCs w:val="21"/>
        </w:rPr>
        <w:t xml:space="preserve">，必须提供）</w:t>
      </w:r>
      <w:r/>
    </w:p>
    <w:p>
      <w:pPr>
        <w:ind w:firstLine="420"/>
        <w:spacing w:line="400" w:lineRule="exact"/>
        <w:rPr>
          <w:rFonts w:hint="eastAsia" w:ascii="宋体" w:hAnsi="宋体"/>
          <w:sz w:val="21"/>
          <w:szCs w:val="21"/>
        </w:rPr>
      </w:pPr>
      <w:r>
        <w:rPr>
          <w:rFonts w:hint="eastAsia" w:ascii="宋体" w:hAnsi="宋体"/>
          <w:sz w:val="21"/>
          <w:szCs w:val="21"/>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0"/>
        <w:spacing w:line="400" w:lineRule="exact"/>
        <w:rPr>
          <w:rFonts w:hint="eastAsia" w:ascii="宋体" w:hAnsi="宋体"/>
          <w:sz w:val="21"/>
          <w:szCs w:val="21"/>
        </w:rPr>
      </w:pPr>
      <w:r>
        <w:rPr>
          <w:rFonts w:ascii="宋体" w:hAnsi="宋体"/>
          <w:sz w:val="21"/>
          <w:szCs w:val="21"/>
        </w:rPr>
        <w:t xml:space="preserve">8.</w:t>
      </w:r>
      <w:r>
        <w:rPr>
          <w:rFonts w:hint="eastAsia" w:ascii="宋体" w:hAnsi="宋体"/>
          <w:sz w:val="21"/>
          <w:szCs w:val="21"/>
        </w:rPr>
        <w:t xml:space="preserve">法人授权书（格式见附件</w:t>
      </w:r>
      <w:r>
        <w:rPr>
          <w:rFonts w:ascii="宋体" w:hAnsi="宋体"/>
          <w:sz w:val="21"/>
          <w:szCs w:val="21"/>
        </w:rPr>
        <w:t xml:space="preserve">7</w:t>
      </w:r>
      <w:r>
        <w:rPr>
          <w:rFonts w:hint="eastAsia" w:ascii="宋体" w:hAnsi="宋体"/>
          <w:sz w:val="21"/>
          <w:szCs w:val="21"/>
        </w:rPr>
        <w:t xml:space="preserve">）</w:t>
      </w:r>
      <w:r/>
    </w:p>
    <w:p>
      <w:pPr>
        <w:ind w:firstLine="420"/>
        <w:spacing w:line="400" w:lineRule="exact"/>
        <w:rPr>
          <w:rFonts w:hint="eastAsia" w:ascii="宋体" w:hAnsi="宋体"/>
          <w:sz w:val="21"/>
          <w:szCs w:val="21"/>
        </w:rPr>
      </w:pPr>
      <w:r>
        <w:rPr>
          <w:rFonts w:ascii="宋体" w:hAnsi="宋体"/>
          <w:sz w:val="21"/>
          <w:szCs w:val="21"/>
        </w:rPr>
        <w:t xml:space="preserve">9.</w:t>
      </w:r>
      <w:r>
        <w:rPr>
          <w:rFonts w:hint="eastAsia" w:ascii="宋体" w:hAnsi="宋体"/>
          <w:sz w:val="21"/>
          <w:szCs w:val="21"/>
        </w:rPr>
        <w:t xml:space="preserve">投标函（格式见附件</w:t>
      </w:r>
      <w:r>
        <w:rPr>
          <w:rFonts w:ascii="宋体" w:hAnsi="宋体"/>
          <w:sz w:val="21"/>
          <w:szCs w:val="21"/>
        </w:rPr>
        <w:t xml:space="preserve">8</w:t>
      </w:r>
      <w:r>
        <w:rPr>
          <w:rFonts w:hint="eastAsia" w:ascii="宋体" w:hAnsi="宋体"/>
          <w:sz w:val="21"/>
          <w:szCs w:val="21"/>
        </w:rPr>
        <w:t xml:space="preserve">）</w:t>
      </w:r>
      <w:r/>
    </w:p>
    <w:p>
      <w:pPr>
        <w:ind w:left="480"/>
        <w:spacing w:line="400" w:lineRule="exact"/>
        <w:rPr>
          <w:rFonts w:ascii="宋体" w:hAnsi="宋体"/>
          <w:sz w:val="21"/>
          <w:szCs w:val="21"/>
        </w:rPr>
      </w:pPr>
      <w:r>
        <w:rPr>
          <w:rFonts w:hint="eastAsia" w:ascii="宋体" w:hAnsi="宋体"/>
          <w:sz w:val="21"/>
          <w:szCs w:val="21"/>
        </w:rPr>
        <w:t xml:space="preserve">总备注：上述“资格审查内容”中1-5条、</w:t>
      </w:r>
      <w:r>
        <w:rPr>
          <w:rFonts w:ascii="宋体" w:hAnsi="宋体"/>
          <w:sz w:val="21"/>
          <w:szCs w:val="21"/>
        </w:rPr>
        <w:t xml:space="preserve">8</w:t>
      </w:r>
      <w:r>
        <w:rPr>
          <w:rFonts w:hint="eastAsia" w:ascii="宋体" w:hAnsi="宋体"/>
          <w:sz w:val="21"/>
          <w:szCs w:val="21"/>
        </w:rPr>
        <w:t xml:space="preserve">、9条投标人必须在投标文件</w:t>
      </w:r>
      <w:r/>
    </w:p>
    <w:p>
      <w:pPr>
        <w:spacing w:line="400" w:lineRule="exact"/>
        <w:rPr>
          <w:rFonts w:ascii="宋体" w:hAnsi="宋体"/>
          <w:sz w:val="21"/>
          <w:szCs w:val="21"/>
        </w:rPr>
      </w:pPr>
      <w:r>
        <w:rPr>
          <w:rFonts w:hint="eastAsia" w:ascii="宋体" w:hAnsi="宋体"/>
          <w:sz w:val="21"/>
          <w:szCs w:val="21"/>
        </w:rPr>
        <w:t xml:space="preserve">中提供相关材料，否则作无效投标处理；6条如招标文件要求必须提供相关材料而未提供的，作无效投标处理。</w:t>
      </w:r>
      <w:r/>
    </w:p>
    <w:p>
      <w:pPr>
        <w:ind w:left="480"/>
        <w:spacing w:line="400" w:lineRule="exact"/>
        <w:rPr>
          <w:rFonts w:hint="eastAsia" w:ascii="宋体" w:hAnsi="宋体"/>
          <w:b/>
          <w:sz w:val="21"/>
          <w:szCs w:val="21"/>
        </w:rPr>
      </w:pPr>
      <w:r>
        <w:rPr>
          <w:rFonts w:hint="eastAsia" w:ascii="宋体" w:hAnsi="宋体"/>
          <w:b/>
          <w:sz w:val="21"/>
          <w:szCs w:val="21"/>
        </w:rPr>
        <w:t xml:space="preserve">三</w:t>
      </w:r>
      <w:r>
        <w:rPr>
          <w:rFonts w:ascii="宋体" w:hAnsi="宋体"/>
          <w:b/>
          <w:sz w:val="21"/>
          <w:szCs w:val="21"/>
        </w:rPr>
        <w:t xml:space="preserve">、</w:t>
      </w:r>
      <w:r>
        <w:rPr>
          <w:rFonts w:hint="eastAsia" w:ascii="宋体" w:hAnsi="宋体"/>
          <w:b/>
          <w:sz w:val="21"/>
          <w:szCs w:val="21"/>
        </w:rPr>
        <w:t xml:space="preserve">符合性</w:t>
      </w:r>
      <w:r>
        <w:rPr>
          <w:rFonts w:ascii="宋体" w:hAnsi="宋体"/>
          <w:b/>
          <w:sz w:val="21"/>
          <w:szCs w:val="21"/>
        </w:rPr>
        <w:t xml:space="preserve">审查内容</w:t>
      </w:r>
      <w:r/>
    </w:p>
    <w:p>
      <w:pPr>
        <w:ind w:firstLine="420"/>
        <w:spacing w:line="400" w:lineRule="exact"/>
        <w:rPr>
          <w:rFonts w:hint="eastAsia" w:ascii="宋体" w:hAnsi="宋体"/>
          <w:sz w:val="21"/>
          <w:szCs w:val="21"/>
        </w:rPr>
      </w:pPr>
      <w:r>
        <w:rPr>
          <w:rFonts w:hint="eastAsia" w:ascii="宋体" w:hAnsi="宋体"/>
          <w:sz w:val="21"/>
          <w:szCs w:val="21"/>
        </w:rPr>
        <w:t xml:space="preserve">投标人必须</w:t>
      </w:r>
      <w:r>
        <w:rPr>
          <w:rFonts w:ascii="宋体" w:hAnsi="宋体"/>
          <w:sz w:val="21"/>
          <w:szCs w:val="21"/>
        </w:rPr>
        <w:t xml:space="preserve">对</w:t>
      </w:r>
      <w:r>
        <w:rPr>
          <w:rFonts w:hint="eastAsia" w:ascii="宋体" w:hAnsi="宋体"/>
          <w:sz w:val="21"/>
          <w:szCs w:val="21"/>
        </w:rPr>
        <w:t xml:space="preserve">招标文件（含技术</w:t>
      </w:r>
      <w:r>
        <w:rPr>
          <w:rFonts w:ascii="宋体" w:hAnsi="宋体"/>
          <w:sz w:val="21"/>
          <w:szCs w:val="21"/>
        </w:rPr>
        <w:t xml:space="preserve">要求和商务</w:t>
      </w:r>
      <w:r>
        <w:rPr>
          <w:rFonts w:hint="eastAsia" w:ascii="宋体" w:hAnsi="宋体"/>
          <w:sz w:val="21"/>
          <w:szCs w:val="21"/>
        </w:rPr>
        <w:t xml:space="preserve">要求）</w:t>
      </w:r>
      <w:r>
        <w:rPr>
          <w:rFonts w:ascii="宋体" w:hAnsi="宋体"/>
          <w:sz w:val="21"/>
          <w:szCs w:val="21"/>
        </w:rPr>
        <w:t xml:space="preserve">中</w:t>
      </w:r>
      <w:r>
        <w:rPr>
          <w:rFonts w:hint="eastAsia" w:ascii="宋体" w:hAnsi="宋体"/>
          <w:b/>
          <w:bCs/>
          <w:i/>
          <w:sz w:val="21"/>
          <w:szCs w:val="21"/>
          <w:u w:val="single"/>
        </w:rPr>
        <w:t xml:space="preserve">斜体且有下划线部分</w:t>
      </w:r>
      <w:r>
        <w:rPr>
          <w:rFonts w:hint="eastAsia" w:ascii="宋体" w:hAnsi="宋体"/>
          <w:b/>
          <w:bCs/>
          <w:sz w:val="21"/>
          <w:szCs w:val="21"/>
        </w:rPr>
        <w:t xml:space="preserve">或加*号条款</w:t>
      </w:r>
      <w:r>
        <w:rPr>
          <w:rFonts w:ascii="宋体" w:hAnsi="宋体"/>
          <w:sz w:val="21"/>
          <w:szCs w:val="21"/>
        </w:rPr>
        <w:t xml:space="preserve">的实质性要求</w:t>
      </w:r>
      <w:r>
        <w:rPr>
          <w:rFonts w:hint="eastAsia" w:ascii="宋体" w:hAnsi="宋体"/>
          <w:sz w:val="21"/>
          <w:szCs w:val="21"/>
        </w:rPr>
        <w:t xml:space="preserve">逐条</w:t>
      </w:r>
      <w:r>
        <w:rPr>
          <w:rFonts w:ascii="宋体" w:hAnsi="宋体"/>
          <w:sz w:val="21"/>
          <w:szCs w:val="21"/>
        </w:rPr>
        <w:t xml:space="preserve">做出响应，并按照招标</w:t>
      </w:r>
      <w:r>
        <w:rPr>
          <w:rFonts w:hint="eastAsia" w:ascii="宋体" w:hAnsi="宋体"/>
          <w:sz w:val="21"/>
          <w:szCs w:val="21"/>
        </w:rPr>
        <w:t xml:space="preserve">文件</w:t>
      </w:r>
      <w:r>
        <w:rPr>
          <w:rFonts w:ascii="宋体" w:hAnsi="宋体"/>
          <w:sz w:val="21"/>
          <w:szCs w:val="21"/>
        </w:rPr>
        <w:t xml:space="preserve">要求提供</w:t>
      </w:r>
      <w:r>
        <w:rPr>
          <w:rFonts w:hint="eastAsia" w:ascii="宋体" w:hAnsi="宋体"/>
          <w:sz w:val="21"/>
          <w:szCs w:val="21"/>
        </w:rPr>
        <w:t xml:space="preserve">证明</w:t>
      </w:r>
      <w:r>
        <w:rPr>
          <w:rFonts w:ascii="宋体" w:hAnsi="宋体"/>
          <w:sz w:val="21"/>
          <w:szCs w:val="21"/>
        </w:rPr>
        <w:t xml:space="preserve">材料</w:t>
      </w:r>
      <w:r>
        <w:rPr>
          <w:rFonts w:hint="eastAsia" w:ascii="宋体" w:hAnsi="宋体"/>
          <w:sz w:val="21"/>
          <w:szCs w:val="21"/>
        </w:rPr>
        <w:t xml:space="preserve">，否则作无效投标处理。（格式见</w:t>
      </w:r>
      <w:r>
        <w:rPr>
          <w:rFonts w:ascii="宋体" w:hAnsi="宋体"/>
          <w:sz w:val="21"/>
          <w:szCs w:val="21"/>
        </w:rPr>
        <w:t xml:space="preserve">附件12</w:t>
      </w:r>
      <w:r>
        <w:rPr>
          <w:rFonts w:hint="eastAsia" w:ascii="宋体" w:hAnsi="宋体"/>
          <w:sz w:val="21"/>
          <w:szCs w:val="21"/>
        </w:rPr>
        <w:t xml:space="preserve">）</w:t>
      </w:r>
      <w:r/>
    </w:p>
    <w:p>
      <w:pPr>
        <w:ind w:firstLine="480"/>
        <w:rPr>
          <w:rFonts w:ascii="宋体" w:hAnsi="宋体"/>
          <w:b/>
          <w:sz w:val="21"/>
          <w:szCs w:val="21"/>
        </w:rPr>
      </w:pPr>
      <w:r>
        <w:rPr>
          <w:rFonts w:hint="eastAsia" w:ascii="宋体" w:hAnsi="宋体"/>
          <w:b/>
          <w:sz w:val="21"/>
          <w:szCs w:val="21"/>
        </w:rPr>
        <w:t xml:space="preserve">四、价格</w:t>
      </w:r>
      <w:r>
        <w:rPr>
          <w:rFonts w:ascii="宋体" w:hAnsi="宋体"/>
          <w:b/>
          <w:sz w:val="21"/>
          <w:szCs w:val="21"/>
        </w:rPr>
        <w:t xml:space="preserve">扣除证明文件</w:t>
      </w:r>
      <w:r/>
    </w:p>
    <w:p>
      <w:pPr>
        <w:ind w:firstLine="420"/>
        <w:spacing w:line="400" w:lineRule="exact"/>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中小微企业声明函（</w:t>
      </w:r>
      <w:r>
        <w:rPr>
          <w:rFonts w:ascii="宋体" w:hAnsi="宋体"/>
          <w:sz w:val="21"/>
          <w:szCs w:val="21"/>
        </w:rPr>
        <w:t xml:space="preserve">格式</w:t>
      </w:r>
      <w:r>
        <w:rPr>
          <w:rFonts w:hint="eastAsia" w:ascii="宋体" w:hAnsi="宋体"/>
          <w:sz w:val="21"/>
          <w:szCs w:val="21"/>
        </w:rPr>
        <w:t xml:space="preserve">见</w:t>
      </w:r>
      <w:r>
        <w:rPr>
          <w:rFonts w:ascii="宋体" w:hAnsi="宋体"/>
          <w:sz w:val="21"/>
          <w:szCs w:val="21"/>
        </w:rPr>
        <w:t xml:space="preserve">附件9</w:t>
      </w:r>
      <w:r>
        <w:rPr>
          <w:rFonts w:hint="eastAsia" w:ascii="宋体" w:hAnsi="宋体"/>
          <w:sz w:val="21"/>
          <w:szCs w:val="21"/>
        </w:rPr>
        <w:t xml:space="preserve">）</w:t>
      </w:r>
      <w:r/>
    </w:p>
    <w:p>
      <w:pPr>
        <w:ind w:firstLine="420"/>
        <w:spacing w:line="400" w:lineRule="exact"/>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残疾人福利性单位声明函（</w:t>
      </w:r>
      <w:r>
        <w:rPr>
          <w:rFonts w:ascii="宋体" w:hAnsi="宋体"/>
          <w:sz w:val="21"/>
          <w:szCs w:val="21"/>
        </w:rPr>
        <w:t xml:space="preserve">格式</w:t>
      </w:r>
      <w:r>
        <w:rPr>
          <w:rFonts w:hint="eastAsia" w:ascii="宋体" w:hAnsi="宋体"/>
          <w:sz w:val="21"/>
          <w:szCs w:val="21"/>
        </w:rPr>
        <w:t xml:space="preserve">见</w:t>
      </w:r>
      <w:r>
        <w:rPr>
          <w:rFonts w:ascii="宋体" w:hAnsi="宋体"/>
          <w:sz w:val="21"/>
          <w:szCs w:val="21"/>
        </w:rPr>
        <w:t xml:space="preserve">附件10</w:t>
      </w:r>
      <w:r>
        <w:rPr>
          <w:rFonts w:hint="eastAsia" w:ascii="宋体" w:hAnsi="宋体"/>
          <w:sz w:val="21"/>
          <w:szCs w:val="21"/>
        </w:rPr>
        <w:t xml:space="preserve">）</w:t>
      </w:r>
      <w:r/>
    </w:p>
    <w:p>
      <w:pPr>
        <w:ind w:firstLine="420"/>
        <w:spacing w:line="400" w:lineRule="exact"/>
        <w:rPr>
          <w:rFonts w:hint="eastAsia" w:ascii="宋体" w:hAnsi="宋体"/>
          <w:sz w:val="24"/>
          <w:szCs w:val="21"/>
        </w:rPr>
      </w:pPr>
      <w:r>
        <w:rPr>
          <w:rFonts w:hint="eastAsia" w:ascii="宋体" w:hAnsi="宋体"/>
          <w:sz w:val="21"/>
          <w:szCs w:val="21"/>
        </w:rPr>
        <w:t xml:space="preserve">3.关于符合本国产品标准的声明函（格式见附件1</w:t>
      </w:r>
      <w:r>
        <w:rPr>
          <w:rFonts w:hint="eastAsia" w:ascii="宋体" w:hAnsi="宋体"/>
          <w:sz w:val="21"/>
          <w:szCs w:val="21"/>
          <w:lang w:val="en-US" w:eastAsia="zh-CN"/>
        </w:rPr>
        <w:t xml:space="preserve">2</w:t>
      </w:r>
      <w:r>
        <w:rPr>
          <w:rFonts w:hint="eastAsia" w:ascii="宋体" w:hAnsi="宋体"/>
          <w:sz w:val="21"/>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r>
      <w:r/>
    </w:p>
    <w:p>
      <w:pPr>
        <w:rPr>
          <w:rFonts w:hint="eastAsia" w:eastAsia="仿宋_GB2312"/>
          <w:sz w:val="21"/>
          <w:szCs w:val="21"/>
        </w:rPr>
      </w:pPr>
      <w:r>
        <w:rPr>
          <w:rFonts w:hint="eastAsia" w:ascii="宋体" w:hAnsi="宋体"/>
          <w:b/>
          <w:sz w:val="24"/>
          <w:szCs w:val="24"/>
        </w:rPr>
        <w:br w:type="page" w:clear="all"/>
      </w:r>
      <w:r>
        <w:rPr>
          <w:rFonts w:hint="eastAsia" w:ascii="宋体" w:hAnsi="宋体"/>
          <w:b/>
          <w:sz w:val="21"/>
          <w:szCs w:val="21"/>
        </w:rPr>
        <w:t xml:space="preserve">附件</w:t>
      </w:r>
      <w:r>
        <w:rPr>
          <w:rFonts w:ascii="宋体" w:hAnsi="宋体"/>
          <w:b/>
          <w:sz w:val="21"/>
          <w:szCs w:val="21"/>
        </w:rPr>
        <w:t xml:space="preserve">1 </w:t>
      </w:r>
      <w:r>
        <w:rPr>
          <w:rFonts w:hint="eastAsia" w:ascii="宋体" w:hAnsi="宋体"/>
          <w:b/>
          <w:sz w:val="21"/>
          <w:szCs w:val="21"/>
        </w:rPr>
        <w:t xml:space="preserve">开标一览表</w:t>
      </w:r>
      <w:r/>
    </w:p>
    <w:p>
      <w:pPr>
        <w:ind w:firstLine="482"/>
        <w:spacing w:line="400" w:lineRule="exact"/>
        <w:rPr>
          <w:rFonts w:hint="eastAsia" w:ascii="宋体" w:hAnsi="宋体"/>
          <w:sz w:val="21"/>
          <w:szCs w:val="21"/>
        </w:rPr>
      </w:pPr>
      <w:r>
        <w:rPr>
          <w:rFonts w:hint="eastAsia" w:ascii="宋体" w:hAnsi="宋体"/>
          <w:sz w:val="21"/>
          <w:szCs w:val="21"/>
        </w:rPr>
        <w:t xml:space="preserve">投标人全称（加盖CA电子签章）：</w:t>
      </w:r>
      <w:r/>
    </w:p>
    <w:p>
      <w:pPr>
        <w:ind w:firstLine="482"/>
        <w:spacing w:line="400" w:lineRule="exact"/>
        <w:rPr>
          <w:sz w:val="21"/>
          <w:szCs w:val="21"/>
        </w:rPr>
      </w:pPr>
      <w:r>
        <w:rPr>
          <w:rFonts w:hint="eastAsia" w:ascii="宋体" w:hAnsi="宋体"/>
          <w:sz w:val="21"/>
          <w:szCs w:val="21"/>
        </w:rPr>
        <w:t xml:space="preserve">项目名称：</w:t>
      </w:r>
      <w:r/>
    </w:p>
    <w:p>
      <w:pPr>
        <w:ind w:firstLine="482"/>
        <w:spacing w:line="400" w:lineRule="exact"/>
        <w:rPr>
          <w:rFonts w:ascii="宋体" w:hAnsi="宋体"/>
          <w:sz w:val="21"/>
          <w:szCs w:val="21"/>
        </w:rPr>
      </w:pPr>
      <w:r>
        <w:rPr>
          <w:rFonts w:hint="eastAsia" w:ascii="宋体" w:hAnsi="宋体"/>
          <w:sz w:val="21"/>
          <w:szCs w:val="21"/>
        </w:rPr>
        <w:t xml:space="preserve">采购编号：                                   </w:t>
      </w:r>
      <w:r/>
    </w:p>
    <w:p>
      <w:pPr>
        <w:ind w:firstLine="482"/>
        <w:spacing w:line="400" w:lineRule="exact"/>
        <w:rPr>
          <w:rFonts w:ascii="宋体" w:hAnsi="宋体"/>
          <w:sz w:val="21"/>
          <w:szCs w:val="21"/>
        </w:rPr>
      </w:pPr>
      <w:r>
        <w:rPr>
          <w:rFonts w:hint="eastAsia" w:ascii="宋体" w:hAnsi="宋体"/>
          <w:sz w:val="21"/>
          <w:szCs w:val="21"/>
        </w:rPr>
        <w:t xml:space="preserve">采购包号：</w:t>
      </w:r>
      <w:r/>
    </w:p>
    <w:tbl>
      <w:tblPr>
        <w:tblStyle w:val="79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1"/>
                <w:szCs w:val="21"/>
              </w:rPr>
            </w:pPr>
            <w:r>
              <w:rPr>
                <w:rFonts w:hint="eastAsia" w:ascii="宋体" w:hAnsi="宋体" w:cs="宋体"/>
                <w:sz w:val="21"/>
                <w:szCs w:val="21"/>
              </w:rPr>
              <w:t xml:space="preserve">                      </w:t>
            </w:r>
            <w:r>
              <w:rPr>
                <w:rFonts w:hint="eastAsia" w:ascii="宋体" w:hAnsi="宋体"/>
                <w:sz w:val="21"/>
                <w:szCs w:val="21"/>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1"/>
                <w:szCs w:val="21"/>
              </w:rPr>
            </w:pPr>
            <w:r>
              <w:rPr>
                <w:rFonts w:hint="eastAsia" w:ascii="宋体" w:hAnsi="宋体" w:cs="宋体"/>
                <w:sz w:val="21"/>
                <w:szCs w:val="21"/>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1"/>
                <w:szCs w:val="21"/>
              </w:rPr>
            </w:pPr>
            <w:r>
              <w:rPr>
                <w:rFonts w:hint="eastAsia" w:ascii="宋体" w:hAnsi="宋体" w:cs="宋体"/>
                <w:sz w:val="21"/>
                <w:szCs w:val="21"/>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1"/>
                <w:szCs w:val="21"/>
              </w:rPr>
            </w:pPr>
            <w:r>
              <w:rPr>
                <w:rFonts w:hint="eastAsia" w:ascii="宋体" w:hAnsi="宋体" w:cs="宋体"/>
                <w:sz w:val="21"/>
                <w:szCs w:val="21"/>
              </w:rPr>
            </w:r>
            <w:r/>
          </w:p>
        </w:tc>
      </w:tr>
    </w:tbl>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rPr>
          <w:rFonts w:hint="eastAsia" w:ascii="宋体" w:hAnsi="宋体"/>
          <w:b/>
          <w:sz w:val="24"/>
          <w:szCs w:val="24"/>
        </w:rPr>
      </w:pPr>
      <w:r>
        <w:rPr>
          <w:rFonts w:hint="eastAsia" w:ascii="宋体" w:hAnsi="宋体"/>
          <w:b/>
          <w:sz w:val="24"/>
          <w:szCs w:val="24"/>
        </w:rPr>
        <w:br w:type="page" w:clear="all"/>
      </w:r>
      <w:r/>
    </w:p>
    <w:p>
      <w:pPr>
        <w:jc w:val="left"/>
        <w:rPr>
          <w:rFonts w:hint="eastAsia" w:ascii="宋体" w:hAnsi="宋体" w:eastAsia="宋体" w:cs="宋体"/>
          <w:b/>
          <w:sz w:val="21"/>
          <w:szCs w:val="21"/>
        </w:rPr>
      </w:pPr>
      <w:r>
        <w:rPr>
          <w:rFonts w:hint="eastAsia" w:ascii="宋体" w:hAnsi="宋体" w:eastAsia="宋体" w:cs="宋体"/>
          <w:b/>
          <w:sz w:val="21"/>
          <w:szCs w:val="21"/>
        </w:rPr>
        <w:t xml:space="preserve">附件2 </w:t>
      </w:r>
      <w:r/>
    </w:p>
    <w:p>
      <w:pPr>
        <w:jc w:val="center"/>
        <w:rPr>
          <w:rFonts w:hint="eastAsia" w:ascii="宋体" w:hAnsi="宋体" w:eastAsia="宋体" w:cs="宋体"/>
          <w:b/>
          <w:sz w:val="21"/>
          <w:szCs w:val="21"/>
        </w:rPr>
      </w:pPr>
      <w:r>
        <w:rPr>
          <w:rFonts w:hint="eastAsia" w:ascii="宋体" w:hAnsi="宋体" w:eastAsia="宋体" w:cs="宋体"/>
          <w:b/>
          <w:sz w:val="21"/>
          <w:szCs w:val="21"/>
        </w:rPr>
        <w:t xml:space="preserve">投标分项报价表</w:t>
      </w:r>
      <w:r/>
    </w:p>
    <w:tbl>
      <w:tblPr>
        <w:tblStyle w:val="795"/>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1</w:t>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2</w:t>
            </w:r>
            <w:r/>
          </w:p>
        </w:tc>
        <w:tc>
          <w:tcPr>
            <w:tcW w:w="93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3</w:t>
            </w:r>
            <w:r/>
          </w:p>
        </w:tc>
        <w:tc>
          <w:tcPr>
            <w:tcW w:w="980"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06"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85"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6</w:t>
            </w:r>
            <w:r/>
          </w:p>
        </w:tc>
        <w:tc>
          <w:tcPr>
            <w:tcW w:w="924"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7</w:t>
            </w:r>
            <w:r/>
          </w:p>
        </w:tc>
        <w:tc>
          <w:tcPr>
            <w:tcW w:w="100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8</w:t>
            </w:r>
            <w:r/>
          </w:p>
        </w:tc>
        <w:tc>
          <w:tcPr>
            <w:tcW w:w="966"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1</w:t>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产品</w:t>
            </w:r>
            <w:r/>
          </w:p>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名称</w:t>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品牌</w:t>
            </w:r>
            <w:r/>
          </w:p>
        </w:tc>
        <w:tc>
          <w:tcPr>
            <w:tcW w:w="93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规格</w:t>
            </w:r>
            <w:r/>
          </w:p>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型号</w:t>
            </w:r>
            <w:r/>
          </w:p>
        </w:tc>
        <w:tc>
          <w:tcPr>
            <w:tcW w:w="980"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制造商名称</w:t>
            </w:r>
            <w:r/>
          </w:p>
        </w:tc>
        <w:tc>
          <w:tcPr>
            <w:tcW w:w="1106"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产地</w:t>
            </w:r>
            <w:r/>
          </w:p>
        </w:tc>
        <w:tc>
          <w:tcPr>
            <w:tcW w:w="1385"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交</w:t>
            </w:r>
            <w:r>
              <w:rPr>
                <w:rFonts w:hint="eastAsia" w:ascii="宋体" w:hAnsi="宋体" w:eastAsia="宋体" w:cs="宋体"/>
                <w:sz w:val="21"/>
                <w:szCs w:val="21"/>
                <w:lang w:val="en-US" w:eastAsia="zh-CN"/>
              </w:rPr>
              <w:t xml:space="preserve">货</w:t>
            </w:r>
            <w:r>
              <w:rPr>
                <w:rFonts w:hint="eastAsia" w:ascii="宋体" w:hAnsi="宋体" w:eastAsia="宋体" w:cs="宋体"/>
                <w:sz w:val="21"/>
                <w:szCs w:val="21"/>
              </w:rPr>
              <w:t xml:space="preserve">期</w:t>
            </w:r>
            <w:r/>
          </w:p>
        </w:tc>
        <w:tc>
          <w:tcPr>
            <w:tcW w:w="924"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数量</w:t>
            </w:r>
            <w:r/>
          </w:p>
        </w:tc>
        <w:tc>
          <w:tcPr>
            <w:tcW w:w="100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分项</w:t>
            </w:r>
            <w:r/>
          </w:p>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单价</w:t>
            </w:r>
            <w:r/>
          </w:p>
        </w:tc>
        <w:tc>
          <w:tcPr>
            <w:tcW w:w="966"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分项</w:t>
            </w:r>
            <w:r/>
          </w:p>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2</w:t>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3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80" w:type="dxa"/>
            <w:vAlign w:val="center"/>
            <w:textDirection w:val="lrTb"/>
            <w:noWrap w:val="false"/>
          </w:tcPr>
          <w:p>
            <w:pPr>
              <w:jc w:val="center"/>
              <w:spacing w:line="0" w:lineRule="atLeast"/>
              <w:rPr>
                <w:rFonts w:hint="eastAsia" w:ascii="宋体" w:hAnsi="宋体" w:eastAsia="宋体" w:cs="宋体"/>
                <w:sz w:val="21"/>
                <w:szCs w:val="21"/>
                <w:highlight w:val="cyan"/>
              </w:rPr>
            </w:pPr>
            <w:r>
              <w:rPr>
                <w:rFonts w:hint="eastAsia" w:ascii="宋体" w:hAnsi="宋体" w:eastAsia="宋体" w:cs="宋体"/>
                <w:sz w:val="21"/>
                <w:szCs w:val="21"/>
                <w:highlight w:val="cyan"/>
              </w:rPr>
            </w:r>
            <w:r/>
          </w:p>
        </w:tc>
        <w:tc>
          <w:tcPr>
            <w:tcW w:w="1106" w:type="dxa"/>
            <w:vAlign w:val="top"/>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385" w:type="dxa"/>
            <w:vAlign w:val="center"/>
            <w:textDirection w:val="lrTb"/>
            <w:noWrap w:val="false"/>
          </w:tcPr>
          <w:p>
            <w:pPr>
              <w:jc w:val="center"/>
              <w:spacing w:line="0" w:lineRule="atLeast"/>
              <w:rPr>
                <w:rFonts w:hint="eastAsia" w:ascii="宋体" w:hAnsi="宋体" w:eastAsia="宋体" w:cs="宋体"/>
                <w:sz w:val="21"/>
                <w:szCs w:val="21"/>
                <w:u w:val="single"/>
              </w:rPr>
            </w:pPr>
            <w:r>
              <w:rPr>
                <w:rFonts w:hint="eastAsia" w:ascii="宋体" w:hAnsi="宋体" w:eastAsia="宋体" w:cs="宋体"/>
                <w:sz w:val="21"/>
                <w:szCs w:val="21"/>
                <w:u w:val="single"/>
              </w:rPr>
            </w:r>
            <w:r/>
          </w:p>
        </w:tc>
        <w:tc>
          <w:tcPr>
            <w:tcW w:w="924"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00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66"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3</w:t>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3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80"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106" w:type="dxa"/>
            <w:vAlign w:val="top"/>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385"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24"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00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66"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4</w:t>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3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80"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106" w:type="dxa"/>
            <w:vAlign w:val="top"/>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385"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24"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00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66"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r>
      <w:tr>
        <w:trPr>
          <w:cantSplit/>
          <w:trHeight w:val="580"/>
        </w:trPr>
        <w:tc>
          <w:tcPr>
            <w:tcW w:w="500"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w:t>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t xml:space="preserve">……</w:t>
            </w:r>
            <w:r/>
          </w:p>
        </w:tc>
        <w:tc>
          <w:tcPr>
            <w:tcW w:w="72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3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80"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106" w:type="dxa"/>
            <w:vAlign w:val="top"/>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385"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24"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1008"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c>
          <w:tcPr>
            <w:tcW w:w="966" w:type="dxa"/>
            <w:vAlign w:val="center"/>
            <w:textDirection w:val="lrTb"/>
            <w:noWrap w:val="false"/>
          </w:tcPr>
          <w:p>
            <w:pPr>
              <w:jc w:val="center"/>
              <w:spacing w:line="0" w:lineRule="atLeast"/>
              <w:rPr>
                <w:rFonts w:hint="eastAsia" w:ascii="宋体" w:hAnsi="宋体" w:eastAsia="宋体" w:cs="宋体"/>
                <w:sz w:val="21"/>
                <w:szCs w:val="21"/>
              </w:rPr>
            </w:pPr>
            <w:r>
              <w:rPr>
                <w:rFonts w:hint="eastAsia" w:ascii="宋体" w:hAnsi="宋体" w:eastAsia="宋体" w:cs="宋体"/>
                <w:sz w:val="21"/>
                <w:szCs w:val="21"/>
              </w:rPr>
            </w:r>
            <w:r/>
          </w:p>
        </w:tc>
      </w:tr>
      <w:tr>
        <w:trPr>
          <w:cantSplit/>
          <w:trHeight w:val="434"/>
        </w:trPr>
        <w:tc>
          <w:tcPr>
            <w:gridSpan w:val="10"/>
            <w:tcW w:w="9263" w:type="dxa"/>
            <w:vAlign w:val="top"/>
            <w:textDirection w:val="lrTb"/>
            <w:noWrap w:val="false"/>
          </w:tcPr>
          <w:p>
            <w:pPr>
              <w:rPr>
                <w:rFonts w:hint="eastAsia" w:ascii="宋体" w:hAnsi="宋体" w:eastAsia="宋体" w:cs="宋体"/>
                <w:sz w:val="21"/>
                <w:szCs w:val="21"/>
                <w:u w:val="single"/>
              </w:rPr>
            </w:pPr>
            <w:r>
              <w:rPr>
                <w:rFonts w:hint="eastAsia" w:ascii="宋体" w:hAnsi="宋体" w:eastAsia="宋体" w:cs="宋体"/>
                <w:sz w:val="21"/>
                <w:szCs w:val="21"/>
              </w:rPr>
              <w:t xml:space="preserve">投标总报价（人民币：元）</w:t>
            </w:r>
            <w:r>
              <w:rPr>
                <w:rFonts w:hint="eastAsia" w:ascii="宋体" w:hAnsi="宋体" w:eastAsia="宋体" w:cs="宋体"/>
                <w:sz w:val="21"/>
                <w:szCs w:val="21"/>
                <w:u w:val="single"/>
              </w:rPr>
              <w:t xml:space="preserve">                             </w:t>
            </w:r>
            <w:r/>
          </w:p>
        </w:tc>
      </w:tr>
      <w:tr>
        <w:trPr>
          <w:cantSplit/>
          <w:trHeight w:val="767"/>
        </w:trPr>
        <w:tc>
          <w:tcPr>
            <w:gridSpan w:val="10"/>
            <w:tcW w:w="9263" w:type="dxa"/>
            <w:vAlign w:val="top"/>
            <w:textDirection w:val="lrTb"/>
            <w:noWrap w:val="false"/>
          </w:tcPr>
          <w:p>
            <w:pPr>
              <w:pStyle w:val="825"/>
              <w:spacing w:before="0" w:beforeAutospacing="0" w:after="0" w:afterAutospacing="0" w:line="0" w:lineRule="atLeast"/>
              <w:rPr>
                <w:rFonts w:hint="eastAsia" w:ascii="宋体" w:hAnsi="宋体" w:eastAsia="宋体" w:cs="宋体"/>
                <w:sz w:val="21"/>
                <w:szCs w:val="21"/>
              </w:rPr>
            </w:pPr>
            <w:r>
              <w:rPr>
                <w:rFonts w:hint="eastAsia" w:ascii="宋体" w:hAnsi="宋体" w:eastAsia="宋体" w:cs="宋体"/>
                <w:sz w:val="21"/>
                <w:szCs w:val="21"/>
              </w:rPr>
              <w:t xml:space="preserve">本采购包中提供的符合本国产品标准的产品成本之和占该采购包提供的全部产品成本之和的比例为</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tc>
      </w:tr>
    </w:tbl>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备注：</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2.“投标分项报价表”中“投标总报价”数额应当与“开标一览表”中“投标总报价”数额一致。</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4.投标人需认真填写本报价表，尤其注意规格型号的准确填写。</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5.项目经办人可以根据项目实际需要对表格结构进行调整。</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br w:type="page" w:clear="all"/>
      </w:r>
      <w:r/>
    </w:p>
    <w:p>
      <w:pPr>
        <w:jc w:val="left"/>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3 </w:t>
      </w:r>
      <w:r/>
    </w:p>
    <w:p>
      <w:pPr>
        <w:jc w:val="center"/>
        <w:rPr>
          <w:rFonts w:hint="eastAsia" w:ascii="宋体" w:hAnsi="宋体" w:eastAsia="宋体"/>
          <w:b/>
          <w:sz w:val="21"/>
          <w:szCs w:val="21"/>
          <w:lang w:eastAsia="zh-CN"/>
        </w:rPr>
      </w:pPr>
      <w:r>
        <w:rPr>
          <w:rFonts w:hint="eastAsia" w:ascii="宋体" w:hAnsi="宋体"/>
          <w:b/>
          <w:sz w:val="21"/>
          <w:szCs w:val="21"/>
        </w:rPr>
        <w:t xml:space="preserve">技术要求响应及偏离表</w:t>
      </w:r>
      <w:r/>
    </w:p>
    <w:tbl>
      <w:tblPr>
        <w:tblStyle w:val="7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序号</w:t>
            </w:r>
            <w:r/>
          </w:p>
        </w:tc>
        <w:tc>
          <w:tcPr>
            <w:tcW w:w="3063" w:type="dxa"/>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技术要求</w:t>
            </w:r>
            <w:r/>
          </w:p>
        </w:tc>
        <w:tc>
          <w:tcPr>
            <w:tcW w:w="3191" w:type="dxa"/>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投标响应情况</w:t>
            </w:r>
            <w:r/>
          </w:p>
        </w:tc>
        <w:tc>
          <w:tcPr>
            <w:tcW w:w="2128" w:type="dxa"/>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1</w:t>
            </w:r>
            <w:r/>
          </w:p>
        </w:tc>
        <w:tc>
          <w:tcPr>
            <w:tcW w:w="3063"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c>
          <w:tcPr>
            <w:tcW w:w="3191"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c>
          <w:tcPr>
            <w:tcW w:w="2128"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c>
          <w:tcPr>
            <w:tcW w:w="3063" w:type="dxa"/>
            <w:vAlign w:val="top"/>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w:t>
            </w:r>
            <w:r/>
          </w:p>
        </w:tc>
        <w:tc>
          <w:tcPr>
            <w:tcW w:w="3191"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c>
          <w:tcPr>
            <w:tcW w:w="2128"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r>
    </w:tbl>
    <w:p>
      <w:pPr>
        <w:spacing w:line="400" w:lineRule="exact"/>
        <w:rPr>
          <w:rFonts w:hint="eastAsia" w:ascii="宋体" w:hAnsi="宋体"/>
          <w:sz w:val="21"/>
          <w:szCs w:val="21"/>
        </w:rPr>
      </w:pPr>
      <w:r>
        <w:rPr>
          <w:rFonts w:hint="eastAsia" w:ascii="宋体" w:hAnsi="宋体"/>
          <w:sz w:val="21"/>
          <w:szCs w:val="21"/>
        </w:rPr>
        <w:t xml:space="preserve">附件</w:t>
      </w:r>
      <w:r>
        <w:rPr>
          <w:rFonts w:ascii="宋体" w:hAnsi="宋体"/>
          <w:sz w:val="21"/>
          <w:szCs w:val="21"/>
        </w:rPr>
        <w:t xml:space="preserve">3</w:t>
      </w:r>
      <w:r>
        <w:rPr>
          <w:rFonts w:hint="eastAsia" w:ascii="宋体" w:hAnsi="宋体"/>
          <w:sz w:val="21"/>
          <w:szCs w:val="21"/>
        </w:rPr>
        <w:t xml:space="preserve">-1  证明</w:t>
      </w:r>
      <w:r>
        <w:rPr>
          <w:rFonts w:ascii="宋体" w:hAnsi="宋体"/>
          <w:sz w:val="21"/>
          <w:szCs w:val="21"/>
        </w:rPr>
        <w:t xml:space="preserve">材料</w:t>
      </w:r>
      <w:r>
        <w:rPr>
          <w:rFonts w:hint="eastAsia" w:ascii="宋体" w:hAnsi="宋体"/>
          <w:sz w:val="21"/>
          <w:szCs w:val="21"/>
        </w:rPr>
        <w:t xml:space="preserve">1，证明</w:t>
      </w:r>
      <w:r>
        <w:rPr>
          <w:rFonts w:ascii="宋体" w:hAnsi="宋体"/>
          <w:sz w:val="21"/>
          <w:szCs w:val="21"/>
        </w:rPr>
        <w:t xml:space="preserve">材料</w:t>
      </w:r>
      <w:r>
        <w:rPr>
          <w:rFonts w:hint="eastAsia" w:ascii="宋体" w:hAnsi="宋体"/>
          <w:sz w:val="21"/>
          <w:szCs w:val="21"/>
        </w:rPr>
        <w:t xml:space="preserve">2，</w:t>
      </w:r>
      <w:r>
        <w:rPr>
          <w:rFonts w:ascii="宋体" w:hAnsi="宋体"/>
          <w:sz w:val="21"/>
          <w:szCs w:val="21"/>
        </w:rPr>
        <w:t xml:space="preserve">……</w:t>
      </w:r>
      <w:r/>
    </w:p>
    <w:p>
      <w:pP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hint="eastAsia" w:ascii="宋体" w:hAnsi="宋体"/>
          <w:sz w:val="21"/>
          <w:szCs w:val="21"/>
        </w:rPr>
        <w:t xml:space="preserve">备注</w:t>
      </w:r>
      <w:r>
        <w:rPr>
          <w:rFonts w:ascii="宋体" w:hAnsi="宋体"/>
          <w:sz w:val="21"/>
          <w:szCs w:val="21"/>
        </w:rPr>
        <w:t xml:space="preserve">：</w:t>
      </w:r>
      <w:r/>
    </w:p>
    <w:p>
      <w:pPr>
        <w:spacing w:line="400" w:lineRule="exact"/>
        <w:rPr>
          <w:rFonts w:ascii="宋体" w:hAnsi="宋体"/>
          <w:sz w:val="21"/>
          <w:szCs w:val="21"/>
        </w:rPr>
      </w:pPr>
      <w:r>
        <w:rPr>
          <w:rFonts w:hint="eastAsia" w:ascii="宋体" w:hAnsi="宋体" w:cs="宋体"/>
          <w:sz w:val="21"/>
          <w:szCs w:val="21"/>
        </w:rPr>
        <w:t xml:space="preserve">1.投标人需对招标文件技术要求中非实质性要求（</w:t>
      </w:r>
      <w:r>
        <w:rPr>
          <w:rFonts w:hint="eastAsia" w:ascii="宋体" w:hAnsi="宋体" w:cs="宋体"/>
          <w:b/>
          <w:sz w:val="21"/>
          <w:szCs w:val="21"/>
        </w:rPr>
        <w:t xml:space="preserve">未加</w:t>
      </w:r>
      <w:r>
        <w:rPr>
          <w:rFonts w:hint="eastAsia" w:ascii="宋体" w:hAnsi="宋体" w:cs="宋体"/>
          <w:b/>
          <w:i/>
          <w:sz w:val="21"/>
          <w:szCs w:val="21"/>
          <w:u w:val="single"/>
        </w:rPr>
        <w:t xml:space="preserve">斜体下划线</w:t>
      </w:r>
      <w:r>
        <w:rPr>
          <w:rFonts w:hint="eastAsia" w:ascii="宋体" w:hAnsi="宋体" w:cs="宋体"/>
          <w:b/>
          <w:iCs/>
          <w:sz w:val="21"/>
          <w:szCs w:val="21"/>
        </w:rPr>
        <w:t xml:space="preserve">部分</w:t>
      </w:r>
      <w:r>
        <w:rPr>
          <w:rFonts w:hint="eastAsia" w:ascii="宋体" w:hAnsi="宋体" w:cs="宋体"/>
          <w:b/>
          <w:sz w:val="21"/>
          <w:szCs w:val="21"/>
        </w:rPr>
        <w:t xml:space="preserve">或未加*号条款</w:t>
      </w:r>
      <w:r>
        <w:rPr>
          <w:rFonts w:hint="eastAsia" w:ascii="宋体" w:hAnsi="宋体" w:cs="宋体"/>
          <w:sz w:val="21"/>
          <w:szCs w:val="21"/>
        </w:rPr>
        <w:t xml:space="preserve">）</w:t>
      </w:r>
      <w:r>
        <w:rPr>
          <w:rFonts w:ascii="宋体" w:hAnsi="宋体"/>
          <w:sz w:val="21"/>
          <w:szCs w:val="21"/>
        </w:rPr>
        <w:t xml:space="preserve">逐条做出明确响应</w:t>
      </w:r>
      <w:r>
        <w:rPr>
          <w:rFonts w:hint="eastAsia" w:ascii="宋体" w:hAnsi="宋体"/>
          <w:sz w:val="21"/>
          <w:szCs w:val="21"/>
        </w:rPr>
        <w:t xml:space="preserve">。</w:t>
      </w:r>
      <w:r/>
    </w:p>
    <w:p>
      <w:pPr>
        <w:spacing w:line="400" w:lineRule="exact"/>
        <w:rPr>
          <w:rFonts w:ascii="宋体" w:hAnsi="宋体"/>
          <w:sz w:val="21"/>
          <w:szCs w:val="21"/>
        </w:rPr>
      </w:pPr>
      <w:r>
        <w:rPr>
          <w:rFonts w:hint="eastAsia" w:ascii="宋体" w:hAnsi="宋体"/>
          <w:sz w:val="21"/>
          <w:szCs w:val="21"/>
        </w:rPr>
        <w:t xml:space="preserve">2.如果招标</w:t>
      </w:r>
      <w:r>
        <w:rPr>
          <w:rFonts w:ascii="宋体" w:hAnsi="宋体"/>
          <w:sz w:val="21"/>
          <w:szCs w:val="21"/>
        </w:rPr>
        <w:t xml:space="preserve">文件要求提供</w:t>
      </w:r>
      <w:r>
        <w:rPr>
          <w:rFonts w:hint="eastAsia" w:ascii="宋体" w:hAnsi="宋体"/>
          <w:sz w:val="21"/>
          <w:szCs w:val="21"/>
        </w:rPr>
        <w:t xml:space="preserve">证明</w:t>
      </w:r>
      <w:r>
        <w:rPr>
          <w:rFonts w:ascii="宋体" w:hAnsi="宋体"/>
          <w:sz w:val="21"/>
          <w:szCs w:val="21"/>
        </w:rPr>
        <w:t xml:space="preserve">材料，投标人</w:t>
      </w:r>
      <w:r>
        <w:rPr>
          <w:rFonts w:hint="eastAsia" w:ascii="宋体" w:hAnsi="宋体"/>
          <w:sz w:val="21"/>
          <w:szCs w:val="21"/>
        </w:rPr>
        <w:t xml:space="preserve">需</w:t>
      </w:r>
      <w:r>
        <w:rPr>
          <w:rFonts w:ascii="宋体" w:hAnsi="宋体"/>
          <w:sz w:val="21"/>
          <w:szCs w:val="21"/>
        </w:rPr>
        <w:t xml:space="preserve">将证明材料</w:t>
      </w:r>
      <w:r>
        <w:rPr>
          <w:rFonts w:hint="eastAsia" w:ascii="宋体" w:hAnsi="宋体"/>
          <w:sz w:val="21"/>
          <w:szCs w:val="21"/>
        </w:rPr>
        <w:t xml:space="preserve">列于</w:t>
      </w:r>
      <w:r>
        <w:rPr>
          <w:rFonts w:ascii="宋体" w:hAnsi="宋体"/>
          <w:sz w:val="21"/>
          <w:szCs w:val="21"/>
        </w:rPr>
        <w:t xml:space="preserve">该表之下。</w:t>
      </w:r>
      <w:r/>
    </w:p>
    <w:p>
      <w:pPr>
        <w:spacing w:line="400" w:lineRule="exact"/>
        <w:rPr>
          <w:rFonts w:hint="eastAsia" w:ascii="宋体" w:hAnsi="宋体"/>
          <w:sz w:val="21"/>
          <w:szCs w:val="21"/>
        </w:rPr>
      </w:pPr>
      <w:r>
        <w:rPr>
          <w:rFonts w:hint="eastAsia" w:ascii="宋体" w:hAnsi="宋体"/>
          <w:sz w:val="21"/>
          <w:szCs w:val="21"/>
        </w:rPr>
      </w:r>
      <w:r/>
    </w:p>
    <w:p>
      <w:pPr>
        <w:spacing w:line="400" w:lineRule="exact"/>
        <w:rPr>
          <w:rFonts w:hint="eastAsia" w:ascii="宋体" w:hAnsi="宋体"/>
          <w:sz w:val="21"/>
          <w:szCs w:val="21"/>
        </w:rPr>
      </w:pPr>
      <w:r>
        <w:rPr>
          <w:rFonts w:hint="eastAsia" w:ascii="宋体" w:hAnsi="宋体"/>
          <w:sz w:val="21"/>
          <w:szCs w:val="21"/>
        </w:rPr>
      </w:r>
      <w:r/>
    </w:p>
    <w:p>
      <w:pPr>
        <w:spacing w:line="400" w:lineRule="exact"/>
        <w:rPr>
          <w:rFonts w:hint="eastAsia" w:ascii="宋体" w:hAnsi="宋体"/>
          <w:sz w:val="21"/>
          <w:szCs w:val="21"/>
        </w:rPr>
      </w:pPr>
      <w:r>
        <w:rPr>
          <w:rFonts w:hint="eastAsia" w:ascii="宋体" w:hAnsi="宋体"/>
          <w:sz w:val="21"/>
          <w:szCs w:val="21"/>
        </w:rPr>
      </w:r>
      <w:r/>
    </w:p>
    <w:p>
      <w:pPr>
        <w:jc w:val="left"/>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4 </w:t>
      </w:r>
      <w:r/>
    </w:p>
    <w:p>
      <w:pPr>
        <w:jc w:val="center"/>
        <w:rPr>
          <w:rFonts w:hint="eastAsia" w:ascii="宋体" w:hAnsi="宋体" w:eastAsia="宋体"/>
          <w:b/>
          <w:sz w:val="21"/>
          <w:szCs w:val="21"/>
          <w:lang w:eastAsia="zh-CN"/>
        </w:rPr>
      </w:pPr>
      <w:r>
        <w:rPr>
          <w:rFonts w:hint="eastAsia" w:ascii="宋体" w:hAnsi="宋体"/>
          <w:b/>
          <w:sz w:val="21"/>
          <w:szCs w:val="21"/>
        </w:rPr>
        <w:t xml:space="preserve">商务要求响应及偏离表</w:t>
      </w:r>
      <w:r/>
    </w:p>
    <w:tbl>
      <w:tblPr>
        <w:tblStyle w:val="7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序号</w:t>
            </w:r>
            <w:r/>
          </w:p>
        </w:tc>
        <w:tc>
          <w:tcPr>
            <w:tcW w:w="3063" w:type="dxa"/>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商务要求</w:t>
            </w:r>
            <w:r/>
          </w:p>
        </w:tc>
        <w:tc>
          <w:tcPr>
            <w:tcW w:w="3191" w:type="dxa"/>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投标响应情况</w:t>
            </w:r>
            <w:r/>
          </w:p>
        </w:tc>
        <w:tc>
          <w:tcPr>
            <w:tcW w:w="2128" w:type="dxa"/>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1</w:t>
            </w:r>
            <w:r/>
          </w:p>
        </w:tc>
        <w:tc>
          <w:tcPr>
            <w:tcW w:w="3063"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c>
          <w:tcPr>
            <w:tcW w:w="3191"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c>
          <w:tcPr>
            <w:tcW w:w="2128"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c>
          <w:tcPr>
            <w:tcW w:w="3063" w:type="dxa"/>
            <w:vAlign w:val="top"/>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w:t>
            </w:r>
            <w:r/>
          </w:p>
        </w:tc>
        <w:tc>
          <w:tcPr>
            <w:tcW w:w="3191"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c>
          <w:tcPr>
            <w:tcW w:w="2128" w:type="dxa"/>
            <w:vAlign w:val="top"/>
            <w:textDirection w:val="lrTb"/>
            <w:noWrap w:val="false"/>
          </w:tcPr>
          <w:p>
            <w:pPr>
              <w:jc w:val="center"/>
              <w:spacing w:line="400" w:lineRule="exact"/>
              <w:rPr>
                <w:rFonts w:hint="eastAsia" w:ascii="宋体" w:hAnsi="宋体"/>
                <w:sz w:val="21"/>
                <w:szCs w:val="21"/>
              </w:rPr>
            </w:pPr>
            <w:r>
              <w:rPr>
                <w:rFonts w:hint="eastAsia" w:ascii="宋体" w:hAnsi="宋体"/>
                <w:sz w:val="21"/>
                <w:szCs w:val="21"/>
              </w:rPr>
            </w:r>
            <w:r/>
          </w:p>
        </w:tc>
      </w:tr>
    </w:tbl>
    <w:p>
      <w:pPr>
        <w:spacing w:line="400" w:lineRule="exact"/>
        <w:rPr>
          <w:rFonts w:hint="eastAsia" w:ascii="宋体" w:hAnsi="宋体"/>
          <w:sz w:val="21"/>
          <w:szCs w:val="21"/>
        </w:rPr>
      </w:pPr>
      <w:r>
        <w:rPr>
          <w:rFonts w:hint="eastAsia" w:ascii="宋体" w:hAnsi="宋体"/>
          <w:sz w:val="21"/>
          <w:szCs w:val="21"/>
        </w:rPr>
        <w:t xml:space="preserve">附件</w:t>
      </w:r>
      <w:r>
        <w:rPr>
          <w:rFonts w:ascii="宋体" w:hAnsi="宋体"/>
          <w:sz w:val="21"/>
          <w:szCs w:val="21"/>
        </w:rPr>
        <w:t xml:space="preserve">4</w:t>
      </w:r>
      <w:r>
        <w:rPr>
          <w:rFonts w:hint="eastAsia" w:ascii="宋体" w:hAnsi="宋体"/>
          <w:sz w:val="21"/>
          <w:szCs w:val="21"/>
        </w:rPr>
        <w:t xml:space="preserve">-1  证明</w:t>
      </w:r>
      <w:r>
        <w:rPr>
          <w:rFonts w:ascii="宋体" w:hAnsi="宋体"/>
          <w:sz w:val="21"/>
          <w:szCs w:val="21"/>
        </w:rPr>
        <w:t xml:space="preserve">材料</w:t>
      </w:r>
      <w:r>
        <w:rPr>
          <w:rFonts w:hint="eastAsia" w:ascii="宋体" w:hAnsi="宋体"/>
          <w:sz w:val="21"/>
          <w:szCs w:val="21"/>
        </w:rPr>
        <w:t xml:space="preserve">1，证明</w:t>
      </w:r>
      <w:r>
        <w:rPr>
          <w:rFonts w:ascii="宋体" w:hAnsi="宋体"/>
          <w:sz w:val="21"/>
          <w:szCs w:val="21"/>
        </w:rPr>
        <w:t xml:space="preserve">材料</w:t>
      </w:r>
      <w:r>
        <w:rPr>
          <w:rFonts w:hint="eastAsia" w:ascii="宋体" w:hAnsi="宋体"/>
          <w:sz w:val="21"/>
          <w:szCs w:val="21"/>
        </w:rPr>
        <w:t xml:space="preserve">2，</w:t>
      </w:r>
      <w:r>
        <w:rPr>
          <w:rFonts w:ascii="宋体" w:hAnsi="宋体"/>
          <w:sz w:val="21"/>
          <w:szCs w:val="21"/>
        </w:rPr>
        <w:t xml:space="preserve">……</w:t>
      </w:r>
      <w:r/>
    </w:p>
    <w:p>
      <w:pPr>
        <w:spacing w:line="400" w:lineRule="exact"/>
        <w:rPr>
          <w:rFonts w:ascii="宋体" w:hAnsi="宋体"/>
          <w:sz w:val="21"/>
          <w:szCs w:val="21"/>
        </w:rPr>
      </w:pPr>
      <w:r>
        <w:rPr>
          <w:rFonts w:ascii="宋体" w:hAnsi="宋体"/>
          <w:sz w:val="21"/>
          <w:szCs w:val="21"/>
        </w:rPr>
      </w:r>
      <w:r/>
    </w:p>
    <w:p>
      <w:pPr>
        <w:spacing w:line="400" w:lineRule="exact"/>
        <w:rPr>
          <w:rFonts w:ascii="宋体" w:hAnsi="宋体"/>
          <w:sz w:val="21"/>
          <w:szCs w:val="21"/>
        </w:rPr>
      </w:pPr>
      <w:r>
        <w:rPr>
          <w:rFonts w:hint="eastAsia" w:ascii="宋体" w:hAnsi="宋体"/>
          <w:sz w:val="21"/>
          <w:szCs w:val="21"/>
        </w:rPr>
        <w:t xml:space="preserve">备注</w:t>
      </w:r>
      <w:r>
        <w:rPr>
          <w:rFonts w:ascii="宋体" w:hAnsi="宋体"/>
          <w:sz w:val="21"/>
          <w:szCs w:val="21"/>
        </w:rPr>
        <w:t xml:space="preserve">：</w:t>
      </w:r>
      <w:r/>
    </w:p>
    <w:p>
      <w:pPr>
        <w:spacing w:line="400" w:lineRule="exact"/>
        <w:rPr>
          <w:rFonts w:ascii="宋体" w:hAnsi="宋体"/>
          <w:sz w:val="21"/>
          <w:szCs w:val="21"/>
        </w:rPr>
      </w:pPr>
      <w:r>
        <w:rPr>
          <w:rFonts w:hint="eastAsia" w:ascii="宋体" w:hAnsi="宋体" w:cs="宋体"/>
          <w:sz w:val="21"/>
          <w:szCs w:val="21"/>
        </w:rPr>
        <w:t xml:space="preserve">1.投标人需对招标文件商务要求中非实质性要求（</w:t>
      </w:r>
      <w:r>
        <w:rPr>
          <w:rFonts w:hint="eastAsia" w:ascii="宋体" w:hAnsi="宋体" w:cs="宋体"/>
          <w:b/>
          <w:sz w:val="21"/>
          <w:szCs w:val="21"/>
        </w:rPr>
        <w:t xml:space="preserve">未加</w:t>
      </w:r>
      <w:r>
        <w:rPr>
          <w:rFonts w:hint="eastAsia" w:ascii="宋体" w:hAnsi="宋体" w:cs="宋体"/>
          <w:b/>
          <w:i/>
          <w:sz w:val="21"/>
          <w:szCs w:val="21"/>
          <w:u w:val="single"/>
        </w:rPr>
        <w:t xml:space="preserve">斜体下划线</w:t>
      </w:r>
      <w:r>
        <w:rPr>
          <w:rFonts w:hint="eastAsia" w:ascii="宋体" w:hAnsi="宋体" w:cs="宋体"/>
          <w:b/>
          <w:iCs/>
          <w:sz w:val="21"/>
          <w:szCs w:val="21"/>
        </w:rPr>
        <w:t xml:space="preserve">部分</w:t>
      </w:r>
      <w:r>
        <w:rPr>
          <w:rFonts w:hint="eastAsia" w:ascii="宋体" w:hAnsi="宋体" w:cs="宋体"/>
          <w:b/>
          <w:sz w:val="21"/>
          <w:szCs w:val="21"/>
        </w:rPr>
        <w:t xml:space="preserve">或未加*号条款</w:t>
      </w:r>
      <w:r>
        <w:rPr>
          <w:rFonts w:hint="eastAsia" w:ascii="宋体" w:hAnsi="宋体" w:cs="宋体"/>
          <w:sz w:val="21"/>
          <w:szCs w:val="21"/>
        </w:rPr>
        <w:t xml:space="preserve">）</w:t>
      </w:r>
      <w:r>
        <w:rPr>
          <w:rFonts w:ascii="宋体" w:hAnsi="宋体"/>
          <w:sz w:val="21"/>
          <w:szCs w:val="21"/>
        </w:rPr>
        <w:t xml:space="preserve">逐条做出明确响应</w:t>
      </w:r>
      <w:r>
        <w:rPr>
          <w:rFonts w:hint="eastAsia" w:ascii="宋体" w:hAnsi="宋体"/>
          <w:sz w:val="21"/>
          <w:szCs w:val="21"/>
        </w:rPr>
        <w:t xml:space="preserve">。</w:t>
      </w:r>
      <w:r/>
    </w:p>
    <w:p>
      <w:pPr>
        <w:spacing w:line="400" w:lineRule="exact"/>
        <w:rPr>
          <w:rFonts w:hint="eastAsia" w:ascii="宋体" w:hAnsi="宋体"/>
          <w:sz w:val="21"/>
          <w:szCs w:val="21"/>
        </w:rPr>
      </w:pPr>
      <w:r>
        <w:rPr>
          <w:rFonts w:hint="eastAsia" w:ascii="宋体" w:hAnsi="宋体"/>
          <w:sz w:val="21"/>
          <w:szCs w:val="21"/>
        </w:rPr>
        <w:t xml:space="preserve">2.如果招标</w:t>
      </w:r>
      <w:r>
        <w:rPr>
          <w:rFonts w:ascii="宋体" w:hAnsi="宋体"/>
          <w:sz w:val="21"/>
          <w:szCs w:val="21"/>
        </w:rPr>
        <w:t xml:space="preserve">文件要求提供</w:t>
      </w:r>
      <w:r>
        <w:rPr>
          <w:rFonts w:hint="eastAsia" w:ascii="宋体" w:hAnsi="宋体"/>
          <w:sz w:val="21"/>
          <w:szCs w:val="21"/>
        </w:rPr>
        <w:t xml:space="preserve">证明</w:t>
      </w:r>
      <w:r>
        <w:rPr>
          <w:rFonts w:ascii="宋体" w:hAnsi="宋体"/>
          <w:sz w:val="21"/>
          <w:szCs w:val="21"/>
        </w:rPr>
        <w:t xml:space="preserve">材料，投标人</w:t>
      </w:r>
      <w:r>
        <w:rPr>
          <w:rFonts w:hint="eastAsia" w:ascii="宋体" w:hAnsi="宋体"/>
          <w:sz w:val="21"/>
          <w:szCs w:val="21"/>
        </w:rPr>
        <w:t xml:space="preserve">需</w:t>
      </w:r>
      <w:r>
        <w:rPr>
          <w:rFonts w:ascii="宋体" w:hAnsi="宋体"/>
          <w:sz w:val="21"/>
          <w:szCs w:val="21"/>
        </w:rPr>
        <w:t xml:space="preserve">将证明材料</w:t>
      </w:r>
      <w:r>
        <w:rPr>
          <w:rFonts w:hint="eastAsia" w:ascii="宋体" w:hAnsi="宋体"/>
          <w:sz w:val="21"/>
          <w:szCs w:val="21"/>
        </w:rPr>
        <w:t xml:space="preserve">列于</w:t>
      </w:r>
      <w:r>
        <w:rPr>
          <w:rFonts w:ascii="宋体" w:hAnsi="宋体"/>
          <w:sz w:val="21"/>
          <w:szCs w:val="21"/>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rPr>
          <w:rFonts w:hint="eastAsia" w:ascii="宋体" w:hAnsi="宋体"/>
          <w:b/>
          <w:color w:val="000000"/>
          <w:sz w:val="24"/>
          <w:szCs w:val="21"/>
        </w:rPr>
      </w:pPr>
      <w:r>
        <w:rPr>
          <w:rFonts w:hint="eastAsia" w:ascii="宋体" w:hAnsi="宋体"/>
          <w:b/>
          <w:color w:val="000000"/>
          <w:sz w:val="24"/>
          <w:szCs w:val="21"/>
        </w:rPr>
        <w:br w:type="page" w:clear="all"/>
      </w:r>
      <w:r/>
    </w:p>
    <w:p>
      <w:pPr>
        <w:ind w:left="480"/>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附件5 </w:t>
      </w:r>
      <w:r/>
    </w:p>
    <w:p>
      <w:pPr>
        <w:ind w:left="48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具备履行合同所必需的设备和专业技术能力的书面声明</w:t>
      </w:r>
      <w:r/>
    </w:p>
    <w:p>
      <w:pPr>
        <w:ind w:firstLine="492"/>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主要设备有：</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w:t>
      </w:r>
      <w:r/>
    </w:p>
    <w:p>
      <w:pPr>
        <w:ind w:firstLine="492"/>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主要专业技术能力有：</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ascii="宋体" w:hAnsi="宋体"/>
          <w:b/>
          <w:color w:val="000000"/>
          <w:sz w:val="21"/>
          <w:szCs w:val="21"/>
        </w:rPr>
      </w:pPr>
      <w:r>
        <w:rPr>
          <w:rFonts w:hint="eastAsia" w:ascii="宋体" w:hAnsi="宋体"/>
          <w:b/>
          <w:color w:val="000000"/>
          <w:sz w:val="21"/>
          <w:szCs w:val="21"/>
        </w:rPr>
        <w:t xml:space="preserve">附件</w:t>
      </w:r>
      <w:r>
        <w:rPr>
          <w:rFonts w:ascii="宋体" w:hAnsi="宋体"/>
          <w:b/>
          <w:color w:val="000000"/>
          <w:sz w:val="21"/>
          <w:szCs w:val="21"/>
        </w:rPr>
        <w:t xml:space="preserve">6 </w:t>
      </w:r>
      <w:r/>
    </w:p>
    <w:p>
      <w:pPr>
        <w:ind w:left="480"/>
        <w:jc w:val="center"/>
        <w:rPr>
          <w:rFonts w:hint="eastAsia" w:ascii="宋体" w:hAnsi="宋体"/>
          <w:b/>
          <w:color w:val="000000"/>
          <w:sz w:val="21"/>
          <w:szCs w:val="21"/>
        </w:rPr>
      </w:pPr>
      <w:r>
        <w:rPr>
          <w:rFonts w:hint="eastAsia" w:ascii="宋体" w:hAnsi="宋体"/>
          <w:b/>
          <w:color w:val="000000"/>
          <w:sz w:val="21"/>
          <w:szCs w:val="21"/>
        </w:rPr>
        <w:t xml:space="preserve">参加政府采购活动前 3 年内在经营活动中没有重大违法记录的书面声明</w:t>
      </w:r>
      <w:r/>
    </w:p>
    <w:p>
      <w:pPr>
        <w:ind w:firstLine="480"/>
        <w:spacing w:line="460" w:lineRule="exact"/>
        <w:rPr>
          <w:rFonts w:hint="eastAsia" w:ascii="宋体" w:hAnsi="宋体"/>
          <w:bCs/>
          <w:color w:val="000000"/>
          <w:sz w:val="21"/>
          <w:szCs w:val="21"/>
        </w:rPr>
      </w:pPr>
      <w:r>
        <w:rPr>
          <w:rFonts w:hint="eastAsia" w:ascii="宋体" w:hAnsi="宋体"/>
          <w:bCs/>
          <w:color w:val="000000"/>
          <w:sz w:val="21"/>
          <w:szCs w:val="21"/>
        </w:rPr>
        <w:t xml:space="preserve">我单位郑重声明：参加本次政府采购活动前 3 年内，我单位在经营活动中没有因违法经营受到刑事处罚或者责令停产停业、吊销许可证或者执照、较大数额罚款等行政处罚。</w:t>
      </w:r>
      <w:bookmarkStart w:id="206" w:name="_Toc120614284"/>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rPr>
          <w:rFonts w:hint="eastAsia" w:ascii="宋体" w:hAnsi="宋体"/>
          <w:b/>
          <w:color w:val="000000"/>
          <w:sz w:val="24"/>
          <w:szCs w:val="21"/>
        </w:rPr>
      </w:pPr>
      <w:r>
        <w:rPr>
          <w:rFonts w:hint="eastAsia" w:ascii="宋体" w:hAnsi="宋体"/>
          <w:b/>
          <w:color w:val="000000"/>
          <w:sz w:val="24"/>
          <w:szCs w:val="21"/>
        </w:rPr>
        <w:br w:type="page" w:clear="all"/>
      </w:r>
      <w:r/>
    </w:p>
    <w:p>
      <w:pPr>
        <w:ind w:firstLine="480"/>
        <w:spacing w:line="4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附件7                         </w:t>
      </w:r>
      <w:r/>
    </w:p>
    <w:p>
      <w:pPr>
        <w:ind w:firstLine="480"/>
        <w:jc w:val="center"/>
        <w:spacing w:line="460" w:lineRule="exact"/>
        <w:rPr>
          <w:rFonts w:hint="eastAsia" w:ascii="宋体" w:hAnsi="宋体" w:eastAsia="宋体" w:cs="宋体"/>
          <w:bCs/>
          <w:color w:val="000000"/>
          <w:sz w:val="21"/>
          <w:szCs w:val="21"/>
        </w:rPr>
      </w:pPr>
      <w:r>
        <w:rPr>
          <w:rFonts w:hint="eastAsia" w:ascii="宋体" w:hAnsi="宋体" w:eastAsia="宋体" w:cs="宋体"/>
          <w:b/>
          <w:color w:val="000000"/>
          <w:sz w:val="21"/>
          <w:szCs w:val="21"/>
        </w:rPr>
        <w:t xml:space="preserve">法人授权书</w:t>
      </w:r>
      <w:r/>
    </w:p>
    <w:p>
      <w:pPr>
        <w:ind w:firstLine="420"/>
        <w:spacing w:line="400" w:lineRule="exact"/>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本授权书声明：____________（投标人名称）授权________________（被授权人的姓名）为我方就采购编号为</w:t>
      </w: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项目（项目名称）采购活动的合法代理人，以本单位名义全权处理一切与该项目采购有关的事务。</w:t>
      </w:r>
      <w:r/>
    </w:p>
    <w:p>
      <w:pPr>
        <w:ind w:firstLine="420"/>
        <w:spacing w:line="400" w:lineRule="exact"/>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本授权书于______年____月____日起生效，特此声明。</w:t>
      </w:r>
      <w:r/>
    </w:p>
    <w:p>
      <w:pPr>
        <w:spacing w:line="400" w:lineRule="exact"/>
        <w:tabs>
          <w:tab w:val="left" w:pos="36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被授权人身份证号码：</w:t>
      </w:r>
      <w:r>
        <w:rPr>
          <w:rFonts w:hint="eastAsia" w:ascii="宋体" w:hAnsi="宋体" w:eastAsia="宋体" w:cs="宋体"/>
          <w:color w:val="000000"/>
          <w:sz w:val="21"/>
          <w:szCs w:val="21"/>
          <w:u w:val="single"/>
        </w:rPr>
        <w:t xml:space="preserve">                              </w:t>
      </w:r>
      <w:r/>
    </w:p>
    <w:p>
      <w:pPr>
        <w:spacing w:line="400" w:lineRule="exact"/>
        <w:tabs>
          <w:tab w:val="left" w:pos="36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被授权人联系电话：（手机）</w:t>
      </w:r>
      <w:r>
        <w:rPr>
          <w:rFonts w:hint="eastAsia" w:ascii="宋体" w:hAnsi="宋体" w:eastAsia="宋体" w:cs="宋体"/>
          <w:color w:val="000000"/>
          <w:sz w:val="21"/>
          <w:szCs w:val="21"/>
          <w:u w:val="single"/>
        </w:rPr>
        <w:t xml:space="preserve">                          </w:t>
      </w:r>
      <w:r/>
    </w:p>
    <w:p>
      <w:pPr>
        <w:ind w:firstLine="1050"/>
        <w:spacing w:line="400" w:lineRule="exact"/>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被授权人电子邮箱：</w:t>
      </w:r>
      <w:r>
        <w:rPr>
          <w:rFonts w:hint="eastAsia" w:ascii="宋体" w:hAnsi="宋体" w:eastAsia="宋体" w:cs="宋体"/>
          <w:sz w:val="21"/>
          <w:szCs w:val="21"/>
          <w:u w:val="single"/>
        </w:rPr>
        <w:t xml:space="preserve">                </w:t>
      </w:r>
      <w:r/>
    </w:p>
    <w:p>
      <w:pPr>
        <w:ind w:firstLine="1050"/>
        <w:spacing w:line="400" w:lineRule="exact"/>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授权单位名称：</w:t>
      </w:r>
      <w:r>
        <w:rPr>
          <w:rFonts w:hint="eastAsia" w:ascii="宋体" w:hAnsi="宋体" w:eastAsia="宋体" w:cs="宋体"/>
          <w:color w:val="000000"/>
          <w:sz w:val="21"/>
          <w:szCs w:val="21"/>
          <w:u w:val="single"/>
        </w:rPr>
        <w:t xml:space="preserve">（加盖CA电子公章）</w:t>
      </w:r>
      <w:r/>
    </w:p>
    <w:p>
      <w:pPr>
        <w:ind w:firstLine="420"/>
        <w:spacing w:line="400" w:lineRule="exact"/>
        <w:tabs>
          <w:tab w:val="left" w:pos="36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单位地址：</w:t>
      </w:r>
      <w:r>
        <w:rPr>
          <w:rFonts w:hint="eastAsia" w:ascii="宋体" w:hAnsi="宋体" w:eastAsia="宋体" w:cs="宋体"/>
          <w:color w:val="000000"/>
          <w:sz w:val="21"/>
          <w:szCs w:val="21"/>
          <w:u w:val="single"/>
        </w:rPr>
        <w:t xml:space="preserve">                                         </w:t>
      </w:r>
      <w:r/>
    </w:p>
    <w:p>
      <w:pPr>
        <w:ind w:firstLine="420"/>
        <w:spacing w:line="400" w:lineRule="exact"/>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日期：</w:t>
      </w:r>
      <w:bookmarkStart w:id="207" w:name="_Hlt26955070"/>
      <w:r/>
      <w:bookmarkEnd w:id="207"/>
      <w:r/>
      <w:bookmarkStart w:id="208" w:name="_格式3__银行出具的资信证明"/>
      <w:r/>
      <w:bookmarkEnd w:id="208"/>
      <w:r/>
      <w:bookmarkStart w:id="209" w:name="_Hlt26671380"/>
      <w:r/>
      <w:bookmarkEnd w:id="209"/>
      <w:r>
        <w:rPr>
          <w:rFonts w:hint="eastAsia" w:ascii="宋体" w:hAnsi="宋体" w:eastAsia="宋体" w:cs="宋体"/>
          <w:color w:val="000000"/>
          <w:sz w:val="21"/>
          <w:szCs w:val="21"/>
          <w:u w:val="single"/>
        </w:rPr>
        <w:t xml:space="preserve">                                         </w:t>
      </w:r>
      <w:r/>
    </w:p>
    <w:p>
      <w:pPr>
        <w:keepLines/>
        <w:keepNext/>
        <w:spacing w:before="260" w:after="260" w:line="416" w:lineRule="auto"/>
        <w:rPr>
          <w:rFonts w:hint="eastAsia" w:asciiTheme="majorEastAsia" w:hAnsiTheme="majorEastAsia" w:eastAsiaTheme="majorEastAsia" w:cstheme="majorEastAsia"/>
          <w:b/>
          <w:color w:val="000000"/>
          <w:sz w:val="21"/>
          <w:szCs w:val="21"/>
        </w:rPr>
        <w:outlineLvl w:val="9"/>
      </w:pPr>
      <w:r>
        <w:rPr>
          <w:rFonts w:ascii="宋体" w:hAnsi="宋体" w:eastAsia="幼圆" w:cs="Arial"/>
          <w:b/>
          <w:color w:val="000000"/>
          <w:sz w:val="24"/>
          <w:szCs w:val="44"/>
        </w:rPr>
        <w:br w:type="page" w:clear="all"/>
      </w:r>
      <w:r>
        <w:rPr>
          <w:rFonts w:hint="eastAsia" w:asciiTheme="majorEastAsia" w:hAnsiTheme="majorEastAsia" w:eastAsiaTheme="majorEastAsia" w:cstheme="majorEastAsia"/>
          <w:b/>
          <w:color w:val="000000"/>
          <w:sz w:val="21"/>
          <w:szCs w:val="21"/>
        </w:rPr>
        <w:t xml:space="preserve">附件8                            </w:t>
      </w:r>
      <w:r/>
    </w:p>
    <w:p>
      <w:pPr>
        <w:jc w:val="center"/>
        <w:keepLines/>
        <w:keepNext/>
        <w:spacing w:before="260" w:after="260" w:line="416" w:lineRule="auto"/>
        <w:rPr>
          <w:rFonts w:hint="eastAsia" w:asciiTheme="majorEastAsia" w:hAnsiTheme="majorEastAsia" w:eastAsiaTheme="majorEastAsia" w:cstheme="majorEastAsia"/>
          <w:b/>
          <w:i/>
          <w:color w:val="000000"/>
          <w:sz w:val="21"/>
          <w:szCs w:val="21"/>
          <w:u w:val="single"/>
        </w:rPr>
        <w:outlineLvl w:val="9"/>
      </w:pPr>
      <w:r>
        <w:rPr>
          <w:rFonts w:hint="eastAsia" w:asciiTheme="majorEastAsia" w:hAnsiTheme="majorEastAsia" w:eastAsiaTheme="majorEastAsia" w:cstheme="majorEastAsia"/>
          <w:b/>
          <w:color w:val="000000"/>
          <w:sz w:val="21"/>
          <w:szCs w:val="21"/>
        </w:rPr>
        <w:t xml:space="preserve">投标函</w:t>
      </w:r>
      <w:r/>
    </w:p>
    <w:p>
      <w:pPr>
        <w:jc w:val="left"/>
        <w:spacing w:line="420" w:lineRule="exact"/>
        <w:rPr>
          <w:rFonts w:hint="eastAsia" w:asciiTheme="majorEastAsia" w:hAnsiTheme="majorEastAsia" w:eastAsiaTheme="majorEastAsia" w:cstheme="majorEastAsia"/>
          <w:color w:val="000000"/>
          <w:sz w:val="21"/>
          <w:szCs w:val="21"/>
          <w:lang w:eastAsia="zh-CN"/>
        </w:rPr>
      </w:pPr>
      <w:r>
        <w:rPr>
          <w:rFonts w:hint="eastAsia" w:asciiTheme="majorEastAsia" w:hAnsiTheme="majorEastAsia" w:eastAsiaTheme="majorEastAsia" w:cstheme="majorEastAsia"/>
          <w:color w:val="000000"/>
          <w:sz w:val="21"/>
          <w:szCs w:val="21"/>
        </w:rPr>
        <w:t xml:space="preserve">致：</w:t>
      </w:r>
      <w:r>
        <w:rPr>
          <w:rFonts w:hint="eastAsia" w:asciiTheme="majorEastAsia" w:hAnsiTheme="majorEastAsia" w:eastAsiaTheme="majorEastAsia" w:cstheme="majorEastAsia"/>
          <w:color w:val="000000"/>
          <w:sz w:val="21"/>
          <w:szCs w:val="21"/>
          <w:lang w:eastAsia="zh-CN"/>
        </w:rPr>
        <w:t xml:space="preserve">江苏励邦招标代理有限公司</w:t>
      </w:r>
      <w:r/>
    </w:p>
    <w:p>
      <w:pPr>
        <w:ind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根据贵方</w:t>
      </w:r>
      <w:r>
        <w:rPr>
          <w:rFonts w:hint="eastAsia" w:asciiTheme="majorEastAsia" w:hAnsiTheme="majorEastAsia" w:eastAsiaTheme="majorEastAsia" w:cstheme="majorEastAsia"/>
          <w:sz w:val="21"/>
          <w:szCs w:val="21"/>
        </w:rPr>
        <w:t xml:space="preserve">采购编号为</w:t>
      </w:r>
      <w:r>
        <w:rPr>
          <w:rFonts w:hint="eastAsia" w:asciiTheme="majorEastAsia" w:hAnsiTheme="majorEastAsia" w:eastAsiaTheme="majorEastAsia" w:cstheme="majorEastAsia"/>
          <w:sz w:val="21"/>
          <w:szCs w:val="21"/>
          <w:lang w:val="en-US" w:eastAsia="zh-CN"/>
        </w:rPr>
        <w:t xml:space="preserve">: </w:t>
      </w:r>
      <w:r>
        <w:rPr>
          <w:rFonts w:hint="eastAsia" w:asciiTheme="majorEastAsia" w:hAnsiTheme="majorEastAsia" w:eastAsiaTheme="majorEastAsia" w:cstheme="majorEastAsia"/>
          <w:sz w:val="21"/>
          <w:szCs w:val="21"/>
          <w:u w:val="single"/>
          <w:lang w:val="en-US" w:eastAsia="zh-CN"/>
        </w:rPr>
        <w:t xml:space="preserve">                        </w:t>
      </w:r>
      <w:r>
        <w:rPr>
          <w:rFonts w:hint="eastAsia" w:asciiTheme="majorEastAsia" w:hAnsiTheme="majorEastAsia" w:eastAsiaTheme="majorEastAsia" w:cstheme="majorEastAsia"/>
          <w:sz w:val="21"/>
          <w:szCs w:val="21"/>
        </w:rPr>
        <w:t xml:space="preserve">，</w:t>
      </w:r>
      <w:r>
        <w:rPr>
          <w:rFonts w:hint="eastAsia" w:asciiTheme="majorEastAsia" w:hAnsiTheme="majorEastAsia" w:eastAsiaTheme="majorEastAsia" w:cstheme="majorEastAsia"/>
          <w:sz w:val="21"/>
          <w:szCs w:val="21"/>
          <w:u w:val="single"/>
        </w:rPr>
        <w:t xml:space="preserve">      </w:t>
      </w:r>
      <w:r>
        <w:rPr>
          <w:rFonts w:hint="eastAsia" w:asciiTheme="majorEastAsia" w:hAnsiTheme="majorEastAsia" w:eastAsiaTheme="majorEastAsia" w:cstheme="majorEastAsia"/>
          <w:sz w:val="21"/>
          <w:szCs w:val="21"/>
        </w:rPr>
        <w:t xml:space="preserve">项目（项目名称）</w:t>
      </w:r>
      <w:r>
        <w:rPr>
          <w:rFonts w:hint="eastAsia" w:asciiTheme="majorEastAsia" w:hAnsiTheme="majorEastAsia" w:eastAsiaTheme="majorEastAsia" w:cstheme="majorEastAsia"/>
          <w:color w:val="000000"/>
          <w:sz w:val="21"/>
          <w:szCs w:val="21"/>
        </w:rPr>
        <w:t xml:space="preserve">的招标文件，正式授权下述签字人_____(姓名)代表我方_______（投标人的名称），全权处理本次项目投标的有关事宜。</w:t>
      </w:r>
      <w:r/>
    </w:p>
    <w:p>
      <w:pPr>
        <w:ind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据此函，__________签字人兹宣布同意如下：</w:t>
      </w:r>
      <w:r/>
    </w:p>
    <w:p>
      <w:pPr>
        <w:ind w:firstLine="48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1.按招标文件规定的各项要求，向买方提供所需货物（包含与货物相关的服务）。</w:t>
      </w:r>
      <w:r/>
    </w:p>
    <w:p>
      <w:pPr>
        <w:ind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2.我们完全理解贵方不一定将合同授予最低报价的投标人。</w:t>
      </w:r>
      <w:r/>
    </w:p>
    <w:p>
      <w:pPr>
        <w:ind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4.我们同意从规定的开标日期起遵循本投标文件，并在规定的投标有效期期满之前均具有约束力。</w:t>
      </w:r>
      <w:r/>
    </w:p>
    <w:p>
      <w:pPr>
        <w:ind w:firstLine="48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7.与本投标有关的正式通讯地址为：</w:t>
      </w:r>
      <w:r/>
    </w:p>
    <w:p>
      <w:pPr>
        <w:ind w:left="420"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地          址：</w:t>
      </w:r>
      <w:r/>
    </w:p>
    <w:p>
      <w:pPr>
        <w:ind w:left="420"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邮          编：</w:t>
      </w:r>
      <w:r/>
    </w:p>
    <w:p>
      <w:pPr>
        <w:ind w:left="420"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电          话：</w:t>
      </w:r>
      <w:r/>
    </w:p>
    <w:p>
      <w:pPr>
        <w:ind w:left="420"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传          真：</w:t>
      </w:r>
      <w:r/>
    </w:p>
    <w:p>
      <w:pPr>
        <w:ind w:left="420"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投标人开户行：</w:t>
      </w:r>
      <w:r/>
    </w:p>
    <w:p>
      <w:pPr>
        <w:ind w:left="420"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账          号： </w:t>
      </w:r>
      <w:r/>
    </w:p>
    <w:p>
      <w:pPr>
        <w:ind w:left="420" w:firstLine="420"/>
        <w:jc w:val="left"/>
        <w:spacing w:line="420" w:lineRule="exact"/>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日           期：___年____月____日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11"/>
        <w:jc w:val="left"/>
        <w:spacing w:line="560" w:lineRule="exact"/>
        <w:rPr>
          <w:rFonts w:hint="eastAsia" w:ascii="宋体" w:hAnsi="宋体" w:eastAsia="宋体" w:cs="宋体"/>
          <w:b/>
          <w:sz w:val="21"/>
          <w:szCs w:val="21"/>
        </w:rPr>
      </w:pPr>
      <w:r>
        <w:rPr>
          <w:rFonts w:hint="eastAsia" w:ascii="宋体" w:hAnsi="宋体" w:eastAsia="宋体" w:cs="宋体"/>
          <w:b/>
          <w:sz w:val="21"/>
          <w:szCs w:val="21"/>
        </w:rPr>
        <w:t xml:space="preserve">附件9  </w:t>
      </w:r>
      <w:r/>
    </w:p>
    <w:p>
      <w:pPr>
        <w:ind w:firstLine="211"/>
        <w:jc w:val="center"/>
        <w:spacing w:line="560" w:lineRule="exact"/>
        <w:rPr>
          <w:rFonts w:hint="eastAsia" w:ascii="宋体" w:hAnsi="宋体" w:eastAsia="宋体" w:cs="宋体"/>
          <w:b/>
          <w:sz w:val="21"/>
          <w:szCs w:val="21"/>
        </w:rPr>
      </w:pPr>
      <w:r>
        <w:rPr>
          <w:rFonts w:hint="eastAsia" w:ascii="宋体" w:hAnsi="宋体" w:eastAsia="宋体" w:cs="宋体"/>
          <w:b/>
          <w:sz w:val="21"/>
          <w:szCs w:val="21"/>
        </w:rPr>
        <w:t xml:space="preserve">中小微企业声明函（货物类项目）</w:t>
      </w:r>
      <w:r/>
    </w:p>
    <w:p>
      <w:pPr>
        <w:ind w:firstLine="315"/>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本公司（联合体）郑重声明，根据《政府采购促进中小企业发展管理办法》(财库〔2020〕46号)的规定，本公司（联合体）参加</w:t>
      </w:r>
      <w:r>
        <w:rPr>
          <w:rFonts w:hint="eastAsia" w:ascii="宋体" w:hAnsi="宋体" w:cs="宋体"/>
          <w:sz w:val="21"/>
          <w:szCs w:val="21"/>
          <w:lang w:eastAsia="zh-CN"/>
        </w:rPr>
        <w:t xml:space="preserve">江苏励邦招标代理有限公司</w:t>
      </w:r>
      <w:r>
        <w:rPr>
          <w:rFonts w:hint="eastAsia" w:ascii="宋体" w:hAnsi="宋体" w:eastAsia="宋体" w:cs="宋体"/>
          <w:sz w:val="21"/>
          <w:szCs w:val="21"/>
        </w:rPr>
        <w:t xml:space="preserve">组织的</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采购编号为</w:t>
      </w:r>
      <w:r>
        <w:rPr>
          <w:rFonts w:hint="eastAsia" w:ascii="宋体" w:hAnsi="宋体" w:eastAsia="宋体" w:cs="宋体"/>
          <w:sz w:val="21"/>
          <w:szCs w:val="21"/>
          <w:lang w:eastAsia="zh-CN"/>
        </w:rPr>
        <w:t xml:space="preserve">：</w:t>
      </w:r>
      <w:r>
        <w:rPr>
          <w:rFonts w:hint="eastAsia" w:ascii="宋体" w:hAnsi="宋体" w:cs="宋体"/>
          <w:color w:val="000000"/>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项目（项目名称）的采购活动，提供的货物全部由符合政策要求的中小微企业制造。相关企业（含联合体中的中小微企业、签订采购包意向协议的中小微企业）的具体情况如下：</w:t>
      </w:r>
      <w:r/>
    </w:p>
    <w:p>
      <w:pPr>
        <w:ind w:firstLine="315"/>
        <w:spacing w:line="400" w:lineRule="exact"/>
        <w:rPr>
          <w:rFonts w:hint="eastAsia" w:ascii="宋体" w:hAnsi="宋体" w:eastAsia="宋体" w:cs="宋体"/>
          <w:i/>
          <w:sz w:val="21"/>
          <w:szCs w:val="21"/>
          <w:u w:val="single"/>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（标的名称）</w:t>
      </w:r>
      <w:r>
        <w:rPr>
          <w:rFonts w:hint="eastAsia" w:ascii="宋体" w:hAnsi="宋体" w:eastAsia="宋体" w:cs="宋体"/>
          <w:i/>
          <w:sz w:val="21"/>
          <w:szCs w:val="21"/>
        </w:rPr>
        <w:t xml:space="preserve">，</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（供应商填写招标文件中明确的所属行业）</w:t>
      </w:r>
      <w:r>
        <w:rPr>
          <w:rFonts w:hint="eastAsia" w:ascii="宋体" w:hAnsi="宋体" w:eastAsia="宋体" w:cs="宋体"/>
          <w:sz w:val="21"/>
          <w:szCs w:val="21"/>
        </w:rPr>
        <w:t xml:space="preserve">行业；投标产品制造商为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（□中型企业 □小型企业 □微型企业）；</w:t>
      </w:r>
      <w:r/>
    </w:p>
    <w:p>
      <w:pPr>
        <w:ind w:firstLine="315"/>
        <w:spacing w:line="400" w:lineRule="exact"/>
        <w:rPr>
          <w:rFonts w:hint="eastAsia" w:ascii="宋体" w:hAnsi="宋体" w:eastAsia="宋体" w:cs="宋体"/>
          <w:i/>
          <w:sz w:val="21"/>
          <w:szCs w:val="21"/>
          <w:u w:val="single"/>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（标的名称）</w:t>
      </w:r>
      <w:r>
        <w:rPr>
          <w:rFonts w:hint="eastAsia" w:ascii="宋体" w:hAnsi="宋体" w:eastAsia="宋体" w:cs="宋体"/>
          <w:i/>
          <w:sz w:val="21"/>
          <w:szCs w:val="21"/>
        </w:rPr>
        <w:t xml:space="preserve">，</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（供应商填写招标文件中明确的所属行业）</w:t>
      </w:r>
      <w:r>
        <w:rPr>
          <w:rFonts w:hint="eastAsia" w:ascii="宋体" w:hAnsi="宋体" w:eastAsia="宋体" w:cs="宋体"/>
          <w:sz w:val="21"/>
          <w:szCs w:val="21"/>
        </w:rPr>
        <w:t xml:space="preserve">行业；投标产品制造商为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（□中型企业 □小型企业 □微型企业）；</w:t>
      </w:r>
      <w:r/>
    </w:p>
    <w:p>
      <w:pPr>
        <w:ind w:firstLine="315"/>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p>
      <w:pPr>
        <w:ind w:firstLine="315"/>
        <w:spacing w:line="400" w:lineRule="exact"/>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ind w:firstLine="315"/>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ind w:right="720"/>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right="180" w:firstLine="315"/>
        <w:jc w:val="right"/>
        <w:spacing w:line="400" w:lineRule="exact"/>
        <w:rPr>
          <w:rFonts w:hint="eastAsia" w:ascii="宋体" w:hAnsi="宋体" w:eastAsia="宋体" w:cs="宋体"/>
          <w:sz w:val="21"/>
          <w:szCs w:val="21"/>
        </w:rPr>
      </w:pPr>
      <w:r>
        <w:rPr>
          <w:rFonts w:hint="eastAsia" w:ascii="宋体" w:hAnsi="宋体" w:eastAsia="宋体" w:cs="宋体"/>
          <w:sz w:val="21"/>
          <w:szCs w:val="21"/>
        </w:rPr>
        <w:t xml:space="preserve">企业名称（加盖CA电子公章）：</w:t>
      </w:r>
      <w:r/>
    </w:p>
    <w:p>
      <w:pPr>
        <w:ind w:right="480" w:firstLine="3990"/>
        <w:spacing w:line="400" w:lineRule="exact"/>
        <w:rPr>
          <w:rFonts w:hint="eastAsia" w:ascii="宋体" w:hAnsi="宋体" w:eastAsia="宋体" w:cs="宋体"/>
          <w:sz w:val="21"/>
          <w:szCs w:val="21"/>
        </w:rPr>
      </w:pPr>
      <w:r>
        <w:rPr>
          <w:rFonts w:hint="eastAsia" w:ascii="宋体" w:hAnsi="宋体" w:eastAsia="宋体" w:cs="宋体"/>
          <w:sz w:val="21"/>
          <w:szCs w:val="21"/>
        </w:rPr>
        <w:t xml:space="preserve">日  期：</w:t>
      </w:r>
      <w:r>
        <w:rPr>
          <w:rFonts w:hint="eastAsia" w:ascii="宋体" w:hAnsi="宋体" w:eastAsia="宋体" w:cs="宋体"/>
          <w:color w:val="000000"/>
          <w:sz w:val="21"/>
          <w:szCs w:val="21"/>
        </w:rPr>
        <w:t xml:space="preserve">___年____月____日</w:t>
      </w:r>
      <w:r/>
    </w:p>
    <w:p>
      <w:pPr>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备注：</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1.从业人员、营业收入、资产总额填报上一年度数据，无上一年度数据的新成立企业可不填报。</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ind w:left="525" w:hanging="105"/>
        <w:spacing w:line="400" w:lineRule="exact"/>
        <w:rPr>
          <w:rFonts w:hint="eastAsia" w:ascii="宋体" w:hAnsi="宋体" w:eastAsia="宋体" w:cs="宋体"/>
          <w:sz w:val="21"/>
          <w:szCs w:val="21"/>
        </w:rPr>
      </w:pPr>
      <w:r>
        <w:rPr>
          <w:rFonts w:hint="eastAsia" w:ascii="宋体" w:hAnsi="宋体" w:eastAsia="宋体" w:cs="宋体"/>
          <w:sz w:val="21"/>
          <w:szCs w:val="21"/>
        </w:rPr>
        <w:t xml:space="preserve">3.供应商应对照《工业和信息化部、国家统计局、国家发展和改革委员会、</w:t>
      </w:r>
      <w:r/>
    </w:p>
    <w:p>
      <w:pPr>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宋体" w:hAnsi="宋体" w:eastAsia="宋体" w:cs="宋体"/>
          <w:color w:val="ff0000"/>
          <w:sz w:val="21"/>
          <w:szCs w:val="21"/>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eastAsia="宋体" w:cs="宋体"/>
          <w:b/>
          <w:sz w:val="21"/>
          <w:szCs w:val="21"/>
        </w:rPr>
        <w:t xml:space="preserve">附件10</w:t>
      </w:r>
      <w:r/>
    </w:p>
    <w:p>
      <w:pPr>
        <w:jc w:val="center"/>
        <w:spacing w:line="400" w:lineRule="exact"/>
        <w:rPr>
          <w:rFonts w:hint="eastAsia" w:ascii="宋体" w:hAnsi="宋体" w:eastAsia="宋体" w:cs="宋体"/>
          <w:color w:val="ff0000"/>
          <w:sz w:val="21"/>
          <w:szCs w:val="21"/>
          <w:lang w:eastAsia="zh-CN"/>
        </w:rPr>
      </w:pPr>
      <w:r>
        <w:rPr>
          <w:rFonts w:hint="eastAsia" w:ascii="宋体" w:hAnsi="宋体" w:eastAsia="宋体" w:cs="宋体"/>
          <w:b/>
          <w:sz w:val="21"/>
          <w:szCs w:val="21"/>
        </w:rPr>
        <w:t xml:space="preserve">残疾人福利性单位声明函（货物类项目）</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宋体" w:hAnsi="宋体" w:eastAsia="宋体" w:cs="宋体"/>
          <w:sz w:val="21"/>
          <w:szCs w:val="21"/>
          <w:lang w:val="en-US" w:eastAsia="zh-CN"/>
        </w:rPr>
        <w:t xml:space="preserve">:</w:t>
      </w:r>
      <w:r>
        <w:rPr>
          <w:rFonts w:hint="eastAsia" w:ascii="宋体" w:hAnsi="宋体" w:cs="宋体"/>
          <w:color w:val="000000"/>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项目（项目名称）采购活动提供本单位制造的货物，或者提供其他残疾人福利性单位制造的货物（不包括使用非残疾人福利性单位注册商标的货物）。</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备注：</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 非专门面向中小微型企业采购的项目，供应商如不提供此声明函，价格将不做相应扣除。</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3.中标/成交供应商为残疾人福利性单位的，此声明函将随中标/成交结果同时公告，接受社会监督。</w:t>
      </w:r>
      <w:r/>
    </w:p>
    <w:p>
      <w:pPr>
        <w:ind w:firstLine="44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p>
      <w:pPr>
        <w:ind w:right="1559" w:firstLine="444"/>
        <w:jc w:val="center"/>
        <w:spacing w:line="400" w:lineRule="exact"/>
        <w:tabs>
          <w:tab w:val="left" w:pos="4860" w:leader="none"/>
        </w:tabs>
        <w:rPr>
          <w:rFonts w:hint="eastAsia" w:ascii="宋体" w:hAnsi="宋体" w:eastAsia="宋体" w:cs="宋体"/>
          <w:sz w:val="21"/>
          <w:szCs w:val="21"/>
        </w:rPr>
      </w:pPr>
      <w:r>
        <w:rPr>
          <w:rFonts w:hint="eastAsia" w:ascii="宋体" w:hAnsi="宋体" w:eastAsia="宋体" w:cs="宋体"/>
          <w:spacing w:val="6"/>
          <w:sz w:val="21"/>
          <w:szCs w:val="21"/>
        </w:rPr>
        <w:t xml:space="preserve">             </w:t>
      </w:r>
      <w:r>
        <w:rPr>
          <w:rFonts w:hint="eastAsia" w:ascii="宋体" w:hAnsi="宋体" w:eastAsia="宋体" w:cs="宋体"/>
          <w:sz w:val="21"/>
          <w:szCs w:val="21"/>
        </w:rPr>
        <w:t xml:space="preserve">   供应商全称（加盖CA电子公章）：</w:t>
      </w:r>
      <w:r/>
    </w:p>
    <w:p>
      <w:pPr>
        <w:ind w:right="1559" w:firstLine="420"/>
        <w:jc w:val="center"/>
        <w:spacing w:line="400" w:lineRule="exact"/>
        <w:tabs>
          <w:tab w:val="left" w:pos="4860" w:leader="none"/>
        </w:tabs>
        <w:rPr>
          <w:rFonts w:hint="eastAsia" w:ascii="宋体" w:hAnsi="宋体" w:eastAsia="宋体" w:cs="宋体"/>
          <w:sz w:val="21"/>
          <w:szCs w:val="21"/>
        </w:rPr>
      </w:pPr>
      <w:r>
        <w:rPr>
          <w:rFonts w:hint="eastAsia" w:ascii="宋体" w:hAnsi="宋体" w:eastAsia="宋体" w:cs="宋体"/>
          <w:sz w:val="21"/>
          <w:szCs w:val="21"/>
        </w:rPr>
        <w:t xml:space="preserve">                  日  期：</w:t>
      </w:r>
      <w:r>
        <w:rPr>
          <w:rFonts w:hint="eastAsia" w:ascii="宋体" w:hAnsi="宋体" w:eastAsia="宋体" w:cs="宋体"/>
          <w:color w:val="000000"/>
          <w:sz w:val="21"/>
          <w:szCs w:val="21"/>
        </w:rPr>
        <w:t xml:space="preserve">___年____月____日</w:t>
      </w:r>
      <w:r>
        <w:rPr>
          <w:rFonts w:hint="eastAsia" w:ascii="宋体" w:hAnsi="宋体" w:eastAsia="宋体" w:cs="宋体"/>
          <w:sz w:val="21"/>
          <w:szCs w:val="21"/>
          <w:shd w:val="clear" w:color="auto" w:fill="ffffff"/>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b/>
          <w:sz w:val="24"/>
          <w:szCs w:val="24"/>
        </w:rPr>
      </w:pPr>
      <w:r>
        <w:rPr>
          <w:rFonts w:hint="eastAsia" w:ascii="宋体" w:hAnsi="宋体"/>
          <w:b/>
          <w:sz w:val="24"/>
          <w:szCs w:val="24"/>
        </w:rPr>
        <w:br w:type="page" w:clear="all"/>
      </w:r>
      <w:r/>
    </w:p>
    <w:p>
      <w:pPr>
        <w:jc w:val="left"/>
        <w:rPr>
          <w:rFonts w:hint="eastAsia" w:ascii="宋体" w:hAnsi="宋体" w:eastAsia="宋体" w:cs="宋体"/>
          <w:b/>
          <w:sz w:val="21"/>
          <w:szCs w:val="21"/>
          <w:lang w:eastAsia="zh-CN"/>
        </w:rPr>
      </w:pPr>
      <w:r>
        <w:rPr>
          <w:rFonts w:hint="eastAsia" w:ascii="宋体" w:hAnsi="宋体" w:eastAsia="宋体" w:cs="宋体"/>
          <w:b/>
          <w:sz w:val="21"/>
          <w:szCs w:val="21"/>
        </w:rPr>
        <w:t xml:space="preserve">附件1</w:t>
      </w:r>
      <w:r>
        <w:rPr>
          <w:rFonts w:hint="eastAsia" w:ascii="宋体" w:hAnsi="宋体" w:cs="宋体"/>
          <w:b/>
          <w:sz w:val="21"/>
          <w:szCs w:val="21"/>
          <w:lang w:val="en-US" w:eastAsia="zh-CN"/>
        </w:rPr>
        <w:t xml:space="preserve">1</w:t>
      </w:r>
      <w:r/>
    </w:p>
    <w:p>
      <w:pPr>
        <w:jc w:val="center"/>
        <w:rPr>
          <w:rFonts w:hint="eastAsia" w:ascii="宋体" w:hAnsi="宋体" w:eastAsia="宋体" w:cs="宋体"/>
          <w:b/>
          <w:sz w:val="21"/>
          <w:szCs w:val="21"/>
        </w:rPr>
      </w:pPr>
      <w:r>
        <w:rPr>
          <w:rFonts w:hint="eastAsia" w:ascii="宋体" w:hAnsi="宋体" w:eastAsia="宋体" w:cs="宋体"/>
          <w:b/>
          <w:sz w:val="21"/>
          <w:szCs w:val="21"/>
        </w:rPr>
      </w:r>
      <w:r/>
    </w:p>
    <w:p>
      <w:pPr>
        <w:jc w:val="center"/>
        <w:rPr>
          <w:rFonts w:hint="eastAsia" w:ascii="宋体" w:hAnsi="宋体" w:eastAsia="宋体" w:cs="宋体"/>
          <w:b/>
          <w:sz w:val="21"/>
          <w:szCs w:val="21"/>
          <w:lang w:eastAsia="zh-CN"/>
        </w:rPr>
      </w:pPr>
      <w:r>
        <w:rPr>
          <w:rFonts w:hint="eastAsia" w:ascii="宋体" w:hAnsi="宋体" w:eastAsia="宋体" w:cs="宋体"/>
          <w:b/>
          <w:sz w:val="21"/>
          <w:szCs w:val="21"/>
        </w:rPr>
        <w:t xml:space="preserve">实质性要求响应及偏离表</w:t>
      </w:r>
      <w:r/>
    </w:p>
    <w:tbl>
      <w:tblPr>
        <w:tblStyle w:val="7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3609"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招标文件（含技术要求和商务要求）中的实质性要求</w:t>
            </w:r>
            <w:r>
              <w:rPr>
                <w:rFonts w:hint="eastAsia" w:ascii="宋体" w:hAnsi="宋体" w:eastAsia="宋体" w:cs="宋体"/>
                <w:b/>
                <w:bCs/>
                <w:sz w:val="21"/>
                <w:szCs w:val="21"/>
              </w:rPr>
              <w:t xml:space="preserve">（</w:t>
            </w:r>
            <w:r>
              <w:rPr>
                <w:rFonts w:hint="eastAsia" w:ascii="宋体" w:hAnsi="宋体" w:eastAsia="宋体" w:cs="宋体"/>
                <w:b/>
                <w:bCs/>
                <w:i/>
                <w:sz w:val="21"/>
                <w:szCs w:val="21"/>
                <w:u w:val="single"/>
              </w:rPr>
              <w:t xml:space="preserve">斜体且有下划线部分</w:t>
            </w:r>
            <w:r>
              <w:rPr>
                <w:rFonts w:hint="eastAsia" w:ascii="宋体" w:hAnsi="宋体" w:eastAsia="宋体" w:cs="宋体"/>
                <w:b/>
                <w:bCs/>
                <w:sz w:val="21"/>
                <w:szCs w:val="21"/>
              </w:rPr>
              <w:t xml:space="preserve">或加*号条款）</w:t>
            </w:r>
            <w:r/>
          </w:p>
        </w:tc>
        <w:tc>
          <w:tcPr>
            <w:tcW w:w="3317"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3609"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3317"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526"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3609"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3317"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526"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3609"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W w:w="3317"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526" w:type="dxa"/>
            <w:vAlign w:val="top"/>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bl>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附件1</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-1 证明材料1，证明材料2，……</w:t>
      </w:r>
      <w:r/>
    </w:p>
    <w:p>
      <w:pPr>
        <w:spacing w:line="400" w:lineRule="exact"/>
        <w:rPr>
          <w:rFonts w:hint="eastAsia" w:ascii="宋体" w:hAnsi="宋体" w:eastAsia="宋体" w:cs="宋体"/>
          <w:sz w:val="21"/>
          <w:szCs w:val="21"/>
        </w:rPr>
      </w:pPr>
      <w:r>
        <w:rPr>
          <w:rFonts w:hint="eastAsia" w:ascii="宋体" w:hAnsi="宋体" w:eastAsia="宋体" w:cs="宋体"/>
          <w:sz w:val="21"/>
          <w:szCs w:val="21"/>
        </w:rPr>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备注：</w:t>
      </w:r>
      <w:r/>
    </w:p>
    <w:p>
      <w:pPr>
        <w:numPr>
          <w:ilvl w:val="0"/>
          <w:numId w:val="0"/>
        </w:numPr>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投标人必须对招标文件（含技术要求和商务要求）中的实质性要求</w:t>
      </w:r>
      <w:r>
        <w:rPr>
          <w:rFonts w:hint="eastAsia" w:ascii="宋体" w:hAnsi="宋体" w:eastAsia="宋体" w:cs="宋体"/>
          <w:b/>
          <w:bCs/>
          <w:sz w:val="21"/>
          <w:szCs w:val="21"/>
        </w:rPr>
        <w:t xml:space="preserve">（</w:t>
      </w:r>
      <w:r>
        <w:rPr>
          <w:rFonts w:hint="eastAsia" w:ascii="宋体" w:hAnsi="宋体" w:eastAsia="宋体" w:cs="宋体"/>
          <w:b/>
          <w:bCs/>
          <w:i/>
          <w:sz w:val="21"/>
          <w:szCs w:val="21"/>
          <w:u w:val="single"/>
        </w:rPr>
        <w:t xml:space="preserve">斜体且有下划线部分</w:t>
      </w:r>
      <w:r>
        <w:rPr>
          <w:rFonts w:hint="eastAsia" w:ascii="宋体" w:hAnsi="宋体" w:eastAsia="宋体" w:cs="宋体"/>
          <w:b/>
          <w:bCs/>
          <w:sz w:val="21"/>
          <w:szCs w:val="21"/>
        </w:rPr>
        <w:t xml:space="preserve">或加*号条款）</w:t>
      </w:r>
      <w:r>
        <w:rPr>
          <w:rFonts w:hint="eastAsia" w:ascii="宋体" w:hAnsi="宋体" w:eastAsia="宋体" w:cs="宋体"/>
          <w:sz w:val="21"/>
          <w:szCs w:val="21"/>
        </w:rPr>
        <w:t xml:space="preserve">逐条做出明确响应。</w:t>
      </w:r>
      <w:r/>
    </w:p>
    <w:p>
      <w:pPr>
        <w:numPr>
          <w:ilvl w:val="0"/>
          <w:numId w:val="0"/>
        </w:numPr>
        <w:spacing w:line="400" w:lineRule="exact"/>
        <w:rPr>
          <w:rFonts w:hint="eastAsia" w:ascii="宋体" w:hAnsi="宋体" w:eastAsia="宋体" w:cs="宋体"/>
          <w:sz w:val="21"/>
          <w:szCs w:val="21"/>
        </w:rPr>
      </w:pPr>
      <w:r>
        <w:rPr>
          <w:rFonts w:hint="eastAsia" w:ascii="宋体" w:hAnsi="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rPr>
        <w:t xml:space="preserve">如招标文件</w:t>
      </w:r>
      <w:r>
        <w:rPr>
          <w:rFonts w:hint="eastAsia" w:ascii="宋体" w:hAnsi="宋体" w:eastAsia="宋体" w:cs="宋体"/>
          <w:sz w:val="21"/>
          <w:szCs w:val="21"/>
        </w:rPr>
        <w:t xml:space="preserve">（含技术要求和商务要求）中</w:t>
      </w:r>
      <w:r>
        <w:rPr>
          <w:rFonts w:hint="eastAsia" w:ascii="宋体" w:hAnsi="宋体" w:eastAsia="宋体" w:cs="宋体"/>
          <w:sz w:val="21"/>
          <w:szCs w:val="21"/>
          <w:lang w:val="en-US" w:eastAsia="zh-CN"/>
        </w:rPr>
        <w:t xml:space="preserve">没有</w:t>
      </w:r>
      <w:r>
        <w:rPr>
          <w:rFonts w:hint="eastAsia" w:ascii="宋体" w:hAnsi="宋体" w:eastAsia="宋体" w:cs="宋体"/>
          <w:sz w:val="21"/>
          <w:szCs w:val="21"/>
        </w:rPr>
        <w:t xml:space="preserve">实质性要求</w:t>
      </w:r>
      <w:r>
        <w:rPr>
          <w:rFonts w:hint="eastAsia" w:ascii="宋体" w:hAnsi="宋体" w:eastAsia="宋体" w:cs="宋体"/>
          <w:b/>
          <w:bCs/>
          <w:sz w:val="21"/>
          <w:szCs w:val="21"/>
        </w:rPr>
        <w:t xml:space="preserve">（</w:t>
      </w:r>
      <w:r>
        <w:rPr>
          <w:rFonts w:hint="eastAsia" w:ascii="宋体" w:hAnsi="宋体" w:eastAsia="宋体" w:cs="宋体"/>
          <w:b/>
          <w:bCs/>
          <w:i/>
          <w:sz w:val="21"/>
          <w:szCs w:val="21"/>
          <w:u w:val="single"/>
        </w:rPr>
        <w:t xml:space="preserve">斜体且有下划线部分</w:t>
      </w:r>
      <w:r>
        <w:rPr>
          <w:rFonts w:hint="eastAsia" w:ascii="宋体" w:hAnsi="宋体" w:eastAsia="宋体" w:cs="宋体"/>
          <w:b/>
          <w:bCs/>
          <w:sz w:val="21"/>
          <w:szCs w:val="21"/>
        </w:rPr>
        <w:t xml:space="preserve">或加*号条款）</w:t>
      </w:r>
      <w:r>
        <w:rPr>
          <w:rFonts w:hint="eastAsia" w:ascii="宋体" w:hAnsi="宋体" w:eastAsia="宋体" w:cs="宋体"/>
          <w:sz w:val="21"/>
          <w:szCs w:val="21"/>
          <w:lang w:val="en-US" w:eastAsia="zh-CN"/>
        </w:rPr>
        <w:t xml:space="preserve">的则无需提供</w:t>
      </w:r>
      <w:r>
        <w:rPr>
          <w:rFonts w:hint="eastAsia" w:ascii="宋体" w:hAnsi="宋体" w:cs="宋体"/>
          <w:sz w:val="21"/>
          <w:szCs w:val="21"/>
          <w:lang w:val="en-US" w:eastAsia="zh-CN"/>
        </w:rPr>
        <w:t xml:space="preserve">此表格</w:t>
      </w:r>
      <w:r>
        <w:rPr>
          <w:rFonts w:hint="eastAsia" w:ascii="宋体" w:hAnsi="宋体" w:eastAsia="宋体" w:cs="宋体"/>
          <w:sz w:val="21"/>
          <w:szCs w:val="21"/>
          <w:lang w:val="en-US" w:eastAsia="zh-CN"/>
        </w:rPr>
        <w:t xml:space="preserve">。</w:t>
      </w:r>
      <w:r/>
    </w:p>
    <w:p>
      <w:pPr>
        <w:spacing w:line="400" w:lineRule="exact"/>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.如果招标文件要求提供证明材料，投标人必须将证明材料列于该表之下。</w:t>
      </w:r>
      <w:r/>
    </w:p>
    <w:p>
      <w:pPr>
        <w:spacing w:line="400" w:lineRule="exact"/>
        <w:rPr>
          <w:rFonts w:hint="eastAsia" w:ascii="宋体" w:hAnsi="宋体" w:eastAsia="宋体" w:cs="宋体"/>
          <w:sz w:val="21"/>
          <w:szCs w:val="21"/>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both"/>
        <w:rPr>
          <w:rFonts w:hint="eastAsia" w:ascii="宋体" w:hAnsi="宋体" w:cs="宋体"/>
          <w:b/>
          <w:sz w:val="21"/>
          <w:szCs w:val="21"/>
          <w:lang w:val="en-US" w:eastAsia="zh-CN"/>
        </w:rPr>
      </w:pPr>
      <w:r>
        <w:rPr>
          <w:rFonts w:hint="eastAsia" w:ascii="宋体" w:hAnsi="宋体" w:eastAsia="宋体" w:cs="宋体"/>
          <w:b/>
          <w:sz w:val="21"/>
          <w:szCs w:val="21"/>
        </w:rPr>
        <w:t xml:space="preserve">附件1</w:t>
      </w:r>
      <w:r>
        <w:rPr>
          <w:rFonts w:hint="eastAsia" w:ascii="宋体" w:hAnsi="宋体" w:cs="宋体"/>
          <w:b/>
          <w:sz w:val="21"/>
          <w:szCs w:val="21"/>
          <w:lang w:val="en-US" w:eastAsia="zh-CN"/>
        </w:rPr>
        <w:t xml:space="preserve">2：</w:t>
      </w:r>
      <w:r/>
    </w:p>
    <w:p>
      <w:pPr>
        <w:ind w:firstLine="2741"/>
        <w:jc w:val="both"/>
        <w:rPr>
          <w:rFonts w:hint="eastAsia" w:ascii="宋体" w:hAnsi="宋体" w:cs="宋体"/>
          <w:b/>
          <w:sz w:val="21"/>
          <w:szCs w:val="21"/>
          <w:lang w:val="en-US" w:eastAsia="zh-CN"/>
        </w:rPr>
      </w:pPr>
      <w:r>
        <w:rPr>
          <w:rFonts w:hint="eastAsia" w:ascii="宋体" w:hAnsi="宋体" w:cs="宋体"/>
          <w:b/>
          <w:sz w:val="21"/>
          <w:szCs w:val="21"/>
          <w:lang w:val="en-US" w:eastAsia="zh-CN"/>
        </w:rPr>
      </w:r>
      <w:r/>
    </w:p>
    <w:p>
      <w:pPr>
        <w:ind w:firstLine="2741"/>
        <w:jc w:val="both"/>
        <w:rPr>
          <w:rFonts w:hint="eastAsia" w:ascii="宋体" w:hAnsi="宋体" w:eastAsia="宋体" w:cs="宋体"/>
          <w:sz w:val="21"/>
          <w:szCs w:val="21"/>
        </w:rPr>
      </w:pPr>
      <w:r>
        <w:rPr>
          <w:rFonts w:hint="eastAsia" w:ascii="宋体" w:hAnsi="宋体" w:eastAsia="宋体" w:cs="宋体"/>
          <w:b/>
          <w:sz w:val="21"/>
          <w:szCs w:val="21"/>
        </w:rPr>
        <w:t xml:space="preserve">  关于符合本国产品标准的声明函</w:t>
      </w:r>
      <w:r/>
    </w:p>
    <w:p>
      <w:pPr>
        <w:pStyle w:val="825"/>
        <w:ind w:firstLine="420"/>
        <w:spacing w:before="0" w:beforeAutospacing="0" w:after="0" w:afterAutospacing="0" w:line="0" w:lineRule="atLeast"/>
        <w:rPr>
          <w:rFonts w:hint="eastAsia" w:ascii="宋体" w:hAnsi="宋体" w:eastAsia="宋体" w:cs="宋体"/>
          <w:sz w:val="21"/>
          <w:szCs w:val="21"/>
        </w:rPr>
      </w:pPr>
      <w:r>
        <w:rPr>
          <w:rFonts w:hint="eastAsia" w:ascii="宋体" w:hAnsi="宋体" w:eastAsia="宋体" w:cs="宋体"/>
          <w:sz w:val="21"/>
          <w:szCs w:val="21"/>
        </w:rPr>
      </w:r>
      <w:r/>
    </w:p>
    <w:p>
      <w:pPr>
        <w:pStyle w:val="825"/>
        <w:ind w:firstLine="420"/>
        <w:spacing w:before="0" w:beforeAutospacing="0" w:after="0" w:afterAutospacing="0" w:line="0" w:lineRule="atLeast"/>
        <w:rPr>
          <w:rFonts w:hint="eastAsia" w:ascii="宋体" w:hAnsi="宋体" w:eastAsia="宋体" w:cs="宋体"/>
          <w:sz w:val="21"/>
          <w:szCs w:val="21"/>
        </w:rPr>
      </w:pPr>
      <w:r>
        <w:rPr>
          <w:rFonts w:hint="eastAsia" w:ascii="宋体" w:hAnsi="宋体" w:eastAsia="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5"/>
        <w:ind w:firstLine="42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w:t>
      </w:r>
      <w:r>
        <w:rPr>
          <w:rStyle w:val="833"/>
          <w:rFonts w:hint="eastAsia" w:ascii="宋体" w:hAnsi="宋体" w:eastAsia="宋体" w:cs="宋体"/>
          <w:i w:val="0"/>
          <w:sz w:val="21"/>
          <w:szCs w:val="21"/>
          <w:u w:val="single"/>
          <w:shd w:val="clear" w:color="auto" w:fill="ffffff"/>
        </w:rPr>
        <w:t xml:space="preserve">（产品名称1）</w:t>
      </w:r>
      <w:r>
        <w:rPr>
          <w:rStyle w:val="833"/>
          <w:rFonts w:hint="eastAsia" w:ascii="宋体" w:hAnsi="宋体" w:eastAsia="宋体" w:cs="宋体"/>
          <w:i w:val="0"/>
          <w:sz w:val="21"/>
          <w:szCs w:val="21"/>
          <w:shd w:val="clear" w:color="auto" w:fill="ffffff"/>
          <w:vertAlign w:val="superscript"/>
        </w:rPr>
        <w:t xml:space="preserve">1</w:t>
      </w:r>
      <w:r>
        <w:rPr>
          <w:rFonts w:hint="eastAsia" w:ascii="宋体" w:hAnsi="宋体" w:eastAsia="宋体" w:cs="宋体"/>
          <w:sz w:val="21"/>
          <w:szCs w:val="21"/>
          <w:shd w:val="clear" w:color="auto" w:fill="ffffff"/>
        </w:rPr>
        <w:t xml:space="preserve">，生产厂为</w:t>
      </w:r>
      <w:r>
        <w:rPr>
          <w:rStyle w:val="833"/>
          <w:rFonts w:hint="eastAsia" w:ascii="宋体" w:hAnsi="宋体" w:eastAsia="宋体" w:cs="宋体"/>
          <w:i w:val="0"/>
          <w:sz w:val="21"/>
          <w:szCs w:val="21"/>
          <w:u w:val="single"/>
          <w:shd w:val="clear" w:color="auto" w:fill="ffffff"/>
        </w:rPr>
        <w:t xml:space="preserve">（厂名）</w:t>
      </w:r>
      <w:r>
        <w:rPr>
          <w:rStyle w:val="833"/>
          <w:rFonts w:hint="eastAsia" w:ascii="宋体" w:hAnsi="宋体" w:eastAsia="宋体" w:cs="宋体"/>
          <w:i w:val="0"/>
          <w:sz w:val="21"/>
          <w:szCs w:val="21"/>
          <w:shd w:val="clear" w:color="auto" w:fill="ffffff"/>
          <w:vertAlign w:val="superscript"/>
        </w:rPr>
        <w:t xml:space="preserve">2</w:t>
      </w:r>
      <w:r>
        <w:rPr>
          <w:rFonts w:hint="eastAsia" w:ascii="宋体" w:hAnsi="宋体" w:eastAsia="宋体" w:cs="宋体"/>
          <w:sz w:val="21"/>
          <w:szCs w:val="21"/>
          <w:shd w:val="clear" w:color="auto" w:fill="ffffff"/>
        </w:rPr>
        <w:t xml:space="preserve">，厂址为</w:t>
      </w:r>
      <w:r>
        <w:rPr>
          <w:rStyle w:val="833"/>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833"/>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的中国境内生产的组件成本占比≥</w:t>
      </w:r>
      <w:r>
        <w:rPr>
          <w:rFonts w:hint="eastAsia" w:ascii="宋体" w:hAnsi="宋体" w:eastAsia="宋体" w:cs="宋体"/>
          <w:sz w:val="21"/>
          <w:szCs w:val="21"/>
          <w:u w:val="single"/>
          <w:shd w:val="clear" w:color="auto" w:fill="ffffff"/>
        </w:rPr>
        <w:t xml:space="preserve">  </w:t>
      </w:r>
      <w:r>
        <w:rPr>
          <w:rStyle w:val="833"/>
          <w:rFonts w:hint="eastAsia" w:ascii="宋体" w:hAnsi="宋体" w:eastAsia="宋体" w:cs="宋体"/>
          <w:i w:val="0"/>
          <w:sz w:val="21"/>
          <w:szCs w:val="21"/>
          <w:u w:val="single"/>
          <w:shd w:val="clear" w:color="auto" w:fill="ffffff"/>
        </w:rPr>
        <w:t xml:space="preserve">/  </w:t>
      </w:r>
      <w:r>
        <w:rPr>
          <w:rStyle w:val="833"/>
          <w:rFonts w:hint="eastAsia" w:ascii="宋体" w:hAnsi="宋体" w:eastAsia="宋体" w:cs="宋体"/>
          <w:i w:val="0"/>
          <w:sz w:val="21"/>
          <w:szCs w:val="21"/>
          <w:shd w:val="clear" w:color="auto" w:fill="ffffff"/>
          <w:vertAlign w:val="superscript"/>
        </w:rPr>
        <w:t xml:space="preserve">3</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833"/>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833"/>
          <w:rFonts w:hint="eastAsia" w:ascii="宋体" w:hAnsi="宋体" w:eastAsia="宋体" w:cs="宋体"/>
          <w:i w:val="0"/>
          <w:sz w:val="21"/>
          <w:szCs w:val="21"/>
          <w:u w:val="single"/>
          <w:shd w:val="clear" w:color="auto" w:fill="ffffff"/>
        </w:rPr>
        <w:t xml:space="preserve">/  </w:t>
      </w:r>
      <w:r>
        <w:rPr>
          <w:rStyle w:val="833"/>
          <w:rFonts w:hint="eastAsia" w:ascii="宋体" w:hAnsi="宋体" w:eastAsia="宋体" w:cs="宋体"/>
          <w:i w:val="0"/>
          <w:sz w:val="21"/>
          <w:szCs w:val="21"/>
          <w:shd w:val="clear" w:color="auto" w:fill="ffffff"/>
          <w:vertAlign w:val="superscript"/>
        </w:rPr>
        <w:t xml:space="preserve">4</w:t>
      </w:r>
      <w:r>
        <w:rPr>
          <w:rFonts w:hint="eastAsia" w:ascii="宋体" w:hAnsi="宋体" w:eastAsia="宋体" w:cs="宋体"/>
          <w:sz w:val="21"/>
          <w:szCs w:val="21"/>
          <w:shd w:val="clear" w:color="auto" w:fill="ffffff"/>
        </w:rPr>
        <w:t xml:space="preserve">在中国境内生产。</w:t>
      </w:r>
      <w:r>
        <w:rPr>
          <w:rFonts w:hint="eastAsia" w:ascii="宋体" w:hAnsi="宋体" w:eastAsia="宋体" w:cs="宋体"/>
          <w:sz w:val="21"/>
          <w:szCs w:val="21"/>
          <w:u w:val="single"/>
          <w:shd w:val="clear" w:color="auto" w:fill="ffffff"/>
        </w:rPr>
        <w:t xml:space="preserve">  </w:t>
      </w:r>
      <w:r>
        <w:rPr>
          <w:rStyle w:val="833"/>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833"/>
          <w:rFonts w:hint="eastAsia" w:ascii="宋体" w:hAnsi="宋体" w:eastAsia="宋体" w:cs="宋体"/>
          <w:i w:val="0"/>
          <w:sz w:val="21"/>
          <w:szCs w:val="21"/>
          <w:u w:val="single"/>
          <w:shd w:val="clear" w:color="auto" w:fill="ffffff"/>
        </w:rPr>
        <w:t xml:space="preserve">/  </w:t>
      </w:r>
      <w:r>
        <w:rPr>
          <w:rStyle w:val="833"/>
          <w:rFonts w:hint="eastAsia" w:ascii="宋体" w:hAnsi="宋体" w:eastAsia="宋体" w:cs="宋体"/>
          <w:i w:val="0"/>
          <w:sz w:val="21"/>
          <w:szCs w:val="21"/>
          <w:shd w:val="clear" w:color="auto" w:fill="ffffff"/>
          <w:vertAlign w:val="superscript"/>
        </w:rPr>
        <w:t xml:space="preserve">5</w:t>
      </w:r>
      <w:r>
        <w:rPr>
          <w:rFonts w:hint="eastAsia" w:ascii="宋体" w:hAnsi="宋体" w:eastAsia="宋体" w:cs="宋体"/>
          <w:sz w:val="21"/>
          <w:szCs w:val="21"/>
          <w:shd w:val="clear" w:color="auto" w:fill="ffffff"/>
        </w:rPr>
        <w:t xml:space="preserve">在中国境内完成。</w:t>
      </w:r>
      <w:r/>
    </w:p>
    <w:p>
      <w:pPr>
        <w:pStyle w:val="825"/>
        <w:ind w:firstLine="42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2.</w:t>
      </w:r>
      <w:r>
        <w:rPr>
          <w:rStyle w:val="833"/>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，生产厂为</w:t>
      </w:r>
      <w:r>
        <w:rPr>
          <w:rStyle w:val="833"/>
          <w:rFonts w:hint="eastAsia" w:ascii="宋体" w:hAnsi="宋体" w:eastAsia="宋体" w:cs="宋体"/>
          <w:i w:val="0"/>
          <w:sz w:val="21"/>
          <w:szCs w:val="21"/>
          <w:u w:val="single"/>
          <w:shd w:val="clear" w:color="auto" w:fill="ffffff"/>
        </w:rPr>
        <w:t xml:space="preserve">（厂名）</w:t>
      </w:r>
      <w:r>
        <w:rPr>
          <w:rFonts w:hint="eastAsia" w:ascii="宋体" w:hAnsi="宋体" w:eastAsia="宋体" w:cs="宋体"/>
          <w:sz w:val="21"/>
          <w:szCs w:val="21"/>
          <w:shd w:val="clear" w:color="auto" w:fill="ffffff"/>
        </w:rPr>
        <w:t xml:space="preserve">，厂址为</w:t>
      </w:r>
      <w:r>
        <w:rPr>
          <w:rStyle w:val="833"/>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833"/>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的中国境内生产的组件成本占比≥</w:t>
      </w:r>
      <w:r>
        <w:rPr>
          <w:rFonts w:hint="eastAsia" w:ascii="宋体" w:hAnsi="宋体" w:eastAsia="宋体" w:cs="宋体"/>
          <w:sz w:val="21"/>
          <w:szCs w:val="21"/>
          <w:u w:val="single"/>
          <w:shd w:val="clear" w:color="auto" w:fill="ffffff"/>
        </w:rPr>
        <w:t xml:space="preserve">  </w:t>
      </w:r>
      <w:r>
        <w:rPr>
          <w:rStyle w:val="833"/>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833"/>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833"/>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在中国境内生产。</w:t>
      </w:r>
      <w:r>
        <w:rPr>
          <w:rFonts w:hint="eastAsia" w:ascii="宋体" w:hAnsi="宋体" w:eastAsia="宋体" w:cs="宋体"/>
          <w:sz w:val="21"/>
          <w:szCs w:val="21"/>
          <w:u w:val="single"/>
          <w:shd w:val="clear" w:color="auto" w:fill="ffffff"/>
        </w:rPr>
        <w:t xml:space="preserve">  </w:t>
      </w:r>
      <w:r>
        <w:rPr>
          <w:rStyle w:val="833"/>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833"/>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在中国境内完成。</w:t>
      </w:r>
      <w:r/>
    </w:p>
    <w:p>
      <w:pPr>
        <w:pStyle w:val="825"/>
        <w:ind w:firstLine="42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w:t>
      </w:r>
      <w:r/>
    </w:p>
    <w:p>
      <w:pPr>
        <w:pStyle w:val="825"/>
        <w:ind w:firstLine="42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本公司（单位）对上述声明内容的真实性负责。如有虚假，愿承担相应法律责任。</w:t>
      </w:r>
      <w:r/>
    </w:p>
    <w:p>
      <w:pPr>
        <w:pStyle w:val="825"/>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rPr>
      </w:r>
      <w:r/>
    </w:p>
    <w:p>
      <w:pPr>
        <w:pStyle w:val="825"/>
        <w:jc w:val="right"/>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   公司（单位）名称（加盖CA电子公章）：　        </w:t>
      </w:r>
      <w:r/>
    </w:p>
    <w:p>
      <w:pPr>
        <w:pStyle w:val="825"/>
        <w:jc w:val="center"/>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     日期：</w:t>
      </w:r>
      <w:r>
        <w:rPr>
          <w:rFonts w:hint="eastAsia" w:ascii="宋体" w:hAnsi="宋体" w:eastAsia="宋体" w:cs="宋体"/>
          <w:color w:val="000000"/>
          <w:sz w:val="21"/>
          <w:szCs w:val="21"/>
        </w:rPr>
        <w:t xml:space="preserve">___年____月____日</w:t>
      </w:r>
      <w:r>
        <w:rPr>
          <w:rFonts w:hint="eastAsia" w:ascii="宋体" w:hAnsi="宋体" w:eastAsia="宋体" w:cs="宋体"/>
          <w:sz w:val="21"/>
          <w:szCs w:val="21"/>
          <w:shd w:val="clear" w:color="auto" w:fill="ffffff"/>
        </w:rPr>
        <w:t xml:space="preserve">        </w:t>
      </w:r>
      <w:r/>
    </w:p>
    <w:p>
      <w:pPr>
        <w:pStyle w:val="825"/>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__________________</w:t>
      </w:r>
      <w:r/>
    </w:p>
    <w:p>
      <w:pPr>
        <w:pStyle w:val="825"/>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1.产品如有型号，请在“产品名称”栏一并填写。</w:t>
      </w:r>
      <w:r/>
    </w:p>
    <w:p>
      <w:pPr>
        <w:pStyle w:val="825"/>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2.生产厂名与厂址应与生产厂营业执照载明的相关信息保持一致。</w:t>
      </w:r>
      <w:r/>
    </w:p>
    <w:p>
      <w:pPr>
        <w:pStyle w:val="825"/>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3.该产品的中国境内生产的组件成本占比相关要求实施前，“规定比例”栏可不填，下同。</w:t>
      </w:r>
      <w:r/>
    </w:p>
    <w:p>
      <w:pPr>
        <w:pStyle w:val="825"/>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4.该产品的关键组件要求实施前，“关键组件”栏可不填，下同。</w:t>
      </w:r>
      <w:r/>
    </w:p>
    <w:p>
      <w:pPr>
        <w:pStyle w:val="825"/>
        <w:spacing w:before="30" w:beforeAutospacing="0" w:after="30" w:afterAutospacing="0" w:line="0" w:lineRule="atLeas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5.该产品的关键工序要求实施前，“关键工序”栏可不填，下同。</w:t>
      </w:r>
      <w:r/>
    </w:p>
    <w:p>
      <w:pPr>
        <w:pStyle w:val="825"/>
        <w:spacing w:before="30" w:beforeAutospacing="0" w:after="30" w:afterAutospacing="0" w:line="0" w:lineRule="atLeas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6.《声明函》中标注“</w:t>
      </w:r>
      <w:r>
        <w:rPr>
          <w:rFonts w:hint="eastAsia" w:ascii="宋体" w:hAnsi="宋体" w:eastAsia="宋体" w:cs="宋体"/>
          <w:sz w:val="21"/>
          <w:szCs w:val="21"/>
          <w:u w:val="single"/>
          <w:shd w:val="clear" w:color="auto" w:fill="ffffff"/>
        </w:rPr>
        <w:t xml:space="preserve">  </w:t>
      </w:r>
      <w:r>
        <w:rPr>
          <w:rStyle w:val="833"/>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”的地方无需填写。</w:t>
      </w:r>
      <w:r/>
    </w:p>
    <w:p>
      <w:pPr>
        <w:rPr>
          <w:rFonts w:hint="default" w:ascii="Times New Roman" w:hAnsi="Times New Roman" w:cs="Times New Roman"/>
          <w:b/>
          <w:bCs/>
          <w:color w:val="000000" w:themeColor="text1"/>
          <w:highlight w:val="none"/>
          <w14:textFill>
            <w14:solidFill>
              <w14:schemeClr w14:val="tx1"/>
            </w14:solidFill>
          </w14:textFill>
        </w:rPr>
      </w:pPr>
      <w:r/>
      <w:bookmarkStart w:id="210" w:name="_Toc139360250"/>
      <w:r>
        <w:rPr>
          <w:rFonts w:hint="default" w:ascii="Times New Roman" w:hAnsi="Times New Roman" w:cs="Times New Roman"/>
          <w:b/>
          <w:bCs/>
          <w:color w:val="000000" w:themeColor="text1"/>
          <w:highlight w:val="none"/>
          <w14:textFill>
            <w14:solidFill>
              <w14:schemeClr w14:val="tx1"/>
            </w14:solidFill>
          </w14:textFill>
        </w:rPr>
        <w:br w:type="page" w:clear="all"/>
      </w:r>
      <w:r/>
    </w:p>
    <w:p>
      <w:pPr>
        <w:jc w:val="left"/>
        <w:spacing w:line="360" w:lineRule="auto"/>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附件1</w:t>
      </w:r>
      <w:r>
        <w:rPr>
          <w:rFonts w:hint="eastAsia" w:ascii="Times New Roman" w:hAnsi="Times New Roman" w:cs="Times New Roman"/>
          <w:b/>
          <w:bCs/>
          <w:color w:val="000000" w:themeColor="text1"/>
          <w:highlight w:val="none"/>
          <w:lang w:val="en-US" w:eastAsia="zh-CN"/>
          <w14:textFill>
            <w14:solidFill>
              <w14:schemeClr w14:val="tx1"/>
            </w14:solidFill>
          </w14:textFill>
        </w:rPr>
        <w:t xml:space="preserve">3</w:t>
      </w:r>
      <w:r>
        <w:rPr>
          <w:rFonts w:hint="default" w:ascii="Times New Roman" w:hAnsi="Times New Roman" w:cs="Times New Roman"/>
          <w:b/>
          <w:bCs/>
          <w:color w:val="000000" w:themeColor="text1"/>
          <w:highlight w:val="none"/>
          <w14:textFill>
            <w14:solidFill>
              <w14:schemeClr w14:val="tx1"/>
            </w14:solidFill>
          </w14:textFill>
        </w:rPr>
        <w:t xml:space="preserve">：</w:t>
      </w:r>
      <w:bookmarkEnd w:id="210"/>
      <w:r>
        <w:rPr>
          <w:rFonts w:hint="default" w:ascii="Times New Roman" w:hAnsi="Times New Roman" w:cs="Times New Roman"/>
          <w:b/>
          <w:color w:val="000000" w:themeColor="text1"/>
          <w:highlight w:val="none"/>
          <w14:textFill>
            <w14:solidFill>
              <w14:schemeClr w14:val="tx1"/>
            </w14:solidFill>
          </w14:textFill>
        </w:rPr>
        <w:t xml:space="preserve">南京市政府采购供应商信用记录表暨信用承诺书（须从系统下载后打印并签字盖章提供原件）</w:t>
      </w:r>
      <w:r/>
    </w:p>
    <w:p>
      <w:pPr>
        <w:jc w:val="center"/>
        <w:widowControl/>
        <w:rPr>
          <w:rFonts w:hint="default" w:ascii="Times New Roman" w:hAnsi="Times New Roman" w:cs="Times New Roman"/>
          <w:b/>
          <w:bCs/>
          <w:color w:val="000000" w:themeColor="text1"/>
          <w:sz w:val="36"/>
          <w:szCs w:val="36"/>
          <w:highlight w:val="none"/>
          <w14:textFill>
            <w14:solidFill>
              <w14:schemeClr w14:val="tx1"/>
            </w14:solidFill>
          </w14:textFill>
        </w:rPr>
      </w:pPr>
      <w:r>
        <w:rPr>
          <w:rFonts w:hint="default" w:ascii="Times New Roman" w:hAnsi="Times New Roman" w:cs="Times New Roman"/>
          <w:b/>
          <w:bCs/>
          <w:color w:val="000000" w:themeColor="text1"/>
          <w:sz w:val="36"/>
          <w:szCs w:val="36"/>
          <w:highlight w:val="none"/>
          <w14:textFill>
            <w14:solidFill>
              <w14:schemeClr w14:val="tx1"/>
            </w14:solidFill>
          </w14:textFill>
        </w:rPr>
      </w:r>
      <w:r/>
    </w:p>
    <w:p>
      <w:pPr>
        <w:jc w:val="center"/>
        <w:widowControl/>
        <w:rPr>
          <w:rFonts w:hint="default" w:ascii="Times New Roman" w:hAnsi="Times New Roman" w:cs="Times New Roman"/>
          <w:b/>
          <w:bCs/>
          <w:color w:val="000000" w:themeColor="text1"/>
          <w:sz w:val="36"/>
          <w:szCs w:val="36"/>
          <w:highlight w:val="none"/>
          <w14:textFill>
            <w14:solidFill>
              <w14:schemeClr w14:val="tx1"/>
            </w14:solidFill>
          </w14:textFill>
        </w:rPr>
      </w:pPr>
      <w:r>
        <w:rPr>
          <w:rFonts w:hint="default" w:ascii="Times New Roman" w:hAnsi="Times New Roman" w:cs="Times New Roman"/>
          <w:b/>
          <w:bCs/>
          <w:color w:val="000000" w:themeColor="text1"/>
          <w:sz w:val="36"/>
          <w:szCs w:val="36"/>
          <w:highlight w:val="none"/>
          <w14:textFill>
            <w14:solidFill>
              <w14:schemeClr w14:val="tx1"/>
            </w14:solidFill>
          </w14:textFill>
        </w:rPr>
        <w:t xml:space="preserve">南京市政府采购供应商信用记录表暨信用承诺书</w:t>
      </w:r>
      <w:r/>
    </w:p>
    <w:p>
      <w:pPr>
        <w:ind w:left="40" w:firstLine="482"/>
        <w:jc w:val="right"/>
        <w:keepLines w:val="0"/>
        <w:keepNext w:val="0"/>
        <w:pageBreakBefore w:val="0"/>
        <w:spacing w:line="380" w:lineRule="exact"/>
        <w:widowControl/>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20   年  月   日</w:t>
      </w:r>
      <w:r/>
    </w:p>
    <w:tbl>
      <w:tblPr>
        <w:tblStyle w:val="795"/>
        <w:tblW w:w="920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721"/>
        <w:gridCol w:w="2205"/>
        <w:gridCol w:w="2048"/>
        <w:gridCol w:w="3230"/>
      </w:tblGrid>
      <w:tr>
        <w:trPr>
          <w:jc w:val="center"/>
          <w:trHeight w:val="510"/>
        </w:trPr>
        <w:tc>
          <w:tcPr>
            <w:tcW w:w="1721" w:type="dxa"/>
            <w:vAlign w:val="center"/>
            <w:textDirection w:val="lrTb"/>
            <w:noWrap w:val="false"/>
          </w:tcPr>
          <w:p>
            <w:pPr>
              <w:jc w:val="center"/>
              <w:widowControl/>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单位名称</w:t>
            </w:r>
            <w:r/>
          </w:p>
        </w:tc>
        <w:tc>
          <w:tcPr>
            <w:tcW w:w="2205" w:type="dxa"/>
            <w:vAlign w:val="center"/>
            <w:textDirection w:val="lrTb"/>
            <w:noWrap w:val="false"/>
          </w:tcPr>
          <w:p>
            <w:pPr>
              <w:jc w:val="center"/>
              <w:widowControl/>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tc>
        <w:tc>
          <w:tcPr>
            <w:tcW w:w="2048" w:type="dxa"/>
            <w:vAlign w:val="center"/>
            <w:textDirection w:val="lrTb"/>
            <w:noWrap w:val="false"/>
          </w:tcPr>
          <w:p>
            <w:pPr>
              <w:jc w:val="center"/>
              <w:widowControl/>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统一社会信用代码</w:t>
            </w:r>
            <w:r/>
          </w:p>
        </w:tc>
        <w:tc>
          <w:tcPr>
            <w:tcW w:w="3230" w:type="dxa"/>
            <w:vAlign w:val="center"/>
            <w:textDirection w:val="lrTb"/>
            <w:noWrap w:val="false"/>
          </w:tcPr>
          <w:p>
            <w:pPr>
              <w:widowControl/>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tc>
      </w:tr>
      <w:tr>
        <w:trPr>
          <w:jc w:val="center"/>
          <w:trHeight w:val="510"/>
        </w:trPr>
        <w:tc>
          <w:tcPr>
            <w:tcW w:w="1721" w:type="dxa"/>
            <w:vAlign w:val="center"/>
            <w:textDirection w:val="lrTb"/>
            <w:noWrap w:val="false"/>
          </w:tcPr>
          <w:p>
            <w:pPr>
              <w:jc w:val="center"/>
              <w:widowControl/>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法定代表人</w:t>
            </w:r>
            <w:r/>
          </w:p>
        </w:tc>
        <w:tc>
          <w:tcPr>
            <w:tcW w:w="2205" w:type="dxa"/>
            <w:vAlign w:val="center"/>
            <w:textDirection w:val="lrTb"/>
            <w:noWrap w:val="false"/>
          </w:tcPr>
          <w:p>
            <w:pPr>
              <w:jc w:val="center"/>
              <w:widowControl/>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tc>
        <w:tc>
          <w:tcPr>
            <w:tcW w:w="2048" w:type="dxa"/>
            <w:vAlign w:val="center"/>
            <w:textDirection w:val="lrTb"/>
            <w:noWrap w:val="false"/>
          </w:tcPr>
          <w:p>
            <w:pPr>
              <w:jc w:val="center"/>
              <w:widowControl/>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联系人</w:t>
            </w:r>
            <w:r/>
          </w:p>
        </w:tc>
        <w:tc>
          <w:tcPr>
            <w:tcW w:w="3230" w:type="dxa"/>
            <w:vAlign w:val="center"/>
            <w:textDirection w:val="lrTb"/>
            <w:noWrap w:val="false"/>
          </w:tcPr>
          <w:p>
            <w:pPr>
              <w:widowControl/>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tc>
      </w:tr>
      <w:tr>
        <w:trPr>
          <w:jc w:val="center"/>
          <w:trHeight w:val="510"/>
        </w:trPr>
        <w:tc>
          <w:tcPr>
            <w:tcW w:w="1721" w:type="dxa"/>
            <w:vAlign w:val="center"/>
            <w:textDirection w:val="lrTb"/>
            <w:noWrap w:val="false"/>
          </w:tcPr>
          <w:p>
            <w:pPr>
              <w:jc w:val="center"/>
              <w:widowControl/>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联系地址</w:t>
            </w:r>
            <w:r/>
          </w:p>
        </w:tc>
        <w:tc>
          <w:tcPr>
            <w:tcW w:w="2205" w:type="dxa"/>
            <w:vAlign w:val="center"/>
            <w:textDirection w:val="lrTb"/>
            <w:noWrap w:val="false"/>
          </w:tcPr>
          <w:p>
            <w:pPr>
              <w:jc w:val="center"/>
              <w:widowControl/>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tc>
        <w:tc>
          <w:tcPr>
            <w:tcW w:w="2048" w:type="dxa"/>
            <w:vAlign w:val="center"/>
            <w:textDirection w:val="lrTb"/>
            <w:noWrap w:val="false"/>
          </w:tcPr>
          <w:p>
            <w:pPr>
              <w:jc w:val="center"/>
              <w:widowControl/>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联系电话</w:t>
            </w:r>
            <w:r/>
          </w:p>
        </w:tc>
        <w:tc>
          <w:tcPr>
            <w:tcW w:w="3230" w:type="dxa"/>
            <w:vAlign w:val="center"/>
            <w:textDirection w:val="lrTb"/>
            <w:noWrap w:val="false"/>
          </w:tcPr>
          <w:p>
            <w:pPr>
              <w:widowControl/>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tc>
      </w:tr>
      <w:tr>
        <w:trPr>
          <w:jc w:val="center"/>
          <w:trHeight w:val="1710"/>
        </w:trPr>
        <w:tc>
          <w:tcPr>
            <w:tcW w:w="1721" w:type="dxa"/>
            <w:vAlign w:val="center"/>
            <w:textDirection w:val="lrTb"/>
            <w:noWrap w:val="false"/>
          </w:tcPr>
          <w:p>
            <w:pPr>
              <w:widowControl/>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诚信档案记录情况</w:t>
            </w:r>
            <w:r/>
          </w:p>
        </w:tc>
        <w:tc>
          <w:tcPr>
            <w:gridSpan w:val="3"/>
            <w:tcW w:w="7483" w:type="dxa"/>
            <w:vAlign w:val="center"/>
            <w:textDirection w:val="lrTb"/>
            <w:noWrap w:val="false"/>
          </w:tcPr>
          <w:p>
            <w:pPr>
              <w:widowControl/>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tc>
      </w:tr>
      <w:tr>
        <w:trPr>
          <w:jc w:val="center"/>
          <w:trHeight w:val="4575"/>
        </w:trPr>
        <w:tc>
          <w:tcPr>
            <w:tcW w:w="1721" w:type="dxa"/>
            <w:vAlign w:val="center"/>
            <w:vMerge w:val="restart"/>
            <w:textDirection w:val="lrTb"/>
            <w:noWrap w:val="false"/>
          </w:tcPr>
          <w:p>
            <w:pPr>
              <w:jc w:val="center"/>
              <w:widowControl/>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信用承诺</w:t>
            </w:r>
            <w:r/>
          </w:p>
        </w:tc>
        <w:tc>
          <w:tcPr>
            <w:gridSpan w:val="3"/>
            <w:tcW w:w="7483" w:type="dxa"/>
            <w:vAlign w:val="center"/>
            <w:textDirection w:val="lrTb"/>
            <w:noWrap w:val="false"/>
          </w:tcPr>
          <w:p>
            <w:pPr>
              <w:ind w:left="40" w:firstLine="482"/>
              <w:keepLines w:val="0"/>
              <w:keepNext w:val="0"/>
              <w:pageBreakBefore w:val="0"/>
              <w:spacing w:line="380" w:lineRule="exact"/>
              <w:widowControl/>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我公司自愿参加贵中心（公司）组织的本次采购活动，严格遵守《中华人民共和国政府采购法》及相关</w:t>
            </w:r>
            <w:r>
              <w:rPr>
                <w:rFonts w:hint="default" w:ascii="Times New Roman" w:hAnsi="Times New Roman" w:cs="Times New Roman"/>
                <w:color w:val="000000" w:themeColor="text1"/>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tc>
      </w:tr>
      <w:tr>
        <w:trPr>
          <w:jc w:val="center"/>
          <w:trHeight w:val="1945"/>
        </w:trPr>
        <w:tc>
          <w:tcPr>
            <w:tcW w:w="1721" w:type="dxa"/>
            <w:vAlign w:val="center"/>
            <w:vMerge w:val="continue"/>
            <w:textDirection w:val="lrTb"/>
            <w:noWrap w:val="false"/>
          </w:tcPr>
          <w:p>
            <w:pPr>
              <w:widowControl/>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tc>
        <w:tc>
          <w:tcPr>
            <w:gridSpan w:val="3"/>
            <w:tcW w:w="7483" w:type="dxa"/>
            <w:vAlign w:val="center"/>
            <w:textDirection w:val="lrTb"/>
            <w:noWrap w:val="false"/>
          </w:tcPr>
          <w:p>
            <w:pPr>
              <w:ind w:left="3780"/>
              <w:widowControl/>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供应商名称（盖章）∶</w:t>
            </w:r>
            <w:r/>
          </w:p>
          <w:p>
            <w:pPr>
              <w:ind w:left="3780"/>
              <w:widowControl/>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法定代表人（签字）∶</w:t>
            </w:r>
            <w:r/>
          </w:p>
          <w:p>
            <w:pPr>
              <w:ind w:left="3780"/>
              <w:widowControl/>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二O  年  月  日</w:t>
            </w:r>
            <w:r/>
          </w:p>
        </w:tc>
      </w:tr>
    </w:tbl>
    <w:p>
      <w:pPr>
        <w:pStyle w:val="825"/>
        <w:spacing w:before="30" w:beforeAutospacing="0" w:after="30" w:afterAutospacing="0" w:line="0" w:lineRule="atLeas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206"/>
      <w:r/>
    </w:p>
    <w:p>
      <w:pPr>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质疑函范本</w:t>
      </w:r>
      <w:r/>
    </w:p>
    <w:p>
      <w:pPr>
        <w:spacing w:before="312"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一、质疑供应商基本信息</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质疑供应商：</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授权代表：</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二、质疑项目基本情况</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质疑项目的名称：</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包号：</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采购人名称：</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采购文件获取日期：</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三、质疑事项具体内容</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质疑事项1：</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事实依据：</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法律依据：</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质疑事项2</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四、与质疑事项相关的质疑请求</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请求：</w:t>
      </w:r>
      <w:r>
        <w:rPr>
          <w:rFonts w:hint="eastAsia" w:ascii="宋体" w:hAnsi="宋体" w:eastAsia="宋体" w:cs="宋体"/>
          <w:color w:val="000000"/>
          <w:sz w:val="21"/>
          <w:szCs w:val="21"/>
          <w:u w:val="single"/>
        </w:rPr>
        <w:t xml:space="preserve">                                                                     </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签字(签章)：                   公章：                      </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w:t>
      </w:r>
      <w:r/>
    </w:p>
    <w:p>
      <w:pP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质疑函制作说明：</w:t>
      </w:r>
      <w:r/>
    </w:p>
    <w:p>
      <w:p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1.供应商提出质疑时，应提交质疑函和必要的证明材料。</w:t>
      </w:r>
      <w:r/>
    </w:p>
    <w:p>
      <w:p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2.质疑供应商若委托代理人进行质疑的，质疑函应按要求列明“授权代表”的有关内容，并在附件中提交由质疑</w:t>
      </w:r>
      <w:r>
        <w:rPr>
          <w:rFonts w:hint="eastAsia" w:ascii="宋体" w:hAnsi="宋体" w:eastAsia="宋体" w:cs="宋体"/>
          <w:color w:val="000000"/>
          <w:sz w:val="21"/>
          <w:szCs w:val="21"/>
        </w:rPr>
        <w:t xml:space="preserve">供应商签署的授权委托书。授权委托书应载明代理人的姓名或者名称、代理事项、具体权限、期限和相关事项。</w:t>
      </w:r>
      <w:r/>
    </w:p>
    <w:p>
      <w:p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3.质疑供应商若对项目的某一采购包进行质疑，质疑函中应列明具体采购包号。</w:t>
      </w:r>
      <w:r/>
    </w:p>
    <w:p>
      <w:p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4.质疑函的质疑事项应具体、明确，并有必要的事实依据和法律依据。</w:t>
      </w:r>
      <w:r/>
    </w:p>
    <w:p>
      <w:p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5.质疑函的质疑请求应与质疑事项相关。</w:t>
      </w:r>
      <w:r/>
    </w:p>
    <w:p>
      <w:p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widowControl/>
        <w:rPr>
          <w:b/>
          <w:bCs/>
          <w:color w:val="000000" w:themeColor="text1"/>
          <w14:textFill>
            <w14:solidFill>
              <w14:schemeClr w14:val="tx1"/>
            </w14:solidFill>
          </w14:textFill>
        </w:rPr>
      </w:pPr>
      <w:r>
        <w:rPr>
          <w:b/>
          <w:bCs/>
          <w:color w:val="000000" w:themeColor="text1"/>
          <w14:textFill>
            <w14:solidFill>
              <w14:schemeClr w14:val="tx1"/>
            </w14:solidFill>
          </w14:textFill>
        </w:rPr>
      </w:r>
      <w:r/>
    </w:p>
    <w:sectPr>
      <w:footerReference w:type="default" r:id="rId13"/>
      <w:footerReference w:type="first" r:id="rId14"/>
      <w:footnotePr/>
      <w:endnotePr/>
      <w:type w:val="nextPage"/>
      <w:pgSz w:w="11906" w:h="16838" w:orient="portrait"/>
      <w:pgMar w:top="1418" w:right="1588" w:bottom="1418" w:left="1365" w:header="851" w:footer="907" w:gutter="0"/>
      <w:pgBorders w:display="allPages" w:offsetFrom="page" w:zOrder="front">
        <w:bottom w:color="auto" w:space="1" w:sz="4" w:val="single"/>
        <w:left w:color="auto" w:space="1" w:sz="4" w:val="single"/>
        <w:right w:color="auto" w:space="1" w:sz="4" w:val="single"/>
        <w:top w:color="auto" w:space="1" w:sz="4" w:val="single"/>
      </w:pgBorders>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隶书">
    <w:panose1 w:val="02010509060101010101"/>
  </w:font>
  <w:font w:name="仿宋">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rPr>
                              <w:rStyle w:val="831"/>
                              <w:rFonts w:eastAsia="仿宋"/>
                              <w:spacing w:val="-30"/>
                              <w:sz w:val="21"/>
                              <w:szCs w:val="21"/>
                            </w:rPr>
                          </w:pPr>
                          <w:r>
                            <w:rPr>
                              <w:rFonts w:eastAsia="仿宋"/>
                              <w:spacing w:val="-30"/>
                              <w:sz w:val="21"/>
                              <w:szCs w:val="21"/>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rPr>
                        <w:rStyle w:val="831"/>
                        <w:rFonts w:eastAsia="仿宋"/>
                        <w:spacing w:val="-30"/>
                        <w:sz w:val="21"/>
                        <w:szCs w:val="21"/>
                      </w:rPr>
                    </w:pPr>
                    <w:r>
                      <w:rPr>
                        <w:rFonts w:eastAsia="仿宋"/>
                        <w:spacing w:val="-30"/>
                        <w:sz w:val="21"/>
                        <w:szCs w:val="21"/>
                      </w:rPr>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rPr>
        <w:rStyle w:val="831"/>
      </w:rPr>
      <w:framePr w:wrap="around" w:vAnchor="text" w:hAnchor="margin" w:xAlign="center" w:y="1"/>
    </w:pPr>
    <w:r>
      <w:fldChar w:fldCharType="begin"/>
    </w:r>
    <w:r>
      <w:rPr>
        <w:rStyle w:val="831"/>
      </w:rPr>
      <w:instrText xml:space="preserve">PAGE  </w:instrText>
    </w:r>
    <w:r>
      <w:fldChar w:fldCharType="separate"/>
    </w:r>
    <w:r>
      <w:rPr>
        <w:rStyle w:val="831"/>
      </w:rPr>
      <w:t xml:space="preserve">1</w:t>
    </w:r>
    <w:r>
      <w:fldChar w:fldCharType="end"/>
    </w:r>
    <w:r/>
  </w:p>
  <w:p>
    <w:pPr>
      <w:pStyle w:val="8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2815590</wp:posOffset>
              </wp:positionH>
              <wp:positionV relativeFrom="paragraph">
                <wp:posOffset>-19050</wp:posOffset>
              </wp:positionV>
              <wp:extent cx="272415" cy="178435"/>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72415" cy="1784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rPr>
                              <w:rStyle w:val="831"/>
                              <w:rFonts w:eastAsia="仿宋"/>
                              <w:spacing w:val="-30"/>
                              <w:sz w:val="21"/>
                              <w:szCs w:val="21"/>
                            </w:rPr>
                          </w:pPr>
                          <w:r>
                            <w:rPr>
                              <w:rFonts w:eastAsia="仿宋"/>
                              <w:spacing w:val="-30"/>
                              <w:sz w:val="21"/>
                              <w:szCs w:val="21"/>
                            </w:rPr>
                            <w:fldChar w:fldCharType="begin"/>
                          </w:r>
                          <w:r>
                            <w:rPr>
                              <w:rStyle w:val="831"/>
                              <w:rFonts w:eastAsia="仿宋"/>
                              <w:spacing w:val="-30"/>
                              <w:sz w:val="21"/>
                              <w:szCs w:val="21"/>
                            </w:rPr>
                            <w:instrText xml:space="preserve">PAGE  </w:instrText>
                          </w:r>
                          <w:r>
                            <w:rPr>
                              <w:rFonts w:eastAsia="仿宋"/>
                              <w:spacing w:val="-30"/>
                              <w:sz w:val="21"/>
                              <w:szCs w:val="21"/>
                            </w:rPr>
                            <w:fldChar w:fldCharType="separate"/>
                          </w:r>
                          <w:r>
                            <w:rPr>
                              <w:rStyle w:val="831"/>
                              <w:rFonts w:eastAsia="仿宋"/>
                              <w:spacing w:val="-30"/>
                              <w:sz w:val="21"/>
                              <w:szCs w:val="21"/>
                            </w:rPr>
                            <w:t xml:space="preserve">4</w:t>
                          </w:r>
                          <w:r>
                            <w:rPr>
                              <w:rFonts w:eastAsia="仿宋"/>
                              <w:spacing w:val="-30"/>
                              <w:sz w:val="21"/>
                              <w:szCs w:val="21"/>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1312;o:allowoverlap:true;o:allowincell:true;mso-position-horizontal-relative:margin;margin-left:221.7pt;mso-position-horizontal:absolute;mso-position-vertical-relative:text;margin-top:-1.5pt;mso-position-vertical:absolute;width:21.4pt;height:14.0pt;mso-wrap-distance-left:9.0pt;mso-wrap-distance-top:0.0pt;mso-wrap-distance-right:9.0pt;mso-wrap-distance-bottom:0.0pt;v-text-anchor:top;visibility:visible;" filled="f" stroked="f" strokeweight="0.50pt">
              <v:textbox inset="0,0,0,0">
                <w:txbxContent>
                  <w:p>
                    <w:pPr>
                      <w:pStyle w:val="814"/>
                      <w:rPr>
                        <w:rStyle w:val="831"/>
                        <w:rFonts w:eastAsia="仿宋"/>
                        <w:spacing w:val="-30"/>
                        <w:sz w:val="21"/>
                        <w:szCs w:val="21"/>
                      </w:rPr>
                    </w:pPr>
                    <w:r>
                      <w:rPr>
                        <w:rFonts w:eastAsia="仿宋"/>
                        <w:spacing w:val="-30"/>
                        <w:sz w:val="21"/>
                        <w:szCs w:val="21"/>
                      </w:rPr>
                      <w:fldChar w:fldCharType="begin"/>
                    </w:r>
                    <w:r>
                      <w:rPr>
                        <w:rStyle w:val="831"/>
                        <w:rFonts w:eastAsia="仿宋"/>
                        <w:spacing w:val="-30"/>
                        <w:sz w:val="21"/>
                        <w:szCs w:val="21"/>
                      </w:rPr>
                      <w:instrText xml:space="preserve">PAGE  </w:instrText>
                    </w:r>
                    <w:r>
                      <w:rPr>
                        <w:rFonts w:eastAsia="仿宋"/>
                        <w:spacing w:val="-30"/>
                        <w:sz w:val="21"/>
                        <w:szCs w:val="21"/>
                      </w:rPr>
                      <w:fldChar w:fldCharType="separate"/>
                    </w:r>
                    <w:r>
                      <w:rPr>
                        <w:rStyle w:val="831"/>
                        <w:rFonts w:eastAsia="仿宋"/>
                        <w:spacing w:val="-30"/>
                        <w:sz w:val="21"/>
                        <w:szCs w:val="21"/>
                      </w:rPr>
                      <w:t xml:space="preserve">4</w:t>
                    </w:r>
                    <w:r>
                      <w:rPr>
                        <w:rFonts w:eastAsia="仿宋"/>
                        <w:spacing w:val="-30"/>
                        <w:sz w:val="21"/>
                        <w:szCs w:val="21"/>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right"/>
      <w:spacing w:line="220" w:lineRule="exact"/>
      <w:rPr>
        <w:rFonts w:ascii="华文楷体" w:hAnsi="华文楷体" w:eastAsia="华文楷体"/>
      </w:rPr>
    </w:pPr>
    <w:r>
      <w:rPr>
        <w:rFonts w:ascii="华文楷体" w:hAnsi="华文楷体" w:eastAsia="华文楷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-8890</wp:posOffset>
              </wp:positionH>
              <wp:positionV relativeFrom="paragraph">
                <wp:posOffset>19685</wp:posOffset>
              </wp:positionV>
              <wp:extent cx="1915160" cy="278130"/>
              <wp:effectExtent l="0" t="0" r="8890" b="7620"/>
              <wp:wrapSquare wrapText="bothSides"/>
              <wp:docPr id="1"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0" descr="公司logo.jpg"/>
                      <pic:cNvPicPr>
                        <a:picLocks noChangeAspect="1"/>
                      </pic:cNvPicPr>
                      <pic:nvPr/>
                    </pic:nvPicPr>
                    <pic:blipFill>
                      <a:blip r:embed="rId1"/>
                      <a:stretch/>
                    </pic:blipFill>
                    <pic:spPr bwMode="auto">
                      <a:xfrm>
                        <a:off x="0" y="0"/>
                        <a:ext cx="1915160" cy="27813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true;mso-position-horizontal-relative:text;margin-left:-0.7pt;mso-position-horizontal:absolute;mso-position-vertical-relative:text;margin-top:1.5pt;mso-position-vertical:absolute;width:150.8pt;height:21.9pt;mso-wrap-distance-left:9.0pt;mso-wrap-distance-top:0.0pt;mso-wrap-distance-right:9.0pt;mso-wrap-distance-bottom:0.0pt;" stroked="f" strokeweight="0.75pt">
              <v:path textboxrect="0,0,0,0"/>
              <w10:wrap type="square"/>
              <v:imagedata r:id="rId1" o:title=""/>
            </v:shape>
          </w:pict>
        </mc:Fallback>
      </mc:AlternateContent>
    </w:r>
    <w:r>
      <w:rPr>
        <w:rFonts w:hint="eastAsia" w:ascii="华文楷体" w:hAnsi="华文楷体" w:eastAsia="华文楷体"/>
      </w:rPr>
      <w:t xml:space="preserve">南京市产品质量监督检验研究院</w:t>
    </w:r>
    <w:r/>
  </w:p>
  <w:p>
    <w:pPr>
      <w:pStyle w:val="815"/>
      <w:jc w:val="right"/>
      <w:spacing w:line="220" w:lineRule="exact"/>
      <w:rPr>
        <w:rFonts w:ascii="华文楷体" w:hAnsi="华文楷体" w:eastAsia="华文楷体"/>
      </w:rPr>
    </w:pPr>
    <w:r>
      <w:rPr>
        <w:rFonts w:hint="eastAsia" w:ascii="华文楷体" w:hAnsi="华文楷体" w:eastAsia="华文楷体"/>
      </w:rPr>
      <w:t xml:space="preserve">              </w:t>
    </w:r>
    <w:r>
      <w:rPr>
        <w:rFonts w:hint="eastAsia" w:ascii="华文楷体" w:hAnsi="华文楷体" w:eastAsia="华文楷体"/>
        <w:lang w:eastAsia="zh-CN"/>
      </w:rPr>
      <w:t xml:space="preserve">2026年南京市质检院检验检测设备(二)</w:t>
    </w:r>
    <w:r>
      <w:rPr>
        <w:rFonts w:ascii="华文楷体" w:hAnsi="华文楷体" w:eastAsia="华文楷体"/>
      </w:rPr>
      <w:t xml:space="preserve">项目</w:t>
    </w:r>
    <w:r>
      <w:rPr>
        <w:rFonts w:hint="eastAsia" w:ascii="华文楷体" w:hAnsi="华文楷体" w:eastAsia="华文楷体"/>
      </w:rPr>
      <w:t xml:space="preserve">公开招标文件</w:t>
    </w:r>
    <w:r/>
  </w:p>
  <w:p>
    <w:pPr>
      <w:pStyle w:val="81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right"/>
      <w:spacing w:line="220" w:lineRule="exact"/>
      <w:rPr>
        <w:rFonts w:ascii="华文楷体" w:hAnsi="华文楷体" w:eastAsia="华文楷体"/>
      </w:rPr>
    </w:pPr>
    <w:r>
      <w:rPr>
        <w:rFonts w:ascii="华文楷体" w:hAnsi="华文楷体" w:eastAsia="华文楷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wp:posOffset>
              </wp:positionH>
              <wp:positionV relativeFrom="paragraph">
                <wp:posOffset>19685</wp:posOffset>
              </wp:positionV>
              <wp:extent cx="1915160" cy="278130"/>
              <wp:effectExtent l="19050" t="0" r="8890" b="0"/>
              <wp:wrapSquare wrapText="bothSides"/>
              <wp:docPr id="2"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公司logo.jpg"/>
                      <pic:cNvPicPr>
                        <a:picLocks noChangeAspect="1"/>
                      </pic:cNvPicPr>
                      <pic:nvPr/>
                    </pic:nvPicPr>
                    <pic:blipFill>
                      <a:blip r:embed="rId1"/>
                      <a:stretch/>
                    </pic:blipFill>
                    <pic:spPr bwMode="auto">
                      <a:xfrm>
                        <a:off x="0" y="0"/>
                        <a:ext cx="1915160" cy="27813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7pt;mso-position-horizontal:absolute;mso-position-vertical-relative:text;margin-top:1.5pt;mso-position-vertical:absolute;width:150.8pt;height:21.9pt;mso-wrap-distance-left:9.0pt;mso-wrap-distance-top:0.0pt;mso-wrap-distance-right:9.0pt;mso-wrap-distance-bottom:0.0pt;" stroked="f" strokeweight="0.75pt">
              <v:path textboxrect="0,0,0,0"/>
              <w10:wrap type="square"/>
              <v:imagedata r:id="rId1" o:title=""/>
            </v:shape>
          </w:pict>
        </mc:Fallback>
      </mc:AlternateContent>
    </w:r>
    <w:r>
      <w:rPr>
        <w:rFonts w:hint="eastAsia" w:ascii="华文楷体" w:hAnsi="华文楷体" w:eastAsia="华文楷体"/>
      </w:rPr>
      <w:t xml:space="preserve">南京市产品质量监督检验研究院</w:t>
    </w:r>
    <w:r/>
  </w:p>
  <w:p>
    <w:pPr>
      <w:pStyle w:val="815"/>
      <w:jc w:val="right"/>
      <w:spacing w:line="220" w:lineRule="exact"/>
      <w:rPr>
        <w:rFonts w:ascii="华文楷体" w:hAnsi="华文楷体" w:eastAsia="华文楷体"/>
      </w:rPr>
    </w:pPr>
    <w:r>
      <w:rPr>
        <w:rFonts w:hint="eastAsia" w:ascii="华文楷体" w:hAnsi="华文楷体" w:eastAsia="华文楷体"/>
      </w:rPr>
      <w:t xml:space="preserve">            </w:t>
    </w:r>
    <w:r>
      <w:rPr>
        <w:rFonts w:hint="eastAsia" w:ascii="华文楷体" w:hAnsi="华文楷体" w:eastAsia="华文楷体"/>
        <w:lang w:eastAsia="zh-CN"/>
      </w:rPr>
      <w:t xml:space="preserve">2026年南京市质检院检验检测设备(二)</w:t>
    </w:r>
    <w:r>
      <w:rPr>
        <w:rFonts w:ascii="华文楷体" w:hAnsi="华文楷体" w:eastAsia="华文楷体"/>
      </w:rPr>
      <w:t xml:space="preserve">项目</w:t>
    </w:r>
    <w:r>
      <w:rPr>
        <w:rFonts w:hint="eastAsia" w:ascii="华文楷体" w:hAnsi="华文楷体" w:eastAsia="华文楷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90"/>
      <w:isLgl w:val="false"/>
      <w:suff w:val="nothing"/>
      <w:lvlText w:val=""/>
      <w:lvlJc w:val="left"/>
      <w:pPr>
        <w:ind w:left="0" w:firstLine="0"/>
      </w:pPr>
      <w:rPr>
        <w:rFonts w:hint="eastAsia"/>
      </w:rPr>
    </w:lvl>
    <w:lvl w:ilvl="6">
      <w:start w:val="1"/>
      <w:numFmt w:val="none"/>
      <w:pStyle w:val="791"/>
      <w:isLgl w:val="false"/>
      <w:suff w:val="nothing"/>
      <w:lvlText w:val=""/>
      <w:lvlJc w:val="left"/>
      <w:pPr>
        <w:ind w:left="0" w:firstLine="0"/>
      </w:pPr>
      <w:rPr>
        <w:rFonts w:hint="eastAsia"/>
      </w:rPr>
    </w:lvl>
    <w:lvl w:ilvl="7">
      <w:start w:val="1"/>
      <w:numFmt w:val="none"/>
      <w:pStyle w:val="792"/>
      <w:isLgl w:val="false"/>
      <w:suff w:val="nothing"/>
      <w:lvlText w:val=""/>
      <w:lvlJc w:val="left"/>
      <w:pPr>
        <w:ind w:left="0" w:firstLine="0"/>
      </w:pPr>
      <w:rPr>
        <w:rFonts w:hint="eastAsia"/>
      </w:rPr>
    </w:lvl>
    <w:lvl w:ilvl="8">
      <w:start w:val="1"/>
      <w:numFmt w:val="none"/>
      <w:pStyle w:val="793"/>
      <w:isLgl w:val="false"/>
      <w:suff w:val="nothing"/>
      <w:lvlText w:val=""/>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4"/>
    <w:link w:val="785"/>
    <w:uiPriority w:val="9"/>
    <w:rPr>
      <w:rFonts w:ascii="Arial" w:hAnsi="Arial" w:eastAsia="Arial" w:cs="Arial"/>
      <w:sz w:val="40"/>
      <w:szCs w:val="40"/>
    </w:rPr>
  </w:style>
  <w:style w:type="character" w:styleId="15">
    <w:name w:val="Heading 2 Char"/>
    <w:basedOn w:val="794"/>
    <w:link w:val="786"/>
    <w:uiPriority w:val="9"/>
    <w:rPr>
      <w:rFonts w:ascii="Arial" w:hAnsi="Arial" w:eastAsia="Arial" w:cs="Arial"/>
      <w:sz w:val="34"/>
    </w:rPr>
  </w:style>
  <w:style w:type="character" w:styleId="17">
    <w:name w:val="Heading 3 Char"/>
    <w:basedOn w:val="794"/>
    <w:link w:val="787"/>
    <w:uiPriority w:val="9"/>
    <w:rPr>
      <w:rFonts w:ascii="Arial" w:hAnsi="Arial" w:eastAsia="Arial" w:cs="Arial"/>
      <w:sz w:val="30"/>
      <w:szCs w:val="30"/>
    </w:rPr>
  </w:style>
  <w:style w:type="character" w:styleId="19">
    <w:name w:val="Heading 4 Char"/>
    <w:basedOn w:val="794"/>
    <w:link w:val="788"/>
    <w:uiPriority w:val="9"/>
    <w:rPr>
      <w:rFonts w:ascii="Arial" w:hAnsi="Arial" w:eastAsia="Arial" w:cs="Arial"/>
      <w:b/>
      <w:bCs/>
      <w:sz w:val="26"/>
      <w:szCs w:val="26"/>
    </w:rPr>
  </w:style>
  <w:style w:type="character" w:styleId="21">
    <w:name w:val="Heading 5 Char"/>
    <w:basedOn w:val="794"/>
    <w:link w:val="789"/>
    <w:uiPriority w:val="9"/>
    <w:rPr>
      <w:rFonts w:ascii="Arial" w:hAnsi="Arial" w:eastAsia="Arial" w:cs="Arial"/>
      <w:b/>
      <w:bCs/>
      <w:sz w:val="24"/>
      <w:szCs w:val="24"/>
    </w:rPr>
  </w:style>
  <w:style w:type="character" w:styleId="23">
    <w:name w:val="Heading 6 Char"/>
    <w:basedOn w:val="794"/>
    <w:link w:val="790"/>
    <w:uiPriority w:val="9"/>
    <w:rPr>
      <w:rFonts w:ascii="Arial" w:hAnsi="Arial" w:eastAsia="Arial" w:cs="Arial"/>
      <w:b/>
      <w:bCs/>
      <w:sz w:val="22"/>
      <w:szCs w:val="22"/>
    </w:rPr>
  </w:style>
  <w:style w:type="character" w:styleId="25">
    <w:name w:val="Heading 7 Char"/>
    <w:basedOn w:val="794"/>
    <w:link w:val="791"/>
    <w:uiPriority w:val="9"/>
    <w:rPr>
      <w:rFonts w:ascii="Arial" w:hAnsi="Arial" w:eastAsia="Arial" w:cs="Arial"/>
      <w:b/>
      <w:bCs/>
      <w:i/>
      <w:iCs/>
      <w:sz w:val="22"/>
      <w:szCs w:val="22"/>
    </w:rPr>
  </w:style>
  <w:style w:type="character" w:styleId="27">
    <w:name w:val="Heading 8 Char"/>
    <w:basedOn w:val="794"/>
    <w:link w:val="792"/>
    <w:uiPriority w:val="9"/>
    <w:rPr>
      <w:rFonts w:ascii="Arial" w:hAnsi="Arial" w:eastAsia="Arial" w:cs="Arial"/>
      <w:i/>
      <w:iCs/>
      <w:sz w:val="22"/>
      <w:szCs w:val="22"/>
    </w:rPr>
  </w:style>
  <w:style w:type="character" w:styleId="29">
    <w:name w:val="Heading 9 Char"/>
    <w:basedOn w:val="794"/>
    <w:link w:val="79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84"/>
    <w:next w:val="784"/>
    <w:link w:val="34"/>
    <w:uiPriority w:val="10"/>
    <w:qFormat/>
    <w:pPr>
      <w:contextualSpacing/>
      <w:spacing w:before="300" w:after="200"/>
    </w:pPr>
    <w:rPr>
      <w:sz w:val="48"/>
      <w:szCs w:val="48"/>
    </w:rPr>
  </w:style>
  <w:style w:type="character" w:styleId="34">
    <w:name w:val="Title Char"/>
    <w:basedOn w:val="794"/>
    <w:link w:val="33"/>
    <w:uiPriority w:val="10"/>
    <w:rPr>
      <w:sz w:val="48"/>
      <w:szCs w:val="48"/>
    </w:rPr>
  </w:style>
  <w:style w:type="paragraph" w:styleId="35">
    <w:name w:val="Subtitle"/>
    <w:basedOn w:val="784"/>
    <w:next w:val="784"/>
    <w:link w:val="36"/>
    <w:uiPriority w:val="11"/>
    <w:qFormat/>
    <w:pPr>
      <w:spacing w:before="200" w:after="200"/>
    </w:pPr>
    <w:rPr>
      <w:sz w:val="24"/>
      <w:szCs w:val="24"/>
    </w:rPr>
  </w:style>
  <w:style w:type="character" w:styleId="36">
    <w:name w:val="Subtitle Char"/>
    <w:basedOn w:val="794"/>
    <w:link w:val="35"/>
    <w:uiPriority w:val="11"/>
    <w:rPr>
      <w:sz w:val="24"/>
      <w:szCs w:val="24"/>
    </w:rPr>
  </w:style>
  <w:style w:type="paragraph" w:styleId="37">
    <w:name w:val="Quote"/>
    <w:basedOn w:val="784"/>
    <w:next w:val="784"/>
    <w:link w:val="38"/>
    <w:uiPriority w:val="29"/>
    <w:qFormat/>
    <w:pPr>
      <w:ind w:left="720" w:right="720"/>
    </w:pPr>
    <w:rPr>
      <w:i/>
    </w:rPr>
  </w:style>
  <w:style w:type="character" w:styleId="38">
    <w:name w:val="Quote Char"/>
    <w:link w:val="37"/>
    <w:uiPriority w:val="29"/>
    <w:rPr>
      <w:i/>
    </w:rPr>
  </w:style>
  <w:style w:type="paragraph" w:styleId="39">
    <w:name w:val="Intense Quote"/>
    <w:basedOn w:val="784"/>
    <w:next w:val="7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4"/>
    <w:link w:val="815"/>
    <w:uiPriority w:val="99"/>
  </w:style>
  <w:style w:type="character" w:styleId="44">
    <w:name w:val="Footer Char"/>
    <w:basedOn w:val="794"/>
    <w:link w:val="814"/>
    <w:uiPriority w:val="99"/>
  </w:style>
  <w:style w:type="paragraph" w:styleId="45">
    <w:name w:val="Caption"/>
    <w:basedOn w:val="784"/>
    <w:next w:val="784"/>
    <w:uiPriority w:val="35"/>
    <w:semiHidden/>
    <w:unhideWhenUsed/>
    <w:qFormat/>
    <w:pPr>
      <w:spacing w:line="276" w:lineRule="auto"/>
    </w:pPr>
    <w:rPr>
      <w:b/>
      <w:bCs/>
      <w:color w:val="4f81bd" w:themeColor="accent1"/>
      <w:sz w:val="18"/>
      <w:szCs w:val="18"/>
    </w:rPr>
  </w:style>
  <w:style w:type="character" w:styleId="46">
    <w:name w:val="Caption Char"/>
    <w:basedOn w:val="45"/>
    <w:link w:val="814"/>
    <w:uiPriority w:val="99"/>
  </w:style>
  <w:style w:type="table" w:styleId="48">
    <w:name w:val="Table Grid Light"/>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4"/>
    <w:uiPriority w:val="99"/>
    <w:unhideWhenUsed/>
    <w:rPr>
      <w:vertAlign w:val="superscript"/>
    </w:rPr>
  </w:style>
  <w:style w:type="paragraph" w:styleId="177">
    <w:name w:val="endnote text"/>
    <w:basedOn w:val="7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4"/>
    <w:uiPriority w:val="99"/>
    <w:semiHidden/>
    <w:unhideWhenUsed/>
    <w:rPr>
      <w:vertAlign w:val="superscript"/>
    </w:rPr>
  </w:style>
  <w:style w:type="paragraph" w:styleId="189">
    <w:name w:val="TOC Heading"/>
    <w:uiPriority w:val="39"/>
    <w:unhideWhenUsed/>
  </w:style>
  <w:style w:type="paragraph" w:styleId="78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85">
    <w:name w:val="Heading 1"/>
    <w:basedOn w:val="784"/>
    <w:next w:val="784"/>
    <w:link w:val="836"/>
    <w:uiPriority w:val="99"/>
    <w:qFormat/>
    <w:pPr>
      <w:jc w:val="center"/>
      <w:keepNext/>
      <w:outlineLvl w:val="0"/>
    </w:pPr>
    <w:rPr>
      <w:rFonts w:ascii="楷体_GB2312" w:eastAsia="楷体_GB2312"/>
      <w:sz w:val="28"/>
      <w:szCs w:val="28"/>
    </w:rPr>
  </w:style>
  <w:style w:type="paragraph" w:styleId="786">
    <w:name w:val="Heading 2"/>
    <w:basedOn w:val="784"/>
    <w:next w:val="796"/>
    <w:link w:val="90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87">
    <w:name w:val="Heading 3"/>
    <w:basedOn w:val="784"/>
    <w:next w:val="796"/>
    <w:link w:val="902"/>
    <w:uiPriority w:val="0"/>
    <w:qFormat/>
    <w:pPr>
      <w:keepLines/>
      <w:keepNext/>
      <w:spacing w:before="260" w:after="260" w:line="416" w:lineRule="auto"/>
      <w:outlineLvl w:val="2"/>
    </w:pPr>
    <w:rPr>
      <w:b/>
      <w:bCs/>
      <w:sz w:val="32"/>
      <w:szCs w:val="32"/>
    </w:rPr>
  </w:style>
  <w:style w:type="paragraph" w:styleId="788">
    <w:name w:val="Heading 4"/>
    <w:basedOn w:val="784"/>
    <w:next w:val="784"/>
    <w:link w:val="885"/>
    <w:uiPriority w:val="0"/>
    <w:qFormat/>
    <w:pPr>
      <w:keepLines/>
      <w:keepNext/>
      <w:spacing w:before="280" w:after="290" w:line="376" w:lineRule="auto"/>
      <w:outlineLvl w:val="3"/>
    </w:pPr>
    <w:rPr>
      <w:rFonts w:ascii="Arial" w:hAnsi="Arial" w:eastAsia="黑体" w:cs="Arial"/>
      <w:b/>
      <w:bCs/>
      <w:sz w:val="28"/>
      <w:szCs w:val="28"/>
    </w:rPr>
  </w:style>
  <w:style w:type="paragraph" w:styleId="789">
    <w:name w:val="Heading 5"/>
    <w:basedOn w:val="784"/>
    <w:next w:val="796"/>
    <w:link w:val="894"/>
    <w:uiPriority w:val="0"/>
    <w:qFormat/>
    <w:pPr>
      <w:keepNext/>
      <w:outlineLvl w:val="4"/>
    </w:pPr>
    <w:rPr>
      <w:rFonts w:ascii="宋体"/>
      <w:color w:val="000000"/>
      <w:sz w:val="28"/>
      <w:szCs w:val="28"/>
    </w:rPr>
  </w:style>
  <w:style w:type="paragraph" w:styleId="790">
    <w:name w:val="Heading 6"/>
    <w:basedOn w:val="784"/>
    <w:next w:val="784"/>
    <w:link w:val="89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91">
    <w:name w:val="Heading 7"/>
    <w:basedOn w:val="784"/>
    <w:next w:val="784"/>
    <w:link w:val="884"/>
    <w:uiPriority w:val="0"/>
    <w:qFormat/>
    <w:pPr>
      <w:numPr>
        <w:ilvl w:val="6"/>
        <w:numId w:val="1"/>
      </w:numPr>
      <w:keepLines/>
      <w:keepNext/>
      <w:spacing w:before="240" w:after="64" w:line="320" w:lineRule="auto"/>
      <w:outlineLvl w:val="6"/>
    </w:pPr>
    <w:rPr>
      <w:b/>
      <w:bCs/>
      <w:sz w:val="24"/>
      <w:szCs w:val="24"/>
    </w:rPr>
  </w:style>
  <w:style w:type="paragraph" w:styleId="792">
    <w:name w:val="Heading 8"/>
    <w:basedOn w:val="784"/>
    <w:next w:val="784"/>
    <w:link w:val="90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93">
    <w:name w:val="Heading 9"/>
    <w:basedOn w:val="784"/>
    <w:next w:val="784"/>
    <w:link w:val="900"/>
    <w:uiPriority w:val="0"/>
    <w:qFormat/>
    <w:pPr>
      <w:numPr>
        <w:ilvl w:val="8"/>
        <w:numId w:val="1"/>
      </w:numPr>
      <w:keepLines/>
      <w:keepNext/>
      <w:spacing w:before="240" w:after="64" w:line="320" w:lineRule="auto"/>
      <w:outlineLvl w:val="8"/>
    </w:pPr>
    <w:rPr>
      <w:rFonts w:ascii="Arial" w:hAnsi="Arial" w:eastAsia="黑体"/>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Normal Indent"/>
    <w:basedOn w:val="784"/>
    <w:link w:val="837"/>
    <w:uiPriority w:val="99"/>
    <w:qFormat/>
    <w:pPr>
      <w:ind w:firstLine="420"/>
    </w:pPr>
  </w:style>
  <w:style w:type="paragraph" w:styleId="797">
    <w:name w:val="List 3"/>
    <w:basedOn w:val="784"/>
    <w:uiPriority w:val="0"/>
    <w:qFormat/>
    <w:pPr>
      <w:ind w:left="100" w:hanging="200"/>
    </w:pPr>
  </w:style>
  <w:style w:type="paragraph" w:styleId="798">
    <w:name w:val="toc 7"/>
    <w:basedOn w:val="784"/>
    <w:next w:val="784"/>
    <w:uiPriority w:val="0"/>
    <w:semiHidden/>
    <w:qFormat/>
    <w:pPr>
      <w:ind w:left="1260"/>
      <w:jc w:val="left"/>
    </w:pPr>
  </w:style>
  <w:style w:type="paragraph" w:styleId="799">
    <w:name w:val="Document Map"/>
    <w:basedOn w:val="784"/>
    <w:link w:val="897"/>
    <w:uiPriority w:val="0"/>
    <w:semiHidden/>
    <w:qFormat/>
    <w:pPr>
      <w:shd w:val="clear" w:color="auto" w:fill="000080"/>
    </w:pPr>
  </w:style>
  <w:style w:type="paragraph" w:styleId="800">
    <w:name w:val="annotation text"/>
    <w:basedOn w:val="784"/>
    <w:link w:val="889"/>
    <w:uiPriority w:val="99"/>
    <w:qFormat/>
    <w:pPr>
      <w:jc w:val="left"/>
    </w:pPr>
  </w:style>
  <w:style w:type="paragraph" w:styleId="801">
    <w:name w:val="Body Text 3"/>
    <w:basedOn w:val="784"/>
    <w:link w:val="892"/>
    <w:uiPriority w:val="0"/>
    <w:qFormat/>
    <w:rPr>
      <w:rFonts w:ascii="仿宋_GB2312" w:hAnsi="Arial" w:eastAsia="仿宋_GB2312"/>
      <w:sz w:val="32"/>
      <w:szCs w:val="32"/>
    </w:rPr>
  </w:style>
  <w:style w:type="paragraph" w:styleId="802">
    <w:name w:val="Body Text"/>
    <w:basedOn w:val="784"/>
    <w:next w:val="803"/>
    <w:link w:val="883"/>
    <w:uiPriority w:val="0"/>
    <w:qFormat/>
    <w:rPr>
      <w:rFonts w:ascii="楷体_GB2312" w:hAnsi="Arial" w:eastAsia="楷体_GB2312"/>
      <w:sz w:val="28"/>
      <w:szCs w:val="28"/>
    </w:rPr>
  </w:style>
  <w:style w:type="paragraph" w:styleId="803">
    <w:name w:val="Body Text First Indent"/>
    <w:basedOn w:val="802"/>
    <w:link w:val="886"/>
    <w:uiPriority w:val="0"/>
    <w:qFormat/>
    <w:pPr>
      <w:ind w:firstLine="200"/>
      <w:spacing w:line="360" w:lineRule="auto"/>
    </w:pPr>
    <w:rPr>
      <w:rFonts w:ascii="仿宋_GB2312" w:eastAsia="仿宋_GB2312"/>
      <w:sz w:val="30"/>
      <w:szCs w:val="30"/>
    </w:rPr>
  </w:style>
  <w:style w:type="paragraph" w:styleId="804">
    <w:name w:val="Body Text Indent"/>
    <w:basedOn w:val="784"/>
    <w:next w:val="805"/>
    <w:link w:val="895"/>
    <w:uiPriority w:val="0"/>
    <w:qFormat/>
    <w:pPr>
      <w:ind w:firstLine="645"/>
    </w:pPr>
    <w:rPr>
      <w:rFonts w:ascii="楷体_GB2312" w:eastAsia="楷体_GB2312"/>
      <w:sz w:val="32"/>
      <w:szCs w:val="32"/>
    </w:rPr>
  </w:style>
  <w:style w:type="paragraph" w:styleId="805">
    <w:name w:val="envelope return"/>
    <w:basedOn w:val="784"/>
    <w:uiPriority w:val="99"/>
    <w:qFormat/>
    <w:rPr>
      <w:rFonts w:ascii="Arial" w:hAnsi="Arial"/>
    </w:rPr>
  </w:style>
  <w:style w:type="paragraph" w:styleId="806">
    <w:name w:val="List 2"/>
    <w:basedOn w:val="784"/>
    <w:uiPriority w:val="0"/>
    <w:qFormat/>
    <w:pPr>
      <w:ind w:left="100" w:hanging="200"/>
    </w:pPr>
  </w:style>
  <w:style w:type="paragraph" w:styleId="807">
    <w:name w:val="toc 5"/>
    <w:basedOn w:val="784"/>
    <w:next w:val="784"/>
    <w:uiPriority w:val="0"/>
    <w:semiHidden/>
    <w:qFormat/>
    <w:pPr>
      <w:ind w:left="840"/>
      <w:jc w:val="left"/>
    </w:pPr>
  </w:style>
  <w:style w:type="paragraph" w:styleId="808">
    <w:name w:val="toc 3"/>
    <w:basedOn w:val="784"/>
    <w:next w:val="784"/>
    <w:uiPriority w:val="0"/>
    <w:semiHidden/>
    <w:qFormat/>
    <w:pPr>
      <w:ind w:left="420"/>
      <w:jc w:val="left"/>
    </w:pPr>
    <w:rPr>
      <w:i/>
      <w:iCs/>
      <w:szCs w:val="24"/>
    </w:rPr>
  </w:style>
  <w:style w:type="paragraph" w:styleId="809">
    <w:name w:val="Plain Text"/>
    <w:basedOn w:val="784"/>
    <w:link w:val="838"/>
    <w:uiPriority w:val="0"/>
    <w:qFormat/>
    <w:rPr>
      <w:rFonts w:ascii="宋体" w:hAnsi="Courier New" w:cs="Courier New"/>
    </w:rPr>
  </w:style>
  <w:style w:type="paragraph" w:styleId="810">
    <w:name w:val="toc 8"/>
    <w:basedOn w:val="784"/>
    <w:next w:val="784"/>
    <w:uiPriority w:val="0"/>
    <w:semiHidden/>
    <w:qFormat/>
    <w:pPr>
      <w:ind w:left="1470"/>
      <w:jc w:val="left"/>
    </w:pPr>
  </w:style>
  <w:style w:type="paragraph" w:styleId="811">
    <w:name w:val="Date"/>
    <w:basedOn w:val="784"/>
    <w:next w:val="784"/>
    <w:link w:val="896"/>
    <w:uiPriority w:val="0"/>
    <w:qFormat/>
    <w:rPr>
      <w:sz w:val="24"/>
      <w:szCs w:val="24"/>
    </w:rPr>
  </w:style>
  <w:style w:type="paragraph" w:styleId="812">
    <w:name w:val="Body Text Indent 2"/>
    <w:basedOn w:val="784"/>
    <w:link w:val="899"/>
    <w:uiPriority w:val="0"/>
    <w:qFormat/>
    <w:pPr>
      <w:ind w:left="630" w:firstLine="645"/>
    </w:pPr>
    <w:rPr>
      <w:rFonts w:ascii="Arial" w:hAnsi="Arial" w:eastAsia="仿宋_GB2312" w:cs="Arial"/>
      <w:sz w:val="32"/>
      <w:szCs w:val="32"/>
    </w:rPr>
  </w:style>
  <w:style w:type="paragraph" w:styleId="813">
    <w:name w:val="Balloon Text"/>
    <w:basedOn w:val="784"/>
    <w:link w:val="891"/>
    <w:uiPriority w:val="0"/>
    <w:semiHidden/>
    <w:qFormat/>
    <w:rPr>
      <w:sz w:val="18"/>
      <w:szCs w:val="18"/>
    </w:rPr>
  </w:style>
  <w:style w:type="paragraph" w:styleId="814">
    <w:name w:val="Footer"/>
    <w:basedOn w:val="784"/>
    <w:link w:val="893"/>
    <w:uiPriority w:val="0"/>
    <w:qFormat/>
    <w:pPr>
      <w:jc w:val="left"/>
      <w:tabs>
        <w:tab w:val="center" w:pos="4153" w:leader="none"/>
        <w:tab w:val="right" w:pos="8306" w:leader="none"/>
      </w:tabs>
    </w:pPr>
    <w:rPr>
      <w:sz w:val="18"/>
      <w:szCs w:val="18"/>
    </w:rPr>
  </w:style>
  <w:style w:type="paragraph" w:styleId="815">
    <w:name w:val="Header"/>
    <w:basedOn w:val="784"/>
    <w:link w:val="887"/>
    <w:uiPriority w:val="0"/>
    <w:qFormat/>
    <w:pPr>
      <w:jc w:val="center"/>
      <w:tabs>
        <w:tab w:val="center" w:pos="4153" w:leader="none"/>
        <w:tab w:val="right" w:pos="8306" w:leader="none"/>
      </w:tabs>
      <w:pBdr>
        <w:bottom w:val="single" w:color="auto" w:sz="6" w:space="1"/>
      </w:pBdr>
    </w:pPr>
    <w:rPr>
      <w:sz w:val="18"/>
      <w:szCs w:val="18"/>
    </w:rPr>
  </w:style>
  <w:style w:type="paragraph" w:styleId="816">
    <w:name w:val="toc 1"/>
    <w:basedOn w:val="784"/>
    <w:next w:val="784"/>
    <w:uiPriority w:val="0"/>
    <w:semiHidden/>
    <w:qFormat/>
    <w:pPr>
      <w:jc w:val="left"/>
      <w:spacing w:before="120" w:after="120" w:line="400" w:lineRule="exact"/>
      <w:tabs>
        <w:tab w:val="right" w:pos="8720" w:leader="dot"/>
      </w:tabs>
    </w:pPr>
    <w:rPr>
      <w:rFonts w:ascii="宋体" w:hAnsi="宋体"/>
      <w:caps/>
      <w:sz w:val="24"/>
      <w:szCs w:val="24"/>
    </w:rPr>
  </w:style>
  <w:style w:type="paragraph" w:styleId="817">
    <w:name w:val="toc 4"/>
    <w:basedOn w:val="784"/>
    <w:next w:val="784"/>
    <w:uiPriority w:val="0"/>
    <w:semiHidden/>
    <w:qFormat/>
    <w:pPr>
      <w:ind w:left="630"/>
      <w:jc w:val="left"/>
    </w:pPr>
  </w:style>
  <w:style w:type="paragraph" w:styleId="818">
    <w:name w:val="List"/>
    <w:basedOn w:val="784"/>
    <w:uiPriority w:val="0"/>
    <w:qFormat/>
    <w:pPr>
      <w:ind w:left="200" w:hanging="200"/>
    </w:pPr>
  </w:style>
  <w:style w:type="paragraph" w:styleId="819">
    <w:name w:val="toc 6"/>
    <w:basedOn w:val="784"/>
    <w:next w:val="784"/>
    <w:uiPriority w:val="0"/>
    <w:semiHidden/>
    <w:qFormat/>
    <w:pPr>
      <w:ind w:left="1050"/>
      <w:jc w:val="left"/>
    </w:pPr>
  </w:style>
  <w:style w:type="paragraph" w:styleId="820">
    <w:name w:val="Body Text Indent 3"/>
    <w:basedOn w:val="784"/>
    <w:link w:val="901"/>
    <w:uiPriority w:val="0"/>
    <w:qFormat/>
    <w:pPr>
      <w:ind w:left="645" w:firstLine="645"/>
    </w:pPr>
    <w:rPr>
      <w:rFonts w:ascii="Arial" w:hAnsi="Arial" w:eastAsia="仿宋_GB2312" w:cs="Arial"/>
      <w:color w:val="ffff00"/>
      <w:sz w:val="32"/>
      <w:szCs w:val="32"/>
    </w:rPr>
  </w:style>
  <w:style w:type="paragraph" w:styleId="821">
    <w:name w:val="table of figures"/>
    <w:basedOn w:val="784"/>
    <w:next w:val="784"/>
    <w:uiPriority w:val="0"/>
    <w:semiHidden/>
    <w:qFormat/>
    <w:pPr>
      <w:ind w:left="840" w:hanging="420"/>
    </w:pPr>
  </w:style>
  <w:style w:type="paragraph" w:styleId="822">
    <w:name w:val="toc 2"/>
    <w:basedOn w:val="784"/>
    <w:next w:val="784"/>
    <w:uiPriority w:val="0"/>
    <w:semiHidden/>
    <w:qFormat/>
    <w:pPr>
      <w:ind w:left="210"/>
      <w:jc w:val="left"/>
    </w:pPr>
    <w:rPr>
      <w:smallCaps/>
      <w:szCs w:val="24"/>
    </w:rPr>
  </w:style>
  <w:style w:type="paragraph" w:styleId="823">
    <w:name w:val="toc 9"/>
    <w:basedOn w:val="784"/>
    <w:next w:val="784"/>
    <w:uiPriority w:val="0"/>
    <w:semiHidden/>
    <w:qFormat/>
    <w:pPr>
      <w:ind w:left="1680"/>
      <w:jc w:val="left"/>
    </w:pPr>
  </w:style>
  <w:style w:type="paragraph" w:styleId="824">
    <w:name w:val="Body Text 2"/>
    <w:basedOn w:val="784"/>
    <w:link w:val="882"/>
    <w:uiPriority w:val="0"/>
    <w:qFormat/>
    <w:pPr>
      <w:jc w:val="center"/>
      <w:widowControl/>
    </w:pPr>
    <w:rPr>
      <w:rFonts w:ascii="楷体_GB2312" w:eastAsia="楷体_GB2312"/>
      <w:sz w:val="28"/>
      <w:szCs w:val="28"/>
    </w:rPr>
  </w:style>
  <w:style w:type="paragraph" w:styleId="825">
    <w:name w:val="Normal (Web)"/>
    <w:basedOn w:val="784"/>
    <w:uiPriority w:val="99"/>
    <w:qFormat/>
    <w:pPr>
      <w:jc w:val="left"/>
      <w:spacing w:before="100" w:beforeAutospacing="1" w:after="100" w:afterAutospacing="1"/>
      <w:widowControl/>
    </w:pPr>
    <w:rPr>
      <w:rFonts w:ascii="宋体" w:hAnsi="宋体" w:cs="宋体"/>
      <w:sz w:val="24"/>
      <w:szCs w:val="24"/>
    </w:rPr>
  </w:style>
  <w:style w:type="paragraph" w:styleId="826">
    <w:name w:val="index 1"/>
    <w:basedOn w:val="784"/>
    <w:next w:val="784"/>
    <w:uiPriority w:val="0"/>
    <w:semiHidden/>
    <w:qFormat/>
    <w:pPr>
      <w:spacing w:line="240" w:lineRule="atLeast"/>
    </w:pPr>
    <w:rPr>
      <w:b/>
      <w:bCs/>
    </w:rPr>
  </w:style>
  <w:style w:type="paragraph" w:styleId="827">
    <w:name w:val="annotation subject"/>
    <w:basedOn w:val="800"/>
    <w:next w:val="800"/>
    <w:link w:val="888"/>
    <w:uiPriority w:val="0"/>
    <w:semiHidden/>
    <w:qFormat/>
    <w:rPr>
      <w:b/>
      <w:bCs/>
    </w:rPr>
  </w:style>
  <w:style w:type="paragraph" w:styleId="828">
    <w:name w:val="Body Text First Indent 2"/>
    <w:basedOn w:val="804"/>
    <w:link w:val="898"/>
    <w:uiPriority w:val="0"/>
    <w:qFormat/>
    <w:pPr>
      <w:ind w:firstLine="420"/>
      <w:spacing w:line="360" w:lineRule="auto"/>
    </w:pPr>
    <w:rPr>
      <w:rFonts w:ascii="宋体" w:hAnsi="宋体" w:eastAsia="宋体"/>
      <w:sz w:val="21"/>
      <w:szCs w:val="20"/>
    </w:rPr>
  </w:style>
  <w:style w:type="table" w:styleId="829">
    <w:name w:val="Table Grid"/>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0">
    <w:name w:val="Strong"/>
    <w:uiPriority w:val="0"/>
    <w:qFormat/>
    <w:rPr>
      <w:b/>
      <w:bCs/>
    </w:rPr>
  </w:style>
  <w:style w:type="character" w:styleId="831">
    <w:name w:val="page number"/>
    <w:basedOn w:val="794"/>
    <w:uiPriority w:val="0"/>
    <w:qFormat/>
  </w:style>
  <w:style w:type="character" w:styleId="832">
    <w:name w:val="FollowedHyperlink"/>
    <w:uiPriority w:val="99"/>
    <w:qFormat/>
    <w:rPr>
      <w:color w:val="800080"/>
      <w:u w:val="single"/>
    </w:rPr>
  </w:style>
  <w:style w:type="character" w:styleId="833">
    <w:name w:val="Emphasis"/>
    <w:basedOn w:val="794"/>
    <w:uiPriority w:val="0"/>
    <w:qFormat/>
    <w:rPr>
      <w:color w:val="cc0000"/>
    </w:rPr>
  </w:style>
  <w:style w:type="character" w:styleId="834">
    <w:name w:val="Hyperlink"/>
    <w:uiPriority w:val="99"/>
    <w:qFormat/>
    <w:rPr>
      <w:color w:val="0000ff"/>
      <w:u w:val="single"/>
    </w:rPr>
  </w:style>
  <w:style w:type="character" w:styleId="835">
    <w:name w:val="annotation reference"/>
    <w:uiPriority w:val="0"/>
    <w:semiHidden/>
    <w:qFormat/>
    <w:rPr>
      <w:sz w:val="21"/>
      <w:szCs w:val="21"/>
    </w:rPr>
  </w:style>
  <w:style w:type="character" w:styleId="836" w:customStyle="1">
    <w:name w:val="标题 1 字符"/>
    <w:basedOn w:val="794"/>
    <w:link w:val="785"/>
    <w:uiPriority w:val="99"/>
    <w:qFormat/>
    <w:rPr>
      <w:rFonts w:ascii="楷体_GB2312" w:eastAsia="楷体_GB2312"/>
      <w:sz w:val="28"/>
      <w:szCs w:val="28"/>
    </w:rPr>
  </w:style>
  <w:style w:type="character" w:styleId="837" w:customStyle="1">
    <w:name w:val="正文缩进 字符"/>
    <w:link w:val="796"/>
    <w:uiPriority w:val="99"/>
    <w:qFormat/>
    <w:rPr>
      <w:sz w:val="21"/>
      <w:szCs w:val="21"/>
    </w:rPr>
  </w:style>
  <w:style w:type="character" w:styleId="838" w:customStyle="1">
    <w:name w:val="纯文本 字符"/>
    <w:basedOn w:val="794"/>
    <w:link w:val="809"/>
    <w:uiPriority w:val="0"/>
    <w:qFormat/>
    <w:rPr>
      <w:rFonts w:ascii="宋体" w:hAnsi="Courier New" w:cs="Courier New"/>
      <w:sz w:val="21"/>
      <w:szCs w:val="21"/>
    </w:rPr>
  </w:style>
  <w:style w:type="character" w:styleId="839" w:customStyle="1">
    <w:name w:val="font5 Char"/>
    <w:uiPriority w:val="0"/>
    <w:qFormat/>
    <w:rPr>
      <w:rFonts w:ascii="宋体" w:hAnsi="宋体" w:eastAsia="宋体"/>
      <w:sz w:val="28"/>
      <w:szCs w:val="28"/>
      <w:lang w:val="en-US" w:eastAsia="zh-CN" w:bidi="ar-SA"/>
    </w:rPr>
  </w:style>
  <w:style w:type="character" w:styleId="840" w:customStyle="1">
    <w:name w:val="二级目录 Char"/>
    <w:link w:val="841"/>
    <w:uiPriority w:val="0"/>
    <w:qFormat/>
    <w:rPr>
      <w:b/>
      <w:sz w:val="30"/>
      <w:szCs w:val="28"/>
    </w:rPr>
  </w:style>
  <w:style w:type="paragraph" w:styleId="841" w:customStyle="1">
    <w:name w:val="二级目录"/>
    <w:next w:val="784"/>
    <w:link w:val="840"/>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842" w:customStyle="1">
    <w:name w:val="列出段落 Char"/>
    <w:link w:val="843"/>
    <w:uiPriority w:val="0"/>
    <w:qFormat/>
    <w:rPr>
      <w:rFonts w:ascii="Calibri" w:hAnsi="Calibri"/>
      <w:sz w:val="24"/>
      <w:szCs w:val="24"/>
      <w:lang w:eastAsia="en-US" w:bidi="en-US"/>
    </w:rPr>
  </w:style>
  <w:style w:type="paragraph" w:styleId="843" w:customStyle="1">
    <w:name w:val="列出段落1"/>
    <w:basedOn w:val="784"/>
    <w:link w:val="842"/>
    <w:uiPriority w:val="0"/>
    <w:qFormat/>
    <w:pPr>
      <w:contextualSpacing/>
      <w:ind w:left="720"/>
      <w:jc w:val="left"/>
      <w:widowControl/>
    </w:pPr>
    <w:rPr>
      <w:rFonts w:ascii="Calibri" w:hAnsi="Calibri"/>
      <w:sz w:val="24"/>
      <w:szCs w:val="24"/>
      <w:lang w:eastAsia="en-US" w:bidi="en-US"/>
    </w:rPr>
  </w:style>
  <w:style w:type="paragraph" w:styleId="844" w:customStyle="1">
    <w:name w:val="Char Char Char Char Char Char Char Char Char Char"/>
    <w:basedOn w:val="784"/>
    <w:uiPriority w:val="0"/>
    <w:qFormat/>
    <w:pPr>
      <w:spacing w:line="360" w:lineRule="auto"/>
    </w:pPr>
    <w:rPr>
      <w:sz w:val="24"/>
      <w:szCs w:val="20"/>
    </w:rPr>
  </w:style>
  <w:style w:type="paragraph" w:styleId="845" w:customStyle="1">
    <w:name w:val="普通正文"/>
    <w:basedOn w:val="784"/>
    <w:uiPriority w:val="0"/>
    <w:qFormat/>
    <w:pPr>
      <w:ind w:firstLine="480"/>
      <w:jc w:val="left"/>
      <w:spacing w:before="120" w:after="120" w:line="360" w:lineRule="auto"/>
    </w:pPr>
    <w:rPr>
      <w:rFonts w:ascii="Arial" w:hAnsi="Arial"/>
      <w:sz w:val="24"/>
      <w:szCs w:val="24"/>
    </w:rPr>
  </w:style>
  <w:style w:type="paragraph" w:styleId="846" w:customStyle="1">
    <w:name w:val="xl28"/>
    <w:basedOn w:val="78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47" w:customStyle="1">
    <w:name w:val="图标"/>
    <w:basedOn w:val="784"/>
    <w:next w:val="78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48" w:customStyle="1">
    <w:name w:val="Char"/>
    <w:basedOn w:val="784"/>
    <w:uiPriority w:val="0"/>
    <w:qFormat/>
    <w:pPr>
      <w:ind w:firstLine="200"/>
      <w:tabs>
        <w:tab w:val="left" w:pos="360" w:leader="none"/>
      </w:tabs>
    </w:pPr>
    <w:rPr>
      <w:sz w:val="28"/>
      <w:szCs w:val="30"/>
    </w:rPr>
  </w:style>
  <w:style w:type="paragraph" w:styleId="849" w:customStyle="1">
    <w:name w:val="xl2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50" w:customStyle="1">
    <w:name w:val="xl30"/>
    <w:basedOn w:val="784"/>
    <w:uiPriority w:val="0"/>
    <w:qFormat/>
    <w:pPr>
      <w:jc w:val="center"/>
      <w:spacing w:before="100" w:beforeAutospacing="1" w:after="100" w:afterAutospacing="1"/>
      <w:widowControl/>
    </w:pPr>
    <w:rPr>
      <w:rFonts w:ascii="宋体" w:hAnsi="宋体"/>
      <w:b/>
      <w:bCs/>
      <w:sz w:val="36"/>
      <w:szCs w:val="36"/>
    </w:rPr>
  </w:style>
  <w:style w:type="paragraph" w:styleId="851" w:customStyle="1">
    <w:name w:val="Char1"/>
    <w:basedOn w:val="799"/>
    <w:uiPriority w:val="0"/>
    <w:qFormat/>
    <w:rPr>
      <w:rFonts w:ascii="Tahoma" w:hAnsi="Tahoma"/>
      <w:sz w:val="24"/>
      <w:szCs w:val="24"/>
    </w:rPr>
  </w:style>
  <w:style w:type="paragraph" w:styleId="852" w:customStyle="1">
    <w:name w:val="标题1"/>
    <w:basedOn w:val="784"/>
    <w:next w:val="78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53" w:customStyle="1">
    <w:name w:val="table_lines"/>
    <w:basedOn w:val="784"/>
    <w:uiPriority w:val="0"/>
    <w:qFormat/>
    <w:pPr>
      <w:jc w:val="left"/>
      <w:widowControl/>
    </w:pPr>
    <w:rPr>
      <w:sz w:val="20"/>
      <w:szCs w:val="20"/>
      <w:lang w:val="de-DE" w:eastAsia="de-DE"/>
    </w:rPr>
  </w:style>
  <w:style w:type="paragraph" w:styleId="854" w:customStyle="1">
    <w:name w:val="xl25"/>
    <w:basedOn w:val="78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5" w:customStyle="1">
    <w:name w:val="xl27"/>
    <w:basedOn w:val="7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56" w:customStyle="1">
    <w:name w:val="font5"/>
    <w:basedOn w:val="784"/>
    <w:uiPriority w:val="0"/>
    <w:qFormat/>
    <w:pPr>
      <w:jc w:val="left"/>
      <w:spacing w:before="100" w:beforeAutospacing="1" w:after="100" w:afterAutospacing="1"/>
      <w:widowControl/>
    </w:pPr>
    <w:rPr>
      <w:rFonts w:hint="eastAsia" w:ascii="宋体" w:hAnsi="宋体"/>
      <w:sz w:val="28"/>
      <w:szCs w:val="28"/>
    </w:rPr>
  </w:style>
  <w:style w:type="paragraph" w:styleId="85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858" w:customStyle="1">
    <w:name w:val="font7"/>
    <w:basedOn w:val="784"/>
    <w:uiPriority w:val="0"/>
    <w:qFormat/>
    <w:pPr>
      <w:jc w:val="left"/>
      <w:spacing w:before="100" w:beforeAutospacing="1" w:after="100" w:afterAutospacing="1"/>
      <w:widowControl/>
    </w:pPr>
    <w:rPr>
      <w:rFonts w:hint="eastAsia" w:ascii="宋体" w:hAnsi="宋体"/>
      <w:sz w:val="18"/>
      <w:szCs w:val="18"/>
    </w:rPr>
  </w:style>
  <w:style w:type="paragraph" w:styleId="859" w:customStyle="1">
    <w:name w:val="普通 (Web)"/>
    <w:basedOn w:val="784"/>
    <w:uiPriority w:val="0"/>
    <w:qFormat/>
    <w:pPr>
      <w:jc w:val="left"/>
      <w:spacing w:before="100" w:beforeAutospacing="1" w:after="100" w:afterAutospacing="1"/>
      <w:widowControl/>
    </w:pPr>
    <w:rPr>
      <w:rFonts w:ascii="宋体" w:hAnsi="宋体"/>
      <w:sz w:val="24"/>
      <w:szCs w:val="24"/>
    </w:rPr>
  </w:style>
  <w:style w:type="paragraph" w:styleId="860" w:customStyle="1">
    <w:name w:val="font6"/>
    <w:basedOn w:val="784"/>
    <w:uiPriority w:val="0"/>
    <w:qFormat/>
    <w:pPr>
      <w:jc w:val="left"/>
      <w:spacing w:before="100" w:beforeAutospacing="1" w:after="100" w:afterAutospacing="1"/>
      <w:widowControl/>
    </w:pPr>
    <w:rPr>
      <w:rFonts w:hint="eastAsia" w:ascii="宋体" w:hAnsi="宋体"/>
      <w:sz w:val="28"/>
      <w:szCs w:val="28"/>
      <w:u w:val="single"/>
    </w:rPr>
  </w:style>
  <w:style w:type="paragraph" w:styleId="861" w:customStyle="1">
    <w:name w:val="Body Text(ch)"/>
    <w:basedOn w:val="784"/>
    <w:next w:val="802"/>
    <w:uiPriority w:val="0"/>
    <w:qFormat/>
    <w:pPr>
      <w:spacing w:after="120"/>
    </w:pPr>
    <w:rPr>
      <w:rFonts w:ascii="宋体" w:hAnsi="Arial"/>
      <w:bCs/>
      <w:iCs/>
      <w:szCs w:val="24"/>
    </w:rPr>
  </w:style>
  <w:style w:type="paragraph" w:styleId="862" w:customStyle="1">
    <w:name w:val="Char Char Char Char"/>
    <w:basedOn w:val="799"/>
    <w:uiPriority w:val="0"/>
    <w:qFormat/>
    <w:pPr>
      <w:spacing w:line="360" w:lineRule="auto"/>
    </w:pPr>
    <w:rPr>
      <w:rFonts w:ascii="Tahoma" w:hAnsi="Tahoma"/>
      <w:sz w:val="24"/>
      <w:szCs w:val="24"/>
    </w:rPr>
  </w:style>
  <w:style w:type="paragraph" w:styleId="863" w:customStyle="1">
    <w:name w:val="样式1"/>
    <w:basedOn w:val="784"/>
    <w:uiPriority w:val="0"/>
    <w:qFormat/>
    <w:pPr>
      <w:ind w:left="709" w:hanging="709"/>
      <w:tabs>
        <w:tab w:val="left" w:pos="709" w:leader="none"/>
      </w:tabs>
    </w:pPr>
    <w:rPr>
      <w:rFonts w:ascii="宋体" w:hAnsi="宋体"/>
    </w:rPr>
  </w:style>
  <w:style w:type="paragraph" w:styleId="864" w:customStyle="1">
    <w:name w:val="标题3"/>
    <w:basedOn w:val="784"/>
    <w:next w:val="784"/>
    <w:uiPriority w:val="0"/>
    <w:qFormat/>
    <w:pPr>
      <w:ind w:firstLine="624"/>
      <w:spacing w:line="590" w:lineRule="atLeast"/>
    </w:pPr>
    <w:rPr>
      <w:rFonts w:ascii="方正黑体_GBK" w:eastAsia="方正黑体_GBK"/>
      <w:sz w:val="32"/>
      <w:szCs w:val="32"/>
    </w:rPr>
  </w:style>
  <w:style w:type="paragraph" w:styleId="865" w:customStyle="1">
    <w:name w:val="xl24"/>
    <w:basedOn w:val="7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66">
    <w:name w:val="List Paragraph"/>
    <w:basedOn w:val="784"/>
    <w:link w:val="909"/>
    <w:uiPriority w:val="34"/>
    <w:qFormat/>
    <w:pPr>
      <w:contextualSpacing/>
      <w:ind w:left="720"/>
      <w:jc w:val="left"/>
      <w:widowControl/>
    </w:pPr>
    <w:rPr>
      <w:rFonts w:ascii="Calibri" w:hAnsi="Calibri"/>
      <w:sz w:val="24"/>
      <w:szCs w:val="24"/>
      <w:lang w:eastAsia="en-US" w:bidi="en-US"/>
    </w:rPr>
  </w:style>
  <w:style w:type="paragraph" w:styleId="867" w:customStyle="1">
    <w:name w:val="4"/>
    <w:basedOn w:val="784"/>
    <w:next w:val="820"/>
    <w:uiPriority w:val="0"/>
    <w:qFormat/>
    <w:pPr>
      <w:ind w:firstLine="420"/>
      <w:spacing w:line="360" w:lineRule="auto"/>
    </w:pPr>
    <w:rPr>
      <w:color w:val="ff0000"/>
      <w:sz w:val="24"/>
      <w:szCs w:val="24"/>
    </w:rPr>
  </w:style>
  <w:style w:type="paragraph" w:styleId="868" w:customStyle="1">
    <w:name w:val="xl29"/>
    <w:basedOn w:val="78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69" w:customStyle="1">
    <w:name w:val="table_1stline"/>
    <w:basedOn w:val="784"/>
    <w:uiPriority w:val="0"/>
    <w:qFormat/>
    <w:pPr>
      <w:jc w:val="left"/>
      <w:spacing w:before="120"/>
      <w:widowControl/>
    </w:pPr>
    <w:rPr>
      <w:bCs/>
      <w:sz w:val="20"/>
      <w:szCs w:val="20"/>
      <w:lang w:val="de-DE" w:eastAsia="de-DE"/>
    </w:rPr>
  </w:style>
  <w:style w:type="paragraph" w:styleId="870" w:customStyle="1">
    <w:name w:val="Char Char Char Char Char Char Char Char"/>
    <w:basedOn w:val="784"/>
    <w:uiPriority w:val="0"/>
    <w:qFormat/>
    <w:pPr>
      <w:jc w:val="left"/>
      <w:spacing w:after="160" w:line="240" w:lineRule="exact"/>
      <w:widowControl/>
    </w:pPr>
    <w:rPr>
      <w:rFonts w:ascii="Verdana" w:hAnsi="Verdana"/>
      <w:sz w:val="20"/>
      <w:szCs w:val="20"/>
      <w:lang w:eastAsia="en-US"/>
    </w:rPr>
  </w:style>
  <w:style w:type="paragraph" w:styleId="871" w:customStyle="1">
    <w:name w:val="Char Char Char Char Char Char Char Char1"/>
    <w:basedOn w:val="784"/>
    <w:uiPriority w:val="0"/>
    <w:qFormat/>
    <w:pPr>
      <w:jc w:val="left"/>
      <w:spacing w:after="160" w:line="240" w:lineRule="exact"/>
      <w:widowControl/>
    </w:pPr>
    <w:rPr>
      <w:rFonts w:ascii="Verdana" w:hAnsi="Verdana"/>
      <w:sz w:val="20"/>
      <w:szCs w:val="20"/>
      <w:lang w:eastAsia="en-US"/>
    </w:rPr>
  </w:style>
  <w:style w:type="paragraph" w:styleId="872" w:customStyle="1">
    <w:name w:val="Char Char Char Char1"/>
    <w:basedOn w:val="799"/>
    <w:uiPriority w:val="0"/>
    <w:qFormat/>
    <w:pPr>
      <w:spacing w:line="360" w:lineRule="auto"/>
    </w:pPr>
    <w:rPr>
      <w:rFonts w:ascii="Tahoma" w:hAnsi="Tahoma"/>
      <w:sz w:val="24"/>
      <w:szCs w:val="24"/>
    </w:rPr>
  </w:style>
  <w:style w:type="character" w:styleId="873" w:customStyle="1">
    <w:name w:val="正文2 Char"/>
    <w:link w:val="874"/>
    <w:uiPriority w:val="0"/>
    <w:qFormat/>
    <w:rPr>
      <w:lang w:val="en-GB"/>
    </w:rPr>
  </w:style>
  <w:style w:type="paragraph" w:styleId="874" w:customStyle="1">
    <w:name w:val="正文2"/>
    <w:basedOn w:val="784"/>
    <w:link w:val="873"/>
    <w:uiPriority w:val="0"/>
    <w:qFormat/>
    <w:pPr>
      <w:spacing w:line="360" w:lineRule="auto"/>
    </w:pPr>
    <w:rPr>
      <w:sz w:val="20"/>
      <w:szCs w:val="20"/>
      <w:lang w:val="en-GB"/>
    </w:rPr>
  </w:style>
  <w:style w:type="paragraph" w:styleId="875" w:customStyle="1">
    <w:name w:val="修订1"/>
    <w:hidden/>
    <w:uiPriority w:val="99"/>
    <w:unhideWhenUsed/>
    <w:qFormat/>
    <w:rPr>
      <w:rFonts w:ascii="Times New Roman" w:hAnsi="Times New Roman" w:eastAsia="宋体" w:cs="Times New Roman"/>
      <w:sz w:val="21"/>
      <w:szCs w:val="21"/>
      <w:lang w:val="en-US" w:eastAsia="zh-CN" w:bidi="ar-SA"/>
    </w:rPr>
  </w:style>
  <w:style w:type="character" w:styleId="876" w:customStyle="1">
    <w:name w:val="ant-descriptions-item-label"/>
    <w:basedOn w:val="794"/>
    <w:uiPriority w:val="0"/>
    <w:qFormat/>
  </w:style>
  <w:style w:type="table" w:styleId="877" w:customStyle="1">
    <w:name w:val="Table Normal"/>
    <w:basedOn w:val="795"/>
    <w:uiPriority w:val="0"/>
    <w:qFormat/>
    <w:rPr>
      <w:rFonts w:eastAsia="Times New Roman"/>
    </w:rPr>
    <w:tblPr>
      <w:tblCellMar>
        <w:left w:w="0" w:type="dxa"/>
        <w:right w:w="0" w:type="dxa"/>
      </w:tblCellMar>
    </w:tblPr>
  </w:style>
  <w:style w:type="paragraph" w:styleId="878" w:customStyle="1">
    <w:name w:val="列出段落2"/>
    <w:basedOn w:val="784"/>
    <w:uiPriority w:val="0"/>
    <w:qFormat/>
    <w:pPr>
      <w:ind w:firstLine="420"/>
    </w:pPr>
    <w:rPr>
      <w:rFonts w:ascii="Calibri" w:hAnsi="Calibri"/>
    </w:rPr>
  </w:style>
  <w:style w:type="paragraph" w:styleId="879" w:customStyle="1">
    <w:name w:val="Table Paragraph"/>
    <w:basedOn w:val="784"/>
    <w:uiPriority w:val="0"/>
    <w:qFormat/>
    <w:pPr>
      <w:jc w:val="left"/>
    </w:pPr>
    <w:rPr>
      <w:rFonts w:ascii="宋体" w:hAnsi="宋体" w:cs="宋体"/>
      <w:sz w:val="22"/>
      <w:szCs w:val="22"/>
    </w:rPr>
  </w:style>
  <w:style w:type="character" w:styleId="880" w:customStyle="1">
    <w:name w:val="15"/>
    <w:basedOn w:val="794"/>
    <w:uiPriority w:val="0"/>
    <w:qFormat/>
    <w:rPr>
      <w:rFonts w:hint="default" w:ascii="Calibri" w:hAnsi="Calibri" w:cs="Calibri"/>
      <w:color w:val="0000ff"/>
      <w:u w:val="single"/>
    </w:rPr>
  </w:style>
  <w:style w:type="paragraph" w:styleId="881" w:customStyle="1">
    <w:name w:val="List Paragraph1"/>
    <w:basedOn w:val="784"/>
    <w:uiPriority w:val="0"/>
    <w:qFormat/>
    <w:pPr>
      <w:ind w:firstLine="420"/>
    </w:pPr>
  </w:style>
  <w:style w:type="character" w:styleId="882" w:customStyle="1">
    <w:name w:val="正文文本 2 字符"/>
    <w:basedOn w:val="794"/>
    <w:link w:val="824"/>
    <w:uiPriority w:val="0"/>
    <w:qFormat/>
    <w:rPr>
      <w:rFonts w:ascii="楷体_GB2312" w:eastAsia="楷体_GB2312"/>
      <w:sz w:val="28"/>
      <w:szCs w:val="28"/>
    </w:rPr>
  </w:style>
  <w:style w:type="character" w:styleId="883" w:customStyle="1">
    <w:name w:val="正文文本 字符"/>
    <w:basedOn w:val="794"/>
    <w:link w:val="802"/>
    <w:uiPriority w:val="0"/>
    <w:qFormat/>
    <w:rPr>
      <w:rFonts w:ascii="楷体_GB2312" w:hAnsi="Arial" w:eastAsia="楷体_GB2312"/>
      <w:sz w:val="28"/>
      <w:szCs w:val="28"/>
    </w:rPr>
  </w:style>
  <w:style w:type="character" w:styleId="884" w:customStyle="1">
    <w:name w:val="标题 7 字符"/>
    <w:basedOn w:val="794"/>
    <w:link w:val="791"/>
    <w:uiPriority w:val="0"/>
    <w:qFormat/>
    <w:rPr>
      <w:b/>
      <w:bCs/>
      <w:sz w:val="24"/>
      <w:szCs w:val="24"/>
    </w:rPr>
  </w:style>
  <w:style w:type="character" w:styleId="885" w:customStyle="1">
    <w:name w:val="标题 4 字符"/>
    <w:basedOn w:val="794"/>
    <w:link w:val="788"/>
    <w:uiPriority w:val="0"/>
    <w:qFormat/>
    <w:rPr>
      <w:rFonts w:ascii="Arial" w:hAnsi="Arial" w:eastAsia="黑体" w:cs="Arial"/>
      <w:b/>
      <w:bCs/>
      <w:sz w:val="28"/>
      <w:szCs w:val="28"/>
    </w:rPr>
  </w:style>
  <w:style w:type="character" w:styleId="886" w:customStyle="1">
    <w:name w:val="正文首行缩进 字符"/>
    <w:basedOn w:val="883"/>
    <w:link w:val="803"/>
    <w:uiPriority w:val="0"/>
    <w:qFormat/>
    <w:rPr>
      <w:rFonts w:ascii="仿宋_GB2312" w:hAnsi="Arial" w:eastAsia="仿宋_GB2312"/>
      <w:sz w:val="30"/>
      <w:szCs w:val="30"/>
    </w:rPr>
  </w:style>
  <w:style w:type="character" w:styleId="887" w:customStyle="1">
    <w:name w:val="页眉 字符"/>
    <w:basedOn w:val="794"/>
    <w:link w:val="815"/>
    <w:uiPriority w:val="0"/>
    <w:qFormat/>
    <w:rPr>
      <w:sz w:val="18"/>
      <w:szCs w:val="18"/>
    </w:rPr>
  </w:style>
  <w:style w:type="character" w:styleId="888" w:customStyle="1">
    <w:name w:val="批注主题 字符"/>
    <w:basedOn w:val="889"/>
    <w:link w:val="827"/>
    <w:uiPriority w:val="0"/>
    <w:semiHidden/>
    <w:qFormat/>
    <w:rPr>
      <w:b/>
      <w:bCs/>
      <w:sz w:val="21"/>
      <w:szCs w:val="21"/>
    </w:rPr>
  </w:style>
  <w:style w:type="character" w:styleId="889" w:customStyle="1">
    <w:name w:val="批注文字 字符"/>
    <w:basedOn w:val="794"/>
    <w:link w:val="800"/>
    <w:uiPriority w:val="99"/>
    <w:qFormat/>
    <w:rPr>
      <w:sz w:val="21"/>
      <w:szCs w:val="21"/>
    </w:rPr>
  </w:style>
  <w:style w:type="character" w:styleId="890" w:customStyle="1">
    <w:name w:val="标题 6 字符"/>
    <w:basedOn w:val="794"/>
    <w:link w:val="790"/>
    <w:uiPriority w:val="0"/>
    <w:qFormat/>
    <w:rPr>
      <w:rFonts w:ascii="Arial" w:hAnsi="Arial" w:eastAsia="黑体"/>
      <w:b/>
      <w:bCs/>
      <w:sz w:val="24"/>
      <w:szCs w:val="24"/>
    </w:rPr>
  </w:style>
  <w:style w:type="character" w:styleId="891" w:customStyle="1">
    <w:name w:val="批注框文本 字符"/>
    <w:basedOn w:val="794"/>
    <w:link w:val="813"/>
    <w:uiPriority w:val="0"/>
    <w:semiHidden/>
    <w:qFormat/>
    <w:rPr>
      <w:sz w:val="18"/>
      <w:szCs w:val="18"/>
    </w:rPr>
  </w:style>
  <w:style w:type="character" w:styleId="892" w:customStyle="1">
    <w:name w:val="正文文本 3 字符"/>
    <w:basedOn w:val="794"/>
    <w:link w:val="801"/>
    <w:uiPriority w:val="0"/>
    <w:qFormat/>
    <w:rPr>
      <w:rFonts w:ascii="仿宋_GB2312" w:hAnsi="Arial" w:eastAsia="仿宋_GB2312"/>
      <w:sz w:val="32"/>
      <w:szCs w:val="32"/>
    </w:rPr>
  </w:style>
  <w:style w:type="character" w:styleId="893" w:customStyle="1">
    <w:name w:val="页脚 字符"/>
    <w:basedOn w:val="794"/>
    <w:link w:val="814"/>
    <w:uiPriority w:val="0"/>
    <w:qFormat/>
    <w:rPr>
      <w:sz w:val="18"/>
      <w:szCs w:val="18"/>
    </w:rPr>
  </w:style>
  <w:style w:type="character" w:styleId="894" w:customStyle="1">
    <w:name w:val="标题 5 字符"/>
    <w:basedOn w:val="794"/>
    <w:link w:val="789"/>
    <w:uiPriority w:val="0"/>
    <w:qFormat/>
    <w:rPr>
      <w:rFonts w:ascii="宋体"/>
      <w:color w:val="000000"/>
      <w:sz w:val="28"/>
      <w:szCs w:val="28"/>
    </w:rPr>
  </w:style>
  <w:style w:type="character" w:styleId="895" w:customStyle="1">
    <w:name w:val="正文文本缩进 字符"/>
    <w:basedOn w:val="794"/>
    <w:link w:val="804"/>
    <w:uiPriority w:val="0"/>
    <w:qFormat/>
    <w:rPr>
      <w:rFonts w:ascii="楷体_GB2312" w:eastAsia="楷体_GB2312"/>
      <w:sz w:val="32"/>
      <w:szCs w:val="32"/>
    </w:rPr>
  </w:style>
  <w:style w:type="character" w:styleId="896" w:customStyle="1">
    <w:name w:val="日期 字符"/>
    <w:basedOn w:val="794"/>
    <w:link w:val="811"/>
    <w:uiPriority w:val="0"/>
    <w:qFormat/>
    <w:rPr>
      <w:sz w:val="24"/>
      <w:szCs w:val="24"/>
    </w:rPr>
  </w:style>
  <w:style w:type="character" w:styleId="897" w:customStyle="1">
    <w:name w:val="文档结构图 字符"/>
    <w:basedOn w:val="794"/>
    <w:link w:val="799"/>
    <w:uiPriority w:val="0"/>
    <w:semiHidden/>
    <w:qFormat/>
    <w:rPr>
      <w:sz w:val="21"/>
      <w:szCs w:val="21"/>
      <w:shd w:val="clear" w:color="auto" w:fill="000080"/>
    </w:rPr>
  </w:style>
  <w:style w:type="character" w:styleId="898" w:customStyle="1">
    <w:name w:val="正文首行缩进 2 字符"/>
    <w:basedOn w:val="895"/>
    <w:link w:val="828"/>
    <w:uiPriority w:val="0"/>
    <w:qFormat/>
    <w:rPr>
      <w:rFonts w:ascii="宋体" w:hAnsi="宋体" w:eastAsia="楷体_GB2312"/>
      <w:sz w:val="21"/>
      <w:szCs w:val="32"/>
    </w:rPr>
  </w:style>
  <w:style w:type="character" w:styleId="899" w:customStyle="1">
    <w:name w:val="正文文本缩进 2 字符"/>
    <w:basedOn w:val="794"/>
    <w:link w:val="812"/>
    <w:uiPriority w:val="0"/>
    <w:qFormat/>
    <w:rPr>
      <w:rFonts w:ascii="Arial" w:hAnsi="Arial" w:eastAsia="仿宋_GB2312" w:cs="Arial"/>
      <w:sz w:val="32"/>
      <w:szCs w:val="32"/>
    </w:rPr>
  </w:style>
  <w:style w:type="character" w:styleId="900" w:customStyle="1">
    <w:name w:val="标题 9 字符"/>
    <w:basedOn w:val="794"/>
    <w:link w:val="793"/>
    <w:uiPriority w:val="0"/>
    <w:qFormat/>
    <w:rPr>
      <w:rFonts w:ascii="Arial" w:hAnsi="Arial" w:eastAsia="黑体"/>
      <w:sz w:val="21"/>
      <w:szCs w:val="21"/>
    </w:rPr>
  </w:style>
  <w:style w:type="character" w:styleId="901" w:customStyle="1">
    <w:name w:val="正文文本缩进 3 字符"/>
    <w:basedOn w:val="794"/>
    <w:link w:val="820"/>
    <w:uiPriority w:val="0"/>
    <w:qFormat/>
    <w:rPr>
      <w:rFonts w:ascii="Arial" w:hAnsi="Arial" w:eastAsia="仿宋_GB2312" w:cs="Arial"/>
      <w:color w:val="ffff00"/>
      <w:sz w:val="32"/>
      <w:szCs w:val="32"/>
    </w:rPr>
  </w:style>
  <w:style w:type="character" w:styleId="902" w:customStyle="1">
    <w:name w:val="标题 3 字符"/>
    <w:basedOn w:val="794"/>
    <w:link w:val="787"/>
    <w:uiPriority w:val="0"/>
    <w:qFormat/>
    <w:rPr>
      <w:b/>
      <w:bCs/>
      <w:sz w:val="32"/>
      <w:szCs w:val="32"/>
    </w:rPr>
  </w:style>
  <w:style w:type="character" w:styleId="903" w:customStyle="1">
    <w:name w:val="标题 8 字符"/>
    <w:basedOn w:val="794"/>
    <w:link w:val="792"/>
    <w:uiPriority w:val="0"/>
    <w:qFormat/>
    <w:rPr>
      <w:rFonts w:ascii="Arial" w:hAnsi="Arial" w:eastAsia="黑体"/>
      <w:sz w:val="24"/>
      <w:szCs w:val="24"/>
    </w:rPr>
  </w:style>
  <w:style w:type="character" w:styleId="904" w:customStyle="1">
    <w:name w:val="标题 2 字符"/>
    <w:basedOn w:val="794"/>
    <w:link w:val="786"/>
    <w:uiPriority w:val="0"/>
    <w:qFormat/>
    <w:rPr>
      <w:rFonts w:ascii="Arial" w:hAnsi="Arial" w:eastAsia="幼圆" w:cs="Arial"/>
      <w:b/>
      <w:bCs/>
      <w:sz w:val="44"/>
      <w:szCs w:val="44"/>
    </w:rPr>
  </w:style>
  <w:style w:type="paragraph" w:styleId="905" w:customStyle="1">
    <w:name w:val="be358f00-9758-446e-aec5-cde8345aeef3"/>
    <w:basedOn w:val="802"/>
    <w:link w:val="906"/>
    <w:uiPriority w:val="0"/>
    <w:qFormat/>
    <w:pPr>
      <w:ind w:firstLine="440"/>
      <w:jc w:val="left"/>
      <w:widowControl/>
    </w:pPr>
    <w:rPr>
      <w:rFonts w:ascii="微软雅黑" w:hAnsi="微软雅黑" w:eastAsia="微软雅黑"/>
      <w:bCs/>
      <w:color w:val="000000"/>
      <w:sz w:val="22"/>
      <w:szCs w:val="20"/>
    </w:rPr>
  </w:style>
  <w:style w:type="character" w:styleId="906" w:customStyle="1">
    <w:name w:val="be358f00-9758-446e-aec5-cde8345aeef3 字符"/>
    <w:basedOn w:val="794"/>
    <w:link w:val="905"/>
    <w:uiPriority w:val="0"/>
    <w:qFormat/>
    <w:rPr>
      <w:rFonts w:ascii="微软雅黑" w:hAnsi="微软雅黑" w:eastAsia="微软雅黑"/>
      <w:bCs/>
      <w:color w:val="000000"/>
      <w:sz w:val="22"/>
    </w:rPr>
  </w:style>
  <w:style w:type="paragraph" w:styleId="907"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908" w:customStyle="1">
    <w:name w:val="Char Char Char"/>
    <w:basedOn w:val="784"/>
    <w:uiPriority w:val="0"/>
    <w:qFormat/>
    <w:rPr>
      <w:rFonts w:ascii="Tahoma" w:hAnsi="Tahoma" w:cs="Tahoma"/>
      <w:color w:val="000000"/>
      <w:sz w:val="24"/>
      <w:szCs w:val="24"/>
    </w:rPr>
  </w:style>
  <w:style w:type="character" w:styleId="909" w:customStyle="1">
    <w:name w:val="列出段落 字符"/>
    <w:link w:val="866"/>
    <w:uiPriority w:val="34"/>
    <w:qFormat/>
    <w:rPr>
      <w:rFonts w:ascii="Calibri" w:hAnsi="Calibri"/>
      <w:sz w:val="24"/>
      <w:szCs w:val="24"/>
      <w:lang w:eastAsia="en-US" w:bidi="en-US"/>
    </w:rPr>
  </w:style>
  <w:style w:type="paragraph" w:styleId="910" w:customStyle="1">
    <w:name w:val="List Paragraph_a5e0b20e-edf6-4aa4-8615-a307d2411a11"/>
    <w:basedOn w:val="784"/>
    <w:uiPriority w:val="34"/>
    <w:qFormat/>
    <w:pPr>
      <w:ind w:firstLine="420"/>
    </w:pPr>
    <w:rPr>
      <w:szCs w:val="24"/>
    </w:rPr>
  </w:style>
  <w:style w:type="paragraph" w:styleId="911" w:customStyle="1">
    <w:name w:val="首行缩进"/>
    <w:basedOn w:val="784"/>
    <w:uiPriority w:val="0"/>
    <w:qFormat/>
    <w:pPr>
      <w:ind w:firstLine="480"/>
    </w:pPr>
    <w:rPr>
      <w:lang w:val="zh-CN"/>
    </w:rPr>
  </w:style>
  <w:style w:type="numbering" w:styleId="8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26E065C-397C-4FE4-9D4F-F40695E129E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中国石油大学</Company>
  <DocSecurity>0</DocSecurity>
  <LinksUpToDate>false</LinksUpToDate>
  <ScaleCrop>false</ScaleCrop>
  <Template>财政厅局域网标书.dot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徐萍</cp:lastModifiedBy>
  <cp:revision>11</cp:revision>
  <dcterms:created xsi:type="dcterms:W3CDTF">2024-09-06T03:40:00Z</dcterms:created>
  <dcterms:modified xsi:type="dcterms:W3CDTF">2026-05-28T03:24:00Z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8CE2C49994C547028F0764F4EABE1E1E_13</vt:lpwstr>
  </property>
  <property fmtid="{D5CDD505-2E9C-101B-9397-08002B2CF9AE}" pid="4" name="KSOTemplateDocerSaveRecord">
    <vt:lpwstr>eyJoZGlkIjoiY2I3YmI4NjczNGZhNTVkY2ZlNzY3YmFkYTAyYjAwNjAiLCJ1c2VySWQiOiI2MDM5MTA0MTYifQ==</vt:lpwstr>
  </property>
</Properties>
</file>