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tabs>
          <w:tab w:val="left" w:pos="390" w:leader="none"/>
          <w:tab w:val="center" w:pos="4404" w:leader="none"/>
        </w:tabs>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竞争性磋商文件</w:t>
      </w:r>
      <w:r/>
    </w:p>
    <w:p>
      <w:pPr>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44"/>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9525" b="1905"/>
                <wp:docPr id="6" name="图片 1" descr="我的插图-1"/>
                <wp:cNvGraphicFramePr/>
                <a:graphic xmlns:a="http://schemas.openxmlformats.org/drawingml/2006/main">
                  <a:graphicData uri="http://schemas.openxmlformats.org/drawingml/2006/picture">
                    <pic:pic xmlns:pic="http://schemas.openxmlformats.org/drawingml/2006/picture">
                      <pic:nvPicPr>
                        <pic:cNvPr id="1026" name="图片 1" descr="我的插图-1"/>
                        <pic:cNvPicPr/>
                        <pic:nvPr/>
                      </pic:nvPicPr>
                      <pic:blipFill>
                        <a:blip r:embed="rId18"/>
                        <a:stretch/>
                      </pic:blipFill>
                      <pic:spPr bwMode="auto">
                        <a:xfrm>
                          <a:off x="0" y="0"/>
                          <a:ext cx="1717675" cy="213169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8" o:title=""/>
              </v:shape>
            </w:pict>
          </mc:Fallback>
        </mc:AlternateContent>
      </w:r>
      <w:r/>
    </w:p>
    <w:p>
      <w:pPr>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tbl>
      <w:tblPr>
        <w:tblStyle w:val="889"/>
        <w:tblW w:w="949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6"/>
      </w:tblGrid>
      <w:tr>
        <w:trPr>
          <w:trHeight w:val="1523"/>
        </w:trPr>
        <w:tc>
          <w:tcPr>
            <w:tcBorders>
              <w:top w:val="none" w:color="000000" w:sz="4" w:space="0"/>
              <w:left w:val="none" w:color="000000" w:sz="4" w:space="0"/>
              <w:bottom w:val="none" w:color="000000" w:sz="4" w:space="0"/>
              <w:right w:val="none" w:color="000000" w:sz="4" w:space="0"/>
            </w:tcBorders>
            <w:tcW w:w="9496" w:type="dxa"/>
            <w:textDirection w:val="lrTb"/>
            <w:noWrap/>
          </w:tcPr>
          <w:p>
            <w:pPr>
              <w:ind w:firstLine="720"/>
              <w:rPr>
                <w:rFonts w:hint="eastAsia" w:ascii="宋体" w:hAnsi="宋体" w:eastAsia="宋体" w:cs="宋体"/>
                <w:color w:val="000000" w:themeColor="text1"/>
                <w:sz w:val="36"/>
                <w:szCs w:val="36"/>
                <w:lang w:eastAsia="zh-CN"/>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项目编号：</w:t>
            </w:r>
            <w:r>
              <w:rPr>
                <w:rFonts w:hint="eastAsia" w:ascii="宋体" w:hAnsi="宋体" w:cs="宋体"/>
                <w:color w:val="000000" w:themeColor="text1"/>
                <w:sz w:val="36"/>
                <w:szCs w:val="36"/>
                <w:lang w:eastAsia="zh-CN"/>
                <w14:textFill>
                  <w14:solidFill>
                    <w14:schemeClr w14:val="tx1"/>
                  </w14:solidFill>
                </w14:textFill>
              </w:rPr>
              <w:t xml:space="preserve">JSZC-320106-SNZX-C2026-0071</w:t>
            </w:r>
            <w:r/>
          </w:p>
          <w:p>
            <w:pPr>
              <w:ind w:firstLine="720"/>
              <w:jc w:val="left"/>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项目名称：2026年度鼓楼区区级公益创投</w:t>
            </w:r>
            <w:r/>
          </w:p>
          <w:p>
            <w:pPr>
              <w:ind w:firstLine="720"/>
              <w:rPr>
                <w:rFonts w:ascii="宋体" w:hAnsi="宋体" w:cs="宋体"/>
                <w:color w:val="000000" w:themeColor="text1"/>
                <w:sz w:val="44"/>
                <w:szCs w:val="44"/>
                <w:lang w:val="zh-CN"/>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采购类别：服务类</w:t>
            </w:r>
            <w:r/>
          </w:p>
        </w:tc>
      </w:tr>
    </w:tbl>
    <w:p>
      <w:pPr>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896"/>
        <w:ind w:left="126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720"/>
        <w:jc w:val="left"/>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采购人：南京市鼓楼区民政局</w:t>
      </w:r>
      <w:r/>
    </w:p>
    <w:p>
      <w:pPr>
        <w:ind w:firstLine="720"/>
        <w:jc w:val="left"/>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采购代理机构：南京苏宁工程咨询有限公司</w:t>
      </w:r>
      <w:r/>
    </w:p>
    <w:p>
      <w:pPr>
        <w:ind w:firstLine="720"/>
        <w:jc w:val="left"/>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日期：二〇二六年五月</w:t>
      </w:r>
      <w:r/>
    </w:p>
    <w:p>
      <w:pPr>
        <w:jc w:val="center"/>
        <w:spacing w:line="360" w:lineRule="auto"/>
        <w:rPr>
          <w:rFonts w:ascii="宋体" w:hAnsi="宋体" w:cs="宋体"/>
          <w:color w:val="000000" w:themeColor="text1"/>
          <w14:textFill>
            <w14:solidFill>
              <w14:schemeClr w14:val="tx1"/>
            </w14:solidFill>
          </w14:textFill>
        </w:rPr>
      </w:pPr>
      <w:r/>
      <w:bookmarkStart w:id="67" w:name="_GoBack"/>
      <w:r/>
      <w:bookmarkEnd w:id="67"/>
      <w:r>
        <w:rPr>
          <w:rFonts w:hint="eastAsia" w:ascii="宋体" w:hAnsi="宋体" w:cs="宋体"/>
          <w:color w:val="000000" w:themeColor="text1"/>
          <w:sz w:val="44"/>
          <w14:textFill>
            <w14:solidFill>
              <w14:schemeClr w14:val="tx1"/>
            </w14:solidFill>
          </w14:textFill>
        </w:rPr>
        <w:br w:type="page" w:clear="all"/>
      </w:r>
      <w:r>
        <w:rPr>
          <w:rFonts w:hint="eastAsia" w:ascii="宋体" w:hAnsi="宋体" w:cs="宋体"/>
          <w:color w:val="000000" w:themeColor="text1"/>
          <w:spacing w:val="-10"/>
          <w:sz w:val="36"/>
          <w:szCs w:val="36"/>
          <w14:textFill>
            <w14:solidFill>
              <w14:schemeClr w14:val="tx1"/>
            </w14:solidFill>
          </w14:textFill>
        </w:rPr>
        <w:t xml:space="preserve">第一章 竞争性磋商邀请</w:t>
      </w:r>
      <w:r/>
    </w:p>
    <w:p>
      <w:pPr>
        <w:ind w:firstLine="560"/>
        <w:spacing w:line="360" w:lineRule="auto"/>
        <w:rPr>
          <w:rFonts w:ascii="宋体" w:hAnsi="宋体" w:cs="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szCs w:val="24"/>
          <w14:textFill>
            <w14:solidFill>
              <w14:schemeClr w14:val="tx1"/>
            </w14:solidFill>
          </w14:textFill>
        </w:rPr>
        <w:t xml:space="preserve">项目概况</w:t>
      </w:r>
      <w:r/>
    </w:p>
    <w:p>
      <w:pPr>
        <w:ind w:firstLine="562"/>
        <w:spacing w:line="360" w:lineRule="auto"/>
        <w:rPr>
          <w:rFonts w:ascii="宋体" w:hAnsi="宋体" w:cs="宋体"/>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color w:val="000000" w:themeColor="text1"/>
          <w:sz w:val="24"/>
          <w:szCs w:val="24"/>
          <w:u w:val="single"/>
          <w14:textFill>
            <w14:solidFill>
              <w14:schemeClr w14:val="tx1"/>
            </w14:solidFill>
          </w14:textFill>
        </w:rPr>
        <w:t xml:space="preserve">2026年度鼓楼区区级公益创投</w:t>
      </w:r>
      <w:r>
        <w:rPr>
          <w:rFonts w:hint="eastAsia" w:ascii="宋体" w:hAnsi="宋体" w:cs="宋体"/>
          <w:color w:val="000000" w:themeColor="text1"/>
          <w:sz w:val="24"/>
          <w:szCs w:val="24"/>
          <w14:textFill>
            <w14:solidFill>
              <w14:schemeClr w14:val="tx1"/>
            </w14:solidFill>
          </w14:textFill>
        </w:rPr>
        <w:t xml:space="preserve">采购项目的潜在供应商应在</w:t>
      </w:r>
      <w:r>
        <w:rPr>
          <w:rFonts w:hint="eastAsia" w:ascii="宋体" w:hAnsi="宋体" w:cs="宋体"/>
          <w:b/>
          <w:color w:val="000000" w:themeColor="text1"/>
          <w:sz w:val="24"/>
          <w:szCs w:val="24"/>
          <w:u w:val="single"/>
          <w14:textFill>
            <w14:solidFill>
              <w14:schemeClr w14:val="tx1"/>
            </w14:solidFill>
          </w14:textFill>
        </w:rPr>
        <w:t xml:space="preserve">江苏政府采购网</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b/>
          <w:color w:val="000000" w:themeColor="text1"/>
          <w:sz w:val="24"/>
          <w:szCs w:val="24"/>
          <w:u w:val="single"/>
          <w14:textFill>
            <w14:solidFill>
              <w14:schemeClr w14:val="tx1"/>
            </w14:solidFill>
          </w14:textFill>
        </w:rPr>
        <w:t xml:space="preserve">2026年</w:t>
      </w:r>
      <w:r>
        <w:rPr>
          <w:rFonts w:hint="eastAsia" w:ascii="宋体" w:hAnsi="宋体" w:cs="宋体"/>
          <w:b/>
          <w:color w:val="000000" w:themeColor="text1"/>
          <w:sz w:val="24"/>
          <w:szCs w:val="24"/>
          <w:u w:val="single"/>
          <w:lang w:val="en-US" w:eastAsia="zh-CN"/>
          <w14:textFill>
            <w14:solidFill>
              <w14:schemeClr w14:val="tx1"/>
            </w14:solidFill>
          </w14:textFill>
        </w:rPr>
        <w:t xml:space="preserve">6</w:t>
      </w:r>
      <w:r>
        <w:rPr>
          <w:rFonts w:hint="eastAsia" w:ascii="宋体" w:hAnsi="宋体" w:cs="宋体"/>
          <w:b/>
          <w:color w:val="000000" w:themeColor="text1"/>
          <w:sz w:val="24"/>
          <w:szCs w:val="24"/>
          <w:u w:val="single"/>
          <w14:textFill>
            <w14:solidFill>
              <w14:schemeClr w14:val="tx1"/>
            </w14:solidFill>
          </w14:textFill>
        </w:rPr>
        <w:t xml:space="preserve">月</w:t>
      </w:r>
      <w:r>
        <w:rPr>
          <w:rFonts w:hint="eastAsia" w:ascii="宋体" w:hAnsi="宋体" w:cs="宋体"/>
          <w:b/>
          <w:color w:val="000000" w:themeColor="text1"/>
          <w:sz w:val="24"/>
          <w:szCs w:val="24"/>
          <w:u w:val="single"/>
          <w:lang w:val="en-US" w:eastAsia="zh-CN"/>
          <w14:textFill>
            <w14:solidFill>
              <w14:schemeClr w14:val="tx1"/>
            </w14:solidFill>
          </w14:textFill>
        </w:rPr>
        <w:t xml:space="preserve">10</w:t>
      </w:r>
      <w:r>
        <w:rPr>
          <w:rFonts w:hint="eastAsia" w:ascii="宋体" w:hAnsi="宋体" w:cs="宋体"/>
          <w:b/>
          <w:bCs/>
          <w:color w:val="000000" w:themeColor="text1"/>
          <w:sz w:val="24"/>
          <w:szCs w:val="24"/>
          <w:u w:val="single"/>
          <w14:textFill>
            <w14:solidFill>
              <w14:schemeClr w14:val="tx1"/>
            </w14:solidFill>
          </w14:textFill>
        </w:rPr>
        <w:t xml:space="preserve">日</w:t>
      </w:r>
      <w:r>
        <w:rPr>
          <w:rFonts w:hint="eastAsia" w:ascii="宋体" w:hAnsi="宋体" w:cs="宋体"/>
          <w:b/>
          <w:bCs/>
          <w:color w:val="000000" w:themeColor="text1"/>
          <w:sz w:val="24"/>
          <w:szCs w:val="24"/>
          <w:u w:val="single"/>
          <w:lang w:val="en-US" w:eastAsia="zh-CN"/>
          <w14:textFill>
            <w14:solidFill>
              <w14:schemeClr w14:val="tx1"/>
            </w14:solidFill>
          </w14:textFill>
        </w:rPr>
        <w:t xml:space="preserve">9</w:t>
      </w:r>
      <w:r>
        <w:rPr>
          <w:rFonts w:hint="eastAsia" w:ascii="宋体" w:hAnsi="宋体" w:cs="宋体"/>
          <w:b/>
          <w:bCs/>
          <w:color w:val="000000" w:themeColor="text1"/>
          <w:sz w:val="24"/>
          <w:szCs w:val="24"/>
          <w:u w:val="single"/>
          <w14:textFill>
            <w14:solidFill>
              <w14:schemeClr w14:val="tx1"/>
            </w14:solidFill>
          </w14:textFill>
        </w:rPr>
        <w:t xml:space="preserve">时</w:t>
      </w:r>
      <w:r>
        <w:rPr>
          <w:rFonts w:hint="eastAsia" w:ascii="宋体" w:hAnsi="宋体" w:cs="宋体"/>
          <w:b/>
          <w:bCs/>
          <w:color w:val="000000" w:themeColor="text1"/>
          <w:sz w:val="24"/>
          <w:szCs w:val="24"/>
          <w:u w:val="single"/>
          <w:lang w:val="en-US" w:eastAsia="zh-CN"/>
          <w14:textFill>
            <w14:solidFill>
              <w14:schemeClr w14:val="tx1"/>
            </w14:solidFill>
          </w14:textFill>
        </w:rPr>
        <w:t xml:space="preserve">30</w:t>
      </w:r>
      <w:r>
        <w:rPr>
          <w:rFonts w:hint="eastAsia" w:ascii="宋体" w:hAnsi="宋体" w:cs="宋体"/>
          <w:b/>
          <w:bCs/>
          <w:color w:val="000000" w:themeColor="text1"/>
          <w:sz w:val="24"/>
          <w:szCs w:val="24"/>
          <w:u w:val="single"/>
          <w14:textFill>
            <w14:solidFill>
              <w14:schemeClr w14:val="tx1"/>
            </w14:solidFill>
          </w14:textFill>
        </w:rPr>
        <w:t xml:space="preserve">分</w:t>
      </w:r>
      <w:r>
        <w:rPr>
          <w:rFonts w:hint="eastAsia" w:ascii="宋体" w:hAnsi="宋体" w:cs="宋体"/>
          <w:bCs/>
          <w:color w:val="000000" w:themeColor="text1"/>
          <w:sz w:val="24"/>
          <w:szCs w:val="24"/>
          <w14:textFill>
            <w14:solidFill>
              <w14:schemeClr w14:val="tx1"/>
            </w14:solidFill>
          </w14:textFill>
        </w:rPr>
        <w:t xml:space="preserve">（北京时间）前提交响应文件</w:t>
      </w:r>
      <w:r>
        <w:rPr>
          <w:rFonts w:hint="eastAsia" w:ascii="宋体" w:hAnsi="宋体" w:cs="宋体"/>
          <w:color w:val="000000" w:themeColor="text1"/>
          <w:sz w:val="24"/>
          <w:szCs w:val="24"/>
          <w14:textFill>
            <w14:solidFill>
              <w14:schemeClr w14:val="tx1"/>
            </w14:solidFill>
          </w14:textFill>
        </w:rPr>
        <w:t xml:space="preserve">。</w:t>
      </w:r>
      <w:r/>
    </w:p>
    <w:p>
      <w:pPr>
        <w:jc w:val="left"/>
        <w:spacing w:line="360" w:lineRule="auto"/>
        <w:rPr>
          <w:rFonts w:ascii="宋体" w:hAnsi="宋体" w:cs="宋体"/>
          <w:color w:val="000000" w:themeColor="text1"/>
          <w:sz w:val="24"/>
          <w:szCs w:val="24"/>
          <w14:textFill>
            <w14:solidFill>
              <w14:schemeClr w14:val="tx1"/>
            </w14:solidFill>
          </w14:textFill>
        </w:rPr>
      </w:pPr>
      <w:r/>
      <w:bookmarkStart w:id="0" w:name="_Toc35393798"/>
      <w:r/>
      <w:bookmarkStart w:id="1" w:name="_Toc28359012"/>
      <w:r/>
      <w:bookmarkStart w:id="2" w:name="_Toc28359089"/>
      <w:r/>
      <w:bookmarkStart w:id="3" w:name="_Toc35393629"/>
      <w:r>
        <w:rPr>
          <w:rFonts w:hint="eastAsia" w:ascii="宋体" w:hAnsi="宋体" w:cs="宋体"/>
          <w:color w:val="000000" w:themeColor="text1"/>
          <w:sz w:val="24"/>
          <w:szCs w:val="24"/>
          <w14:textFill>
            <w14:solidFill>
              <w14:schemeClr w14:val="tx1"/>
            </w14:solidFill>
          </w14:textFill>
        </w:rPr>
        <w:t xml:space="preserve">一、项目基本情况</w:t>
      </w:r>
      <w:bookmarkEnd w:id="0"/>
      <w:r/>
      <w:bookmarkEnd w:id="1"/>
      <w:r/>
      <w:bookmarkEnd w:id="2"/>
      <w:r/>
      <w:bookmarkEnd w:id="3"/>
      <w:r/>
      <w:r/>
    </w:p>
    <w:p>
      <w:pPr>
        <w:ind w:firstLine="56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JSZC-320106-SNZX-C2026-0071</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项目名称：2026年度鼓楼区区级公益创投</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56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预算金额：334.5万元</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最高限价：334.5万元，响应报价超过最高限价为无效响应。</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需求：鼓楼区公益创投项目实施地仅限鼓楼区，服务对象为鼓楼区范围内社区居民。根据公益创投资金使用的有关规定项目类型主要包括社区服务、社区协商、社区治理、精神文明、其他等五大类(具体项目以公益创投项目申报指引为准)。具体要求详见竞争性磋商文件。</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分包情况：</w:t>
      </w:r>
      <w:r/>
    </w:p>
    <w:tbl>
      <w:tblPr>
        <w:tblStyle w:val="9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3"/>
        <w:gridCol w:w="2126"/>
        <w:gridCol w:w="850"/>
        <w:gridCol w:w="1276"/>
        <w:gridCol w:w="1843"/>
        <w:gridCol w:w="1701"/>
        <w:gridCol w:w="1226"/>
      </w:tblGrid>
      <w:tr>
        <w:trPr>
          <w:trHeight w:val="448"/>
        </w:trPr>
        <w:tc>
          <w:tcPr>
            <w:tcBorders>
              <w:right w:val="single" w:color="000000" w:sz="4" w:space="0"/>
            </w:tcBorders>
            <w:tcMar>
              <w:left w:w="108" w:type="dxa"/>
              <w:top w:w="0" w:type="dxa"/>
              <w:right w:w="108" w:type="dxa"/>
              <w:bottom w:w="0" w:type="dxa"/>
            </w:tcMar>
            <w:tcW w:w="573" w:type="dxa"/>
            <w:vAlign w:val="center"/>
            <w:vMerge w:val="restart"/>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6" w:type="dxa"/>
            <w:vAlign w:val="center"/>
            <w:vMerge w:val="restart"/>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实施区域</w:t>
            </w:r>
            <w:r/>
          </w:p>
        </w:tc>
        <w:tc>
          <w:tcPr>
            <w:gridSpan w:val="3"/>
            <w:tcBorders>
              <w:left w:val="single" w:color="000000" w:sz="4" w:space="0"/>
            </w:tcBorders>
            <w:tcMar>
              <w:left w:w="108" w:type="dxa"/>
              <w:top w:w="0" w:type="dxa"/>
              <w:right w:w="108" w:type="dxa"/>
              <w:bottom w:w="0" w:type="dxa"/>
            </w:tcMar>
            <w:tcW w:w="3969"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项目属性</w:t>
            </w:r>
            <w:r/>
          </w:p>
        </w:tc>
        <w:tc>
          <w:tcPr>
            <w:tcMar>
              <w:left w:w="108" w:type="dxa"/>
              <w:top w:w="0" w:type="dxa"/>
              <w:right w:w="108" w:type="dxa"/>
              <w:bottom w:w="0" w:type="dxa"/>
            </w:tcMar>
            <w:tcW w:w="1701" w:type="dxa"/>
            <w:vAlign w:val="center"/>
            <w:vMerge w:val="restart"/>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服务对象（人数）</w:t>
            </w:r>
            <w:r/>
          </w:p>
        </w:tc>
        <w:tc>
          <w:tcPr>
            <w:tcMar>
              <w:left w:w="108" w:type="dxa"/>
              <w:top w:w="0" w:type="dxa"/>
              <w:right w:w="108" w:type="dxa"/>
              <w:bottom w:w="0" w:type="dxa"/>
            </w:tcMar>
            <w:tcW w:w="1226" w:type="dxa"/>
            <w:vAlign w:val="center"/>
            <w:vMerge w:val="restart"/>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采购包预算金额及最高限价（万元）</w:t>
            </w:r>
            <w:r/>
          </w:p>
        </w:tc>
      </w:tr>
      <w:tr>
        <w:trPr>
          <w:trHeight w:val="654"/>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服务领域</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服务类型</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服务主要范围</w:t>
            </w:r>
            <w:r/>
          </w:p>
        </w:tc>
        <w:tc>
          <w:tcPr>
            <w:vMerge w:val="continue"/>
            <w:textDirection w:val="lrTb"/>
            <w:noWrap w:val="false"/>
          </w:tcPr>
          <w:p>
            <w:r/>
            <w:r/>
          </w:p>
        </w:tc>
        <w:tc>
          <w:tcPr>
            <w:vMerge w:val="continue"/>
            <w:textDirection w:val="lrTb"/>
            <w:noWrap w:val="false"/>
          </w:tcPr>
          <w:p>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4"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其他公益性、福利性和专业性养老服务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面向全区老龄人、养老服务机构、养老服务组织，全区老龄工作条口工作人员，全区养老机构及社区居家养老服务中心，服务人数不少于300人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其他公益性、福利性和专业性养老服务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鼓楼区60岁及以上户籍老年人1000人 </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老年人的权益保护、临时庇护和紧急救助服务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重点困难老年人监护相关服务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困境未成年人心理和精神关爱服务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鼓楼区范围内</w:t>
            </w:r>
            <w:r>
              <w:rPr>
                <w:rFonts w:ascii="SimSun" w:hAnsi="SimSun" w:eastAsia="SimSun" w:cs="SimSun"/>
                <w:color w:val="000000"/>
                <w:sz w:val="21"/>
              </w:rPr>
              <w:t xml:space="preserve">6-7名困境儿童</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困境未成年人家庭监护能力支持</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鼓楼区范围内6-7名困境儿童</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81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留守流动儿童的社会服务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社区志愿服务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慈善救助：精神障碍患者社区康复服务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宁康家园、宁康驿站</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4家宁康家园、10家宁康驿站</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rPr>
                <w:rFonts w:ascii="SimSun" w:hAnsi="SimSun" w:eastAsia="SimSun" w:cs="SimSun"/>
                <w:color w:val="000000"/>
                <w:sz w:val="22"/>
              </w:rPr>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社区协商</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其他有利于社区公益的服务项目</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邻里纠纷、家庭矛盾、婚姻赡养等社区纠纷矛盾调解</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有利于加强社会建设、完善社会服务、促进社会和谐的服务项目</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遗产管理人法律法规咨询、宣传、处置流程辅导</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有利于加强社会建设、完善社会服务、促进社会和谐的服务项目</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社会救助工作人员心理赋能</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慈善救助</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城乡低收入、贫困单亲、残障人士家庭等综合帮扶服务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其他公益性、福利性和专业性养老服务</w:t>
            </w:r>
            <w:r/>
          </w:p>
        </w:tc>
        <w:tc>
          <w:tcPr>
            <w:tcMar>
              <w:left w:w="108" w:type="dxa"/>
              <w:top w:w="0" w:type="dxa"/>
              <w:right w:w="108"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鼓楼区全域40家养老机构（一）核心服务对象：</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鼓楼区全域40家养老机构的入住老年人3800人左右。</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（二）间接服务对象：</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养老机构管理人员、工作人员、护理人员、志愿者100人左右。</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困境未成年人心理和精神关爱服务、社区儿童临时托管看护支持服务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其他社区青少年公益性、创新性的专业社会服务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鼓楼区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青少年服务：特殊未成年人的社区矫正服务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771"/>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2"/>
              </w:rPr>
              <w:t xml:space="preserve">☑</w:t>
            </w:r>
            <w:r>
              <w:rPr>
                <w:rFonts w:ascii="SimSun" w:hAnsi="SimSun" w:eastAsia="SimSun" w:cs="SimSun"/>
                <w:color w:val="000000"/>
                <w:sz w:val="22"/>
                <w:u w:val="single"/>
              </w:rPr>
              <w:t xml:space="preserve"> 华侨路</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青少年服务：其他社区青少年公益性、创新性的专业社会服务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宁海路</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养老服务：困难老年人健康生活指导及康复护理服务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宁海路</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养老服务：老年人监护残疾人家庭服务</w:t>
            </w:r>
            <w:r/>
          </w:p>
        </w:tc>
        <w:tc>
          <w:tcPr>
            <w:tcMar>
              <w:left w:w="108" w:type="dxa"/>
              <w:top w:w="0" w:type="dxa"/>
              <w:right w:w="108" w:type="dxa"/>
              <w:bottom w:w="0" w:type="dxa"/>
            </w:tcMar>
            <w:tcW w:w="170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50户服务群体：</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1、60岁以上长者的配偶，达到失能半失能状态，由老年人承担主要照料责任需支持家庭；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2、60岁以上长者的子女，为残疾人士，由老年人承担主要照料责任，需支持家庭。</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3、经过需求调查本街道需求人数如不足50户，将在附近其他街道进行补充。</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913"/>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湖南路</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南秀村</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其他公益性、福利性和专业性养老服务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200名社区老人（重点关注环南大片区银发青年、高知活力老人）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中央门</w:t>
            </w:r>
            <w:r>
              <w:rPr>
                <w:rFonts w:ascii="SimSun" w:hAnsi="SimSun" w:eastAsia="SimSun" w:cs="SimSun"/>
                <w:color w:val="000000"/>
                <w:sz w:val="21"/>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社区治理</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应急救援</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独居老人、困境老人及其它需要特殊关注的老人群体、青少年群体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200人次</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rPr>
              <w:t xml:space="preserve">挹江门</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青少年服务：困境未成年人心理和精神关爱服务</w:t>
            </w:r>
            <w:r>
              <w:rPr>
                <w:rFonts w:ascii="SimSun" w:hAnsi="SimSun" w:eastAsia="SimSun" w:cs="SimSun"/>
                <w:color w:val="000000"/>
                <w:sz w:val="21"/>
              </w:rPr>
              <w:t xml:space="preserve"> </w:t>
            </w:r>
            <w:r>
              <w:rPr>
                <w:rFonts w:ascii="SimSun" w:hAnsi="SimSun" w:eastAsia="SimSun" w:cs="SimSun"/>
                <w:color w:val="000000"/>
                <w:sz w:val="22"/>
              </w:rPr>
              <w:t xml:space="preserve">；低收入家庭的未成年人成长服务 </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2"/>
              </w:rPr>
              <w:t xml:space="preserve">☑</w:t>
            </w:r>
            <w:r>
              <w:rPr>
                <w:rFonts w:ascii="SimSun" w:hAnsi="SimSun" w:eastAsia="SimSun" w:cs="SimSun"/>
                <w:color w:val="000000"/>
                <w:sz w:val="22"/>
              </w:rPr>
              <w:t xml:space="preserve">鼓楼区</w:t>
            </w:r>
            <w:r>
              <w:rPr>
                <w:sz w:val="22"/>
              </w:rPr>
            </w:r>
            <w:r/>
          </w:p>
          <w:p>
            <w:pPr>
              <w:ind w:left="0" w:right="0" w:firstLine="0"/>
              <w:spacing w:before="0" w:after="0" w:line="320"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下关</w:t>
            </w:r>
            <w:r>
              <w:rPr>
                <w:rFonts w:ascii="SimSun" w:hAnsi="SimSun" w:eastAsia="SimSun" w:cs="SimSun"/>
                <w:color w:val="000000"/>
                <w:sz w:val="21"/>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精神文明创建</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科普知识等群众性文化、教育活动</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科普知识等群众性文化、教育活动</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辖区居民及青少年共300人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sz w:val="22"/>
              </w:rPr>
            </w:r>
            <w:r/>
          </w:p>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2"/>
              </w:rPr>
              <w:t xml:space="preserve">☑建宁路</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szCs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孤独症儿童康复救助托养，孤独症家庭自助互助服务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Mar>
              <w:left w:w="108" w:type="dxa"/>
              <w:top w:w="0" w:type="dxa"/>
              <w:right w:w="108" w:type="dxa"/>
              <w:bottom w:w="0" w:type="dxa"/>
            </w:tcMar>
            <w:tcW w:w="2126" w:type="dxa"/>
            <w:vAlign w:val="center"/>
            <w:textDirection w:val="lrTb"/>
            <w:noWrap w:val="false"/>
          </w:tcPr>
          <w:p>
            <w:pPr>
              <w:ind w:left="0" w:right="0" w:firstLine="0"/>
              <w:spacing w:before="0" w:after="0" w:line="320"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□不限定</w:t>
            </w:r>
            <w:r>
              <w:rPr>
                <w:rFonts w:ascii="SimSun" w:hAnsi="SimSun" w:eastAsia="SimSun" w:cs="SimSun"/>
                <w:color w:val="000000"/>
                <w:sz w:val="21"/>
                <w:szCs w:val="21"/>
              </w:rPr>
            </w:r>
            <w:r/>
          </w:p>
          <w:p>
            <w:pPr>
              <w:ind w:left="0" w:right="0" w:firstLine="0"/>
              <w:spacing w:before="0" w:after="0" w:line="320"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 街道</w:t>
            </w:r>
            <w:r>
              <w:rPr>
                <w:sz w:val="22"/>
              </w:rPr>
            </w:r>
            <w:r/>
          </w:p>
          <w:p>
            <w:pPr>
              <w:ind w:left="0" w:right="0" w:firstLine="0"/>
              <w:spacing w:before="0" w:after="0" w:line="32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MS Mincho" w:hAnsi="MS Mincho" w:eastAsia="MS Mincho" w:cs="MS Mincho"/>
                <w:color w:val="000000"/>
                <w:sz w:val="22"/>
              </w:rPr>
              <w:t xml:space="preserve">☑</w:t>
            </w:r>
            <w:r>
              <w:rPr>
                <w:rFonts w:ascii="SimSun" w:hAnsi="SimSun" w:eastAsia="SimSun" w:cs="SimSun"/>
                <w:color w:val="000000"/>
                <w:sz w:val="22"/>
                <w:u w:val="single"/>
              </w:rPr>
              <w:t xml:space="preserve">  幕府山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街道</w:t>
            </w:r>
            <w:r>
              <w:rPr>
                <w:rFonts w:ascii="SimSun" w:hAnsi="SimSun" w:eastAsia="SimSun" w:cs="SimSun"/>
                <w:color w:val="000000"/>
                <w:sz w:val="22"/>
                <w:u w:val="single"/>
              </w:rPr>
              <w:t xml:space="preserve"> 五塘新村一段</w:t>
            </w:r>
            <w:r>
              <w:rPr>
                <w:rFonts w:ascii="SimSun" w:hAnsi="SimSun" w:eastAsia="SimSun" w:cs="SimSun"/>
                <w:color w:val="000000"/>
                <w:sz w:val="21"/>
                <w:u w:val="single"/>
              </w:rPr>
              <w:t xml:space="preserve"> </w:t>
            </w:r>
            <w:r>
              <w:rPr>
                <w:rFonts w:ascii="SimSun" w:hAnsi="SimSun" w:eastAsia="SimSun" w:cs="SimSun"/>
                <w:color w:val="000000"/>
                <w:sz w:val="22"/>
              </w:rPr>
              <w:t xml:space="preserve">社区</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社区服务</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养老服务</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60岁以上年龄（独居、空巢、失能半失能等）重点特殊困难老人居家看护和心理精神关爱服务</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华侨路街道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华侨路街道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488"/>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宁海路街道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宁海路街道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488"/>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湖南路街道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湖南路街道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488"/>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中央门街道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中央门街道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488"/>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挹江门街道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挹江门街道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488"/>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江东街道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江东街道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200</w:t>
            </w:r>
            <w:r>
              <w:rPr>
                <w:rFonts w:ascii="SimSun" w:hAnsi="SimSun" w:eastAsia="SimSun" w:cs="SimSun"/>
                <w:color w:val="000000"/>
                <w:sz w:val="22"/>
              </w:rPr>
              <w:t xml:space="preserve">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8</w:t>
            </w:r>
            <w:r/>
          </w:p>
        </w:tc>
      </w:tr>
      <w:tr>
        <w:trPr>
          <w:trHeight w:val="34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凤凰街道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凤凰街道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热南街道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热南街道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下关街道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下关街道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建宁路街道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建宁路街道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629"/>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宝塔桥街道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宝塔桥街道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1156"/>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小市街道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小市街道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629"/>
        </w:trPr>
        <w:tc>
          <w:tcPr>
            <w:tcMar>
              <w:left w:w="108" w:type="dxa"/>
              <w:top w:w="0" w:type="dxa"/>
              <w:right w:w="108" w:type="dxa"/>
              <w:bottom w:w="0" w:type="dxa"/>
            </w:tcMar>
            <w:tcW w:w="573"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Mar>
              <w:left w:w="108" w:type="dxa"/>
              <w:top w:w="0" w:type="dxa"/>
              <w:right w:w="108" w:type="dxa"/>
              <w:bottom w:w="0" w:type="dxa"/>
            </w:tcMar>
            <w:tcW w:w="212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幕府山街道</w:t>
            </w:r>
            <w:r/>
          </w:p>
        </w:tc>
        <w:tc>
          <w:tcPr>
            <w:tcMar>
              <w:left w:w="108" w:type="dxa"/>
              <w:top w:w="0" w:type="dxa"/>
              <w:right w:w="108" w:type="dxa"/>
              <w:bottom w:w="0" w:type="dxa"/>
            </w:tcMar>
            <w:tcW w:w="85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民政服务站</w:t>
            </w:r>
            <w:r/>
          </w:p>
        </w:tc>
        <w:tc>
          <w:tcPr>
            <w:tcMar>
              <w:left w:w="108" w:type="dxa"/>
              <w:top w:w="0" w:type="dxa"/>
              <w:right w:w="108" w:type="dxa"/>
              <w:bottom w:w="0" w:type="dxa"/>
            </w:tcMar>
            <w:tcW w:w="12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民服站</w:t>
            </w:r>
            <w:r/>
          </w:p>
        </w:tc>
        <w:tc>
          <w:tcPr>
            <w:tcMar>
              <w:left w:w="108" w:type="dxa"/>
              <w:top w:w="0" w:type="dxa"/>
              <w:right w:w="108" w:type="dxa"/>
              <w:bottom w:w="0" w:type="dxa"/>
            </w:tcMar>
            <w:tcW w:w="18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幕府山街道</w:t>
            </w:r>
            <w:r/>
          </w:p>
        </w:tc>
        <w:tc>
          <w:tcPr>
            <w:tcMar>
              <w:left w:w="108" w:type="dxa"/>
              <w:top w:w="0" w:type="dxa"/>
              <w:right w:w="108" w:type="dxa"/>
              <w:bottom w:w="0" w:type="dxa"/>
            </w:tcMar>
            <w:tcW w:w="170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w:t>
            </w:r>
            <w:r/>
          </w:p>
        </w:tc>
        <w:tc>
          <w:tcPr>
            <w:tcMar>
              <w:left w:w="108" w:type="dxa"/>
              <w:top w:w="0" w:type="dxa"/>
              <w:right w:w="108" w:type="dxa"/>
              <w:bottom w:w="0" w:type="dxa"/>
            </w:tcMar>
            <w:tcW w:w="1226"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bl>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兼投兼中说明：同一供应商可以同时参加多个采购包，兼投兼中；供应商需按采购包分别制作响应文件。</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合同履行期限：自签订合同之日起一年完成。</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本项目（是/否）接受联合体：否 </w:t>
      </w:r>
      <w:r/>
    </w:p>
    <w:p>
      <w:pPr>
        <w:jc w:val="left"/>
        <w:spacing w:line="360" w:lineRule="auto"/>
        <w:rPr>
          <w:rFonts w:ascii="宋体" w:hAnsi="宋体" w:cs="宋体"/>
          <w:color w:val="000000" w:themeColor="text1"/>
          <w:sz w:val="24"/>
          <w:szCs w:val="24"/>
          <w14:textFill>
            <w14:solidFill>
              <w14:schemeClr w14:val="tx1"/>
            </w14:solidFill>
          </w14:textFill>
        </w:rPr>
      </w:pPr>
      <w:r/>
      <w:bookmarkStart w:id="32" w:name="_Toc28359018"/>
      <w:r/>
      <w:bookmarkStart w:id="33" w:name="_Toc28359095"/>
      <w:r/>
      <w:bookmarkStart w:id="34" w:name="_Toc35393636"/>
      <w:r/>
      <w:bookmarkStart w:id="35" w:name="_Toc35393805"/>
      <w:r>
        <w:rPr>
          <w:rFonts w:hint="eastAsia" w:ascii="宋体" w:hAnsi="宋体" w:cs="宋体"/>
          <w:color w:val="000000" w:themeColor="text1"/>
          <w:sz w:val="24"/>
          <w:szCs w:val="24"/>
          <w14:textFill>
            <w14:solidFill>
              <w14:schemeClr w14:val="tx1"/>
            </w14:solidFill>
          </w14:textFill>
        </w:rPr>
        <w:t xml:space="preserve">二、申请人的资格要求：</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6" w:name="_Toc28359081"/>
      <w:r/>
      <w:bookmarkStart w:id="37" w:name="_Toc35393624"/>
      <w:r/>
      <w:bookmarkStart w:id="38" w:name="_Toc35393623"/>
      <w:r/>
      <w:bookmarkStart w:id="39" w:name="_Toc28359004"/>
      <w:r/>
      <w:bookmarkStart w:id="40" w:name="_Toc28359005"/>
      <w:r/>
      <w:bookmarkStart w:id="41" w:name="_Toc35393793"/>
      <w:r/>
      <w:bookmarkStart w:id="42" w:name="_Toc35393792"/>
      <w:r/>
      <w:bookmarkStart w:id="43" w:name="_Toc28359082"/>
      <w:r>
        <w:rPr>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提供上一年度（或2024年度）审计报告，或投标截止时间前六个月内任意一个月的财务状况报告（至少包括资产负债表和利润表）或投标截止时间前六个月内银行出具的资信证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免缴的应提供相应文件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5.参加政府采购活动前三年内，在经营活动中没有重大违法记录（提供承诺书原件）；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6.法律、行政法规规定的其他条件，提供相关证明材料：无。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注：①前款第5条所称重大违法记录，是指供应商因违法经营受到刑事处罚或者责令停产停业、吊销许可证或者执照、较大数额罚款等行政处罚。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（1）本项目整体专门面向中小企业采购服务。</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（2）本项目整体专门面向小微企业采购服务。</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（3）本项目通过以下第（）种方式预留部分采购份额采购中小企业服务：</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①本项目要求供应商以联合体形式参加，中小企业合同金额应当达到的比例为 / %。</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②本项目要求供应商进行合同分包，中小企业合同金额应当达到的比例为 / %。</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（三）本项目的特定资格要求：根据《南京市公益创投项目管理办法》（宁社管〔2023〕49 号），供应商必须为在江苏省民政厅,或南京市民政局，或南京市鼓楼区民政局登记成立的法人机构。</w:t>
      </w:r>
      <w:bookmarkEnd w:id="32"/>
      <w:r/>
      <w:bookmarkEnd w:id="33"/>
      <w:r/>
      <w:bookmarkEnd w:id="34"/>
      <w:r/>
      <w:bookmarkEnd w:id="35"/>
      <w:r/>
      <w:bookmarkEnd w:id="36"/>
      <w:r/>
      <w:bookmarkEnd w:id="37"/>
      <w:r/>
      <w:bookmarkEnd w:id="38"/>
      <w:r/>
      <w:bookmarkEnd w:id="39"/>
      <w:r/>
      <w:bookmarkEnd w:id="40"/>
      <w:r/>
      <w:bookmarkEnd w:id="41"/>
      <w:r/>
      <w:bookmarkEnd w:id="42"/>
      <w:r/>
      <w:bookmarkEnd w:id="43"/>
      <w:r>
        <w:rPr>
          <w:rFonts w:ascii="SimSun" w:hAnsi="SimSun" w:eastAsia="SimSun" w:cs="SimSun"/>
          <w:b/>
          <w:color w:val="000000"/>
          <w:sz w:val="24"/>
        </w:rPr>
        <w:t xml:space="preserve">（提供证书复印件加盖公章）</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（四）拒绝下述供应商参加本次采购活动：</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562"/>
        <w:jc w:val="left"/>
        <w:spacing w:line="360" w:lineRule="auto"/>
        <w:rPr>
          <w:rFonts w:ascii="宋体" w:hAnsi="宋体" w:cs="宋体"/>
          <w:color w:val="000000" w:themeColor="text1"/>
          <w:sz w:val="24"/>
          <w:szCs w:val="24"/>
          <w14:textFill>
            <w14:solidFill>
              <w14:schemeClr w14:val="tx1"/>
            </w14:solidFill>
          </w14:textFill>
        </w:rPr>
      </w:pPr>
      <w:r/>
      <w:bookmarkStart w:id="44" w:name="_Toc28359085"/>
      <w:r/>
      <w:bookmarkStart w:id="45" w:name="_Toc35393627"/>
      <w:r/>
      <w:bookmarkStart w:id="46" w:name="_Toc35393796"/>
      <w:r/>
      <w:bookmarkStart w:id="47" w:name="_Toc28359008"/>
      <w:r>
        <w:rPr>
          <w:rFonts w:hint="eastAsia" w:ascii="宋体" w:hAnsi="宋体" w:cs="宋体"/>
          <w:b/>
          <w:color w:val="000000" w:themeColor="text1"/>
          <w:sz w:val="24"/>
          <w:szCs w:val="24"/>
          <w14:textFill>
            <w14:solidFill>
              <w14:schemeClr w14:val="tx1"/>
            </w14:solidFill>
          </w14:textFill>
        </w:rPr>
        <w:t xml:space="preserve">三、</w:t>
      </w:r>
      <w:bookmarkStart w:id="48" w:name="_Toc35393626"/>
      <w:r/>
      <w:bookmarkStart w:id="49" w:name="_Toc35393795"/>
      <w:r>
        <w:rPr>
          <w:rFonts w:hint="eastAsia" w:ascii="宋体" w:hAnsi="宋体" w:cs="宋体"/>
          <w:b/>
          <w:color w:val="000000" w:themeColor="text1"/>
          <w:sz w:val="24"/>
          <w:szCs w:val="24"/>
          <w14:textFill>
            <w14:solidFill>
              <w14:schemeClr w14:val="tx1"/>
            </w14:solidFill>
          </w14:textFill>
        </w:rPr>
        <w:t xml:space="preserve">获取采购文件</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时间：自磋商文件公告发布之日起5个工作日 </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地点：江苏政府采购网 </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方式：网上下载 </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售价：0.00元</w:t>
      </w:r>
      <w:r/>
    </w:p>
    <w:p>
      <w:pPr>
        <w:ind w:firstLine="562"/>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四、提交投标文件截止时间、开标时间和地点</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color w:val="000000" w:themeColor="text1"/>
          <w:sz w:val="24"/>
          <w:szCs w:val="24"/>
          <w:u w:val="single"/>
          <w14:textFill>
            <w14:solidFill>
              <w14:schemeClr w14:val="tx1"/>
            </w14:solidFill>
          </w14:textFill>
        </w:rPr>
        <w:t xml:space="preserve">2026年6月10日9时30分</w:t>
      </w:r>
      <w:r>
        <w:rPr>
          <w:rFonts w:hint="eastAsia" w:ascii="宋体" w:hAnsi="宋体" w:cs="宋体"/>
          <w:color w:val="000000" w:themeColor="text1"/>
          <w:sz w:val="24"/>
          <w:szCs w:val="24"/>
          <w14:textFill>
            <w14:solidFill>
              <w14:schemeClr w14:val="tx1"/>
            </w14:solidFill>
          </w14:textFill>
        </w:rPr>
        <w:t xml:space="preserve">（北京时间）</w:t>
      </w:r>
      <w:r/>
    </w:p>
    <w:p>
      <w:pPr>
        <w:ind w:firstLine="56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color w:val="000000" w:themeColor="text1"/>
          <w:sz w:val="24"/>
          <w:szCs w:val="24"/>
          <w:u w:val="single"/>
          <w14:textFill>
            <w14:solidFill>
              <w14:schemeClr w14:val="tx1"/>
            </w14:solidFill>
          </w14:textFill>
        </w:rPr>
        <w:t xml:space="preserve">江苏省政府采购管理交易系统（苏采云）（以下简称“苏采云”）（网址：http://jszfcg.jsczt.cn/）；开标地点：“苏采云”网上开标大厅。</w:t>
      </w:r>
      <w:r/>
    </w:p>
    <w:p>
      <w:pPr>
        <w:ind w:firstLine="56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五、公告期限</w:t>
      </w:r>
      <w:bookmarkEnd w:id="48"/>
      <w:r/>
      <w:bookmarkEnd w:id="49"/>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自本公告在法定媒体发布之日起3个工作日。</w:t>
      </w:r>
      <w:r/>
    </w:p>
    <w:p>
      <w:pPr>
        <w:ind w:firstLine="562"/>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六、其他补充事宜</w:t>
      </w:r>
      <w:r/>
    </w:p>
    <w:p>
      <w:pPr>
        <w:ind w:firstLine="560"/>
        <w:jc w:val="left"/>
        <w:spacing w:line="360" w:lineRule="auto"/>
        <w:rPr>
          <w:rFonts w:ascii="宋体" w:hAnsi="宋体" w:cs="宋体"/>
          <w:color w:val="000000" w:themeColor="text1"/>
          <w:sz w:val="24"/>
          <w:szCs w:val="24"/>
          <w14:textFill>
            <w14:solidFill>
              <w14:schemeClr w14:val="tx1"/>
            </w14:solidFill>
          </w14:textFill>
        </w:rPr>
      </w:pPr>
      <w:r/>
      <w:bookmarkStart w:id="50" w:name="OLE_LINK1"/>
      <w:r>
        <w:rPr>
          <w:rFonts w:hint="eastAsia" w:ascii="宋体" w:hAnsi="宋体" w:cs="宋体"/>
          <w:color w:val="000000" w:themeColor="text1"/>
          <w:sz w:val="24"/>
          <w:szCs w:val="24"/>
          <w14:textFill>
            <w14:solidFill>
              <w14:schemeClr w14:val="tx1"/>
            </w14:solidFill>
          </w14:textFill>
        </w:rPr>
        <w:t xml:space="preserve">1、本项目采购标的所属行业为：其他未列明行业。</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3、集中考察或答疑：</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5、公告媒体</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6、采购项目需要落实的政府采购政策：</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（1）政府采购促进中小企业发展</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（2）政府采购支持监狱企业发展</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（3）政府采购促进残疾人就业</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（4）政府采购鼓励采购节能环保产品</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hint="eastAsia" w:ascii="宋体" w:hAnsi="宋体" w:cs="宋体"/>
          <w:color w:val="000000" w:themeColor="text1"/>
          <w:sz w:val="24"/>
          <w:szCs w:val="24"/>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应在响应文件中，随响应文件一并提交。</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（1）符合国家相关规定的财务状况报告；</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（2）依法缴纳税收的证明材料；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（3）依法缴纳社会保障资金的证明材料；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（4）具备履行政府采购合同所必需的设备和专业技术能力的证明材料；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（5）参加政府采购活动前三年内在经营活动中没有重大违法记录的证明材料；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供应商涉及以下情形的，不适用信用承诺，仍须提供上述证明材料：</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（1）供应商被列入严重失信主体名单；</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（2）被相关监管部门作出行政处罚且尚在处罚有效期内；</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（3）其他法律、行政法规规定的不适用信用承诺的情形。</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供应商对信用承诺内容的真实性、合法性、有效性负责。如作出虚假信用承诺，视同为“提供虚假材料谋取中标、成交”的违法行为。</w:t>
      </w:r>
      <w:bookmarkEnd w:id="50"/>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bookmarkEnd w:id="44"/>
      <w:r/>
      <w:bookmarkEnd w:id="45"/>
      <w:r/>
      <w:bookmarkEnd w:id="46"/>
      <w:r/>
      <w:bookmarkEnd w:id="47"/>
      <w:r/>
      <w:r/>
    </w:p>
    <w:p>
      <w:pPr>
        <w:ind w:firstLine="560"/>
        <w:jc w:val="left"/>
        <w:spacing w:line="360" w:lineRule="auto"/>
        <w:rPr>
          <w:rFonts w:ascii="宋体" w:hAnsi="宋体" w:cs="宋体"/>
          <w:color w:val="000000" w:themeColor="text1"/>
          <w:sz w:val="24"/>
          <w:szCs w:val="24"/>
          <w14:textFill>
            <w14:solidFill>
              <w14:schemeClr w14:val="tx1"/>
            </w14:solidFill>
          </w14:textFill>
        </w:rPr>
      </w:pPr>
      <w:r/>
      <w:bookmarkStart w:id="51" w:name="_Toc35393637"/>
      <w:r/>
      <w:bookmarkStart w:id="52" w:name="_Toc28359096"/>
      <w:r/>
      <w:bookmarkStart w:id="53" w:name="_Toc28359019"/>
      <w:r/>
      <w:bookmarkStart w:id="54" w:name="_Toc35393806"/>
      <w:r>
        <w:rPr>
          <w:rFonts w:hint="eastAsia" w:ascii="宋体" w:hAnsi="宋体" w:cs="宋体"/>
          <w:color w:val="000000" w:themeColor="text1"/>
          <w:sz w:val="24"/>
          <w:szCs w:val="24"/>
          <w14:textFill>
            <w14:solidFill>
              <w14:schemeClr w14:val="tx1"/>
            </w14:solidFill>
          </w14:textFill>
        </w:rPr>
        <w:t xml:space="preserve">1.采购人信息</w:t>
      </w:r>
      <w:bookmarkEnd w:id="51"/>
      <w:r/>
      <w:bookmarkEnd w:id="52"/>
      <w:r/>
      <w:bookmarkEnd w:id="53"/>
      <w:r/>
      <w:bookmarkEnd w:id="54"/>
      <w:r/>
      <w:r/>
    </w:p>
    <w:p>
      <w:pPr>
        <w:ind w:firstLine="56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名称：南京市鼓楼区民政局</w:t>
      </w:r>
      <w:r/>
    </w:p>
    <w:p>
      <w:pPr>
        <w:ind w:firstLine="560"/>
        <w:spacing w:line="360" w:lineRule="auto"/>
        <w:rPr>
          <w:rFonts w:ascii="宋体" w:hAnsi="宋体" w:cs="宋体"/>
          <w:color w:val="000000" w:themeColor="text1"/>
          <w:sz w:val="24"/>
          <w:szCs w:val="24"/>
          <w14:textFill>
            <w14:solidFill>
              <w14:schemeClr w14:val="tx1"/>
            </w14:solidFill>
          </w14:textFill>
        </w:rPr>
      </w:pPr>
      <w:r/>
      <w:bookmarkStart w:id="55" w:name="_Toc28359020"/>
      <w:r/>
      <w:bookmarkStart w:id="56" w:name="_Toc35393638"/>
      <w:r/>
      <w:bookmarkStart w:id="57" w:name="_Toc35393807"/>
      <w:r/>
      <w:bookmarkStart w:id="58" w:name="_Toc28359097"/>
      <w:r>
        <w:rPr>
          <w:rFonts w:hint="eastAsia" w:ascii="宋体" w:hAnsi="宋体" w:cs="宋体"/>
          <w:color w:val="000000" w:themeColor="text1"/>
          <w:sz w:val="24"/>
          <w:szCs w:val="24"/>
          <w14:textFill>
            <w14:solidFill>
              <w14:schemeClr w14:val="tx1"/>
            </w14:solidFill>
          </w14:textFill>
        </w:rPr>
        <w:t xml:space="preserve">地址：鼓楼区山西路84号</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联系人：徐知淼</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联系方式：025-84722362</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bookmarkEnd w:id="55"/>
      <w:r/>
      <w:bookmarkEnd w:id="56"/>
      <w:r/>
      <w:bookmarkEnd w:id="57"/>
      <w:r/>
      <w:bookmarkEnd w:id="58"/>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rPr>
          <w:rFonts w:hint="eastAsia" w:ascii="宋体" w:hAnsi="宋体" w:cs="宋体"/>
          <w:color w:val="000000" w:themeColor="text1"/>
          <w:sz w:val="24"/>
          <w:szCs w:val="24"/>
          <w:u w:val="single"/>
          <w14:textFill>
            <w14:solidFill>
              <w14:schemeClr w14:val="tx1"/>
            </w14:solidFill>
          </w14:textFill>
        </w:rPr>
        <w:t xml:space="preserve">南京苏宁工程咨询有限公司</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rPr>
          <w:rFonts w:hint="eastAsia" w:ascii="宋体" w:hAnsi="宋体" w:cs="宋体"/>
          <w:color w:val="000000" w:themeColor="text1"/>
          <w:sz w:val="24"/>
          <w:szCs w:val="24"/>
          <w:u w:val="single"/>
          <w14:textFill>
            <w14:solidFill>
              <w14:schemeClr w14:val="tx1"/>
            </w14:solidFill>
          </w14:textFill>
        </w:rPr>
        <w:t xml:space="preserve">南京市鼓楼区中山路99号12楼</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u w:val="single"/>
          <w14:textFill>
            <w14:solidFill>
              <w14:schemeClr w14:val="tx1"/>
            </w14:solidFill>
          </w14:textFill>
        </w:rPr>
        <w:t xml:space="preserve">李佳蓉、025-84200809</w:t>
      </w:r>
      <w:r/>
    </w:p>
    <w:p>
      <w:pPr>
        <w:ind w:firstLine="560"/>
        <w:jc w:val="left"/>
        <w:spacing w:line="360" w:lineRule="auto"/>
        <w:rPr>
          <w:rFonts w:ascii="宋体" w:hAnsi="宋体" w:cs="宋体"/>
          <w:color w:val="000000" w:themeColor="text1"/>
          <w:sz w:val="24"/>
          <w:szCs w:val="24"/>
          <w14:textFill>
            <w14:solidFill>
              <w14:schemeClr w14:val="tx1"/>
            </w14:solidFill>
          </w14:textFill>
        </w:rPr>
      </w:pPr>
      <w:r/>
      <w:bookmarkStart w:id="59" w:name="_Toc35393639"/>
      <w:r/>
      <w:bookmarkStart w:id="60" w:name="_Toc35393808"/>
      <w:r/>
      <w:bookmarkStart w:id="61" w:name="_Toc28359098"/>
      <w:r/>
      <w:bookmarkStart w:id="62" w:name="_Toc28359021"/>
      <w:r>
        <w:rPr>
          <w:rFonts w:hint="eastAsia" w:ascii="宋体" w:hAnsi="宋体" w:cs="宋体"/>
          <w:color w:val="000000" w:themeColor="text1"/>
          <w:sz w:val="24"/>
          <w:szCs w:val="24"/>
          <w14:textFill>
            <w14:solidFill>
              <w14:schemeClr w14:val="tx1"/>
            </w14:solidFill>
          </w14:textFill>
        </w:rPr>
        <w:t xml:space="preserve">3.项目联系方式</w:t>
      </w:r>
      <w:bookmarkEnd w:id="59"/>
      <w:r/>
      <w:bookmarkEnd w:id="60"/>
      <w:r/>
      <w:bookmarkEnd w:id="61"/>
      <w:r/>
      <w:bookmarkEnd w:id="62"/>
      <w:r/>
      <w:r/>
    </w:p>
    <w:p>
      <w:pPr>
        <w:pStyle w:val="899"/>
        <w:ind w:firstLine="56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项目联系人：</w:t>
      </w:r>
      <w:r>
        <w:rPr>
          <w:rFonts w:hint="eastAsia" w:hAnsi="宋体" w:cs="宋体"/>
          <w:color w:val="000000" w:themeColor="text1"/>
          <w:sz w:val="24"/>
          <w:szCs w:val="24"/>
          <w:u w:val="single"/>
          <w14:textFill>
            <w14:solidFill>
              <w14:schemeClr w14:val="tx1"/>
            </w14:solidFill>
          </w14:textFill>
        </w:rPr>
        <w:t xml:space="preserve">李佳蓉</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rPr>
          <w:rFonts w:hint="eastAsia" w:ascii="宋体" w:hAnsi="宋体" w:cs="宋体"/>
          <w:color w:val="000000" w:themeColor="text1"/>
          <w:sz w:val="24"/>
          <w:szCs w:val="24"/>
          <w:u w:val="single"/>
          <w14:textFill>
            <w14:solidFill>
              <w14:schemeClr w14:val="tx1"/>
            </w14:solidFill>
          </w14:textFill>
        </w:rPr>
        <w:t xml:space="preserve">025-84200809</w:t>
      </w:r>
      <w:r/>
    </w:p>
    <w:p>
      <w:pPr>
        <w:pStyle w:val="896"/>
        <w:ind w:left="126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340"/>
        <w:jc w:val="center"/>
        <w:rPr>
          <w:rFonts w:ascii="宋体" w:hAnsi="宋体" w:cs="宋体"/>
          <w:color w:val="000000" w:themeColor="text1"/>
          <w:spacing w:val="-10"/>
          <w:sz w:val="36"/>
          <w:szCs w:val="36"/>
          <w14:textFill>
            <w14:solidFill>
              <w14:schemeClr w14:val="tx1"/>
            </w14:solidFill>
          </w14:textFill>
        </w:rPr>
        <w:sectPr>
          <w:headerReference w:type="default" r:id="rId9"/>
          <w:footerReference w:type="default" r:id="rId12"/>
          <w:footnotePr/>
          <w:endnotePr/>
          <w:type w:val="nextPage"/>
          <w:pgSz w:w="11850" w:h="16783" w:orient="portrait"/>
          <w:pgMar w:top="1440" w:right="1236" w:bottom="1440" w:left="1236" w:header="454" w:footer="1134" w:gutter="0"/>
          <w:cols w:num="1" w:sep="0" w:space="720" w:equalWidth="1"/>
          <w:docGrid w:linePitch="360"/>
        </w:sectPr>
      </w:pPr>
      <w:r>
        <w:rPr>
          <w:rFonts w:ascii="宋体" w:hAnsi="宋体" w:cs="宋体"/>
          <w:color w:val="000000" w:themeColor="text1"/>
          <w:spacing w:val="-10"/>
          <w:sz w:val="36"/>
          <w:szCs w:val="36"/>
          <w14:textFill>
            <w14:solidFill>
              <w14:schemeClr w14:val="tx1"/>
            </w14:solidFill>
          </w14:textFill>
        </w:rPr>
      </w:r>
      <w:r/>
    </w:p>
    <w:p>
      <w:pPr>
        <w:ind w:firstLine="340"/>
        <w:jc w:val="center"/>
        <w:rPr>
          <w:rFonts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pacing w:val="-10"/>
          <w:sz w:val="36"/>
          <w:szCs w:val="36"/>
          <w14:textFill>
            <w14:solidFill>
              <w14:schemeClr w14:val="tx1"/>
            </w14:solidFill>
          </w14:textFill>
        </w:rPr>
        <w:t xml:space="preserve">第二章  竞争性磋商须知</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一、总则</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1、适用法律</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1.1《中华人民共和国政府采购法》、《中华人民共和国政府采购法实施条例》、《政府采购非招标方式管理办法》等有关法律、规章和规定等。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2、定义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2.1“供应商”是指参加磋商竞争，并符合采购文件规定资格条件的法人、其他组织或者自然人。</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2.2“货物和服务”指本磋商文件中所述产品及相关服务。</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2.3“用户或使用单位”是指使用服务的单位。</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3、政策功能</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（1）在货物采购项目中，货物由中小企业制造，即货物由中小企业生产且使用该中小企业商号或者注册商标；</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（2）在工程采购项目中，工程由中小企业承建，即工程施工单位为中小企业；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（3）在服务采购项目中，服务由中小企业承接，即提供服务的人员为中小企业依照《中华人民共和国劳动民法典》订立劳动合同的从业人员。</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中小企业供应商参加政府采购活动，应当出具《中小企业声明函》（格式见后附件），否则不得享受相关中小企业扶持政策。</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提供的产品属于信息安全产品的，供应商应当选择经国家认证的信息安全产品磋商，并提供由中国信息安全认证中心按国家标准认证颁发的有效认证证书扫描件。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3.6 提供的产品属于政府强制采购节能产品的，供应商应当选择经过认证的节能产品磋商，并提供有效的节能产品认证证书扫描件。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3.7 提供的产品属于环境标志产品的,供应商应当选择经过认证的环境标志产品磋商,并提供有效的环境标志产品认证证书扫描件。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4、磋商费用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4.1 供应商应承担所有与准备和参加磋商有关的费用，无论采购结果如何，代理机构和采购人在任何情况下均无义务和责任承担这些费用。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4.2本次招标，中标服务费</w:t>
      </w:r>
      <w:r>
        <w:rPr>
          <w:rFonts w:hint="eastAsia" w:ascii="宋体" w:hAnsi="宋体" w:cs="宋体"/>
          <w:color w:val="000000" w:themeColor="text1"/>
          <w:szCs w:val="21"/>
          <w14:textFill>
            <w14:solidFill>
              <w14:schemeClr w14:val="tx1"/>
            </w14:solidFill>
          </w14:textFill>
        </w:rPr>
        <w:t xml:space="preserve">叁万元整，由各成交供应商均摊</w:t>
      </w:r>
      <w:r>
        <w:rPr>
          <w:rFonts w:hint="eastAsia" w:ascii="宋体" w:hAnsi="宋体" w:cs="宋体"/>
          <w:color w:val="000000" w:themeColor="text1"/>
          <w:szCs w:val="21"/>
          <w:lang w:val="zh-CN"/>
          <w14:textFill>
            <w14:solidFill>
              <w14:schemeClr w14:val="tx1"/>
            </w14:solidFill>
          </w14:textFill>
        </w:rPr>
        <w:t xml:space="preserve">。该项费用请供应商综合考虑在投标报价中，后期采购人不单独列支，必须在领取中标通知书前向招标代理机构支付招标服务费。</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二、响应文件编制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5.递交响应文件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5.1供应商应由其法定代表人或法定代表人授权委托人在规定的响应时间内，递交响应文件。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5.2供应商应当对采购文件提出的要求和条件作出实质性响应，并在响应文件中逐条应答。</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供应商应对要求提供的资格证明文件（如资质证书、资格证书）、技术资料（如白皮书、彩页、手册、检测报告等）提供复印件加盖公章。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服务属于小微企业提供的，应在响应文件中说明。</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6、响应文件的语言、计量单位、货币和编制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6.1供应商提交的响应文件、技术文件和资料，包括图纸中的说明应使用中文。响应文件中若有英文或其他语言文字的资料，应提供相应的中文翻译资料。对不同文本响应文件的解释发生异议的，以中文文本为准。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6.2供应商所使用的计量单位应为国家法定计量单位。</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6.3供应商所使用的币种位应为人民币，单位为“元”。</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6.4供应商所使用的技术标准应遵循国家最新标准及规范。</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7、响应文件的组成</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（1）★竞争性磋商申请及声明；</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（2）★法定代表人授权委托书及委托代理人的身份证复印件；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（3）★第一章磋商邀请中二、申请人的资格要求；</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（4）★《南京市政府采购供应商信用记录表暨信用承诺书》；</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（5）《商务条款偏离表》；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（6）合同草案条款；</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（7）供应商认为需要提供的其他资格证明文件和商务资料。</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7.3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（1）服务内容的详细说明；</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（2）项目集成或实施方案；</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（3）服务承诺；</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（4）供应商认为需要提供的其他技术资料。</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7.4响应文件的价格部分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（1）价格部分是对货物和服务价格构成的说明，磋商文件如没有特别说明的话，对每一项货物和服务仅接受一个价格。</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（2）报价应包含完成本货物和服务项目发生的所有含税费用、支付给员工的工资和国家强制缴纳的各种社会保障资金，以及供应商认为需要的其他费用等。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（3）供应商应充分考虑到市场价格变动，以及项目实施过程中的不可预见因素，一旦成交，总价格不变。如果有漏项，视同让利。</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（4）经磋商后，如果成交价高于或低于供应商在响应文件首次报价的，分项报价同比例调整。</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7.5响应文件的其他部分。其他部分由供应商根据编制响应文件需要提供的其他相关文件。</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7.6评审中出现下列情形之一的，评审委员会应当启动异常低价投标（响应）审查程序：</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相关法律法规对供应商报价有规定的，从其规定。</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8.竞争性磋商保证金：无。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三、响应文件盖章、修改和撤回</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9.响应文件盖章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9.1供应商应按照采购文件要求，对需要加盖公章的资格证明文件和有关资料加盖公章后编入响应文件。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9.2供应商应在响应文件指定位置加盖公章。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9.3有下列情形之一的响应文件将拒收：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（1）在磋商文件要求提交响应文件的截止时间之后递交的。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10.响应文件的修改和撤回</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 投标文件的修改</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.1投标人可在投标截止时间前对其电子投标文件进行修改，具体操作方法见《操作手册》。</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.2投标截止时间之后，投标人不得对其电子投标文件作任何修改。</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 投标文件的撤回</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10.2.1 投标人可在投标截止时间前撤回其电子投标文件，具体操作方法见《操作手册》。</w:t>
      </w:r>
      <w:r/>
    </w:p>
    <w:p>
      <w:pPr>
        <w:ind w:firstLine="42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10.2.2 投标人撤回电子投标文件，则认为其不再参与本项目投标活动。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3 在投标截止时间至招标文件中规定的投标有效期满之间的这段时间内，投标人不得撤回其投标。</w:t>
      </w:r>
      <w:bookmarkStart w:id="63" w:name="_Toc20823301"/>
      <w:r/>
      <w:bookmarkEnd w:id="63"/>
      <w:r/>
      <w:bookmarkStart w:id="64" w:name="_Toc120614218"/>
      <w:r/>
      <w:bookmarkEnd w:id="64"/>
      <w:r/>
      <w:bookmarkStart w:id="65" w:name="_Toc16938545"/>
      <w:r/>
      <w:bookmarkEnd w:id="65"/>
      <w:r/>
      <w:bookmarkStart w:id="66" w:name="_Toc513029229"/>
      <w:r/>
      <w:bookmarkEnd w:id="66"/>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四、磋商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11.联合体：本项目不接受联合体投标。</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11.1两个以上的自然人、法人或者其他组织可以组成一个联合体，以一个供应商的身份共同参加竞争性磋商。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11.2鼓励大中型企业和其他自然人、法人或者其他组织与小型、微型企业组成联合体共同参加非专门面向中小企业的政府采购活动。大中型企业和其他自然人、法人或者其他组织可以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价格扣除。组成联合体的大中型企业和其他自然人、法人或者其他组织，与小型、微型企业之间不得存在投资关系。</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11.3以联合体形式参加竞争性磋商</w:t>
      </w:r>
      <w:r>
        <w:rPr>
          <w:rFonts w:hint="eastAsia" w:ascii="宋体" w:hAnsi="宋体" w:cs="宋体"/>
          <w:color w:val="000000" w:themeColor="text1"/>
          <w:szCs w:val="21"/>
          <w:lang w:val="zh-CN"/>
          <w14:textFill>
            <w14:solidFill>
              <w14:schemeClr w14:val="tx1"/>
            </w14:solidFill>
          </w14:textFill>
        </w:rPr>
        <w:t xml:space="preserve">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11.4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11.5政府采购合同分包履行的，中标供应商就采购项目和分包项目向采购人负责，分包项目供应商就分包项目承担责任，中标供应商与分包供应商之间应该签订分包意向协议。</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11.6享受中小企业扶持政策获得政府采购合同的，小微企业不得将合同分包给大中型企业，中型企业不得将合同分包给大型企业。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11.7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12.磋商组织及程序</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12.1在提交响应文件时间截止后，代理机构在规定的时间和地点组织磋商小组分别与供应商进行磋商。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12.2磋商工作由代理机构负责组织，具体磋商事务由依法组建的磋商小组负责。</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12.3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12.4磋商小组所有成员集中与单一供应商分别进行磋商，所有参加磋商的供应商均有同等的磋商机会。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12.5磋商过程中，磋商小组根据磋商文件和磋商情况可能实质性变动采购需求中的技术、服务要求以及合同草案条款。实质性变动是磋商文件的有效组成部分，磋商小组将以书面形式通知所有参加磋商的供应商。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12.6供应商应当按照磋商文件的变动情况和磋商小组的要求重新提交响应文件，并由法定代表人或授权代表签字确认。</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12.7磋商结束后，磋商小组将要求所有继续参加磋商的供应商在规定时间内提交最后报价并由法定代表人或授权委托人签字确认，最后报价是供应商响应文件的有效组成部分。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12.8已提交响应文件的供应商，在提交最后报价之前，可以根据磋商情况退出磋商。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12.9出现下列情形之一的响应文件按照无效处理：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（1）未按磋商文件规定签署、盖章的；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（2）不具备磋商文件规定资格条件的；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（4）未提供《南京市政府采购供应商信用记录表暨信用承诺书》的；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（5）未实质性响应磋商文件要求的（用“★”加注或特别说明的内容为实质性要求。）；</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（6）属于磋商邀请中拒绝参加本次采购活动供应商的；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）磋商小组认为供应商的报价明显低于其他供应商的报价，有可能影响服务质量或者不能诚信履约的，未在磋商现场合理的时间内提供书面说明或相关证明材料，不能证明其报价合理的；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）不符合法律、法规和磋商文件规定的其他实质性要求的。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12.10出现下列情形之一的，磋商终止：</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（1）因情况变化，不再符合规定的竞争性磋商采购方式适用情形的；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（2）所有供应商的响应文件被磋商小组认定为无效的；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（3）出现影响采购公正的违法、违规行为的；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（4）所有供应商的最终报价均超过采购预算或最高限价的；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（5）因重大变故，采购任务取消的；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（6）采购人需求发生重大变化暂时不能确定或供应商提供的货物和服务不能满足需求等。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（7）预留份额的采购项目或采购包，通过发布公告方式邀请供应商后，符合资格条件的中小企业数量不足3家的。</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）因苏采云系统故障造成开标不成功。</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13.评定成交方法和标准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13.1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13.2综合评分的主要因素是：详见磋商文件第三章。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13.4评定方法，详见磋商文件第三章。</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14.确定成交供应商</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14.1综合比较与评价后按照得分高低顺序对供应商进行排列。得分相同的，按响应报价由低到高顺序排列。得分且响应报价相同的，按技术指标（</w:t>
      </w:r>
      <w:r>
        <w:rPr>
          <w:rFonts w:hint="eastAsia" w:ascii="宋体" w:hAnsi="宋体" w:cs="宋体"/>
          <w:color w:val="000000" w:themeColor="text1"/>
          <w:szCs w:val="21"/>
          <w14:textFill>
            <w14:solidFill>
              <w14:schemeClr w14:val="tx1"/>
            </w14:solidFill>
          </w14:textFill>
        </w:rPr>
        <w:t xml:space="preserve">服务方案</w:t>
      </w:r>
      <w:r>
        <w:rPr>
          <w:rFonts w:hint="eastAsia" w:ascii="宋体" w:hAnsi="宋体" w:cs="宋体"/>
          <w:color w:val="000000" w:themeColor="text1"/>
          <w:szCs w:val="21"/>
          <w:lang w:val="zh-CN"/>
          <w14:textFill>
            <w14:solidFill>
              <w14:schemeClr w14:val="tx1"/>
            </w14:solidFill>
          </w14:textFill>
        </w:rPr>
        <w:t xml:space="preserve">）优劣顺序排列。</w:t>
      </w:r>
      <w:r>
        <w:rPr>
          <w:rFonts w:hint="eastAsia" w:ascii="宋体" w:hAnsi="宋体" w:cs="宋体"/>
          <w:color w:val="000000" w:themeColor="text1"/>
          <w:sz w:val="21"/>
          <w:szCs w:val="21"/>
          <w14:textFill>
            <w14:solidFill>
              <w14:schemeClr w14:val="tx1"/>
            </w14:solidFill>
          </w14:textFill>
        </w:rPr>
        <w:t xml:space="preserve">兼投兼中说明：同一供应商可以同时参加多个采购包，兼投兼中；供应商需按采购包分别制作响应文件。</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14.2按以下第（</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）种方式确定成交供应商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（1）磋商小组直接确定排名第一的成交候选人为成交供应商；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（2）采购人在磋商小组推荐的成交候选人中按顺序确定成交供应商。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14.3成交供应商确定之日起两个工作日内，将在财政部门指定的政府采购信息发布媒体上公告。</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14.4《成交通知书》对采购人和成交供应商具有同等法律效力。</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14.5代理机构对未成交的供应商不作未成交原因的解释。</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14.6所有响应文件不论成交与否，代理机构均不退回。</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14.7成交供应商及时到代理机构领取《成交通知书》。</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15.编写评审报告</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15.1磋商小组根据磋商过程和结果编写评审报告。</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16.签订合同</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16.1成交供应商应当自成交通知书发出之日起三十日内，与采购人签订政府采购合同，所签订的合同不得对磋商文件和响应文件作实质性修改。</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16.2采购人不得向成交供应商提出任何不合理的要求作为签订合同的条件，不得与成交供应商私下订立背离合同实质性内容的协议。</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16.3除不可抗力等因素外，成交通知书发出后，采购人改变成交结果，或者成交供应商拒绝签订政府采购合同的，应当承担相应的法律责任。</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六、询问、质疑、投诉和诚实信用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17、询问</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17.1供应商对采购活动事项有疑问的，可以向代理机构提出询问，代理机构将在两个工作日内作出答复，但答复的内容不涉及商业秘密。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18、质疑</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18.1供应商认为采购文件、采购过程和成交结果使自己的合法权益受到损害的，可以在知道或者应当知道其权益受到损害之日起七个工作日内，将质疑文件原件送达南京苏宁工程咨询有限公司。</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18.2质疑供应商的质疑行为和质疑函的主要内容应符合财政部94号令相关规定，未参加采购活动的供应商或在采购活动中自身权益未受到损害的供应商所提出的质疑不予受理。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18.3上述应知其权益受到损害之日是指：</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（1）对采购文件提出质疑的，为采购文件公告期限届满之日起计算；</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（2）对采购过程提出质疑的，自采购程序环节结束之日起计算；</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（3）对采购结果提出质疑的，自采购结果公告期限届满之日起计算。</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18.4质疑供应商在法定质疑期内应当一次性提出针对同一采购环节的质疑事项。</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18.5代理机构在收到供应商的质疑后将及时组织调查核实，在七个工作日内作出答复，答复的内容不涉及商业秘密。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18.6代理机构遵循“谁过错谁负担”的原则，有过错的一方承担调查论证费用。违规质疑或多次质疑不成立的，将被列入不良行为记录。</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19、投诉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19.1质疑供应商对代理机构的答复不满意，或代理机构未在规定的时间内作出答复的，可以在答复期满后十五个工作日内向采购项目同级财政部门投诉。</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20、诚实信用</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20.1供应商之间不得相互串通报价，不得妨碍其他供应商的公平竞争，不得损害采购人和其他供应商的合法权益。</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20.2供应商不得以向代理机构工作人员、磋商小组成员行贿或者采取其他不正当手段谋取成交。经查实供应商有此行为的，政府采购管理部门将供应商列入不良行为记录名单，按照《政府采购法》有关规定处理。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20.3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20.4供应商不得虚假承诺，否则，按照提供虚假材料谋取成交处理。</w:t>
      </w:r>
      <w:r/>
    </w:p>
    <w:p>
      <w:pPr>
        <w:ind w:firstLine="420"/>
        <w:spacing w:line="259"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20.5供应商应自觉遵守磋商、评审纪律，扰乱磋商、评审现场秩序的，属于失信行为，根据《江苏省政府采购供应商监督管理暂行办法》，失信行为将被记入供应商诚信档案。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spacing w:line="259"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p>
    <w:p>
      <w:pPr>
        <w:jc w:val="center"/>
        <w:spacing w:line="360" w:lineRule="auto"/>
        <w:rPr>
          <w:rFonts w:ascii="宋体" w:hAnsi="宋体" w:cs="宋体"/>
          <w:color w:val="000000" w:themeColor="text1"/>
          <w:spacing w:val="-10"/>
          <w:sz w:val="36"/>
          <w:szCs w:val="36"/>
          <w14:textFill>
            <w14:solidFill>
              <w14:schemeClr w14:val="tx1"/>
            </w14:solidFill>
          </w14:textFill>
        </w:rPr>
      </w:pPr>
      <w:r>
        <w:rPr>
          <w:rFonts w:hint="eastAsia" w:ascii="宋体" w:hAnsi="宋体" w:cs="宋体"/>
          <w:color w:val="000000" w:themeColor="text1"/>
          <w:spacing w:val="-10"/>
          <w:sz w:val="36"/>
          <w:szCs w:val="36"/>
          <w14:textFill>
            <w14:solidFill>
              <w14:schemeClr w14:val="tx1"/>
            </w14:solidFill>
          </w14:textFill>
        </w:rPr>
        <w:t xml:space="preserve">第三章 成交标准</w:t>
      </w:r>
      <w:r/>
    </w:p>
    <w:p>
      <w:pPr>
        <w:ind w:firstLine="56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一、评标方法：</w:t>
      </w:r>
      <w:r>
        <w:rPr>
          <w:rFonts w:hint="eastAsia" w:ascii="宋体" w:hAnsi="宋体" w:cs="宋体"/>
          <w:color w:val="000000" w:themeColor="text1"/>
          <w:szCs w:val="21"/>
          <w:lang w:val="zh-CN"/>
          <w14:textFill>
            <w14:solidFill>
              <w14:schemeClr w14:val="tx1"/>
            </w14:solidFill>
          </w14:textFill>
        </w:rPr>
        <w:t xml:space="preserve">本次评审采用综合评标法，是指投标文件满足招标文件全部实质性要求，且按照评审因素的量化指标评审得分最高的供应商为</w:t>
      </w:r>
      <w:r>
        <w:rPr>
          <w:rFonts w:hint="eastAsia" w:ascii="宋体" w:hAnsi="宋体" w:cs="宋体"/>
          <w:color w:val="000000" w:themeColor="text1"/>
          <w:szCs w:val="21"/>
          <w14:textFill>
            <w14:solidFill>
              <w14:schemeClr w14:val="tx1"/>
            </w14:solidFill>
          </w14:textFill>
        </w:rPr>
        <w:t xml:space="preserve">成交</w:t>
      </w:r>
      <w:r>
        <w:rPr>
          <w:rFonts w:hint="eastAsia" w:ascii="宋体" w:hAnsi="宋体" w:cs="宋体"/>
          <w:color w:val="000000" w:themeColor="text1"/>
          <w:szCs w:val="21"/>
          <w:lang w:val="zh-CN"/>
          <w14:textFill>
            <w14:solidFill>
              <w14:schemeClr w14:val="tx1"/>
            </w14:solidFill>
          </w14:textFill>
        </w:rPr>
        <w:t xml:space="preserve">候选</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lang w:val="zh-CN"/>
          <w14:textFill>
            <w14:solidFill>
              <w14:schemeClr w14:val="tx1"/>
            </w14:solidFill>
          </w14:textFill>
        </w:rPr>
        <w:t xml:space="preserve">的评标方法，评审因素详见评分标准。评分统计方法采用百分制（满分100分），将全部评委评分直接进行算术平均，小数点后保留2位。磋商小组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color w:val="000000" w:themeColor="text1"/>
          <w:szCs w:val="21"/>
          <w14:textFill>
            <w14:solidFill>
              <w14:schemeClr w14:val="tx1"/>
            </w14:solidFill>
          </w14:textFill>
        </w:rPr>
        <w:t xml:space="preserve">服务方案</w:t>
      </w:r>
      <w:r>
        <w:rPr>
          <w:rFonts w:hint="eastAsia" w:ascii="宋体" w:hAnsi="宋体" w:cs="宋体"/>
          <w:color w:val="000000" w:themeColor="text1"/>
          <w:szCs w:val="21"/>
          <w:lang w:val="zh-CN"/>
          <w14:textFill>
            <w14:solidFill>
              <w14:schemeClr w14:val="tx1"/>
            </w14:solidFill>
          </w14:textFill>
        </w:rPr>
        <w:t xml:space="preserve">）优劣顺序排列。</w:t>
      </w:r>
      <w:r>
        <w:rPr>
          <w:rFonts w:hint="eastAsia" w:ascii="宋体" w:hAnsi="宋体" w:cs="宋体"/>
          <w:color w:val="000000" w:themeColor="text1"/>
          <w:sz w:val="24"/>
          <w:szCs w:val="24"/>
          <w14:textFill>
            <w14:solidFill>
              <w14:schemeClr w14:val="tx1"/>
            </w14:solidFill>
          </w14:textFill>
        </w:rPr>
        <w:t xml:space="preserve">兼投兼中说明：同一供应商可以同时参加多个采购包，兼投兼中；供应商需按采购包分别制作响应文件。</w:t>
      </w:r>
      <w:r/>
    </w:p>
    <w:p>
      <w:pPr>
        <w:pStyle w:val="899"/>
        <w:ind w:firstLine="422"/>
        <w:spacing w:line="360" w:lineRule="auto"/>
        <w:tabs>
          <w:tab w:val="right" w:pos="8953" w:leader="none"/>
        </w:tabs>
        <w:rPr>
          <w:rFonts w:hAnsi="宋体" w:cs="宋体"/>
          <w:b/>
          <w:color w:val="000000" w:themeColor="text1"/>
          <w14:textFill>
            <w14:solidFill>
              <w14:schemeClr w14:val="tx1"/>
            </w14:solidFill>
          </w14:textFill>
        </w:rPr>
        <w:outlineLvl w:val="1"/>
      </w:pPr>
      <w:r>
        <w:rPr>
          <w:rFonts w:hint="eastAsia" w:hAnsi="宋体" w:cs="宋体"/>
          <w:b/>
          <w:color w:val="000000" w:themeColor="text1"/>
          <w14:textFill>
            <w14:solidFill>
              <w14:schemeClr w14:val="tx1"/>
            </w14:solidFill>
          </w14:textFill>
        </w:rPr>
        <w:t xml:space="preserve">二、评标标准：</w:t>
      </w:r>
      <w:r/>
    </w:p>
    <w:tbl>
      <w:tblPr>
        <w:tblStyle w:val="9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53"/>
        <w:gridCol w:w="931"/>
      </w:tblGrid>
      <w:tr>
        <w:trPr>
          <w:jc w:val="center"/>
          <w:trHeight w:val="397"/>
        </w:trPr>
        <w:tc>
          <w:tcPr>
            <w:tcMar>
              <w:left w:w="108" w:type="dxa"/>
              <w:top w:w="0" w:type="dxa"/>
              <w:right w:w="108" w:type="dxa"/>
              <w:bottom w:w="0" w:type="dxa"/>
            </w:tcMar>
            <w:tcW w:w="1156"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评审项</w:t>
            </w:r>
            <w:r/>
          </w:p>
        </w:tc>
        <w:tc>
          <w:tcPr>
            <w:tcMar>
              <w:left w:w="108" w:type="dxa"/>
              <w:top w:w="0" w:type="dxa"/>
              <w:right w:w="108" w:type="dxa"/>
              <w:bottom w:w="0" w:type="dxa"/>
            </w:tcMar>
            <w:tcW w:w="6804"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评审细则</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分值</w:t>
            </w:r>
            <w:r/>
          </w:p>
        </w:tc>
      </w:tr>
      <w:tr>
        <w:trPr>
          <w:jc w:val="center"/>
        </w:trPr>
        <w:tc>
          <w:tcPr>
            <w:tcMar>
              <w:left w:w="108" w:type="dxa"/>
              <w:top w:w="0" w:type="dxa"/>
              <w:right w:w="108" w:type="dxa"/>
              <w:bottom w:w="0" w:type="dxa"/>
            </w:tcMar>
            <w:tcW w:w="1156"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价格</w:t>
            </w:r>
            <w:r>
              <w:rPr>
                <w:rFonts w:hint="eastAsia" w:ascii="宋体" w:hAnsi="宋体" w:cs="宋体"/>
                <w:color w:val="000000" w:themeColor="text1"/>
                <w14:textFill>
                  <w14:solidFill>
                    <w14:schemeClr w14:val="tx1"/>
                  </w14:solidFill>
                </w14:textFill>
              </w:rPr>
              <w:t xml:space="preserve">分</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价格分采用低价优先法计算，即满足磋商文件要求且最后报价最低的供应商的报价为磋商基准价，其价格分为满分10分。其它供应商的价格分统一按照以下公式计算：磋商报价得分=(磋商基准价/最后磋商报价)×10分。(小数点后保留2位)</w:t>
            </w:r>
            <w:r/>
          </w:p>
        </w:tc>
        <w:tc>
          <w:tcPr>
            <w:tcMar>
              <w:left w:w="108" w:type="dxa"/>
              <w:top w:w="0" w:type="dxa"/>
              <w:right w:w="108" w:type="dxa"/>
              <w:bottom w:w="0" w:type="dxa"/>
            </w:tcMar>
            <w:tcW w:w="850" w:type="dxa"/>
            <w:vAlign w:val="center"/>
            <w:textDirection w:val="lrTb"/>
            <w:noWrap w:val="false"/>
          </w:tcPr>
          <w:p>
            <w:pPr>
              <w:jc w:val="cente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10</w:t>
            </w:r>
            <w:r/>
          </w:p>
        </w:tc>
      </w:tr>
      <w:tr>
        <w:trPr>
          <w:jc w:val="center"/>
        </w:trPr>
        <w:tc>
          <w:tcPr>
            <w:tcMar>
              <w:left w:w="108" w:type="dxa"/>
              <w:top w:w="0" w:type="dxa"/>
              <w:right w:w="108" w:type="dxa"/>
              <w:bottom w:w="0" w:type="dxa"/>
            </w:tcMar>
            <w:tcW w:w="1156"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预算编制</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预算编制须符合项目经费使用要求，供应商预算编制严格按照服务标准和内容为基础项。</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支出合理，考虑全面，明细清晰得</w:t>
            </w:r>
            <w:r>
              <w:rPr>
                <w:rFonts w:hint="eastAsia" w:ascii="宋体" w:hAnsi="宋体" w:cs="宋体"/>
                <w:color w:val="000000" w:themeColor="text1"/>
                <w14:textFill>
                  <w14:solidFill>
                    <w14:schemeClr w14:val="tx1"/>
                  </w14:solidFill>
                </w14:textFill>
              </w:rPr>
              <w:t xml:space="preserve">12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支出和考虑较为合理得</w:t>
            </w:r>
            <w:r>
              <w:rPr>
                <w:rFonts w:hint="eastAsia" w:ascii="宋体" w:hAnsi="宋体" w:cs="宋体"/>
                <w:color w:val="000000" w:themeColor="text1"/>
                <w14:textFill>
                  <w14:solidFill>
                    <w14:schemeClr w14:val="tx1"/>
                  </w14:solidFill>
                </w14:textFill>
              </w:rPr>
              <w:t xml:space="preserve">9</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支出和考虑</w:t>
            </w:r>
            <w:r>
              <w:rPr>
                <w:rFonts w:hint="eastAsia" w:ascii="宋体" w:hAnsi="宋体" w:cs="宋体"/>
                <w:color w:val="000000" w:themeColor="text1"/>
                <w14:textFill>
                  <w14:solidFill>
                    <w14:schemeClr w14:val="tx1"/>
                  </w14:solidFill>
                </w14:textFill>
              </w:rPr>
              <w:t xml:space="preserve">基本</w:t>
            </w:r>
            <w:r>
              <w:rPr>
                <w:rFonts w:ascii="宋体" w:hAnsi="宋体" w:cs="宋体"/>
                <w:color w:val="000000" w:themeColor="text1"/>
                <w14:textFill>
                  <w14:solidFill>
                    <w14:schemeClr w14:val="tx1"/>
                  </w14:solidFill>
                </w14:textFill>
              </w:rPr>
              <w:t xml:space="preserve">合理得</w:t>
            </w:r>
            <w:r>
              <w:rPr>
                <w:rFonts w:hint="eastAsia" w:ascii="宋体" w:hAnsi="宋体" w:cs="宋体"/>
                <w:color w:val="000000" w:themeColor="text1"/>
                <w14:textFill>
                  <w14:solidFill>
                    <w14:schemeClr w14:val="tx1"/>
                  </w14:solidFill>
                </w14:textFill>
              </w:rPr>
              <w:t xml:space="preserve">6</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支出和考虑略有缺陷得</w:t>
            </w: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12</w:t>
            </w:r>
            <w:r/>
          </w:p>
        </w:tc>
      </w:tr>
      <w:tr>
        <w:trPr>
          <w:jc w:val="center"/>
        </w:trPr>
        <w:tc>
          <w:tcPr>
            <w:tcMar>
              <w:left w:w="108" w:type="dxa"/>
              <w:top w:w="0" w:type="dxa"/>
              <w:right w:w="108" w:type="dxa"/>
              <w:bottom w:w="0" w:type="dxa"/>
            </w:tcMar>
            <w:tcW w:w="1156" w:type="dxa"/>
            <w:vAlign w:val="center"/>
            <w:vMerge w:val="restart"/>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服务方案</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服务方案1：</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根据供应商提供的项目实施方案设计进行评分(包括项目内容、设计构想、功能设置、建设计划等）。</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主题突出，针对性强，内容完整明确且有实际的措施的得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内容较完整明确且可行性较强的得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内容</w:t>
            </w:r>
            <w:r>
              <w:rPr>
                <w:rFonts w:hint="eastAsia" w:ascii="宋体" w:hAnsi="宋体" w:cs="宋体"/>
                <w:color w:val="000000" w:themeColor="text1"/>
                <w14:textFill>
                  <w14:solidFill>
                    <w14:schemeClr w14:val="tx1"/>
                  </w14:solidFill>
                </w14:textFill>
              </w:rPr>
              <w:t xml:space="preserve">基本</w:t>
            </w:r>
            <w:r>
              <w:rPr>
                <w:rFonts w:ascii="宋体" w:hAnsi="宋体" w:cs="宋体"/>
                <w:color w:val="000000" w:themeColor="text1"/>
                <w14:textFill>
                  <w14:solidFill>
                    <w14:schemeClr w14:val="tx1"/>
                  </w14:solidFill>
                </w14:textFill>
              </w:rPr>
              <w:t xml:space="preserve">完整明确且</w:t>
            </w:r>
            <w:r>
              <w:rPr>
                <w:rFonts w:hint="eastAsia" w:ascii="宋体" w:hAnsi="宋体" w:cs="宋体"/>
                <w:color w:val="000000" w:themeColor="text1"/>
                <w14:textFill>
                  <w14:solidFill>
                    <w14:schemeClr w14:val="tx1"/>
                  </w14:solidFill>
                </w14:textFill>
              </w:rPr>
              <w:t xml:space="preserve">具有一定</w:t>
            </w:r>
            <w:r>
              <w:rPr>
                <w:rFonts w:ascii="宋体" w:hAnsi="宋体" w:cs="宋体"/>
                <w:color w:val="000000" w:themeColor="text1"/>
                <w14:textFill>
                  <w14:solidFill>
                    <w14:schemeClr w14:val="tx1"/>
                  </w14:solidFill>
                </w14:textFill>
              </w:rPr>
              <w:t xml:space="preserve">可行性的得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内容不够明确、制度措施不够结合实际的得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服务方案2：</w:t>
            </w:r>
            <w:r/>
          </w:p>
          <w:p>
            <w:pPr>
              <w:spacing w:line="85"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根据供应商提供的项目实施计划的科学性、全面性、可行性进行评分。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各阶段衔接紧密、操作性强、能够有效响应预期目标和需求得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各阶段衔接没有冲突、操作性可行、较好完成预期目标和需求得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各阶段衔接</w:t>
            </w:r>
            <w:r>
              <w:rPr>
                <w:rFonts w:hint="eastAsia" w:ascii="宋体" w:hAnsi="宋体" w:cs="宋体"/>
                <w:color w:val="000000" w:themeColor="text1"/>
                <w14:textFill>
                  <w14:solidFill>
                    <w14:schemeClr w14:val="tx1"/>
                  </w14:solidFill>
                </w14:textFill>
              </w:rPr>
              <w:t xml:space="preserve">基本</w:t>
            </w:r>
            <w:r>
              <w:rPr>
                <w:rFonts w:ascii="宋体" w:hAnsi="宋体" w:cs="宋体"/>
                <w:color w:val="000000" w:themeColor="text1"/>
                <w14:textFill>
                  <w14:solidFill>
                    <w14:schemeClr w14:val="tx1"/>
                  </w14:solidFill>
                </w14:textFill>
              </w:rPr>
              <w:t xml:space="preserve">没有冲突、</w:t>
            </w:r>
            <w:r>
              <w:rPr>
                <w:rFonts w:hint="eastAsia" w:ascii="宋体" w:hAnsi="宋体" w:cs="宋体"/>
                <w:color w:val="000000" w:themeColor="text1"/>
                <w14:textFill>
                  <w14:solidFill>
                    <w14:schemeClr w14:val="tx1"/>
                  </w14:solidFill>
                </w14:textFill>
              </w:rPr>
              <w:t xml:space="preserve">基本</w:t>
            </w:r>
            <w:r>
              <w:rPr>
                <w:rFonts w:ascii="宋体" w:hAnsi="宋体" w:cs="宋体"/>
                <w:color w:val="000000" w:themeColor="text1"/>
                <w14:textFill>
                  <w14:solidFill>
                    <w14:schemeClr w14:val="tx1"/>
                  </w14:solidFill>
                </w14:textFill>
              </w:rPr>
              <w:t xml:space="preserve">可行、</w:t>
            </w:r>
            <w:r>
              <w:rPr>
                <w:rFonts w:hint="eastAsia" w:ascii="宋体" w:hAnsi="宋体" w:cs="宋体"/>
                <w:color w:val="000000" w:themeColor="text1"/>
                <w14:textFill>
                  <w14:solidFill>
                    <w14:schemeClr w14:val="tx1"/>
                  </w14:solidFill>
                </w14:textFill>
              </w:rPr>
              <w:t xml:space="preserve">能够</w:t>
            </w:r>
            <w:r>
              <w:rPr>
                <w:rFonts w:ascii="宋体" w:hAnsi="宋体" w:cs="宋体"/>
                <w:color w:val="000000" w:themeColor="text1"/>
                <w14:textFill>
                  <w14:solidFill>
                    <w14:schemeClr w14:val="tx1"/>
                  </w14:solidFill>
                </w14:textFill>
              </w:rPr>
              <w:t xml:space="preserve">完成预期目标和需求得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各阶段衔接不够紧密、操作性略有缺陷、基本完成预期目标和需求得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服务方案3：</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项目能够整合专业服务支持性资源，为项目运作提供相应专业服务，项目执行人员岗位工作要求描述具体明确，责任清晰，团队人员稳定，项目关键点设置合理，符合要求。</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支持性资源</w:t>
            </w:r>
            <w:r>
              <w:rPr>
                <w:rFonts w:hint="eastAsia" w:ascii="宋体" w:hAnsi="宋体" w:cs="宋体"/>
                <w:color w:val="000000" w:themeColor="text1"/>
                <w14:textFill>
                  <w14:solidFill>
                    <w14:schemeClr w14:val="tx1"/>
                  </w14:solidFill>
                </w14:textFill>
              </w:rPr>
              <w:t xml:space="preserve">完全</w:t>
            </w:r>
            <w:r>
              <w:rPr>
                <w:rFonts w:ascii="宋体" w:hAnsi="宋体" w:cs="宋体"/>
                <w:color w:val="000000" w:themeColor="text1"/>
                <w14:textFill>
                  <w14:solidFill>
                    <w14:schemeClr w14:val="tx1"/>
                  </w14:solidFill>
                </w14:textFill>
              </w:rPr>
              <w:t xml:space="preserve">涵盖</w:t>
            </w:r>
            <w:r>
              <w:rPr>
                <w:rFonts w:hint="eastAsia" w:ascii="宋体" w:hAnsi="宋体" w:cs="宋体"/>
                <w:color w:val="000000" w:themeColor="text1"/>
                <w14:textFill>
                  <w14:solidFill>
                    <w14:schemeClr w14:val="tx1"/>
                  </w14:solidFill>
                </w14:textFill>
              </w:rPr>
              <w:t xml:space="preserve">所投分包</w:t>
            </w:r>
            <w:r>
              <w:rPr>
                <w:rFonts w:ascii="宋体" w:hAnsi="宋体" w:cs="宋体"/>
                <w:color w:val="000000" w:themeColor="text1"/>
                <w14:textFill>
                  <w14:solidFill>
                    <w14:schemeClr w14:val="tx1"/>
                  </w14:solidFill>
                </w14:textFill>
              </w:rPr>
              <w:t xml:space="preserve">专业专家老师得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支持性资源</w:t>
            </w:r>
            <w:r>
              <w:rPr>
                <w:rFonts w:hint="eastAsia" w:ascii="宋体" w:hAnsi="宋体" w:cs="宋体"/>
                <w:color w:val="000000" w:themeColor="text1"/>
                <w14:textFill>
                  <w14:solidFill>
                    <w14:schemeClr w14:val="tx1"/>
                  </w14:solidFill>
                </w14:textFill>
              </w:rPr>
              <w:t xml:space="preserve">能较好</w:t>
            </w:r>
            <w:r>
              <w:rPr>
                <w:rFonts w:ascii="宋体" w:hAnsi="宋体" w:cs="宋体"/>
                <w:color w:val="000000" w:themeColor="text1"/>
                <w14:textFill>
                  <w14:solidFill>
                    <w14:schemeClr w14:val="tx1"/>
                  </w14:solidFill>
                </w14:textFill>
              </w:rPr>
              <w:t xml:space="preserve">涵盖所投分包专业的专家老师得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支持性资源</w:t>
            </w:r>
            <w:r>
              <w:rPr>
                <w:rFonts w:hint="eastAsia" w:ascii="宋体" w:hAnsi="宋体" w:cs="宋体"/>
                <w:color w:val="000000" w:themeColor="text1"/>
                <w14:textFill>
                  <w14:solidFill>
                    <w14:schemeClr w14:val="tx1"/>
                  </w14:solidFill>
                </w14:textFill>
              </w:rPr>
              <w:t xml:space="preserve">基本能够</w:t>
            </w:r>
            <w:r>
              <w:rPr>
                <w:rFonts w:ascii="宋体" w:hAnsi="宋体" w:cs="宋体"/>
                <w:color w:val="000000" w:themeColor="text1"/>
                <w14:textFill>
                  <w14:solidFill>
                    <w14:schemeClr w14:val="tx1"/>
                  </w14:solidFill>
                </w14:textFill>
              </w:rPr>
              <w:t xml:space="preserve">涵盖所投分包专业的专家老师得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支持性资源较为单一，专业人员较少得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服务方案4：</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项目主管素质要求：具备较强的组织协调能力和责任心，能和政府部门充分的沟通得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组织协调能力和责任心较好，和政府部门较好沟通得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组织协调能力和责任心尚可，和政府部门无障碍沟通得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组织协调能力和责任心</w:t>
            </w:r>
            <w:r>
              <w:rPr>
                <w:rFonts w:hint="eastAsia" w:ascii="宋体" w:hAnsi="宋体" w:cs="宋体"/>
                <w:color w:val="000000" w:themeColor="text1"/>
                <w14:textFill>
                  <w14:solidFill>
                    <w14:schemeClr w14:val="tx1"/>
                  </w14:solidFill>
                </w14:textFill>
              </w:rPr>
              <w:t xml:space="preserve">一般</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难以</w:t>
            </w:r>
            <w:r>
              <w:rPr>
                <w:rFonts w:ascii="宋体" w:hAnsi="宋体" w:cs="宋体"/>
                <w:color w:val="000000" w:themeColor="text1"/>
                <w14:textFill>
                  <w14:solidFill>
                    <w14:schemeClr w14:val="tx1"/>
                  </w14:solidFill>
                </w14:textFill>
              </w:rPr>
              <w:t xml:space="preserve">和政府部门</w:t>
            </w:r>
            <w:r>
              <w:rPr>
                <w:rFonts w:hint="eastAsia" w:ascii="宋体" w:hAnsi="宋体" w:cs="宋体"/>
                <w:color w:val="000000" w:themeColor="text1"/>
                <w14:textFill>
                  <w14:solidFill>
                    <w14:schemeClr w14:val="tx1"/>
                  </w14:solidFill>
                </w14:textFill>
              </w:rPr>
              <w:t xml:space="preserve">有效</w:t>
            </w:r>
            <w:r>
              <w:rPr>
                <w:rFonts w:ascii="宋体" w:hAnsi="宋体" w:cs="宋体"/>
                <w:color w:val="000000" w:themeColor="text1"/>
                <w14:textFill>
                  <w14:solidFill>
                    <w14:schemeClr w14:val="tx1"/>
                  </w14:solidFill>
                </w14:textFill>
              </w:rPr>
              <w:t xml:space="preserve">沟通得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Mar>
              <w:left w:w="108" w:type="dxa"/>
              <w:top w:w="0" w:type="dxa"/>
              <w:right w:w="108" w:type="dxa"/>
              <w:bottom w:w="0" w:type="dxa"/>
            </w:tcMar>
            <w:tcW w:w="1156" w:type="dxa"/>
            <w:vAlign w:val="center"/>
            <w:vMerge w:val="restart"/>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风险管理</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风险管理1：</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根据供应商提供的风险预案进行评分：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执行中可能遇到的风险有预测，并有合理可行的风险应对方案，完整详细得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对项目实施过程中可能遇到的风险有</w:t>
            </w:r>
            <w:r>
              <w:rPr>
                <w:rFonts w:hint="eastAsia" w:ascii="宋体" w:hAnsi="宋体" w:cs="宋体"/>
                <w:color w:val="000000" w:themeColor="text1"/>
                <w14:textFill>
                  <w14:solidFill>
                    <w14:schemeClr w14:val="tx1"/>
                  </w14:solidFill>
                </w14:textFill>
              </w:rPr>
              <w:t xml:space="preserve">较为</w:t>
            </w:r>
            <w:r>
              <w:rPr>
                <w:rFonts w:ascii="宋体" w:hAnsi="宋体" w:cs="宋体"/>
                <w:color w:val="000000" w:themeColor="text1"/>
                <w14:textFill>
                  <w14:solidFill>
                    <w14:schemeClr w14:val="tx1"/>
                  </w14:solidFill>
                </w14:textFill>
              </w:rPr>
              <w:t xml:space="preserve">合理预测，且提供</w:t>
            </w:r>
            <w:r>
              <w:rPr>
                <w:rFonts w:hint="eastAsia" w:ascii="宋体" w:hAnsi="宋体" w:cs="宋体"/>
                <w:color w:val="000000" w:themeColor="text1"/>
                <w14:textFill>
                  <w14:solidFill>
                    <w14:schemeClr w14:val="tx1"/>
                  </w14:solidFill>
                </w14:textFill>
              </w:rPr>
              <w:t xml:space="preserve">较为详细的</w:t>
            </w:r>
            <w:r>
              <w:rPr>
                <w:rFonts w:ascii="宋体" w:hAnsi="宋体" w:cs="宋体"/>
                <w:color w:val="000000" w:themeColor="text1"/>
                <w14:textFill>
                  <w14:solidFill>
                    <w14:schemeClr w14:val="tx1"/>
                  </w14:solidFill>
                </w14:textFill>
              </w:rPr>
              <w:t xml:space="preserve">风险应对解决方案得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对项目实施过程中可能遇到的风险有</w:t>
            </w:r>
            <w:r>
              <w:rPr>
                <w:rFonts w:hint="eastAsia" w:ascii="宋体" w:hAnsi="宋体" w:cs="宋体"/>
                <w:color w:val="000000" w:themeColor="text1"/>
                <w14:textFill>
                  <w14:solidFill>
                    <w14:schemeClr w14:val="tx1"/>
                  </w14:solidFill>
                </w14:textFill>
              </w:rPr>
              <w:t xml:space="preserve">基本</w:t>
            </w:r>
            <w:r>
              <w:rPr>
                <w:rFonts w:ascii="宋体" w:hAnsi="宋体" w:cs="宋体"/>
                <w:color w:val="000000" w:themeColor="text1"/>
                <w14:textFill>
                  <w14:solidFill>
                    <w14:schemeClr w14:val="tx1"/>
                  </w14:solidFill>
                </w14:textFill>
              </w:rPr>
              <w:t xml:space="preserve">预测，且提供风险基本解决方案得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对项目实施过程中可能遇到的风险有一定程度了解</w:t>
            </w:r>
            <w:r>
              <w:rPr>
                <w:rFonts w:hint="eastAsia" w:ascii="宋体" w:hAnsi="宋体" w:cs="宋体"/>
                <w:color w:val="000000" w:themeColor="text1"/>
                <w14:textFill>
                  <w14:solidFill>
                    <w14:schemeClr w14:val="tx1"/>
                  </w14:solidFill>
                </w14:textFill>
              </w:rPr>
              <w:t xml:space="preserve">，风险解决方案存在明显不足</w:t>
            </w:r>
            <w:r>
              <w:rPr>
                <w:rFonts w:ascii="宋体" w:hAnsi="宋体" w:cs="宋体"/>
                <w:color w:val="000000" w:themeColor="text1"/>
                <w14:textFill>
                  <w14:solidFill>
                    <w14:schemeClr w14:val="tx1"/>
                  </w14:solidFill>
                </w14:textFill>
              </w:rPr>
              <w:t xml:space="preserve">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风险管理2：</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根据供应商项目沟通机制的主动性进行评分：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对于项目实施进度及情况，有固定时间节点主动向采购人系统性汇报得</w:t>
            </w:r>
            <w:r>
              <w:rPr>
                <w:rFonts w:hint="eastAsia" w:ascii="宋体" w:hAnsi="宋体" w:cs="宋体"/>
                <w:color w:val="000000" w:themeColor="text1"/>
                <w14:textFill>
                  <w14:solidFill>
                    <w14:schemeClr w14:val="tx1"/>
                  </w14:solidFill>
                </w14:textFill>
              </w:rPr>
              <w:t xml:space="preserve">11</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项目实施中遇到情况能及时向采购人汇报得</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当采购人问询项目实施情况时，能准确汇报相关信息得</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沟通机制的主动性不足</w:t>
            </w:r>
            <w:r>
              <w:rPr>
                <w:rFonts w:ascii="宋体" w:hAnsi="宋体" w:cs="宋体"/>
                <w:color w:val="000000" w:themeColor="text1"/>
                <w14:textFill>
                  <w14:solidFill>
                    <w14:schemeClr w14:val="tx1"/>
                  </w14:solidFill>
                </w14:textFill>
              </w:rPr>
              <w:t xml:space="preserve">得</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未提供不得分。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11</w:t>
            </w:r>
            <w:r/>
          </w:p>
        </w:tc>
      </w:tr>
      <w:tr>
        <w:trPr>
          <w:jc w:val="center"/>
        </w:trPr>
        <w:tc>
          <w:tcPr>
            <w:tcMar>
              <w:left w:w="108" w:type="dxa"/>
              <w:top w:w="0" w:type="dxa"/>
              <w:right w:w="108" w:type="dxa"/>
              <w:bottom w:w="0" w:type="dxa"/>
            </w:tcMar>
            <w:tcW w:w="1156"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业绩</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供应商提供自202</w:t>
            </w: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年1月1日以来，供应商具有所投分包项目同类业绩，每提供一个</w:t>
            </w:r>
            <w:r>
              <w:rPr>
                <w:rFonts w:hint="eastAsia" w:ascii="宋体" w:hAnsi="宋体" w:cs="宋体"/>
                <w:color w:val="000000" w:themeColor="text1"/>
                <w14:textFill>
                  <w14:solidFill>
                    <w14:schemeClr w14:val="tx1"/>
                  </w14:solidFill>
                </w14:textFill>
              </w:rPr>
              <w:t xml:space="preserve">业绩</w:t>
            </w:r>
            <w:r>
              <w:rPr>
                <w:rFonts w:ascii="宋体" w:hAnsi="宋体" w:cs="宋体"/>
                <w:color w:val="000000" w:themeColor="text1"/>
                <w14:textFill>
                  <w14:solidFill>
                    <w14:schemeClr w14:val="tx1"/>
                  </w14:solidFill>
                </w14:textFill>
              </w:rPr>
              <w:t xml:space="preserve">得</w:t>
            </w: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分，</w:t>
            </w:r>
            <w:r>
              <w:rPr>
                <w:rFonts w:hint="eastAsia" w:ascii="宋体" w:hAnsi="宋体" w:cs="宋体"/>
                <w:color w:val="000000" w:themeColor="text1"/>
                <w14:textFill>
                  <w14:solidFill>
                    <w14:schemeClr w14:val="tx1"/>
                  </w14:solidFill>
                </w14:textFill>
              </w:rPr>
              <w:t xml:space="preserve">满分3</w:t>
            </w:r>
            <w:r>
              <w:rPr>
                <w:rFonts w:ascii="宋体" w:hAnsi="宋体" w:cs="宋体"/>
                <w:color w:val="000000" w:themeColor="text1"/>
                <w14:textFill>
                  <w14:solidFill>
                    <w14:schemeClr w14:val="tx1"/>
                  </w14:solidFill>
                </w14:textFill>
              </w:rPr>
              <w:t xml:space="preserve">分。（请提供合同扫描件或中标（成交）通知书扫描件并加盖公章，合同或中标（成交）通知书应能反映相关信息）。</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w:t>
            </w:r>
            <w:r/>
          </w:p>
        </w:tc>
      </w:tr>
      <w:tr>
        <w:trPr>
          <w:jc w:val="center"/>
        </w:trPr>
        <w:tc>
          <w:tcPr>
            <w:tcMar>
              <w:left w:w="108" w:type="dxa"/>
              <w:top w:w="0" w:type="dxa"/>
              <w:right w:w="108" w:type="dxa"/>
              <w:bottom w:w="0" w:type="dxa"/>
            </w:tcMar>
            <w:tcW w:w="1156" w:type="dxa"/>
            <w:vAlign w:val="center"/>
            <w:vMerge w:val="restart"/>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履约能力</w:t>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履约能力1：</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供应商具有项目相关的行政部门表彰（提供证明材料扫描件且加盖公章）得3分，没有提供不得分。</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履约能力2：</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项目主管素质要求：拟为本次项目配备的项目主管有3年以上（含3年）所投分包工作经验的得3分，没有不得分。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（提供过往工作案例的合同</w:t>
            </w:r>
            <w:r>
              <w:rPr>
                <w:rFonts w:hint="eastAsia" w:ascii="宋体" w:hAnsi="宋体" w:cs="宋体"/>
                <w:color w:val="000000" w:themeColor="text1"/>
                <w14:textFill>
                  <w14:solidFill>
                    <w14:schemeClr w14:val="tx1"/>
                  </w14:solidFill>
                </w14:textFill>
              </w:rPr>
              <w:t xml:space="preserve">复印件或媒体报道或劳动合同或被服务单位出具的证明文件并</w:t>
            </w:r>
            <w:r>
              <w:rPr>
                <w:rFonts w:ascii="宋体" w:hAnsi="宋体" w:cs="宋体"/>
                <w:color w:val="000000" w:themeColor="text1"/>
                <w14:textFill>
                  <w14:solidFill>
                    <w14:schemeClr w14:val="tx1"/>
                  </w14:solidFill>
                </w14:textFill>
              </w:rPr>
              <w:t xml:space="preserve">加盖公章。材料应能反映具体信息，否则不得分，自证无效。）</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w:t>
            </w:r>
            <w:r/>
          </w:p>
        </w:tc>
      </w:tr>
      <w:tr>
        <w:trPr>
          <w:jc w:val="center"/>
        </w:trPr>
        <w:tc>
          <w:tcPr>
            <w:tcW w:w="0" w:type="auto"/>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Mar>
              <w:left w:w="108" w:type="dxa"/>
              <w:top w:w="0" w:type="dxa"/>
              <w:right w:w="108" w:type="dxa"/>
              <w:bottom w:w="0" w:type="dxa"/>
            </w:tcMar>
            <w:tcW w:w="6804" w:type="dxa"/>
            <w:vAlign w:val="center"/>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履约能力3：</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供应商具有从事所投分包相关从业经验1年以上（含一年）得3分。</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（提供过往工作案例的合同</w:t>
            </w:r>
            <w:r>
              <w:rPr>
                <w:rFonts w:hint="eastAsia" w:ascii="宋体" w:hAnsi="宋体" w:cs="宋体"/>
                <w:color w:val="000000" w:themeColor="text1"/>
                <w14:textFill>
                  <w14:solidFill>
                    <w14:schemeClr w14:val="tx1"/>
                  </w14:solidFill>
                </w14:textFill>
              </w:rPr>
              <w:t xml:space="preserve">复印件或媒体报道或劳动合同或被服务单位出具的证明文件并</w:t>
            </w:r>
            <w:r>
              <w:rPr>
                <w:rFonts w:ascii="宋体" w:hAnsi="宋体" w:cs="宋体"/>
                <w:color w:val="000000" w:themeColor="text1"/>
                <w14:textFill>
                  <w14:solidFill>
                    <w14:schemeClr w14:val="tx1"/>
                  </w14:solidFill>
                </w14:textFill>
              </w:rPr>
              <w:t xml:space="preserve">加盖公章。材料应能反映具体信息，否则不得分，自证无效。）</w:t>
            </w:r>
            <w:r/>
          </w:p>
        </w:tc>
        <w:tc>
          <w:tcPr>
            <w:tcMar>
              <w:left w:w="108" w:type="dxa"/>
              <w:top w:w="0" w:type="dxa"/>
              <w:right w:w="108" w:type="dxa"/>
              <w:bottom w:w="0" w:type="dxa"/>
            </w:tcMar>
            <w:tcW w:w="85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w:t>
            </w:r>
            <w:r/>
          </w:p>
        </w:tc>
      </w:tr>
    </w:tbl>
    <w:p>
      <w:pPr>
        <w:pStyle w:val="882"/>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说明：</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2.对小微企业生产的产品给予投标价的10%价格扣除，用扣除后的价格参与评审。</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小企业（含小型、微型企业）应当同时符合以下条件：</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（1）供应商为小企业，且符合中小企业划分标准；</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6.根据宁财规[2018]10号《南京市政府采购供应商信用管理工作暂行办法》</w:t>
      </w:r>
      <w:r/>
    </w:p>
    <w:p>
      <w:pPr>
        <w:ind w:firstLine="411"/>
        <w:jc w:val="left"/>
        <w:widowControl/>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7.所有认证、证明和业绩均以有效的证明文件的复印件加盖公章</w:t>
      </w:r>
      <w:r/>
    </w:p>
    <w:p>
      <w:pPr>
        <w:spacing w:line="360" w:lineRule="auto"/>
        <w:tabs>
          <w:tab w:val="left" w:pos="1050" w:leader="none"/>
        </w:tabs>
        <w:rPr>
          <w:rFonts w:ascii="宋体" w:hAnsi="宋体" w:cs="宋体"/>
          <w:b/>
          <w:color w:val="000000" w:themeColor="text1"/>
          <w:sz w:val="24"/>
          <w:szCs w:val="24"/>
          <w:lang w:val="zh-CN"/>
          <w14:textFill>
            <w14:solidFill>
              <w14:schemeClr w14:val="tx1"/>
            </w14:solidFill>
          </w14:textFill>
        </w:rPr>
        <w:sectPr>
          <w:footnotePr/>
          <w:endnotePr/>
          <w:type w:val="nextPage"/>
          <w:pgSz w:w="11906" w:h="16838" w:orient="portrait"/>
          <w:pgMar w:top="1440" w:right="1236" w:bottom="1440" w:left="1236" w:header="510" w:footer="680" w:gutter="0"/>
          <w:cols w:num="1" w:sep="0" w:space="720" w:equalWidth="1"/>
          <w:docGrid w:linePitch="360"/>
        </w:sectPr>
      </w:pPr>
      <w:r>
        <w:rPr>
          <w:rFonts w:ascii="宋体" w:hAnsi="宋体" w:cs="宋体"/>
          <w:b/>
          <w:color w:val="000000" w:themeColor="text1"/>
          <w:sz w:val="24"/>
          <w:szCs w:val="24"/>
          <w:lang w:val="zh-CN"/>
          <w14:textFill>
            <w14:solidFill>
              <w14:schemeClr w14:val="tx1"/>
            </w14:solidFill>
          </w14:textFill>
        </w:rPr>
      </w:r>
      <w:r/>
    </w:p>
    <w:p>
      <w:pPr>
        <w:jc w:val="center"/>
        <w:spacing w:line="360" w:lineRule="auto"/>
        <w:rPr>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第四章 竞争性磋商需求及要求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宋体" w:hAnsi="宋体" w:cs="宋体"/>
          <w:b/>
          <w:color w:val="000000" w:themeColor="text1"/>
          <w:sz w:val="2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1"/>
          <w14:textFill>
            <w14:solidFill>
              <w14:schemeClr w14:val="tx1"/>
            </w14:solidFill>
          </w14:textFill>
        </w:rPr>
        <w:t xml:space="preserve">（第一部分：技术部分）</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一、项目简介</w:t>
      </w:r>
      <w:r/>
    </w:p>
    <w:p>
      <w:pPr>
        <w:ind w:firstLine="56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1、项目编号：</w:t>
      </w:r>
      <w:r>
        <w:rPr>
          <w:rFonts w:hint="eastAsia" w:ascii="宋体" w:hAnsi="宋体" w:cs="宋体"/>
          <w:color w:val="000000" w:themeColor="text1"/>
          <w:sz w:val="24"/>
          <w:szCs w:val="24"/>
          <w:lang w:eastAsia="zh-CN"/>
          <w14:textFill>
            <w14:solidFill>
              <w14:schemeClr w14:val="tx1"/>
            </w14:solidFill>
          </w14:textFill>
        </w:rPr>
        <w:t xml:space="preserve">JSZC-320106-SNZX-C2026-0071</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2、项目名称：2026年度鼓楼区区级公益创投</w:t>
      </w:r>
      <w:r/>
    </w:p>
    <w:p>
      <w:pPr>
        <w:ind w:firstLine="56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3、预算金额：详见“★二、服务内容”</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4、最高限价：详见“★二、服务内容”，响应报价超过最高限价为无效响应。</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采购需求：鼓楼区公益创投项目实施地仅限鼓楼区，服务对象为鼓楼区范围内社区居民。根据公益创投资金使用的有关规定项目类型主要包括社区服务、社区协商、社区治理、精神文明、其他等五大类(具体项目以公益创投项目申报指引为准)。具体要求详见竞争性磋商文件。</w:t>
      </w:r>
      <w:r/>
    </w:p>
    <w:p>
      <w:pPr>
        <w:ind w:firstLine="560"/>
        <w:jc w:val="left"/>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本项目不接受联合体投标。</w:t>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left"/>
        <w:spacing w:line="360" w:lineRule="auto"/>
        <w:rPr>
          <w:rFonts w:ascii="宋体" w:hAnsi="宋体" w:cs="宋体"/>
          <w:b/>
          <w:color w:val="000000" w:themeColor="text1"/>
          <w:sz w:val="24"/>
          <w14:textFill>
            <w14:solidFill>
              <w14:schemeClr w14:val="tx1"/>
            </w14:solidFill>
          </w14:textFill>
        </w:rPr>
        <w:sectPr>
          <w:footnotePr/>
          <w:endnotePr/>
          <w:type w:val="nextPage"/>
          <w:pgSz w:w="11906" w:h="16838" w:orient="portrait"/>
          <w:pgMar w:top="1440" w:right="1236" w:bottom="1440" w:left="1236" w:header="510" w:footer="680" w:gutter="0"/>
          <w:cols w:num="1" w:sep="0" w:space="720" w:equalWidth="1"/>
          <w:docGrid w:linePitch="360"/>
        </w:sectPr>
      </w:pPr>
      <w:r>
        <w:rPr>
          <w:rFonts w:ascii="宋体" w:hAnsi="宋体" w:cs="宋体"/>
          <w:b/>
          <w:color w:val="000000" w:themeColor="text1"/>
          <w:sz w:val="24"/>
          <w14:textFill>
            <w14:solidFill>
              <w14:schemeClr w14:val="tx1"/>
            </w14:solidFill>
          </w14:textFill>
        </w:rPr>
      </w:r>
      <w:r/>
    </w:p>
    <w:p>
      <w:pPr>
        <w:jc w:val="left"/>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二、服务内容</w:t>
      </w:r>
      <w:r>
        <w:rPr>
          <w:rFonts w:hint="eastAsia" w:ascii="宋体" w:hAnsi="宋体" w:cs="宋体"/>
          <w:b/>
          <w:color w:val="000000" w:themeColor="text1"/>
          <w:sz w:val="24"/>
          <w14:textFill>
            <w14:solidFill>
              <w14:schemeClr w14:val="tx1"/>
            </w14:solidFill>
          </w14:textFill>
        </w:rPr>
        <w:t xml:space="preserve">（对应所投采购包号）</w:t>
      </w:r>
      <w:r/>
    </w:p>
    <w:tbl>
      <w:tblPr>
        <w:tblStyle w:val="8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6"/>
        <w:gridCol w:w="909"/>
        <w:gridCol w:w="1284"/>
        <w:gridCol w:w="1201"/>
        <w:gridCol w:w="1382"/>
        <w:gridCol w:w="3777"/>
        <w:gridCol w:w="3740"/>
        <w:gridCol w:w="1287"/>
      </w:tblGrid>
      <w:tr>
        <w:trPr>
          <w:jc w:val="center"/>
          <w:trHeight w:val="448"/>
        </w:trPr>
        <w:tc>
          <w:tcPr>
            <w:tcW w:w="253" w:type="pct"/>
            <w:vAlign w:val="center"/>
            <w:vMerge w:val="restart"/>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采购包号</w:t>
            </w:r>
            <w:r/>
          </w:p>
        </w:tc>
        <w:tc>
          <w:tcPr>
            <w:tcW w:w="324" w:type="pct"/>
            <w:vAlign w:val="center"/>
            <w:vMerge w:val="restart"/>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实施区域</w:t>
            </w:r>
            <w:r/>
          </w:p>
        </w:tc>
        <w:tc>
          <w:tcPr>
            <w:gridSpan w:val="3"/>
            <w:tcW w:w="1105"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项目属性</w:t>
            </w:r>
            <w:r/>
          </w:p>
        </w:tc>
        <w:tc>
          <w:tcPr>
            <w:tcW w:w="450" w:type="pct"/>
            <w:vAlign w:val="center"/>
            <w:vMerge w:val="restart"/>
            <w:textDirection w:val="lrTb"/>
            <w:noWrap w:val="false"/>
          </w:tcPr>
          <w:p>
            <w:pPr>
              <w:jc w:val="center"/>
              <w:spacing w:before="100" w:beforeAutospacing="1" w:after="100" w:afterAutospacing="1" w:line="560" w:lineRule="exact"/>
              <w:widowControl/>
              <w:rPr>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 xml:space="preserve">服务对象（人数）</w:t>
            </w:r>
            <w:r/>
          </w:p>
        </w:tc>
        <w:tc>
          <w:tcPr>
            <w:gridSpan w:val="2"/>
            <w:tcW w:w="2447"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预期目标</w:t>
            </w:r>
            <w:r/>
          </w:p>
        </w:tc>
        <w:tc>
          <w:tcPr>
            <w:tcW w:w="419" w:type="pct"/>
            <w:vAlign w:val="center"/>
            <w:vMerge w:val="restart"/>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采购包预算金额及最高限价（万元）</w:t>
            </w:r>
            <w:r/>
          </w:p>
        </w:tc>
      </w:tr>
      <w:tr>
        <w:trPr>
          <w:jc w:val="center"/>
          <w:trHeight w:val="654"/>
        </w:trPr>
        <w:tc>
          <w:tcPr>
            <w:tcW w:w="253" w:type="pct"/>
            <w:vAlign w:val="center"/>
            <w:vMerge w:val="continue"/>
            <w:textDirection w:val="lrTb"/>
            <w:noWrap w:val="false"/>
          </w:tcPr>
          <w:p>
            <w:pPr>
              <w:jc w:val="left"/>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ascii="黑体" w:hAnsi="黑体" w:eastAsia="黑体" w:cs="宋体"/>
                <w:color w:val="000000" w:themeColor="text1"/>
                <w:sz w:val="24"/>
                <w14:textFill>
                  <w14:solidFill>
                    <w14:schemeClr w14:val="tx1"/>
                  </w14:solidFill>
                </w14:textFill>
              </w:rPr>
            </w:r>
            <w:r/>
          </w:p>
        </w:tc>
        <w:tc>
          <w:tcPr>
            <w:tcW w:w="324" w:type="pct"/>
            <w:vAlign w:val="center"/>
            <w:vMerge w:val="continue"/>
            <w:textDirection w:val="lrTb"/>
            <w:noWrap w:val="false"/>
          </w:tcPr>
          <w:p>
            <w:pPr>
              <w:jc w:val="left"/>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ascii="黑体" w:hAnsi="黑体" w:eastAsia="黑体" w:cs="宋体"/>
                <w:color w:val="000000" w:themeColor="text1"/>
                <w:sz w:val="24"/>
                <w14:textFill>
                  <w14:solidFill>
                    <w14:schemeClr w14:val="tx1"/>
                  </w14:solidFill>
                </w14:textFill>
              </w:rPr>
            </w:r>
            <w:r/>
          </w:p>
        </w:tc>
        <w:tc>
          <w:tcPr>
            <w:tcW w:w="296"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服务领域</w:t>
            </w:r>
            <w:r/>
          </w:p>
        </w:tc>
        <w:tc>
          <w:tcPr>
            <w:tcW w:w="418"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服务类型</w:t>
            </w:r>
            <w:r/>
          </w:p>
        </w:tc>
        <w:tc>
          <w:tcPr>
            <w:tcW w:w="391"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服务主要范围</w:t>
            </w:r>
            <w:r/>
          </w:p>
        </w:tc>
        <w:tc>
          <w:tcPr>
            <w:tcW w:w="450" w:type="pct"/>
            <w:vAlign w:val="center"/>
            <w:vMerge w:val="continue"/>
            <w:textDirection w:val="lrTb"/>
            <w:noWrap w:val="false"/>
          </w:tcPr>
          <w:p>
            <w:pPr>
              <w:jc w:val="left"/>
              <w:spacing w:before="100" w:beforeAutospacing="1" w:after="100" w:afterAutospacing="1" w:line="560" w:lineRule="exac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29"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中期</w:t>
            </w:r>
            <w:r/>
          </w:p>
        </w:tc>
        <w:tc>
          <w:tcPr>
            <w:tcW w:w="1217" w:type="pct"/>
            <w:vAlign w:val="center"/>
            <w:textDirection w:val="lrTb"/>
            <w:noWrap w:val="false"/>
          </w:tcPr>
          <w:p>
            <w:pPr>
              <w:jc w:val="center"/>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hint="eastAsia" w:ascii="黑体" w:hAnsi="黑体" w:eastAsia="黑体" w:cs="宋体"/>
                <w:color w:val="000000" w:themeColor="text1"/>
                <w:sz w:val="24"/>
                <w14:textFill>
                  <w14:solidFill>
                    <w14:schemeClr w14:val="tx1"/>
                  </w14:solidFill>
                </w14:textFill>
              </w:rPr>
              <w:t xml:space="preserve">结项</w:t>
            </w:r>
            <w:r/>
          </w:p>
        </w:tc>
        <w:tc>
          <w:tcPr>
            <w:tcW w:w="419" w:type="pct"/>
            <w:vAlign w:val="center"/>
            <w:vMerge w:val="continue"/>
            <w:textDirection w:val="lrTb"/>
            <w:noWrap w:val="false"/>
          </w:tcPr>
          <w:p>
            <w:pPr>
              <w:jc w:val="left"/>
              <w:spacing w:before="100" w:beforeAutospacing="1" w:after="100" w:afterAutospacing="1" w:line="560" w:lineRule="exact"/>
              <w:widowControl/>
              <w:rPr>
                <w:rFonts w:ascii="黑体" w:hAnsi="黑体" w:eastAsia="黑体" w:cs="宋体"/>
                <w:color w:val="000000" w:themeColor="text1"/>
                <w:sz w:val="24"/>
                <w14:textFill>
                  <w14:solidFill>
                    <w14:schemeClr w14:val="tx1"/>
                  </w14:solidFill>
                </w14:textFill>
              </w:rPr>
            </w:pPr>
            <w:r>
              <w:rPr>
                <w:rFonts w:ascii="黑体" w:hAnsi="黑体" w:eastAsia="黑体" w:cs="宋体"/>
                <w:color w:val="000000" w:themeColor="text1"/>
                <w:sz w:val="24"/>
                <w14:textFill>
                  <w14:solidFill>
                    <w14:schemeClr w14:val="tx1"/>
                  </w14:solidFill>
                </w14:textFill>
              </w:rPr>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鼓楼区</w:t>
            </w:r>
            <w:r/>
          </w:p>
        </w:tc>
        <w:tc>
          <w:tcPr>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社区服务</w:t>
            </w:r>
            <w:r/>
          </w:p>
        </w:tc>
        <w:tc>
          <w:tcPr>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其他公益性、福利性和专业性养老服务</w:t>
            </w:r>
            <w:r/>
          </w:p>
        </w:tc>
        <w:tc>
          <w:tcPr>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面向全区老龄人、养老服务机构、养老服务组织，全区老龄工作条口工作人员，全区养老机构及社区居家养老服务中心，服务人数不少于300人</w:t>
            </w:r>
            <w:r/>
          </w:p>
        </w:tc>
        <w:tc>
          <w:tcPr>
            <w:tcW w:w="1229"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方正楷体_GBK" w:asciiTheme="minorEastAsia" w:hAnsiTheme="minorEastAsia" w:eastAsiaTheme="minorEastAsia"/>
                <w:color w:val="000000" w:themeColor="text1"/>
                <w:szCs w:val="21"/>
                <w14:textFill>
                  <w14:solidFill>
                    <w14:schemeClr w14:val="tx1"/>
                  </w14:solidFill>
                </w14:textFill>
              </w:rPr>
              <w:t xml:space="preserve">1.项目周期内面向街道社区老龄工作者、养老服务组织以及其他养老相关单位开展不少于5场助力银发经济政策落地宣传； </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2.以“AI+银发经济”为重点应用场景，通过3场AI机器人服务体验促进全区在科技助老上的参与提升，提升度不低于10%；</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3.开展银发经济人才培训，培训场地不少于3场，培育跟银发经济适配的综合性、实用性人才。</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4.开展区域性银发经济互动交流，交流次数不少于2次，参与人数不少于100人。</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5.协助开展全区养老服务规范性管理和创新性工作申报、执行，协助区级养老服务指导中心优化平台建设，提交功能修改建议申请不少于2次。</w:t>
            </w:r>
            <w:r/>
          </w:p>
        </w:tc>
        <w:tc>
          <w:tcPr>
            <w:tcW w:w="1217" w:type="pct"/>
            <w:vAlign w:val="center"/>
            <w:textDirection w:val="lrTb"/>
            <w:noWrap w:val="false"/>
          </w:tcPr>
          <w:p>
            <w:pPr>
              <w:pStyle w:val="894"/>
              <w:jc w:val="left"/>
              <w:spacing w:after="0" w:line="320" w:lineRule="exact"/>
              <w:rPr>
                <w:rFonts w:cs="方正楷体_GBK" w:asciiTheme="minorEastAsia" w:hAnsiTheme="minorEastAsia" w:eastAsiaTheme="minorEastAsia"/>
                <w:color w:val="000000" w:themeColor="text1"/>
                <w:sz w:val="21"/>
                <w:szCs w:val="21"/>
                <w14:textFill>
                  <w14:solidFill>
                    <w14:schemeClr w14:val="tx1"/>
                  </w14:solidFill>
                </w14:textFill>
              </w:rPr>
            </w:pPr>
            <w:r>
              <w:rPr>
                <w:rFonts w:hint="eastAsia" w:cs="方正楷体_GBK" w:asciiTheme="minorEastAsia" w:hAnsiTheme="minorEastAsia" w:eastAsiaTheme="minorEastAsia"/>
                <w:color w:val="000000" w:themeColor="text1"/>
                <w:sz w:val="21"/>
                <w:szCs w:val="21"/>
                <w14:textFill>
                  <w14:solidFill>
                    <w14:schemeClr w14:val="tx1"/>
                  </w14:solidFill>
                </w14:textFill>
              </w:rPr>
              <w:t xml:space="preserve">1.项目周期内开展不少于10场助力银发经济政府落地宣传服务活动；</w:t>
            </w:r>
            <w:r>
              <w:rPr>
                <w:rFonts w:hint="eastAsia" w:cs="方正楷体_GBK" w:asciiTheme="minorEastAsia" w:hAnsiTheme="minorEastAsia" w:eastAsiaTheme="minorEastAsia"/>
                <w:color w:val="000000" w:themeColor="text1"/>
                <w:sz w:val="21"/>
                <w:szCs w:val="21"/>
                <w14:textFill>
                  <w14:solidFill>
                    <w14:schemeClr w14:val="tx1"/>
                  </w14:solidFill>
                </w14:textFill>
              </w:rPr>
              <w:br/>
            </w:r>
            <w:r>
              <w:rPr>
                <w:rFonts w:hint="eastAsia" w:cs="方正楷体_GBK" w:asciiTheme="minorEastAsia" w:hAnsiTheme="minorEastAsia" w:eastAsiaTheme="minorEastAsia"/>
                <w:color w:val="000000" w:themeColor="text1"/>
                <w:sz w:val="21"/>
                <w:szCs w:val="21"/>
                <w14:textFill>
                  <w14:solidFill>
                    <w14:schemeClr w14:val="tx1"/>
                  </w14:solidFill>
                </w14:textFill>
              </w:rPr>
              <w:t xml:space="preserve">2.在银发经济基础相对较好的不少于1个街道、2个社区、5养老服务组织内开展助力银发经济落地试点工作，引领和带动全区整体水平提升；</w:t>
            </w:r>
            <w:r/>
          </w:p>
          <w:p>
            <w:pPr>
              <w:pStyle w:val="894"/>
              <w:spacing w:after="0" w:line="320" w:lineRule="exact"/>
              <w:rPr>
                <w:rFonts w:cs="方正楷体_GBK" w:asciiTheme="minorEastAsia" w:hAnsiTheme="minorEastAsia" w:eastAsiaTheme="minorEastAsia"/>
                <w:color w:val="000000" w:themeColor="text1"/>
                <w:sz w:val="21"/>
                <w:szCs w:val="21"/>
                <w14:textFill>
                  <w14:solidFill>
                    <w14:schemeClr w14:val="tx1"/>
                  </w14:solidFill>
                </w14:textFill>
              </w:rPr>
            </w:pPr>
            <w:r>
              <w:rPr>
                <w:rFonts w:hint="eastAsia" w:cs="方正楷体_GBK" w:asciiTheme="minorEastAsia" w:hAnsiTheme="minorEastAsia" w:eastAsiaTheme="minorEastAsia"/>
                <w:color w:val="000000" w:themeColor="text1"/>
                <w:sz w:val="21"/>
                <w:szCs w:val="21"/>
                <w14:textFill>
                  <w14:solidFill>
                    <w14:schemeClr w14:val="tx1"/>
                  </w14:solidFill>
                </w14:textFill>
              </w:rPr>
              <w:t xml:space="preserve">3.以“AI+银发经济”为重点应用场景，通过5场AI机器人服务体验促进全区在科技助老上的参与提升，提升度不低于20%；</w:t>
            </w:r>
            <w:r/>
          </w:p>
          <w:p>
            <w:pPr>
              <w:pStyle w:val="894"/>
              <w:spacing w:after="0" w:line="320" w:lineRule="exact"/>
              <w:rPr>
                <w:rFonts w:cs="方正楷体_GBK" w:asciiTheme="minorEastAsia" w:hAnsiTheme="minorEastAsia" w:eastAsiaTheme="minorEastAsia"/>
                <w:color w:val="000000" w:themeColor="text1"/>
                <w:sz w:val="21"/>
                <w:szCs w:val="21"/>
                <w14:textFill>
                  <w14:solidFill>
                    <w14:schemeClr w14:val="tx1"/>
                  </w14:solidFill>
                </w14:textFill>
              </w:rPr>
            </w:pPr>
            <w:r>
              <w:rPr>
                <w:rFonts w:hint="eastAsia" w:cs="方正楷体_GBK" w:asciiTheme="minorEastAsia" w:hAnsiTheme="minorEastAsia" w:eastAsiaTheme="minorEastAsia"/>
                <w:color w:val="000000" w:themeColor="text1"/>
                <w:sz w:val="21"/>
                <w:szCs w:val="21"/>
                <w14:textFill>
                  <w14:solidFill>
                    <w14:schemeClr w14:val="tx1"/>
                  </w14:solidFill>
                </w14:textFill>
              </w:rPr>
              <w:t xml:space="preserve">4.开展银发经济人才培训，培训场地不少于5场，培育跟银发经济适配的综合性、实用性人才，其中高校学生参与人数不少于10人，其他养老人员参与不少于25人。</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方正楷体_GBK" w:asciiTheme="minorEastAsia" w:hAnsiTheme="minorEastAsia" w:eastAsiaTheme="minorEastAsia"/>
                <w:color w:val="000000" w:themeColor="text1"/>
                <w:szCs w:val="21"/>
                <w14:textFill>
                  <w14:solidFill>
                    <w14:schemeClr w14:val="tx1"/>
                  </w14:solidFill>
                </w14:textFill>
              </w:rPr>
              <w:t xml:space="preserve">5.形成鼓楼区助力银发经济典型案例1篇，擦亮“银龄花”品牌。</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6.协助开展全区养老服务规范性管理和创新性工作申报、执行，协助区级养老服务指导中心优化平台建设，提交功能修改建议申请不少于4次。</w:t>
            </w:r>
            <w:r>
              <w:rPr>
                <w:rFonts w:hint="eastAsia" w:cs="方正楷体_GBK" w:asciiTheme="minorEastAsia" w:hAnsiTheme="minorEastAsia" w:eastAsiaTheme="minorEastAsia"/>
                <w:color w:val="000000" w:themeColor="text1"/>
                <w:szCs w:val="21"/>
                <w14:textFill>
                  <w14:solidFill>
                    <w14:schemeClr w14:val="tx1"/>
                  </w14:solidFill>
                </w14:textFill>
              </w:rPr>
              <w:br/>
            </w:r>
            <w:r>
              <w:rPr>
                <w:rFonts w:hint="eastAsia" w:cs="方正楷体_GBK" w:asciiTheme="minorEastAsia" w:hAnsiTheme="minorEastAsia" w:eastAsiaTheme="minorEastAsia"/>
                <w:color w:val="000000" w:themeColor="text1"/>
                <w:szCs w:val="21"/>
                <w14:textFill>
                  <w14:solidFill>
                    <w14:schemeClr w14:val="tx1"/>
                  </w14:solidFill>
                </w14:textFill>
              </w:rPr>
              <w:t xml:space="preserve">7.优化全区养老服务组织助餐政策、居家养老床位建设政策，提出合理性意见并形成2份报告；</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鼓楼区</w:t>
            </w:r>
            <w:r/>
          </w:p>
        </w:tc>
        <w:tc>
          <w:tcPr>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其他公益性、福利性和专业性养老服务</w:t>
            </w:r>
            <w:r/>
          </w:p>
        </w:tc>
        <w:tc>
          <w:tcPr>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鼓楼区60岁及以上户籍老年人1000人 </w:t>
            </w:r>
            <w:r/>
          </w:p>
        </w:tc>
        <w:tc>
          <w:tcPr>
            <w:tcW w:w="1229" w:type="pct"/>
            <w:vAlign w:val="center"/>
            <w:textDirection w:val="lrTb"/>
            <w:noWrap w:val="false"/>
          </w:tcPr>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监管机制升级：完成对2025年已建成的11家及2026年新增合作商户的运营现状评估，优化《社区老年食堂服务质量考核办法》，引入“月度巡查+季度评估+随机暗访”机制，建立商户服务档案及问题整改台账，实现运营方服务行为全流程监管覆盖率达100%，形成监管通报2期。</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2.品牌形象深化：组织开展“三牛食堂”主题品牌宣传活动不少于2场，联合媒体开展探店体验，提升品牌知晓度与社会美誉度。</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居民引导与服务：依托社区网格群、宣传栏等渠道，发布“三牛食堂”惠民就餐指南及活动信息，引导辖区老年人、双职工家庭、儿童等群体了解并走进食堂；组织开展“食堂开放日”“营养健康课堂”等居民互动活动不少于3场，初步培养全龄群体社区食堂消费习惯。</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4.培训与赋能：组织面向运营方的专题培训不少于3场，重点强化食品安全规范、服务标准执行、补贴政策合规使用等监管要点解读，提升运营方对监管要求的理解与配合度。</w:t>
            </w:r>
            <w:r/>
          </w:p>
        </w:tc>
        <w:tc>
          <w:tcPr>
            <w:tcW w:w="1217" w:type="pct"/>
            <w:vAlign w:val="center"/>
            <w:textDirection w:val="lrTb"/>
            <w:noWrap w:val="false"/>
          </w:tcPr>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1.全流程第三方监管体系成熟运行</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建立健全“日常巡查+智慧监测+社会监督”三位一体监管机制；全年开展巡查不少于12次，发布季度监管报告4份，形成可复制的第三方监管操作规范。</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2.“三牛食堂”品牌成为鼓楼民生名片</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完成全区社区食堂品牌视觉统一升级，打造3-5个“品牌形象示范店”；策划“幸福食光邻里节”等品牌主题活动不少于4场，通过主流媒体、政务新媒体等渠道宣传推广不少于8次，推动“三牛食堂”品牌知晓率在辖区居民中达70%以上，树立鼓楼区“全龄友好”民生服务标杆形象。</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3.居民认同感与参与度显著提升</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建立“居民监督员”队伍，吸纳社区热心居民参与服务质量监督评价，全年收集并采纳居民合理化建议不少于20条，形成“共建共治共享”的良好氛围。</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4.模式总结与示范推广</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系统梳理第三方监管、品牌建设、居民引导等方面的创新做法，提炼形成《鼓楼区“三牛食堂”全龄友好社区食堂建设运营指南》及第三方监管工作手册；通过行业交流会、现场观摩等形式推广经验，力争入选省级以上养老服务典型案例或获得相关荣誉。</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鼓楼区</w:t>
            </w:r>
            <w:r/>
          </w:p>
        </w:tc>
        <w:tc>
          <w:tcPr>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老年人的权益保护、临时庇护和紧急救助服务</w:t>
            </w:r>
            <w:r/>
          </w:p>
        </w:tc>
        <w:tc>
          <w:tcPr>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100人</w:t>
            </w:r>
            <w:r/>
          </w:p>
        </w:tc>
        <w:tc>
          <w:tcPr>
            <w:tcW w:w="1229" w:type="pct"/>
            <w:vAlign w:val="center"/>
            <w:textDirection w:val="lrTb"/>
            <w:noWrap w:val="false"/>
          </w:tcPr>
          <w:p>
            <w:pPr>
              <w:pStyle w:val="914"/>
              <w:numPr>
                <w:ilvl w:val="0"/>
                <w:numId w:val="3"/>
              </w:numPr>
              <w:spacing w:beforeAutospacing="0" w:afterAutospacing="0" w:line="320" w:lineRule="exact"/>
              <w:rPr>
                <w:rFonts w:hint="default"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面向不少于20家养老机构，不少于20家社区居家养老服务中心开展“法律体检”公益服务，帮助服务对象树立正确的老年人权益观；</w:t>
            </w:r>
            <w:r/>
          </w:p>
          <w:p>
            <w:pPr>
              <w:pStyle w:val="914"/>
              <w:numPr>
                <w:ilvl w:val="0"/>
                <w:numId w:val="3"/>
              </w:numPr>
              <w:spacing w:beforeAutospacing="0" w:afterAutospacing="0" w:line="320" w:lineRule="exact"/>
              <w:rPr>
                <w:rFonts w:hint="default"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每季度开展1次老年人权益保护专题普法培训，力争解决不少于2项老年人权益保护方面的痛点难点堵点问题；</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开展2期以案说法模拟体验活动，培养服务对象的矛盾调处应急处置能力；</w:t>
            </w:r>
            <w:r>
              <w:rPr>
                <w:rFonts w:hint="eastAsia" w:cs="宋体" w:asciiTheme="minorEastAsia" w:hAnsiTheme="minorEastAsia" w:eastAsiaTheme="minorEastAsia"/>
                <w:color w:val="000000" w:themeColor="text1"/>
                <w:szCs w:val="21"/>
                <w14:textFill>
                  <w14:solidFill>
                    <w14:schemeClr w14:val="tx1"/>
                  </w14:solidFill>
                </w14:textFill>
              </w:rPr>
              <w:br/>
            </w:r>
            <w:r>
              <w:rPr>
                <w:rFonts w:hint="eastAsia" w:cs="宋体" w:asciiTheme="minorEastAsia" w:hAnsiTheme="minorEastAsia" w:eastAsiaTheme="minorEastAsia"/>
                <w:color w:val="000000" w:themeColor="text1"/>
                <w:szCs w:val="21"/>
                <w14:textFill>
                  <w14:solidFill>
                    <w14:schemeClr w14:val="tx1"/>
                  </w14:solidFill>
                </w14:textFill>
              </w:rPr>
              <w:t xml:space="preserve">4. 组建培育一支不少于15人的养老矛盾调解队伍，全程参与来自12345、信访以及主动求助的矛盾事件线下调解工作；</w:t>
            </w:r>
            <w:r>
              <w:rPr>
                <w:rFonts w:hint="eastAsia" w:cs="宋体" w:asciiTheme="minorEastAsia" w:hAnsiTheme="minorEastAsia" w:eastAsiaTheme="minorEastAsia"/>
                <w:color w:val="000000" w:themeColor="text1"/>
                <w:szCs w:val="21"/>
                <w14:textFill>
                  <w14:solidFill>
                    <w14:schemeClr w14:val="tx1"/>
                  </w14:solidFill>
                </w14:textFill>
              </w:rPr>
              <w:br/>
            </w:r>
            <w:r>
              <w:rPr>
                <w:rFonts w:hint="eastAsia" w:cs="宋体" w:asciiTheme="minorEastAsia" w:hAnsiTheme="minorEastAsia" w:eastAsiaTheme="minorEastAsia"/>
                <w:color w:val="000000" w:themeColor="text1"/>
                <w:szCs w:val="21"/>
                <w14:textFill>
                  <w14:solidFill>
                    <w14:schemeClr w14:val="tx1"/>
                  </w14:solidFill>
                </w14:textFill>
              </w:rPr>
              <w:t xml:space="preserve">5. 完成至少20起信访/投诉/求助事件的调解专业记录。</w:t>
            </w:r>
            <w:r/>
          </w:p>
        </w:tc>
        <w:tc>
          <w:tcPr>
            <w:tcW w:w="1217" w:type="pct"/>
            <w:vAlign w:val="center"/>
            <w:textDirection w:val="lrTb"/>
            <w:noWrap w:val="false"/>
          </w:tcPr>
          <w:p>
            <w:pPr>
              <w:numPr>
                <w:ilvl w:val="0"/>
                <w:numId w:val="4"/>
              </w:num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完成至少40起信访/投诉/求助事件的调解专业记录。</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2.调解成功率达80%以上。</w:t>
            </w:r>
            <w:r>
              <w:rPr>
                <w:rFonts w:hint="eastAsia" w:cs="宋体" w:asciiTheme="minorEastAsia" w:hAnsiTheme="minorEastAsia" w:eastAsiaTheme="minorEastAsia"/>
                <w:color w:val="000000" w:themeColor="text1"/>
                <w:szCs w:val="21"/>
                <w14:textFill>
                  <w14:solidFill>
                    <w14:schemeClr w14:val="tx1"/>
                  </w14:solidFill>
                </w14:textFill>
              </w:rPr>
              <w:br/>
            </w:r>
            <w:r>
              <w:rPr>
                <w:rFonts w:hint="eastAsia" w:cs="宋体" w:asciiTheme="minorEastAsia" w:hAnsiTheme="minorEastAsia" w:eastAsiaTheme="minorEastAsia"/>
                <w:color w:val="000000" w:themeColor="text1"/>
                <w:szCs w:val="21"/>
                <w14:textFill>
                  <w14:solidFill>
                    <w14:schemeClr w14:val="tx1"/>
                  </w14:solidFill>
                </w14:textFill>
              </w:rPr>
              <w:t xml:space="preserve">3. 养老服务机构及社区居家养老服务中心工作人员老年人权益保护知识知晓率提升至85%以上。</w:t>
            </w:r>
            <w:r>
              <w:rPr>
                <w:rFonts w:hint="eastAsia" w:cs="宋体" w:asciiTheme="minorEastAsia" w:hAnsiTheme="minorEastAsia" w:eastAsiaTheme="minorEastAsia"/>
                <w:color w:val="000000" w:themeColor="text1"/>
                <w:szCs w:val="21"/>
                <w14:textFill>
                  <w14:solidFill>
                    <w14:schemeClr w14:val="tx1"/>
                  </w14:solidFill>
                </w14:textFill>
              </w:rPr>
              <w:br/>
            </w:r>
            <w:r>
              <w:rPr>
                <w:rFonts w:hint="eastAsia" w:cs="宋体" w:asciiTheme="minorEastAsia" w:hAnsiTheme="minorEastAsia" w:eastAsiaTheme="minorEastAsia"/>
                <w:color w:val="000000" w:themeColor="text1"/>
                <w:szCs w:val="21"/>
                <w14:textFill>
                  <w14:solidFill>
                    <w14:schemeClr w14:val="tx1"/>
                  </w14:solidFill>
                </w14:textFill>
              </w:rPr>
              <w:t xml:space="preserve">4. 建立长效矛盾预警与干预机制，实现非政策性矛盾不上交。</w:t>
            </w:r>
            <w:r>
              <w:rPr>
                <w:rFonts w:hint="eastAsia" w:cs="宋体" w:asciiTheme="minorEastAsia" w:hAnsiTheme="minorEastAsia" w:eastAsiaTheme="minorEastAsia"/>
                <w:color w:val="000000" w:themeColor="text1"/>
                <w:szCs w:val="21"/>
                <w14:textFill>
                  <w14:solidFill>
                    <w14:schemeClr w14:val="tx1"/>
                  </w14:solidFill>
                </w14:textFill>
              </w:rPr>
              <w:br/>
            </w:r>
            <w:r>
              <w:rPr>
                <w:rFonts w:hint="eastAsia" w:cs="宋体" w:asciiTheme="minorEastAsia" w:hAnsiTheme="minorEastAsia" w:eastAsiaTheme="minorEastAsia"/>
                <w:color w:val="000000" w:themeColor="text1"/>
                <w:szCs w:val="21"/>
                <w14:textFill>
                  <w14:solidFill>
                    <w14:schemeClr w14:val="tx1"/>
                  </w14:solidFill>
                </w14:textFill>
              </w:rPr>
              <w:t xml:space="preserve">5. 总结并形成年度案例集。</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鼓楼区</w:t>
            </w:r>
            <w:r/>
          </w:p>
        </w:tc>
        <w:tc>
          <w:tcPr>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重点困难老年人监护相关服务</w:t>
            </w:r>
            <w:r/>
          </w:p>
        </w:tc>
        <w:tc>
          <w:tcPr>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100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numPr>
                <w:ilvl w:val="0"/>
                <w:numId w:val="5"/>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宣传与咨询：</w:t>
            </w:r>
            <w:r>
              <w:rPr>
                <w:rFonts w:hint="eastAsia" w:cs="宋体" w:asciiTheme="minorEastAsia" w:hAnsiTheme="minorEastAsia" w:eastAsiaTheme="minorEastAsia"/>
                <w:color w:val="000000" w:themeColor="text1"/>
                <w:szCs w:val="21"/>
                <w14:textFill>
                  <w14:solidFill>
                    <w14:schemeClr w14:val="tx1"/>
                  </w14:solidFill>
                </w14:textFill>
              </w:rPr>
              <w:t xml:space="preserve">在鼓楼区范围内开展不少于13场老年人监护知识专题讲座，覆盖不少于300名社区居民、老年人及其家属；发放《老年人监护知识手册》《监护关系常见问题解答》等宣传物料不少于500份；设立监护咨询点或热线，累计提供监护相关咨询服务不少于50人次，并建立咨询台账。</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2、需求摸排与建档：</w:t>
            </w:r>
            <w:r>
              <w:rPr>
                <w:rFonts w:hint="eastAsia" w:cs="宋体" w:asciiTheme="minorEastAsia" w:hAnsiTheme="minorEastAsia" w:eastAsiaTheme="minorEastAsia"/>
                <w:color w:val="000000" w:themeColor="text1"/>
                <w:szCs w:val="21"/>
                <w14:textFill>
                  <w14:solidFill>
                    <w14:schemeClr w14:val="tx1"/>
                  </w14:solidFill>
                </w14:textFill>
              </w:rPr>
              <w:t xml:space="preserve">深入社区开展基础调研，完成100户重点困难老年人家庭（如独居、空巢、失能、半失能、认知障碍等）的探访以及监护需求摸排；建立“一户一档”电子档案，内容包括家庭结构、健康状况、监护意愿、潜在监护人、风险等级评估等信息；对摸排中发现的紧急情况（如无监护人、监护人失能等）进行风险预警并上报社区。</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3、初步监护关系协调：</w:t>
            </w:r>
            <w:r>
              <w:rPr>
                <w:rFonts w:hint="eastAsia" w:cs="宋体" w:asciiTheme="minorEastAsia" w:hAnsiTheme="minorEastAsia" w:eastAsiaTheme="minorEastAsia"/>
                <w:color w:val="000000" w:themeColor="text1"/>
                <w:szCs w:val="21"/>
                <w14:textFill>
                  <w14:solidFill>
                    <w14:schemeClr w14:val="tx1"/>
                  </w14:solidFill>
                </w14:textFill>
              </w:rPr>
              <w:t xml:space="preserve">对10户有明确监护意向的家庭，协助其与近亲属、社区居委会、专业监护组织等进行沟通，初步确认监护意向；开展不少于2场监护协调会议，形成初步监护意向书或备忘录；为有需要的家庭提供法律咨询或政策解读服务，协助其理解监护责任与权利。</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1、监护关系落实：</w:t>
            </w:r>
            <w:r>
              <w:rPr>
                <w:rFonts w:hint="eastAsia" w:cs="宋体" w:asciiTheme="minorEastAsia" w:hAnsiTheme="minorEastAsia" w:eastAsiaTheme="minorEastAsia"/>
                <w:color w:val="000000" w:themeColor="text1"/>
                <w:szCs w:val="21"/>
                <w14:textFill>
                  <w14:solidFill>
                    <w14:schemeClr w14:val="tx1"/>
                  </w14:solidFill>
                </w14:textFill>
              </w:rPr>
              <w:t xml:space="preserve">协助20户重点困难老年人家庭完成监护关系确认与签约工作，确保监护人明确、监护内容清晰、监护方式可行；每户至少完成1次监护协议签署（如监护委托书、监护协议等），并归档备案；对已签约家庭进行不少于2次回访，跟踪监护执行情况，记录监护过程中出现的问题并协助解决。</w:t>
            </w:r>
            <w:r/>
          </w:p>
          <w:p>
            <w:pPr>
              <w:jc w:val="left"/>
              <w:spacing w:line="320" w:lineRule="exact"/>
              <w:rPr>
                <w:rFonts w:cs="宋体" w:asciiTheme="minorEastAsia" w:hAnsiTheme="minorEastAsia" w:eastAsiaTheme="minorEastAsia"/>
                <w:b/>
                <w:bCs/>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2、监护支持队伍建设：</w:t>
            </w:r>
            <w:r>
              <w:rPr>
                <w:rFonts w:hint="eastAsia" w:cs="宋体" w:asciiTheme="minorEastAsia" w:hAnsiTheme="minorEastAsia" w:eastAsiaTheme="minorEastAsia"/>
                <w:color w:val="000000" w:themeColor="text1"/>
                <w:szCs w:val="21"/>
                <w14:textFill>
                  <w14:solidFill>
                    <w14:schemeClr w14:val="tx1"/>
                  </w14:solidFill>
                </w14:textFill>
              </w:rPr>
              <w:t xml:space="preserve">组建并培育一支不少于15人的监护支持队伍，成员包括社区网格员、志愿者、专业社工、法律工作者等；开展不少于3次队伍培训，内容涵盖监护政策、沟通技巧、风险识别、应急处置等；建立队伍日常联络机制，明确分工与职责，确保护理、监督、反馈等环节有专人跟进。</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3、经验总结与成果输出：</w:t>
            </w:r>
            <w:r>
              <w:rPr>
                <w:rFonts w:hint="eastAsia" w:cs="宋体" w:asciiTheme="minorEastAsia" w:hAnsiTheme="minorEastAsia" w:eastAsiaTheme="minorEastAsia"/>
                <w:color w:val="000000" w:themeColor="text1"/>
                <w:szCs w:val="21"/>
                <w14:textFill>
                  <w14:solidFill>
                    <w14:schemeClr w14:val="tx1"/>
                  </w14:solidFill>
                </w14:textFill>
              </w:rPr>
              <w:t xml:space="preserve">梳理项目执行过程中的典型案例、操作流程、协调经验，形成《重点困难老年人监护服务操作手册》1份；汇编不少于5个典型案例，涵盖不同监护类型（如亲属监护、社区监护、组织监护等），用于宣传和推广；在项目总结阶段举办1场经验交流会，邀请社区、街道、民政部门及相关组织参与，推广项目成果。</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
                <w:bCs/>
                <w:color w:val="000000" w:themeColor="text1"/>
                <w:szCs w:val="21"/>
                <w14:textFill>
                  <w14:solidFill>
                    <w14:schemeClr w14:val="tx1"/>
                  </w14:solidFill>
                </w14:textFill>
              </w:rPr>
              <w:t xml:space="preserve">4、满意度与成效评估：</w:t>
            </w:r>
            <w:r>
              <w:rPr>
                <w:rFonts w:hint="eastAsia" w:cs="宋体" w:asciiTheme="minorEastAsia" w:hAnsiTheme="minorEastAsia" w:eastAsiaTheme="minorEastAsia"/>
                <w:color w:val="000000" w:themeColor="text1"/>
                <w:szCs w:val="21"/>
                <w14:textFill>
                  <w14:solidFill>
                    <w14:schemeClr w14:val="tx1"/>
                  </w14:solidFill>
                </w14:textFill>
              </w:rPr>
              <w:t xml:space="preserve">项目服务对象（老年人及其家庭）满意度调查覆盖率不低于90%，满意度达90%以上；监护关系落实率达90%，即18户以上签约家庭均完成监护关系确认；项目中期与结项阶段分别开展1次成效评估，形成评估报告，作为项目总结和后续改进依据。</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16.5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鼓楼区</w:t>
            </w:r>
            <w:r/>
          </w:p>
        </w:tc>
        <w:tc>
          <w:tcPr>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社区服务</w:t>
            </w:r>
            <w:r/>
          </w:p>
        </w:tc>
        <w:tc>
          <w:tcPr>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青少年服务</w:t>
            </w:r>
            <w:r/>
          </w:p>
        </w:tc>
        <w:tc>
          <w:tcPr>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困境未成年人心理和精神关爱服务</w:t>
            </w:r>
            <w:r/>
          </w:p>
        </w:tc>
        <w:tc>
          <w:tcPr>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鼓楼区范围内6-7名困境儿童</w:t>
            </w:r>
            <w:r/>
          </w:p>
        </w:tc>
        <w:tc>
          <w:tcPr>
            <w:tcW w:w="1229"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w:t>
            </w:r>
            <w:r>
              <w:rPr>
                <w:rFonts w:asciiTheme="minorEastAsia" w:hAnsiTheme="minorEastAsia" w:eastAsiaTheme="minorEastAsia"/>
                <w:color w:val="000000" w:themeColor="text1"/>
                <w:szCs w:val="21"/>
                <w14:textFill>
                  <w14:solidFill>
                    <w14:schemeClr w14:val="tx1"/>
                  </w14:solidFill>
                </w14:textFill>
              </w:rPr>
              <w:t xml:space="preserve">项目名称：点亮童心·守望成长——困境儿童个案服务。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w:t>
            </w:r>
            <w:r>
              <w:rPr>
                <w:rFonts w:asciiTheme="minorEastAsia" w:hAnsiTheme="minorEastAsia" w:eastAsiaTheme="minorEastAsia"/>
                <w:color w:val="000000" w:themeColor="text1"/>
                <w:szCs w:val="21"/>
                <w14:textFill>
                  <w14:solidFill>
                    <w14:schemeClr w14:val="tx1"/>
                  </w14:solidFill>
                </w14:textFill>
              </w:rPr>
              <w:t xml:space="preserve">定性目标：本项目采用“心理+社工”的服务理念和服务手段，为鼓楼区6-7名困境儿童提供个性化个案心理服务，缓解其心理困扰，帮助其建立积极乐观的人生态度； 赋能服务对象家庭，提升监护人心理支持能力，构建良好的家庭心理支持环境。</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w:t>
            </w:r>
            <w:r>
              <w:rPr>
                <w:rFonts w:asciiTheme="minorEastAsia" w:hAnsiTheme="minorEastAsia" w:eastAsiaTheme="minorEastAsia"/>
                <w:color w:val="000000" w:themeColor="text1"/>
                <w:szCs w:val="21"/>
                <w14:textFill>
                  <w14:solidFill>
                    <w14:schemeClr w14:val="tx1"/>
                  </w14:solidFill>
                </w14:textFill>
              </w:rPr>
              <w:t xml:space="preserve">定量目标：</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1、建档服务：对6-7名服务对象进行实地走访，了解其家庭基本信息，进行心理测评、访谈评估，建立个案档案，制定个性化服务方案。</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个性化心理服务：运用心理咨询技术如CBT、情绪ABC、行为训练、精神分析、绘画分析、心理沙盘游戏等专业技术，根据服务对象的心理问题特点，提供一对一个案心理咨询、情绪疏导、自我认知提升、社交能力培养、不适应性行为调整等个性化个案心理服务。常态化开展服务，中期完成数量35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心理创伤修复：针对有家庭变故、创伤经历的服务对象，采用温和、专业的方式进行创伤疏导，引入EMDR创伤技术（眼动脱敏再加工技术），帮助服务对象处理创伤记忆，缓解创伤带来的心理阴影，逐步走出困境，重建心理安全感。按需提供服务，中期完成20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4、监护人心理赋能：针对监护人存在的心理压力、亲子沟通困难、家庭教育方法不当等问题，提供一对一咨询服务，帮助其缓解压力，优化亲子互动模式，为儿童心理成长提供良好的家庭环境，中期完成21人次。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家庭支持服务：录制家庭心理指导视频，主题涵盖“儿童心理问题识别与应对”“如何给予儿童情感支持”“亲子沟通技巧”等内容，供服务对象家庭成员随时观看、反复学习，提升监护人的心理知识储备和心理支持能力，提升家庭功能，营造良好的生活、学习和成长环境。进而帮助服务对象建立良好的社会支持系统，巩固服务效果。中期完成2期。</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6、媒体宣传，遵循保密性原则的基础上进行媒体宣传，中期完成1次。</w:t>
            </w:r>
            <w:r/>
          </w:p>
        </w:tc>
        <w:tc>
          <w:tcPr>
            <w:tcW w:w="1217"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w:t>
            </w:r>
            <w:r>
              <w:rPr>
                <w:rFonts w:asciiTheme="minorEastAsia" w:hAnsiTheme="minorEastAsia" w:eastAsiaTheme="minorEastAsia"/>
                <w:color w:val="000000" w:themeColor="text1"/>
                <w:szCs w:val="21"/>
                <w14:textFill>
                  <w14:solidFill>
                    <w14:schemeClr w14:val="tx1"/>
                  </w14:solidFill>
                </w14:textFill>
              </w:rPr>
              <w:t xml:space="preserve">项目名称：点亮童心·守望成长——困境儿童个案服务。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w:t>
            </w:r>
            <w:r>
              <w:rPr>
                <w:rFonts w:asciiTheme="minorEastAsia" w:hAnsiTheme="minorEastAsia" w:eastAsiaTheme="minorEastAsia"/>
                <w:color w:val="000000" w:themeColor="text1"/>
                <w:szCs w:val="21"/>
                <w14:textFill>
                  <w14:solidFill>
                    <w14:schemeClr w14:val="tx1"/>
                  </w14:solidFill>
                </w14:textFill>
              </w:rPr>
              <w:t xml:space="preserve">定性目标：本项目采用“心理+社工”的服务理念和服务手段，为鼓楼区6-7名困境儿童提供个性化个案心理服务，缓解其心理困扰，帮助其建立积极乐观的人生态度； 赋能服务对象家庭，提升监护人心理支持能力，构建良好的家庭心理支持环境。</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w:t>
            </w:r>
            <w:r>
              <w:rPr>
                <w:rFonts w:asciiTheme="minorEastAsia" w:hAnsiTheme="minorEastAsia" w:eastAsiaTheme="minorEastAsia"/>
                <w:color w:val="000000" w:themeColor="text1"/>
                <w:szCs w:val="21"/>
                <w14:textFill>
                  <w14:solidFill>
                    <w14:schemeClr w14:val="tx1"/>
                  </w14:solidFill>
                </w14:textFill>
              </w:rPr>
              <w:t xml:space="preserve">定量目标：</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1、建档服务：对6-7名服务对象进行心理健康复测、成效评估，结合服务对象具体情况，对个性化服务方案进行动态调整。</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2、个性化心理服务：运用专业的心理服务方法，持续提供个案心理咨询、情绪疏导、自我认知提升、社交能力培养、不适应性行为调整等个性化个案心理服务。常态化开展服务，结项完成数量70人次。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心理创伤修复：针对有家庭变故、创伤经历的服务对象，采用温和、专业的方式进行创伤疏导，引入EMDR创伤技术（眼动脱敏再加工技术），帮助服务对象处理创伤记忆，缓解创伤带来的心理阴影，逐步走出困境，重建心理安全感。按需提供服务，结项完成40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4、监护人心理赋能：针对监护人存在的心理压力、亲子沟通困难、家庭教育方法不当等问题，提供一对一咨询服务，帮助其缓解压力，优化亲子互动模式，为儿童心理成长提供良好的家庭环境，结项完成42人次。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家庭支持服务：录制家庭心理指导视频，主题涵盖“儿童心理问题识别与应对”“如何给予儿童情感支持”“亲子沟通技巧”“困境儿童创伤家庭的支持方法”“情绪调节技巧”等内容，供服务对象家庭成员随时观看、反复学习，提升监护人的心理知识储备和心理支持能力，提升家庭功能，营造良好的生活、学习和成长环境。进而帮助服务对象建立良好的社会支持系统，巩固服务效果。结项共完成4期。</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6、媒体宣传，遵循保密性原则的基础上进行媒体宣传，结项完成2次。</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15</w:t>
            </w:r>
            <w:r/>
          </w:p>
        </w:tc>
      </w:tr>
      <w:tr>
        <w:trPr>
          <w:jc w:val="center"/>
          <w:trHeight w:val="1156"/>
        </w:trPr>
        <w:tc>
          <w:tcPr>
            <w:shd w:val="clear" w:color="auto" w:fill="auto"/>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w:t>
            </w:r>
            <w:r/>
          </w:p>
        </w:tc>
        <w:tc>
          <w:tcPr>
            <w:shd w:val="clear" w:color="auto" w:fill="auto"/>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困境未成年人家庭监护能力支持</w:t>
            </w:r>
            <w:r/>
          </w:p>
        </w:tc>
        <w:tc>
          <w:tcPr>
            <w:shd w:val="clear" w:color="auto" w:fill="auto"/>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鼓楼区范围内6-7名困境儿童</w:t>
            </w:r>
            <w:r/>
          </w:p>
        </w:tc>
        <w:tc>
          <w:tcPr>
            <w:shd w:val="clear" w:color="auto" w:fill="auto"/>
            <w:tcW w:w="1229"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1、根据走访调研，全区大数据筛查，挑选6-7名计划提供个案服务的困境儿童并形成《需求调研报告》1份；</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2、根据《需求调研报告》完成6-7名困境儿童的《年度服务方案》；</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3、针对鼓楼区6-7名困境儿童提供精准服务，包含心理健康、精神关爱、家庭监护指导、家庭教育指导、儿童社会融入、资源链接等，总服务次数不少于24次；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4、加强对外宣传，对接省市级及以上主流媒体，对外宣传报道不少于1次。</w:t>
            </w:r>
            <w:r/>
          </w:p>
        </w:tc>
        <w:tc>
          <w:tcPr>
            <w:shd w:val="clear" w:color="auto" w:fill="auto"/>
            <w:tcW w:w="1217"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1、开展专业的个案服务，全年累计服务困境儿童6-7人，总服务次数不少于72次，服务过程完整，有完整记录并形成案例；</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2、撰写困境儿童服务案例不少于3篇；</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3、加强对外宣传，对接省市级及以上主流媒体，对外宣传报道不少于2次。</w:t>
            </w:r>
            <w:r/>
          </w:p>
        </w:tc>
        <w:tc>
          <w:tcPr>
            <w:shd w:val="clear" w:color="auto" w:fill="auto"/>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81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7</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留守流动儿童的社会服务</w:t>
            </w:r>
            <w:r/>
          </w:p>
        </w:tc>
        <w:tc>
          <w:tcPr>
            <w:shd w:val="clear" w:color="auto" w:fill="auto"/>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 完成不少于30人的“小梧桐”流动儿童需求项目基线调研。</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2、开展不少于3场职业体验活动，让儿童了解至少3种职业。</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3、开展不少于3场城市融入活动，提升儿童对鼓楼区的熟悉度。</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4、服务对象满意度达到90%以上。</w:t>
            </w:r>
            <w:r/>
          </w:p>
        </w:tc>
        <w:tc>
          <w:tcPr>
            <w:tcW w:w="1217"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1、累计开展活动不少于12场次，直接服务流动儿童不少于220人次。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2、形成一套“职业启蒙+城市融入”的服务手册或经验模式。</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3、80%参与儿童在自信心或社会归属感方面有显著提升，愿意参与社区活动，与本地儿童建立良好关系。</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4、建立1支“护童”志愿服务队，链接不少于5家优质公益资拓宽服务维度，强化服务保障。</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5、项目获区级以上媒体报道不少于2次，提升社会影响力。</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8</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社区志愿服务</w:t>
            </w:r>
            <w:r/>
          </w:p>
        </w:tc>
        <w:tc>
          <w:tcPr>
            <w:shd w:val="clear" w:color="auto" w:fill="auto"/>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慈善救助：精神障碍患者社区康复服务</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宁康家园、宁康驿站</w:t>
            </w:r>
            <w:r/>
          </w:p>
        </w:tc>
        <w:tc>
          <w:tcPr>
            <w:shd w:val="clear" w:color="auto" w:fill="auto"/>
            <w:tcW w:w="450"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4家宁康家园、10家宁康驿站</w:t>
            </w:r>
            <w:r/>
          </w:p>
        </w:tc>
        <w:tc>
          <w:tcPr>
            <w:tcW w:w="1229"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1、构建“预防—干预—康复”一体化社区支持网络，完成一体化服务方案设计与落地实施，形成可复制、可推广的鼓楼经验。</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2、组建一支由精神科医师、心理咨询师、社会工作者等构成的专业化志愿服务团队。</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3、开展社区义诊服务不少于1场，提供基础健康筛查、用药指导、心理支持等综合服务，服务人次不少于30人。</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4、举办2期鼓楼区精康朋辈案例研讨沙龙。</w:t>
            </w:r>
            <w:r/>
          </w:p>
        </w:tc>
        <w:tc>
          <w:tcPr>
            <w:tcW w:w="1217" w:type="pct"/>
            <w:vAlign w:val="center"/>
            <w:textDirection w:val="lrTb"/>
            <w:noWrap w:val="false"/>
          </w:tcPr>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1、累计开展社区义诊活动不少于3场，服务群众不少于60人次。</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2、累计举办4期鼓楼区精康朋辈案例研讨沙龙。</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3、优化《鼓楼区精神障碍社区康复服务评估标准》，建立科学、统一、可落地的服务评价体系，全面规范各社区康复服务点运营管理、专业服务、档案建设与成效评估工作，助力鼓楼区精康服务提质增效。</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9</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                                                                          </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社区协商</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其他有利于社区公益的服务项目</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邻里纠纷、家庭矛盾、婚姻赡养等社区纠纷矛盾调解</w:t>
            </w:r>
            <w:r/>
          </w:p>
        </w:tc>
        <w:tc>
          <w:tcPr>
            <w:shd w:val="clear" w:color="auto" w:fill="auto"/>
            <w:tcW w:w="450"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zCs w:val="21"/>
                <w14:textFill>
                  <w14:solidFill>
                    <w14:schemeClr w14:val="tx1"/>
                  </w14:solidFill>
                </w14:textFill>
              </w:rPr>
              <w:t xml:space="preserve">200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textDirection w:val="lrTb"/>
            <w:noWrap w:val="false"/>
          </w:tcPr>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1、情感治理课程，开展婚俗宣传、政策宣讲、婚姻和家庭宣讲进社区活动3场；</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2、婚姻家庭辅导咨询每周2天，至少由1名专业心理咨询师值班；</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3、婚前、新婚和拟离婚人员进行现场情感咨询疏导和家庭矛盾的咨询化解，累计服务不少于50人次；</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4、婚姻家庭辅导案例整理、编辑（典型案例）3个；</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5、配合鼓楼区民政局婚姻登记处开展活动2次。</w:t>
            </w:r>
            <w:r/>
          </w:p>
        </w:tc>
        <w:tc>
          <w:tcPr>
            <w:tcW w:w="1217" w:type="pct"/>
            <w:textDirection w:val="lrTb"/>
            <w:noWrap w:val="false"/>
          </w:tcPr>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1、情感治理课程，开展婚俗宣传、政策宣讲、婚姻和家庭宣讲进社区活动3场，共6场；</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2、婚姻家庭辅导咨询每周2天，至少由1名专业心理咨询师值班；</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3、婚前、新婚和拟离婚人员进行现场情感咨询疏导和家庭矛盾的咨询化解，累计服务不少于50人次，共100人次；</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4、婚姻家庭辅导案例整理、编辑（典型案例）3个，共6个；</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5、配合鼓楼区民政局婚姻登记处开展活动2次，共4次。</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6</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10</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其它</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有利于加强社会建设、完善社会服务、促进社会和谐的服务项目</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遗产管理人法律法规咨询、宣传、处置流程辅导</w:t>
            </w:r>
            <w:r/>
          </w:p>
        </w:tc>
        <w:tc>
          <w:tcPr>
            <w:shd w:val="clear" w:color="auto" w:fill="auto"/>
            <w:tcW w:w="450"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200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1.完成2篇遗产管理人制度相关简报；</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2.完成3 场遗产管理人主题普法讲座；</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仿宋" w:asciiTheme="minorEastAsia" w:hAnsiTheme="minorEastAsia" w:eastAsiaTheme="minorEastAsia"/>
                <w:color w:val="000000" w:themeColor="text1"/>
                <w:sz w:val="21"/>
                <w:szCs w:val="21"/>
                <w14:textFill>
                  <w14:solidFill>
                    <w14:schemeClr w14:val="tx1"/>
                  </w14:solidFill>
                </w14:textFill>
              </w:rPr>
              <w:t xml:space="preserve">3.对全区范围内居民提供遗产管理人法律法规咨询。</w:t>
            </w:r>
            <w:r/>
          </w:p>
        </w:tc>
        <w:tc>
          <w:tcPr>
            <w:tcW w:w="1217" w:type="pct"/>
            <w:vAlign w:val="center"/>
            <w:textDirection w:val="lrTb"/>
            <w:noWrap w:val="false"/>
          </w:tcPr>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1.形成1套系统的遗产管理人制度相关研究成果，包括专题报告1份、处置流程操作指导1份；</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2.全年完成6场遗产管理人主题普法讲座；</w:t>
            </w:r>
            <w:r/>
          </w:p>
          <w:p>
            <w:pPr>
              <w:jc w:val="left"/>
              <w:spacing w:line="32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3.对社区工作者进行专题培训，提升基层实务人员制度适用与宣传能力；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仿宋" w:asciiTheme="minorEastAsia" w:hAnsiTheme="minorEastAsia" w:eastAsiaTheme="minorEastAsia"/>
                <w:color w:val="000000" w:themeColor="text1"/>
                <w:sz w:val="21"/>
                <w:szCs w:val="21"/>
                <w14:textFill>
                  <w14:solidFill>
                    <w14:schemeClr w14:val="tx1"/>
                  </w14:solidFill>
                </w14:textFill>
              </w:rPr>
              <w:t xml:space="preserve">4.对全区范围内居民提供遗产管理人法律法规咨询。</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11</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其他</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有利于加强社会建设、完善社会服务、促进社会和谐的服务项目</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社会救助工作人员心理赋能</w:t>
            </w:r>
            <w:r/>
          </w:p>
        </w:tc>
        <w:tc>
          <w:tcPr>
            <w:shd w:val="clear" w:color="auto" w:fill="auto"/>
            <w:tcW w:w="450"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200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spacing w:line="320" w:lineRule="exact"/>
              <w:widowControl/>
              <w:rPr>
                <w:rFonts w:cs="方正仿宋_GBK"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（一）定性目标：为鼓楼区各社区的社会救助人员开展心理关爱和工作素养提升服务。有效缓解社工的心理压力，排解负性情绪，提升心理韧性与自我调适能力，增强职业认同感与工作幸福感。</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（二）定量目标：</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1.开展心理健康测评，了解服务对象整体情况，建立心理健康档案，中期测评不少于100人次。</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2.团体心理辅导：通过各类主题沙龙、心理情景剧、心理工作坊、团体心理素质拓展等灵活多样的形式，缓解社工心理压力、提升心理品质、掌握有效沟通化解矛盾的方法、提升工作素养，增强职业认同感与工作幸福感。中期不少于12场次。</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3.线上心理服务：建立线上服务群，通过线上主题沙龙、直播间等形式，为社工提供线上咨询服务，解答工作和生活中遇到的各类心理问题。中期不少于2场次。</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4.媒体报道，市级媒体宣传报道，中期不少于1次。</w:t>
            </w:r>
            <w:r/>
          </w:p>
        </w:tc>
        <w:tc>
          <w:tcPr>
            <w:tcW w:w="1217" w:type="pct"/>
            <w:vAlign w:val="center"/>
            <w:textDirection w:val="lrTb"/>
            <w:noWrap w:val="false"/>
          </w:tcPr>
          <w:p>
            <w:pPr>
              <w:spacing w:line="320" w:lineRule="exact"/>
              <w:widowControl/>
              <w:rPr>
                <w:rFonts w:cs="方正仿宋_GBK" w:asciiTheme="minorEastAsia" w:hAnsiTheme="minorEastAsia" w:eastAsiaTheme="minorEastAsia"/>
                <w:color w:val="000000" w:themeColor="text1"/>
                <w:szCs w:val="21"/>
                <w14:textFill>
                  <w14:solidFill>
                    <w14:schemeClr w14:val="tx1"/>
                  </w14:solidFill>
                </w14:textFill>
              </w:rPr>
            </w:pPr>
            <w:r>
              <w:rPr>
                <w:rFonts w:hint="eastAsia" w:cs="方正仿宋_GBK" w:asciiTheme="minorEastAsia" w:hAnsiTheme="minorEastAsia" w:eastAsiaTheme="minorEastAsia"/>
                <w:color w:val="000000" w:themeColor="text1"/>
                <w:szCs w:val="21"/>
                <w14:textFill>
                  <w14:solidFill>
                    <w14:schemeClr w14:val="tx1"/>
                  </w14:solidFill>
                </w14:textFill>
              </w:rPr>
              <w:t xml:space="preserve">（一）定性目标：为鼓楼区各社区的社会救助人员开展心理关爱和工作素养提升服务。有效缓解社工的心理压力，排解负性情绪，提升心理韧性与自我调适能力，增强职业认同感与工作幸福感，降低离职率。</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（二）定量目标：</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1.开展心理健康测评，了解服务对象整体情况，建立心理健康档案，结项测评不少于200人次。</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2.团体心理辅导：通过各类主题沙龙、心理情景剧、心理工作坊、团体心理素质拓展等灵活多样的形式，缓解社工心理压力、提升心理品质、掌握有效沟通化解矛盾的方法、提升工作素养，增强职业认同感与工作幸福感。结项不少于24场次。</w:t>
            </w:r>
            <w:r/>
          </w:p>
          <w:p>
            <w:pPr>
              <w:pStyle w:val="894"/>
              <w:jc w:val="left"/>
              <w:spacing w:after="0" w:line="320" w:lineRule="exact"/>
              <w:rPr>
                <w:rFonts w:cs="方正仿宋_GBK"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3.线上心理服务：建立线上服务群，通过线上主题沙龙、直播间等形式，为社工提供线上咨询服务，解答工作和生活中遇到的各类心理问题。结项不少于4场次。</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方正仿宋_GBK" w:asciiTheme="minorEastAsia" w:hAnsiTheme="minorEastAsia" w:eastAsiaTheme="minorEastAsia"/>
                <w:color w:val="000000" w:themeColor="text1"/>
                <w:sz w:val="21"/>
                <w:szCs w:val="21"/>
                <w14:textFill>
                  <w14:solidFill>
                    <w14:schemeClr w14:val="tx1"/>
                  </w14:solidFill>
                </w14:textFill>
              </w:rPr>
              <w:t xml:space="preserve">4.媒体报道，市级媒体宣传报道，结项不少于2次。</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12</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慈善救助</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城乡低收入、贫困单亲、残障人士家庭等综合帮扶服务</w:t>
            </w:r>
            <w:r/>
          </w:p>
        </w:tc>
        <w:tc>
          <w:tcPr>
            <w:shd w:val="clear" w:color="auto" w:fill="auto"/>
            <w:tcW w:w="450"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完成服务对象招募与建档：成功招募并确认50名鼓楼区单亲家庭子女，建立个人信息档案，完成初次需求评估（含家庭结构、心理状态、职业兴趣等）。</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2.开展生涯启蒙主题活动：组织不少于3场职业认知体验活动，覆盖全体服务对象，满意度达90%以上。</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3.建立成长陪伴志愿服务团队：组建不少于5个成长陪伴团队，每个团队配备1名志愿者辅导员，开展不少于2次陪伴服务，重点关注单亲家庭子女的心理支持与成长引导。</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4.家长沟通与参与：举办1场单亲家长说明会，普及生涯教育理念，提升单亲家庭对子女职业发展的关注与支持，家长满意度达80%以上。</w:t>
            </w:r>
            <w:r/>
          </w:p>
        </w:tc>
        <w:tc>
          <w:tcPr>
            <w:tcW w:w="1217" w:type="pct"/>
            <w:vAlign w:val="center"/>
            <w:textDirection w:val="lrTb"/>
            <w:noWrap w:val="false"/>
          </w:tcPr>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1.服务对象生涯认知水平明显提升，80%以上的单亲家庭子女能明确表达1-2个感兴趣的职业方向。</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2.组织开展不少于6场生涯启蒙系列活动，累计服务不少于300人次。</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3.开展至少1次亲子职业体验活动，促进单亲家庭亲子互动及对子女职业发展的关注。</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4.项目总结形成一套适合单亲家庭子女的生涯启蒙活动手册或经验材料，并提炼单亲家庭帮扶经验。</w:t>
            </w:r>
            <w:r/>
          </w:p>
          <w:p>
            <w:pP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5.服务对象综合满意度（活动内容、组织方式、成长收获）达到90%以上。</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6.项目获区级以上媒体报道不少于2次，提升社会对单亲家庭子女成长关注的倡导。</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13</w:t>
            </w:r>
            <w:r/>
          </w:p>
        </w:tc>
        <w:tc>
          <w:tcPr>
            <w:tcW w:w="324"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shd w:val="clear" w:color="auto" w:fill="auto"/>
            <w:tcW w:w="391" w:type="pct"/>
            <w:vAlign w:val="center"/>
            <w:textDirection w:val="lrTb"/>
            <w:noWrap w:val="false"/>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其他公益性、福利性和专业性养老服务</w:t>
            </w:r>
            <w:r/>
          </w:p>
        </w:tc>
        <w:tc>
          <w:tcPr>
            <w:shd w:val="clear" w:color="auto" w:fill="auto"/>
            <w:tcW w:w="450"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鼓楼区全域40家养老机构（一）核心服务对象：</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鼓楼区全域40家养老机构的入住老年人3800人左右。</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（二）间接服务对象：</w:t>
            </w:r>
            <w:r/>
          </w:p>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养老机构管理人员、工作人员、护理人员、志愿者100人左右。</w:t>
            </w:r>
            <w:r/>
          </w:p>
        </w:tc>
        <w:tc>
          <w:tcPr>
            <w:tcW w:w="1229"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（一）项目名称：</w:t>
            </w:r>
            <w:r>
              <w:rPr>
                <w:rFonts w:hint="eastAsia" w:cs="宋体" w:asciiTheme="minorEastAsia" w:hAnsiTheme="minorEastAsia" w:eastAsiaTheme="minorEastAsia"/>
                <w:b/>
                <w:color w:val="000000" w:themeColor="text1"/>
                <w:sz w:val="21"/>
                <w:szCs w:val="21"/>
                <w14:textFill>
                  <w14:solidFill>
                    <w14:schemeClr w14:val="tx1"/>
                  </w14:solidFill>
                </w14:textFill>
              </w:rPr>
              <w:t xml:space="preserve">安全守护，心理护航</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基于安全管理视角下鼓楼区养老机构入住老年人心理健康筛查、评估与风险预警机制建设。本项目围绕鼓楼区40家养老机构3800名左右入住老年人，以养老机构安全管理为核心视角，聚焦心理问题“早筛查、早评估、早预警”核心需求，通过项目实施，构建“筛查—评估—分级—建档—预警”工作体系，输出标准化筛查工具、流程与机制，将心理安全管理嵌入养老机构日常安全、照护、应急全流程，最终实现入住老人心理风险可识别、可管控，机构心理安全风险防控能力显著提升。</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（二）建立标准化筛查体系</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制定适合养老机构入住老人的简易、高效、非专业可操作筛查量表/问卷，包含：情绪状态（抑郁、焦虑、孤独）、认知状态（记忆力、定向力）、行为风险（冲动、拒食、自伤、出走倾向）、睡眠、沟通、家属支持、适应情况等。</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2、形成统一入口、统一表格、统一流程的筛查规范。</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（三）全域养老机构全覆盖心理筛查</w:t>
            </w:r>
            <w:r/>
          </w:p>
          <w:p>
            <w:pPr>
              <w:pStyle w:val="894"/>
              <w:numPr>
                <w:ilvl w:val="0"/>
                <w:numId w:val="6"/>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培训：培训养老机构护理员/社工筛查规范，能快速识别老人异常，项目社工现场复核、指导质控。</w:t>
            </w:r>
            <w:r/>
          </w:p>
          <w:p>
            <w:pPr>
              <w:pStyle w:val="894"/>
              <w:numPr>
                <w:ilvl w:val="0"/>
                <w:numId w:val="6"/>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初筛：按机构分批推进，社工+护理员按培训标准访谈观察，完成基础筛查，对3800名左右入住老人逐一开展初筛。</w:t>
            </w:r>
            <w:r/>
          </w:p>
          <w:p>
            <w:pPr>
              <w:pStyle w:val="894"/>
              <w:numPr>
                <w:ilvl w:val="0"/>
                <w:numId w:val="6"/>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完成3800名左右老人全覆盖心理健康初筛，筛查率≥95%。</w:t>
            </w:r>
            <w:r/>
          </w:p>
          <w:p>
            <w:pPr>
              <w:pStyle w:val="894"/>
              <w:numPr>
                <w:ilvl w:val="0"/>
                <w:numId w:val="6"/>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输出初筛可疑名单（情绪异常、行为风险、认知异常）。</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（四）分层分类评估</w:t>
            </w:r>
            <w:r/>
          </w:p>
          <w:p>
            <w:pPr>
              <w:pStyle w:val="894"/>
              <w:numPr>
                <w:ilvl w:val="0"/>
                <w:numId w:val="7"/>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专业评估：社工/心理专业人员对初筛异常老人进行深度评估，判定：低风险、中风险、高风险（纳入安全预警）。</w:t>
            </w:r>
            <w:r/>
          </w:p>
          <w:p>
            <w:pPr>
              <w:pStyle w:val="894"/>
              <w:numPr>
                <w:ilvl w:val="0"/>
                <w:numId w:val="7"/>
              </w:numPr>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结合身体状况、用药、照护等级进行综合评估，避免单纯心理量表偏差。</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（五）建立心理安全档案与风险台账</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1、一人一档：基本信息、筛查结果、评估等级、风险点、照护建议。</w:t>
            </w:r>
            <w:r/>
          </w:p>
          <w:p>
            <w:pP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2、养老机构建立心理风险红黄绿三级风险档案，对接安全管理制度。</w:t>
            </w:r>
            <w:r/>
          </w:p>
        </w:tc>
        <w:tc>
          <w:tcPr>
            <w:tcW w:w="1217"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一）本项目的总体目标是在鼓楼区全域内40家养老机构建立可复制、可落地、常态化的老年人心理问题筛查与评估工作机制，实现3800名左右入住老人应筛尽筛、科学评估、风险分级、预警机制，提升养老机构心理安全管理能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（二）输出成果：</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1、为鼓楼区40家养老机构制定统一的《机构入住老人心理筛查与评估操作手册》与《机构入住老人心理风险分级与安全照护指引》。</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2、为每家机构培训2–3名骨干人员，具备独立开展筛查、初步评估、上报处置能力。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3、形成筛查—评估—分级—预警—转介—回访的安全管理闭环。</w:t>
            </w:r>
            <w:r/>
          </w:p>
        </w:tc>
        <w:tc>
          <w:tcPr>
            <w:tcW w:w="419"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12</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14</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MS Mincho"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困境未成年人心理和精神关爱服务、社区儿童临时托管看护支持服务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200人</w:t>
            </w:r>
            <w:r/>
          </w:p>
        </w:tc>
        <w:tc>
          <w:tcPr>
            <w:tcW w:w="1229" w:type="pct"/>
            <w:vAlign w:val="center"/>
            <w:textDirection w:val="lrTb"/>
            <w:noWrap w:val="false"/>
          </w:tcPr>
          <w:p>
            <w:pPr>
              <w:numPr>
                <w:ilvl w:val="0"/>
                <w:numId w:val="8"/>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完成5个社区暖“新”伙伴招募，稳定参与青少年不少于100人；</w:t>
            </w:r>
            <w:r/>
          </w:p>
          <w:p>
            <w:pPr>
              <w:numPr>
                <w:ilvl w:val="0"/>
                <w:numId w:val="8"/>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累计开展周末托管及特色课程不少于30次，服务人次达600以上；</w:t>
            </w:r>
            <w:r/>
          </w:p>
          <w:p>
            <w:pPr>
              <w:numPr>
                <w:ilvl w:val="0"/>
                <w:numId w:val="8"/>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完成心理健康活动</w:t>
            </w:r>
            <w:r>
              <w:rPr>
                <w:rFonts w:hint="eastAsia" w:cs="宋体" w:asciiTheme="minorEastAsia" w:hAnsiTheme="minorEastAsia" w:eastAsiaTheme="minorEastAsia"/>
                <w:color w:val="000000" w:themeColor="text1"/>
                <w:szCs w:val="21"/>
                <w14:textFill>
                  <w14:solidFill>
                    <w14:schemeClr w14:val="tx1"/>
                  </w14:solidFill>
                </w14:textFill>
              </w:rPr>
              <w:t xml:space="preserve">10</w:t>
            </w:r>
            <w:r>
              <w:rPr>
                <w:rFonts w:cs="宋体" w:asciiTheme="minorEastAsia" w:hAnsiTheme="minorEastAsia" w:eastAsiaTheme="minorEastAsia"/>
                <w:color w:val="000000" w:themeColor="text1"/>
                <w:szCs w:val="21"/>
                <w14:textFill>
                  <w14:solidFill>
                    <w14:schemeClr w14:val="tx1"/>
                  </w14:solidFill>
                </w14:textFill>
              </w:rPr>
              <w:t xml:space="preserve">场</w:t>
            </w:r>
            <w:r>
              <w:rPr>
                <w:rFonts w:hint="eastAsia" w:cs="宋体" w:asciiTheme="minorEastAsia" w:hAnsiTheme="minorEastAsia" w:eastAsiaTheme="minorEastAsia"/>
                <w:color w:val="000000" w:themeColor="text1"/>
                <w:szCs w:val="21"/>
                <w14:textFill>
                  <w14:solidFill>
                    <w14:schemeClr w14:val="tx1"/>
                  </w14:solidFill>
                </w14:textFill>
              </w:rPr>
              <w:t xml:space="preserve">；</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组建1支由高校学生、专业社工构成的“暖新”志愿服务小队</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w:t>
            </w:r>
            <w:r/>
          </w:p>
        </w:tc>
        <w:tc>
          <w:tcPr>
            <w:tcW w:w="1217" w:type="pct"/>
            <w:vAlign w:val="center"/>
            <w:textDirection w:val="lrTb"/>
            <w:noWrap w:val="false"/>
          </w:tcPr>
          <w:p>
            <w:pPr>
              <w:numPr>
                <w:ilvl w:val="0"/>
                <w:numId w:val="9"/>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累计服务新业态新就业群体子女、困境青少年等不少于150人；</w:t>
            </w:r>
            <w:r/>
          </w:p>
          <w:p>
            <w:pPr>
              <w:numPr>
                <w:ilvl w:val="0"/>
                <w:numId w:val="9"/>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全年累计开展周末托管及特色课程不少于</w:t>
            </w:r>
            <w:r>
              <w:rPr>
                <w:rFonts w:hint="eastAsia" w:cs="宋体" w:asciiTheme="minorEastAsia" w:hAnsiTheme="minorEastAsia" w:eastAsiaTheme="minorEastAsia"/>
                <w:color w:val="000000" w:themeColor="text1"/>
                <w:szCs w:val="21"/>
                <w14:textFill>
                  <w14:solidFill>
                    <w14:schemeClr w14:val="tx1"/>
                  </w14:solidFill>
                </w14:textFill>
              </w:rPr>
              <w:t xml:space="preserve">50</w:t>
            </w:r>
            <w:r>
              <w:rPr>
                <w:rFonts w:cs="宋体" w:asciiTheme="minorEastAsia" w:hAnsiTheme="minorEastAsia" w:eastAsiaTheme="minorEastAsia"/>
                <w:color w:val="000000" w:themeColor="text1"/>
                <w:szCs w:val="21"/>
                <w14:textFill>
                  <w14:solidFill>
                    <w14:schemeClr w14:val="tx1"/>
                  </w14:solidFill>
                </w14:textFill>
              </w:rPr>
              <w:t xml:space="preserve">次，服务人次达</w:t>
            </w:r>
            <w:r>
              <w:rPr>
                <w:rFonts w:hint="eastAsia" w:cs="宋体" w:asciiTheme="minorEastAsia" w:hAnsiTheme="minorEastAsia" w:eastAsiaTheme="minorEastAsia"/>
                <w:color w:val="000000" w:themeColor="text1"/>
                <w:szCs w:val="21"/>
                <w14:textFill>
                  <w14:solidFill>
                    <w14:schemeClr w14:val="tx1"/>
                  </w14:solidFill>
                </w14:textFill>
              </w:rPr>
              <w:t xml:space="preserve">750</w:t>
            </w:r>
            <w:r>
              <w:rPr>
                <w:rFonts w:cs="宋体" w:asciiTheme="minorEastAsia" w:hAnsiTheme="minorEastAsia" w:eastAsiaTheme="minorEastAsia"/>
                <w:color w:val="000000" w:themeColor="text1"/>
                <w:szCs w:val="21"/>
                <w14:textFill>
                  <w14:solidFill>
                    <w14:schemeClr w14:val="tx1"/>
                  </w14:solidFill>
                </w14:textFill>
              </w:rPr>
              <w:t xml:space="preserve">以上；</w:t>
            </w:r>
            <w:r/>
          </w:p>
          <w:p>
            <w:pPr>
              <w:numPr>
                <w:ilvl w:val="0"/>
                <w:numId w:val="9"/>
              </w:num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完成心理健康活动</w:t>
            </w:r>
            <w:r>
              <w:rPr>
                <w:rFonts w:hint="eastAsia" w:cs="宋体" w:asciiTheme="minorEastAsia" w:hAnsiTheme="minorEastAsia" w:eastAsiaTheme="minorEastAsia"/>
                <w:color w:val="000000" w:themeColor="text1"/>
                <w:szCs w:val="21"/>
                <w14:textFill>
                  <w14:solidFill>
                    <w14:schemeClr w14:val="tx1"/>
                  </w14:solidFill>
                </w14:textFill>
              </w:rPr>
              <w:t xml:space="preserve">20</w:t>
            </w:r>
            <w:r>
              <w:rPr>
                <w:rFonts w:cs="宋体" w:asciiTheme="minorEastAsia" w:hAnsiTheme="minorEastAsia" w:eastAsiaTheme="minorEastAsia"/>
                <w:color w:val="000000" w:themeColor="text1"/>
                <w:szCs w:val="21"/>
                <w14:textFill>
                  <w14:solidFill>
                    <w14:schemeClr w14:val="tx1"/>
                  </w14:solidFill>
                </w14:textFill>
              </w:rPr>
              <w:t xml:space="preserve">场</w:t>
            </w:r>
            <w:r>
              <w:rPr>
                <w:rFonts w:hint="eastAsia" w:cs="宋体" w:asciiTheme="minorEastAsia" w:hAnsiTheme="minorEastAsia" w:eastAsiaTheme="minorEastAsia"/>
                <w:color w:val="000000" w:themeColor="text1"/>
                <w:szCs w:val="21"/>
                <w14:textFill>
                  <w14:solidFill>
                    <w14:schemeClr w14:val="tx1"/>
                  </w14:solidFill>
                </w14:textFill>
              </w:rPr>
              <w:t xml:space="preserve">；</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提炼形成1套“社区+社工+志愿者”联动服务模式</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15</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MS Mincho"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其他社区青少年公益性、创新性的专业社会服务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300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1.为鼓楼区中小学生举办科普研学营活动，单次活动不少于半天、每次活动中小学生不少于15人。</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2.完成研学营不少于 10 场。</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3.服务中小学生不少于150人。</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lang w:eastAsia="zh-TW"/>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1.为鼓楼区中小学生举办科普研学营活动，单次活动不少于半天、每次活动中小学生不少于15人。</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lang w:eastAsia="zh-TW"/>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完成研学营不少于 20场。总时长不少于15天。</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3.服务中小学生不少于300人。</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16</w:t>
            </w:r>
            <w:r/>
          </w:p>
        </w:tc>
        <w:tc>
          <w:tcPr>
            <w:tcW w:w="324"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MS Mincho" w:asciiTheme="minorEastAsia" w:hAnsiTheme="minorEastAsia" w:eastAsiaTheme="minorEastAsia"/>
                <w:color w:val="000000" w:themeColor="text1"/>
                <w:szCs w:val="21"/>
                <w14:textFill>
                  <w14:solidFill>
                    <w14:schemeClr w14:val="tx1"/>
                  </w14:solidFill>
                </w14:textFill>
              </w:rPr>
              <w:t xml:space="preserve">鼓楼区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青少年服务：特殊未成年人的社区矫正服务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40</w:t>
            </w:r>
            <w:r>
              <w:rPr>
                <w:rFonts w:hint="eastAsia" w:cs="宋体" w:asciiTheme="minorEastAsia" w:hAnsiTheme="minorEastAsia" w:eastAsiaTheme="min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1.产出专业《社会调查报告》不少于20份，报告包含个体情况、环境分析、风险预估及矫正建议等核心模块。</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2.开展专业个案帮教不少于30人次，完成《个案面谈记录》不少于30份。面谈聚焦于偏差行为的识别与矫正，并结合心理疏导技术，记录服务对象在认知、情绪、行为方面的细微变化。</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3.组织涉罪青少年参与志愿服务或社区公益活动不少于3次，累计参与服务对象人次不低于10人。通过志愿服务观察其在社会情境中的互动表现，评估其社会融入意愿和主动性的初步改善情况。</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1.服务对象的再犯风险水平显著性降低，再犯率（项目周期内服务对象因违法犯罪被司法机关处理）控制在1%以内，切实发挥矫正服务的预防和震慑作用。</w:t>
            </w:r>
            <w:r/>
          </w:p>
          <w:p>
            <w:pPr>
              <w:pStyle w:val="894"/>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2.亲子沟通有明显改善，70%服务对象家庭</w:t>
            </w:r>
            <w:r>
              <w:rPr>
                <w:rFonts w:cs="宋体" w:asciiTheme="minorEastAsia" w:hAnsiTheme="minorEastAsia" w:eastAsiaTheme="minorEastAsia"/>
                <w:color w:val="000000" w:themeColor="text1"/>
                <w:sz w:val="21"/>
                <w:szCs w:val="21"/>
                <w14:textFill>
                  <w14:solidFill>
                    <w14:schemeClr w14:val="tx1"/>
                  </w14:solidFill>
                </w14:textFill>
              </w:rPr>
              <w:t xml:space="preserve">沟通冲突减少</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，家庭支持功能得到增强，为服务对象稳定回归社会提供家庭基础。</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3.社会融入主动性增强：项目期间70%的服务对象在支援活动中表现出更强的责任感、协作意识和亲社会行为倾向，从被动安排转向主动配合。</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771"/>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17</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华侨路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青少年服务：其他社区青少年公益性、创新性的专业社会服务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80人</w:t>
            </w:r>
            <w:r/>
          </w:p>
        </w:tc>
        <w:tc>
          <w:tcPr>
            <w:tcW w:w="1229" w:type="pct"/>
            <w:vAlign w:val="center"/>
            <w:textDirection w:val="lrTb"/>
            <w:noWrap w:val="false"/>
          </w:tcPr>
          <w:p>
            <w:pPr>
              <w:numPr>
                <w:ilvl w:val="0"/>
                <w:numId w:val="10"/>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在社区向青少年普及与运用AI工具开展主题活动4场，覆盖青少年及家长不少于100人次，帮助青少年和家长正确认识和使用AI工具关注外在自我心理健康。</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建立AI心成长小组，招募与筛选组员10人；开展心理健康小组主题活动2节，通过绘本的认识与创作，提升辖区青少年情绪识别能力和心理韧性，关注内在自我提升。</w:t>
            </w:r>
            <w:r/>
          </w:p>
        </w:tc>
        <w:tc>
          <w:tcPr>
            <w:tcW w:w="1217" w:type="pct"/>
            <w:vAlign w:val="center"/>
            <w:textDirection w:val="lrTb"/>
            <w:noWrap w:val="false"/>
          </w:tcPr>
          <w:p>
            <w:pPr>
              <w:numPr>
                <w:ilvl w:val="0"/>
                <w:numId w:val="11"/>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AI伴成长主题服务，面向社区有心理健康关爱的青少年普及与运用AI工具开展8节心理自然、疗愈、文化行走等主题活动，促进外在自我成长，覆盖青少年及家长不少于200人次；</w:t>
            </w:r>
            <w:r/>
          </w:p>
          <w:p>
            <w:pPr>
              <w:numPr>
                <w:ilvl w:val="0"/>
                <w:numId w:val="11"/>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开展AI绘心成长小组4节，通过绘本创作帮助青少年识别内在心理自我，从情绪管理、压力疏解和提升自我表达能力；包括专家讲座、线上答疑、案例督导，构建“AI+专家”立体化心理关爱网络。</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3.帮助服务对象完成个人心理绘本创作，产出《AI心视界——青少年心理绘本集》1册（含8个原创故事），并在街道社区进行数字化展播，进行宣传展示。</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18</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宁海路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养老服务：困难老年人健康生活指导及康复护理服务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60人</w:t>
            </w:r>
            <w:r/>
          </w:p>
        </w:tc>
        <w:tc>
          <w:tcPr>
            <w:tcW w:w="1229"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半年内，为辖区</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6</w:t>
            </w:r>
            <w:r>
              <w:rPr>
                <w:rFonts w:cs="宋体" w:asciiTheme="minorEastAsia" w:hAnsiTheme="minorEastAsia" w:eastAsiaTheme="minorEastAsia"/>
                <w:color w:val="000000" w:themeColor="text1"/>
                <w:sz w:val="21"/>
                <w:szCs w:val="21"/>
                <w14:textFill>
                  <w14:solidFill>
                    <w14:schemeClr w14:val="tx1"/>
                  </w14:solidFill>
                </w14:textFill>
              </w:rPr>
              <w:t xml:space="preserve">0%困难老年人建立健康档案，开展健康监测与个性化指导；培训</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5</w:t>
            </w:r>
            <w:r>
              <w:rPr>
                <w:rFonts w:cs="宋体" w:asciiTheme="minorEastAsia" w:hAnsiTheme="minorEastAsia" w:eastAsiaTheme="minorEastAsia"/>
                <w:color w:val="000000" w:themeColor="text1"/>
                <w:sz w:val="21"/>
                <w:szCs w:val="21"/>
                <w14:textFill>
                  <w14:solidFill>
                    <w14:schemeClr w14:val="tx1"/>
                  </w14:solidFill>
                </w14:textFill>
              </w:rPr>
              <w:t xml:space="preserve">名护理员，提升康复护理专业能力；实现康复护理服务覆盖60%失能半失能困难老人，改善其生活自理能力与健康状况。</w:t>
            </w:r>
            <w:r/>
          </w:p>
        </w:tc>
        <w:tc>
          <w:tcPr>
            <w:tcW w:w="1217"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改善困难老年人健康状况，提升生活自理能力；建立长效服务机制，实现服务常态化覆盖；增强老年人健康意识，优化生活方式；打造专业服务团队，提升服务质量与满意度，助力困难老年人安享晚年。</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19</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宁海路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养老服务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养老服务：老年人监护残疾人家庭服务</w:t>
            </w:r>
            <w:r/>
          </w:p>
        </w:tc>
        <w:tc>
          <w:tcPr>
            <w:shd w:val="clear" w:color="auto" w:fill="auto"/>
            <w:tcW w:w="450" w:type="pct"/>
            <w:vAlign w:val="center"/>
            <w:textDirection w:val="lrTb"/>
            <w:noWrap w:val="false"/>
          </w:tcPr>
          <w:p>
            <w:p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50户服务群体：</w:t>
            </w:r>
            <w:r/>
          </w:p>
          <w:p>
            <w:pPr>
              <w:jc w:val="left"/>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1、60岁以上长者的配偶，达到失能半失能状态，由老年人承担主要照料责任需支持家庭；</w:t>
            </w:r>
            <w:r/>
          </w:p>
          <w:p>
            <w:p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2、60岁以上长者的子女，为残疾人士，由老年人承担主要照料责任，需支持家庭。</w:t>
            </w:r>
            <w:r/>
          </w:p>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3、经过需求调查本街道需求人数如不足50户，将在附近其他街道进行补充。</w:t>
            </w:r>
            <w:r/>
          </w:p>
        </w:tc>
        <w:tc>
          <w:tcPr>
            <w:tcW w:w="1229" w:type="pct"/>
            <w:vAlign w:val="center"/>
            <w:textDirection w:val="lrTb"/>
            <w:noWrap w:val="false"/>
          </w:tcPr>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设立项目独立科目，严格执行专款专用、规范管理。</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和街道社区进行沟通，锚定目标人群（50户）。</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入户走访进行需求评估，为 50 户家庭建立一户一档标准化服务档案。</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搭建志愿者、专业人士联动的家庭支持网络，根据需求进行服务。</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截止中期累计开展不少于350人次（需求调查、圆梦、情感支持、陪诊购物、政策宣传、信息链接等人力物力支持）入户服务。组织开展一次集体关爱活动。</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项目中期完成不低于 50%的整体服务任务。</w:t>
            </w:r>
            <w:r/>
          </w:p>
          <w:p>
            <w:pPr>
              <w:numPr>
                <w:ilvl w:val="0"/>
                <w:numId w:val="12"/>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发布3 篇及以上项目宣传推文，扩大项目影响力。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8、按时完成项目中期追踪、总结、资料归档与自查工作。</w:t>
            </w:r>
            <w:r/>
          </w:p>
        </w:tc>
        <w:tc>
          <w:tcPr>
            <w:tcW w:w="1217" w:type="pct"/>
            <w:vAlign w:val="center"/>
            <w:textDirection w:val="lrTb"/>
            <w:noWrap w:val="false"/>
          </w:tcPr>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如中期项目执行发生偏离，及时回访调整完善。</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结项期完成不低于350人次，全年不低于700人次（圆梦、情感支持、陪诊购物、政策宣传、信息链接等人力物力支持）入户服务。完成一次集体活动</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全面完成50户家庭全覆盖服务，每户均获得稳定、可追溯的专业支持。</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3篇公众号文章推送宣传。</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为照护者提供喘息式服务，兼顾个性化帮扶与群体互动，</w:t>
            </w:r>
            <w:r>
              <w:rPr>
                <w:rFonts w:asciiTheme="minorEastAsia" w:hAnsiTheme="minorEastAsia" w:eastAsiaTheme="minorEastAsia"/>
                <w:color w:val="000000" w:themeColor="text1"/>
                <w:szCs w:val="21"/>
                <w14:textFill>
                  <w14:solidFill>
                    <w14:schemeClr w14:val="tx1"/>
                  </w14:solidFill>
                </w14:textFill>
              </w:rPr>
              <w:t xml:space="preserve">切实解决生活、心理困境，缓解家庭压力</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预算合规、足额、绩效可评估。</w:t>
            </w:r>
            <w:r/>
          </w:p>
          <w:p>
            <w:pPr>
              <w:numPr>
                <w:ilvl w:val="0"/>
                <w:numId w:val="13"/>
              </w:numPr>
              <w:jc w:val="left"/>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打造可复制、可推广的家庭支持模式，为后续持续服务奠定基础。传递公益温情。</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p>
        </w:tc>
      </w:tr>
      <w:tr>
        <w:trPr>
          <w:jc w:val="center"/>
          <w:trHeight w:val="913"/>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20</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湖南路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南秀村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其他公益性、福利性和专业性养老服务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200名社区老人（重点关注环南大片区银发青年、高知活力老人）</w:t>
            </w:r>
            <w:r/>
          </w:p>
        </w:tc>
        <w:tc>
          <w:tcPr>
            <w:tcW w:w="1229"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1. 开展银龄SHOP主题</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快闪</w:t>
            </w:r>
            <w:r>
              <w:rPr>
                <w:rFonts w:cs="宋体" w:asciiTheme="minorEastAsia" w:hAnsiTheme="minorEastAsia" w:eastAsiaTheme="minorEastAsia"/>
                <w:color w:val="000000" w:themeColor="text1"/>
                <w:sz w:val="21"/>
                <w:szCs w:val="21"/>
                <w14:textFill>
                  <w14:solidFill>
                    <w14:schemeClr w14:val="tx1"/>
                  </w14:solidFill>
                </w14:textFill>
              </w:rPr>
              <w:t xml:space="preserve">活动（好物选品、展览</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/市集</w:t>
            </w:r>
            <w:r>
              <w:rPr>
                <w:rFonts w:cs="宋体" w:asciiTheme="minorEastAsia" w:hAnsiTheme="minorEastAsia" w:eastAsiaTheme="minorEastAsia"/>
                <w:color w:val="000000" w:themeColor="text1"/>
                <w:sz w:val="21"/>
                <w:szCs w:val="21"/>
                <w14:textFill>
                  <w14:solidFill>
                    <w14:schemeClr w14:val="tx1"/>
                  </w14:solidFill>
                </w14:textFill>
              </w:rPr>
              <w:t xml:space="preserve">）</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场，银龄TALK议事会</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场，</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口述历史工作坊1</w:t>
            </w:r>
            <w:r>
              <w:rPr>
                <w:rFonts w:cs="宋体" w:asciiTheme="minorEastAsia" w:hAnsiTheme="minorEastAsia" w:eastAsiaTheme="minorEastAsia"/>
                <w:color w:val="000000" w:themeColor="text1"/>
                <w:sz w:val="21"/>
                <w:szCs w:val="21"/>
                <w14:textFill>
                  <w14:solidFill>
                    <w14:schemeClr w14:val="tx1"/>
                  </w14:solidFill>
                </w14:textFill>
              </w:rPr>
              <w:t xml:space="preserve">场，代际交流</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活动1</w:t>
            </w:r>
            <w:r>
              <w:rPr>
                <w:rFonts w:cs="宋体" w:asciiTheme="minorEastAsia" w:hAnsiTheme="minorEastAsia" w:eastAsiaTheme="minorEastAsia"/>
                <w:color w:val="000000" w:themeColor="text1"/>
                <w:sz w:val="21"/>
                <w:szCs w:val="21"/>
                <w14:textFill>
                  <w14:solidFill>
                    <w14:schemeClr w14:val="tx1"/>
                  </w14:solidFill>
                </w14:textFill>
              </w:rPr>
              <w:t xml:space="preserve">场，累计</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4</w:t>
            </w:r>
            <w:r>
              <w:rPr>
                <w:rFonts w:cs="宋体" w:asciiTheme="minorEastAsia" w:hAnsiTheme="minorEastAsia" w:eastAsiaTheme="minorEastAsia"/>
                <w:color w:val="000000" w:themeColor="text1"/>
                <w:sz w:val="21"/>
                <w:szCs w:val="21"/>
                <w14:textFill>
                  <w14:solidFill>
                    <w14:schemeClr w14:val="tx1"/>
                  </w14:solidFill>
                </w14:textFill>
              </w:rPr>
              <w:t xml:space="preserve">场活动，服务</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100</w:t>
            </w:r>
            <w:r>
              <w:rPr>
                <w:rFonts w:cs="宋体" w:asciiTheme="minorEastAsia" w:hAnsiTheme="minorEastAsia" w:eastAsiaTheme="minorEastAsia"/>
                <w:color w:val="000000" w:themeColor="text1"/>
                <w:sz w:val="21"/>
                <w:szCs w:val="21"/>
                <w14:textFill>
                  <w14:solidFill>
                    <w14:schemeClr w14:val="tx1"/>
                  </w14:solidFill>
                </w14:textFill>
              </w:rPr>
              <w:t xml:space="preserve">人次；</w:t>
            </w:r>
            <w:r>
              <w:rPr>
                <w:rFonts w:cs="宋体" w:asciiTheme="minorEastAsia" w:hAnsiTheme="minorEastAsia" w:eastAsiaTheme="minorEastAsia"/>
                <w:color w:val="000000" w:themeColor="text1"/>
                <w:sz w:val="21"/>
                <w:szCs w:val="21"/>
                <w14:textFill>
                  <w14:solidFill>
                    <w14:schemeClr w14:val="tx1"/>
                  </w14:solidFill>
                </w14:textFill>
              </w:rPr>
              <w:br/>
            </w:r>
            <w:r>
              <w:rPr>
                <w:rFonts w:cs="宋体" w:asciiTheme="minorEastAsia" w:hAnsiTheme="minorEastAsia" w:eastAsiaTheme="minorEastAsia"/>
                <w:color w:val="000000" w:themeColor="text1"/>
                <w:sz w:val="21"/>
                <w:szCs w:val="21"/>
                <w14:textFill>
                  <w14:solidFill>
                    <w14:schemeClr w14:val="tx1"/>
                  </w14:solidFill>
                </w14:textFill>
              </w:rPr>
              <w:t xml:space="preserve">2. 挖掘并培育社区老年积极分子；</w:t>
            </w:r>
            <w:r>
              <w:rPr>
                <w:rFonts w:cs="宋体" w:asciiTheme="minorEastAsia" w:hAnsiTheme="minorEastAsia" w:eastAsiaTheme="minorEastAsia"/>
                <w:color w:val="000000" w:themeColor="text1"/>
                <w:sz w:val="21"/>
                <w:szCs w:val="21"/>
                <w14:textFill>
                  <w14:solidFill>
                    <w14:schemeClr w14:val="tx1"/>
                  </w14:solidFill>
                </w14:textFill>
              </w:rPr>
              <w:br/>
            </w:r>
            <w:r>
              <w:rPr>
                <w:rFonts w:cs="宋体" w:asciiTheme="minorEastAsia" w:hAnsiTheme="minorEastAsia" w:eastAsiaTheme="minorEastAsia"/>
                <w:color w:val="000000" w:themeColor="text1"/>
                <w:sz w:val="21"/>
                <w:szCs w:val="21"/>
                <w14:textFill>
                  <w14:solidFill>
                    <w14:schemeClr w14:val="tx1"/>
                  </w14:solidFill>
                </w14:textFill>
              </w:rPr>
              <w:t xml:space="preserve">3. 服务对象满意度达</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80</w:t>
            </w:r>
            <w:r>
              <w:rPr>
                <w:rFonts w:cs="宋体" w:asciiTheme="minorEastAsia" w:hAnsiTheme="minorEastAsia" w:eastAsiaTheme="minorEastAsia"/>
                <w:color w:val="000000" w:themeColor="text1"/>
                <w:sz w:val="21"/>
                <w:szCs w:val="21"/>
                <w14:textFill>
                  <w14:solidFill>
                    <w14:schemeClr w14:val="tx1"/>
                  </w14:solidFill>
                </w14:textFill>
              </w:rPr>
              <w:t xml:space="preserve">%以上。</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 累计开展银龄SHOP主题活动</w:t>
            </w:r>
            <w:r>
              <w:rPr>
                <w:rFonts w:hint="eastAsia" w:cs="宋体" w:asciiTheme="minorEastAsia" w:hAnsiTheme="minorEastAsia" w:eastAsiaTheme="minorEastAsia"/>
                <w:color w:val="000000" w:themeColor="text1"/>
                <w:szCs w:val="21"/>
                <w14:textFill>
                  <w14:solidFill>
                    <w14:schemeClr w14:val="tx1"/>
                  </w14:solidFill>
                </w14:textFill>
              </w:rPr>
              <w:t xml:space="preserve">2</w:t>
            </w:r>
            <w:r>
              <w:rPr>
                <w:rFonts w:cs="宋体" w:asciiTheme="minorEastAsia" w:hAnsiTheme="minorEastAsia" w:eastAsiaTheme="minorEastAsia"/>
                <w:color w:val="000000" w:themeColor="text1"/>
                <w:szCs w:val="21"/>
                <w14:textFill>
                  <w14:solidFill>
                    <w14:schemeClr w14:val="tx1"/>
                  </w14:solidFill>
                </w14:textFill>
              </w:rPr>
              <w:t xml:space="preserve">场、银龄TALK议事会</w:t>
            </w:r>
            <w:r>
              <w:rPr>
                <w:rFonts w:hint="eastAsia" w:cs="宋体" w:asciiTheme="minorEastAsia" w:hAnsiTheme="minorEastAsia" w:eastAsiaTheme="minorEastAsia"/>
                <w:color w:val="000000" w:themeColor="text1"/>
                <w:szCs w:val="21"/>
                <w14:textFill>
                  <w14:solidFill>
                    <w14:schemeClr w14:val="tx1"/>
                  </w14:solidFill>
                </w14:textFill>
              </w:rPr>
              <w:t xml:space="preserve">2</w:t>
            </w:r>
            <w:r>
              <w:rPr>
                <w:rFonts w:cs="宋体" w:asciiTheme="minorEastAsia" w:hAnsiTheme="minorEastAsia" w:eastAsiaTheme="minorEastAsia"/>
                <w:color w:val="000000" w:themeColor="text1"/>
                <w:szCs w:val="21"/>
                <w14:textFill>
                  <w14:solidFill>
                    <w14:schemeClr w14:val="tx1"/>
                  </w14:solidFill>
                </w14:textFill>
              </w:rPr>
              <w:t xml:space="preserve">场、</w:t>
            </w:r>
            <w:r>
              <w:rPr>
                <w:rFonts w:hint="eastAsia" w:cs="宋体" w:asciiTheme="minorEastAsia" w:hAnsiTheme="minorEastAsia" w:eastAsiaTheme="minorEastAsia"/>
                <w:color w:val="000000" w:themeColor="text1"/>
                <w:szCs w:val="21"/>
                <w14:textFill>
                  <w14:solidFill>
                    <w14:schemeClr w14:val="tx1"/>
                  </w14:solidFill>
                </w14:textFill>
              </w:rPr>
              <w:t xml:space="preserve">口述历史工作坊2</w:t>
            </w:r>
            <w:r>
              <w:rPr>
                <w:rFonts w:cs="宋体" w:asciiTheme="minorEastAsia" w:hAnsiTheme="minorEastAsia" w:eastAsiaTheme="minorEastAsia"/>
                <w:color w:val="000000" w:themeColor="text1"/>
                <w:szCs w:val="21"/>
                <w14:textFill>
                  <w14:solidFill>
                    <w14:schemeClr w14:val="tx1"/>
                  </w14:solidFill>
                </w14:textFill>
              </w:rPr>
              <w:t xml:space="preserve">场、代际交流2场，共</w:t>
            </w:r>
            <w:r>
              <w:rPr>
                <w:rFonts w:hint="eastAsia" w:cs="宋体" w:asciiTheme="minorEastAsia" w:hAnsiTheme="minorEastAsia" w:eastAsiaTheme="minorEastAsia"/>
                <w:color w:val="000000" w:themeColor="text1"/>
                <w:szCs w:val="21"/>
                <w14:textFill>
                  <w14:solidFill>
                    <w14:schemeClr w14:val="tx1"/>
                  </w14:solidFill>
                </w14:textFill>
              </w:rPr>
              <w:t xml:space="preserve">8</w:t>
            </w:r>
            <w:r>
              <w:rPr>
                <w:rFonts w:cs="宋体" w:asciiTheme="minorEastAsia" w:hAnsiTheme="minorEastAsia" w:eastAsiaTheme="minorEastAsia"/>
                <w:color w:val="000000" w:themeColor="text1"/>
                <w:szCs w:val="21"/>
                <w14:textFill>
                  <w14:solidFill>
                    <w14:schemeClr w14:val="tx1"/>
                  </w14:solidFill>
                </w14:textFill>
              </w:rPr>
              <w:t xml:space="preserve">场活动，服务</w:t>
            </w:r>
            <w:r>
              <w:rPr>
                <w:rFonts w:hint="eastAsia" w:cs="宋体" w:asciiTheme="minorEastAsia" w:hAnsiTheme="minorEastAsia" w:eastAsiaTheme="minorEastAsia"/>
                <w:color w:val="000000" w:themeColor="text1"/>
                <w:szCs w:val="21"/>
                <w14:textFill>
                  <w14:solidFill>
                    <w14:schemeClr w14:val="tx1"/>
                  </w14:solidFill>
                </w14:textFill>
              </w:rPr>
              <w:t xml:space="preserve">200</w:t>
            </w:r>
            <w:r>
              <w:rPr>
                <w:rFonts w:cs="宋体" w:asciiTheme="minorEastAsia" w:hAnsiTheme="minorEastAsia" w:eastAsiaTheme="minorEastAsia"/>
                <w:color w:val="000000" w:themeColor="text1"/>
                <w:szCs w:val="21"/>
                <w14:textFill>
                  <w14:solidFill>
                    <w14:schemeClr w14:val="tx1"/>
                  </w14:solidFill>
                </w14:textFill>
              </w:rPr>
              <w:t xml:space="preserve">人次；</w:t>
            </w:r>
            <w:r>
              <w:rPr>
                <w:rFonts w:cs="宋体" w:asciiTheme="minorEastAsia" w:hAnsiTheme="minorEastAsia" w:eastAsiaTheme="minorEastAsia"/>
                <w:color w:val="000000" w:themeColor="text1"/>
                <w:szCs w:val="21"/>
                <w14:textFill>
                  <w14:solidFill>
                    <w14:schemeClr w14:val="tx1"/>
                  </w14:solidFill>
                </w14:textFill>
              </w:rPr>
              <w:br/>
            </w:r>
            <w:r>
              <w:rPr>
                <w:rFonts w:cs="宋体" w:asciiTheme="minorEastAsia" w:hAnsiTheme="minorEastAsia" w:eastAsiaTheme="minorEastAsia"/>
                <w:color w:val="000000" w:themeColor="text1"/>
                <w:szCs w:val="21"/>
                <w14:textFill>
                  <w14:solidFill>
                    <w14:schemeClr w14:val="tx1"/>
                  </w14:solidFill>
                </w14:textFill>
              </w:rPr>
              <w:t xml:space="preserve">2. 收集不少于</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个老年人生命故事</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总结银龄SHOP选品、议事经验等可复制模式</w:t>
            </w:r>
            <w:r>
              <w:rPr>
                <w:rFonts w:hint="eastAsia" w:cs="宋体" w:asciiTheme="minorEastAsia" w:hAnsiTheme="minorEastAsia" w:eastAsiaTheme="minorEastAsia"/>
                <w:color w:val="000000" w:themeColor="text1"/>
                <w:szCs w:val="21"/>
                <w14:textFill>
                  <w14:solidFill>
                    <w14:schemeClr w14:val="tx1"/>
                  </w14:solidFill>
                </w14:textFill>
              </w:rPr>
              <w:t xml:space="preserve">；培育</w:t>
            </w:r>
            <w:r>
              <w:rPr>
                <w:rFonts w:cs="宋体" w:asciiTheme="minorEastAsia" w:hAnsiTheme="minorEastAsia" w:eastAsiaTheme="minorEastAsia"/>
                <w:color w:val="000000" w:themeColor="text1"/>
                <w:szCs w:val="21"/>
                <w14:textFill>
                  <w14:solidFill>
                    <w14:schemeClr w14:val="tx1"/>
                  </w14:solidFill>
                </w14:textFill>
              </w:rPr>
              <w:t xml:space="preserve">积极分子队伍</w:t>
            </w:r>
            <w:r>
              <w:rPr>
                <w:rFonts w:hint="eastAsia" w:cs="宋体" w:asciiTheme="minorEastAsia" w:hAnsiTheme="minorEastAsia" w:eastAsiaTheme="minorEastAsia"/>
                <w:color w:val="000000" w:themeColor="text1"/>
                <w:szCs w:val="21"/>
                <w14:textFill>
                  <w14:solidFill>
                    <w14:schemeClr w14:val="tx1"/>
                  </w14:solidFill>
                </w14:textFill>
              </w:rPr>
              <w:t xml:space="preserve">（5人以上）</w:t>
            </w:r>
            <w:r>
              <w:rPr>
                <w:rFonts w:cs="宋体" w:asciiTheme="minorEastAsia" w:hAnsiTheme="minorEastAsia" w:eastAsiaTheme="minorEastAsia"/>
                <w:color w:val="000000" w:themeColor="text1"/>
                <w:szCs w:val="21"/>
                <w14:textFill>
                  <w14:solidFill>
                    <w14:schemeClr w14:val="tx1"/>
                  </w14:solidFill>
                </w14:textFill>
              </w:rPr>
              <w:t xml:space="preserve">；</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3.</w:t>
            </w:r>
            <w:r>
              <w:rPr>
                <w:rFonts w:cs="宋体" w:asciiTheme="minorEastAsia" w:hAnsiTheme="minorEastAsia" w:eastAsiaTheme="minorEastAsia"/>
                <w:color w:val="000000" w:themeColor="text1"/>
                <w:sz w:val="21"/>
                <w:szCs w:val="21"/>
                <w14:textFill>
                  <w14:solidFill>
                    <w14:schemeClr w14:val="tx1"/>
                  </w14:solidFill>
                </w14:textFill>
              </w:rPr>
              <w:t xml:space="preserve">服务对象满意度达90%以上</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21</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中央门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社区治理</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应急救援</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独居老人、困境老人及其它需要特殊关注的老人群体、青少年群体</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200人次</w:t>
            </w:r>
            <w:r/>
          </w:p>
        </w:tc>
        <w:tc>
          <w:tcPr>
            <w:tcW w:w="1229" w:type="pct"/>
            <w:vAlign w:val="center"/>
            <w:textDirection w:val="lrTb"/>
            <w:noWrap w:val="false"/>
          </w:tcPr>
          <w:p>
            <w:pPr>
              <w:jc w:val="left"/>
              <w:spacing w:line="320" w:lineRule="exact"/>
              <w:rPr>
                <w:rFonts w:cs="楷体" w:asciiTheme="minorEastAsia" w:hAnsiTheme="minorEastAsia" w:eastAsiaTheme="minorEastAsia"/>
                <w:color w:val="000000" w:themeColor="text1"/>
                <w:szCs w:val="21"/>
                <w14:textFill>
                  <w14:solidFill>
                    <w14:schemeClr w14:val="tx1"/>
                  </w14:solidFill>
                </w14:textFill>
              </w:rPr>
            </w:pPr>
            <w:r>
              <w:rPr>
                <w:rFonts w:hint="eastAsia" w:cs="楷体" w:asciiTheme="minorEastAsia" w:hAnsiTheme="minorEastAsia" w:eastAsiaTheme="minorEastAsia"/>
                <w:color w:val="000000" w:themeColor="text1"/>
                <w:szCs w:val="21"/>
                <w14:textFill>
                  <w14:solidFill>
                    <w14:schemeClr w14:val="tx1"/>
                  </w14:solidFill>
                </w14:textFill>
              </w:rPr>
              <w:t xml:space="preserve">1.在中央门街道完成100人次独居老人、困境老人及其他需要特殊关注的老人群体、青少年群体的应急救援知识普及与技能培训，覆盖社区内重点服务对象的 50%。</w:t>
            </w:r>
            <w:r/>
          </w:p>
          <w:p>
            <w:pPr>
              <w:jc w:val="left"/>
              <w:spacing w:line="320" w:lineRule="exact"/>
              <w:rPr>
                <w:rFonts w:cs="楷体" w:asciiTheme="minorEastAsia" w:hAnsiTheme="minorEastAsia" w:eastAsiaTheme="minorEastAsia"/>
                <w:color w:val="000000" w:themeColor="text1"/>
                <w:szCs w:val="21"/>
                <w14:textFill>
                  <w14:solidFill>
                    <w14:schemeClr w14:val="tx1"/>
                  </w14:solidFill>
                </w14:textFill>
              </w:rPr>
            </w:pPr>
            <w:r>
              <w:rPr>
                <w:rFonts w:hint="eastAsia" w:cs="楷体" w:asciiTheme="minorEastAsia" w:hAnsiTheme="minorEastAsia" w:eastAsiaTheme="minorEastAsia"/>
                <w:color w:val="000000" w:themeColor="text1"/>
                <w:szCs w:val="21"/>
                <w14:textFill>
                  <w14:solidFill>
                    <w14:schemeClr w14:val="tx1"/>
                  </w14:solidFill>
                </w14:textFill>
              </w:rPr>
              <w:t xml:space="preserve">2.建立社区应急救援志愿者骨干队伍，完成20 名核心志愿者的专业培训，使其掌握基础急救、应急疏散、风险排查等技能，形成稳定的社区应急响应力量。</w:t>
            </w:r>
            <w:r/>
          </w:p>
          <w:p>
            <w:pPr>
              <w:jc w:val="left"/>
              <w:spacing w:line="320" w:lineRule="exact"/>
              <w:rPr>
                <w:rFonts w:cs="楷体" w:asciiTheme="minorEastAsia" w:hAnsiTheme="minorEastAsia" w:eastAsiaTheme="minorEastAsia"/>
                <w:color w:val="000000" w:themeColor="text1"/>
                <w:szCs w:val="21"/>
                <w14:textFill>
                  <w14:solidFill>
                    <w14:schemeClr w14:val="tx1"/>
                  </w14:solidFill>
                </w14:textFill>
              </w:rPr>
            </w:pPr>
            <w:r>
              <w:rPr>
                <w:rFonts w:hint="eastAsia" w:cs="楷体" w:asciiTheme="minorEastAsia" w:hAnsiTheme="minorEastAsia" w:eastAsiaTheme="minorEastAsia"/>
                <w:color w:val="000000" w:themeColor="text1"/>
                <w:szCs w:val="21"/>
                <w14:textFill>
                  <w14:solidFill>
                    <w14:schemeClr w14:val="tx1"/>
                  </w14:solidFill>
                </w14:textFill>
              </w:rPr>
              <w:t xml:space="preserve">3.在中央门街道选取2 个试点社区，完成应急安全隐患排查与风险评估，形成社区应急风险地图与初步干预方案，为后续项目推进提供数据支撑。</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楷体" w:asciiTheme="minorEastAsia" w:hAnsiTheme="minorEastAsia" w:eastAsiaTheme="minorEastAsia"/>
                <w:color w:val="000000" w:themeColor="text1"/>
                <w:sz w:val="21"/>
                <w:szCs w:val="21"/>
                <w14:textFill>
                  <w14:solidFill>
                    <w14:schemeClr w14:val="tx1"/>
                  </w14:solidFill>
                </w14:textFill>
              </w:rPr>
              <w:t xml:space="preserve">4.开展4场社区应急宣传活动（如养老机构或站点消防演练、防跌倒培训、防溺水宣传等），提升目标群体的应急安全意识与自我保护能力，使 80% 以上参与对象能掌握至少 2 项基础应急自救技能。</w:t>
            </w:r>
            <w:r/>
          </w:p>
        </w:tc>
        <w:tc>
          <w:tcPr>
            <w:tcW w:w="1217" w:type="pct"/>
            <w:vAlign w:val="center"/>
            <w:textDirection w:val="lrTb"/>
            <w:noWrap w:val="false"/>
          </w:tcPr>
          <w:p>
            <w:pPr>
              <w:jc w:val="left"/>
              <w:spacing w:line="320" w:lineRule="exact"/>
              <w:rPr>
                <w:rFonts w:cs="方正楷体简体" w:asciiTheme="minorEastAsia" w:hAnsiTheme="minorEastAsia" w:eastAsiaTheme="minorEastAsia"/>
                <w:color w:val="000000" w:themeColor="text1"/>
                <w:szCs w:val="21"/>
                <w14:textFill>
                  <w14:solidFill>
                    <w14:schemeClr w14:val="tx1"/>
                  </w14:solidFill>
                </w14:textFill>
              </w:rPr>
            </w:pPr>
            <w:r>
              <w:rPr>
                <w:rFonts w:hint="eastAsia" w:cs="方正楷体简体" w:asciiTheme="minorEastAsia" w:hAnsiTheme="minorEastAsia" w:eastAsiaTheme="minorEastAsia"/>
                <w:color w:val="000000" w:themeColor="text1"/>
                <w:szCs w:val="21"/>
                <w14:textFill>
                  <w14:solidFill>
                    <w14:schemeClr w14:val="tx1"/>
                  </w14:solidFill>
                </w14:textFill>
              </w:rPr>
              <w:t xml:space="preserve">1.全面完成200人次的应急救援服务覆盖，确保独居老人、困境老人及青少年群体的应急安全知识与技能得到系统性提升，项目服务完成率达到 100%。</w:t>
            </w:r>
            <w:r/>
          </w:p>
          <w:p>
            <w:pPr>
              <w:jc w:val="left"/>
              <w:spacing w:line="320" w:lineRule="exact"/>
              <w:rPr>
                <w:rFonts w:cs="方正楷体简体" w:asciiTheme="minorEastAsia" w:hAnsiTheme="minorEastAsia" w:eastAsiaTheme="minorEastAsia"/>
                <w:color w:val="000000" w:themeColor="text1"/>
                <w:szCs w:val="21"/>
                <w14:textFill>
                  <w14:solidFill>
                    <w14:schemeClr w14:val="tx1"/>
                  </w14:solidFill>
                </w14:textFill>
              </w:rPr>
            </w:pPr>
            <w:r>
              <w:rPr>
                <w:rFonts w:hint="eastAsia" w:cs="方正楷体简体" w:asciiTheme="minorEastAsia" w:hAnsiTheme="minorEastAsia" w:eastAsiaTheme="minorEastAsia"/>
                <w:color w:val="000000" w:themeColor="text1"/>
                <w:szCs w:val="21"/>
                <w14:textFill>
                  <w14:solidFill>
                    <w14:schemeClr w14:val="tx1"/>
                  </w14:solidFill>
                </w14:textFill>
              </w:rPr>
              <w:t xml:space="preserve">2.建成一支不少于30人的社区应急救援志愿者队伍，具备独立开展小型应急事件处置、社区应急宣传的能力，基本形成可持续的社区应急服务机制。</w:t>
            </w:r>
            <w:r/>
          </w:p>
          <w:p>
            <w:pPr>
              <w:jc w:val="left"/>
              <w:spacing w:line="320" w:lineRule="exact"/>
              <w:rPr>
                <w:rFonts w:cs="方正楷体简体" w:asciiTheme="minorEastAsia" w:hAnsiTheme="minorEastAsia" w:eastAsiaTheme="minorEastAsia"/>
                <w:color w:val="000000" w:themeColor="text1"/>
                <w:szCs w:val="21"/>
                <w14:textFill>
                  <w14:solidFill>
                    <w14:schemeClr w14:val="tx1"/>
                  </w14:solidFill>
                </w14:textFill>
              </w:rPr>
            </w:pPr>
            <w:r>
              <w:rPr>
                <w:rFonts w:hint="eastAsia" w:cs="方正楷体简体" w:asciiTheme="minorEastAsia" w:hAnsiTheme="minorEastAsia" w:eastAsiaTheme="minorEastAsia"/>
                <w:color w:val="000000" w:themeColor="text1"/>
                <w:szCs w:val="21"/>
                <w14:textFill>
                  <w14:solidFill>
                    <w14:schemeClr w14:val="tx1"/>
                  </w14:solidFill>
                </w14:textFill>
              </w:rPr>
              <w:t xml:space="preserve">3.形成服务社区的应急安全隐患排查与整改建议，推动重点安全隐患得到有效整改。</w:t>
            </w:r>
            <w:r/>
          </w:p>
          <w:p>
            <w:pPr>
              <w:jc w:val="left"/>
              <w:spacing w:line="320" w:lineRule="exact"/>
              <w:rPr>
                <w:rFonts w:cs="方正楷体简体" w:asciiTheme="minorEastAsia" w:hAnsiTheme="minorEastAsia" w:eastAsiaTheme="minorEastAsia"/>
                <w:color w:val="000000" w:themeColor="text1"/>
                <w:szCs w:val="21"/>
                <w14:textFill>
                  <w14:solidFill>
                    <w14:schemeClr w14:val="tx1"/>
                  </w14:solidFill>
                </w14:textFill>
              </w:rPr>
            </w:pPr>
            <w:r>
              <w:rPr>
                <w:rFonts w:hint="eastAsia" w:cs="方正楷体简体" w:asciiTheme="minorEastAsia" w:hAnsiTheme="minorEastAsia" w:eastAsiaTheme="minorEastAsia"/>
                <w:color w:val="000000" w:themeColor="text1"/>
                <w:szCs w:val="21"/>
                <w14:textFill>
                  <w14:solidFill>
                    <w14:schemeClr w14:val="tx1"/>
                  </w14:solidFill>
                </w14:textFill>
              </w:rPr>
              <w:t xml:space="preserve">4.构建“社区+志愿者+专业机构”的应急救援服务模式，形成标准化的服务流程与培训教材，为后续推广提供可复制的经验。</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方正楷体简体" w:asciiTheme="minorEastAsia" w:hAnsiTheme="minorEastAsia" w:eastAsiaTheme="minorEastAsia"/>
                <w:color w:val="000000" w:themeColor="text1"/>
                <w:sz w:val="21"/>
                <w:szCs w:val="21"/>
                <w14:textFill>
                  <w14:solidFill>
                    <w14:schemeClr w14:val="tx1"/>
                  </w14:solidFill>
                </w14:textFill>
              </w:rPr>
              <w:t xml:space="preserve">5.项目结束后，目标群体的应急安全知晓率与自救互救能力较项目启动前提升60%，有效降低突发安全事件对重点群体的伤害风险。</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8</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22</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挹江门</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青少年服务：困境未成年人心理和精神关爱服务 ；低收入家庭的未成年人成长服务 </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110人</w:t>
            </w:r>
            <w:r/>
          </w:p>
        </w:tc>
        <w:tc>
          <w:tcPr>
            <w:tcW w:w="1229"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以周、月、学期为单位开展“家校社同心育”工作；学生对自己的兴趣爱好日趋清晰；为困境未成年人提供常态化心理关爱与情绪疏导，改善其心理状态；为低收入家庭未成年人开展成长支持服务，缓解成长资源不足问题，初步形成稳定服务模式。</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全</w:t>
            </w:r>
            <w:r>
              <w:rPr>
                <w:rFonts w:hint="eastAsia" w:cs="宋体" w:asciiTheme="minorEastAsia" w:hAnsiTheme="minorEastAsia" w:eastAsiaTheme="minorEastAsia"/>
                <w:color w:val="000000" w:themeColor="text1"/>
                <w:szCs w:val="21"/>
                <w14:textFill>
                  <w14:solidFill>
                    <w14:schemeClr w14:val="tx1"/>
                  </w14:solidFill>
                </w14:textFill>
              </w:rPr>
              <w:t xml:space="preserve">面提升两类未成年人心理健康水平与综合素养，建立长效关爱与成长服务机制，助力其健康成长、融入社会。</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23</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鼓楼区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下关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精神文明创建</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科普知识等群众性文化、教育活动</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 w:val="21"/>
                <w:szCs w:val="21"/>
                <w:lang w:val="en-US" w:eastAsia="zh-CN" w:bidi="ar-SA"/>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科普知识等群众性文化、教育活动</w:t>
            </w:r>
            <w:r/>
          </w:p>
        </w:tc>
        <w:tc>
          <w:tcPr>
            <w:shd w:val="clear" w:color="auto" w:fill="auto"/>
            <w:tcW w:w="450" w:type="pct"/>
            <w:vAlign w:val="center"/>
            <w:textDirection w:val="lrTb"/>
            <w:noWrap w:val="false"/>
          </w:tcPr>
          <w:p>
            <w:pPr>
              <w:jc w:val="center"/>
              <w:spacing w:line="320" w:lineRule="exac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辖区居民及青少年共300人</w:t>
            </w:r>
            <w:r/>
          </w:p>
        </w:tc>
        <w:tc>
          <w:tcPr>
            <w:tcW w:w="1229"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1.展生态科普、志愿服务等活动不少于10场，覆盖250人次；</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2.培育15人以上志愿者队伍，完成1场培训；</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3.开展1场生态保护国际交流活动；</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4.生态文化初步推广，新媒体发布不少于5篇。</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1.完成20场活动，覆盖500人次；</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2.培育30人专业志愿者队伍，完成2场培训，合格率≥80%；</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3.开展2场国际交流活动，传播长江大保护经验；</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4.生态文化融入街道基层治理，联动社区开展共建活动，形成特色品牌。</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10</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24</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ascii="MS Mincho" w:hAnsi="MS Mincho" w:eastAsia="MS Mincho" w:cs="MS Mincho"/>
                <w:color w:val="000000" w:themeColor="text1"/>
                <w:szCs w:val="21"/>
                <w14:textFill>
                  <w14:solidFill>
                    <w14:schemeClr w14:val="tx1"/>
                  </w14:solidFill>
                </w14:textFill>
              </w:rPr>
              <w:t xml:space="preserve">☑建宁路</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青少年服务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孤独症儿童康复救助托养，孤独症家庭自助互助服务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100人</w:t>
            </w:r>
            <w:r/>
          </w:p>
        </w:tc>
        <w:tc>
          <w:tcPr>
            <w:tcW w:w="1229"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 完成10户残疾人家庭全面建档、需求评估与个性化服务方案制定，实现精准对接、一户一档。</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 为残疾人家庭抚养人开展心理疏导、压力缓解、照料技巧支持服务不少于3次，覆盖全部20户家庭。</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 组建残疾人及家庭成长支持小组1个，建立稳定小组活动机制，提升服务对象自我认同与互助能力。</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 初步搭建资源对接平台，链接爱心单位、专业师资、公益资源等不少于2类，形成资源清单。</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 开展户外交流、社会融入体验或基础生活技能训练活动不少于2次，增强服务对象适应能力。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6. 完成残疾人家庭专属志愿服务队的招募、筛选、培训与基本规范建设。</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 为20户残疾人家庭提供全周期、常态化精准服务，家庭满意度显著提升。</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 为残疾人家庭抚养人开展心理疏导、压力缓解、照料技巧支持服务不少于6次，建立残疾人家庭抚养人心理支持与喘息服务机制，有效缓解照料压力，提升家庭功能。</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3.组建残疾人及家庭成长支持小组2个，成长小组形成规范化、可复制活动模式，服务对象社交能力、情绪管理、互助意识明显增强，打造1-2个亮点突出、成效明显的优秀服务个案。</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4. 建成稳定可持续的资源链接与服务平台，形成师资、物资、公益、就业等多方支持网络。</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5. 系统开展亲子互动、社会融入体验或生活技能训练活动不少于4次，增强服务对象适应能力。</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6. 志愿服务队实现规范化运作、专业化服务、常态化参与，成为残疾人之家长效支撑力量。</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7. 形成一套可总结、可推广、可示范的残疾人之家服务模式，打造区域特色服务品牌。</w:t>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7</w:t>
            </w:r>
            <w:r/>
          </w:p>
        </w:tc>
      </w:tr>
      <w:tr>
        <w:trPr>
          <w:jc w:val="center"/>
          <w:trHeight w:val="1156"/>
        </w:trPr>
        <w:tc>
          <w:tcPr>
            <w:tcW w:w="253" w:type="pct"/>
            <w:vAlign w:val="center"/>
            <w:textDirection w:val="lrTb"/>
            <w:noWrap/>
          </w:tcPr>
          <w:p>
            <w:pPr>
              <w:jc w:val="center"/>
              <w:spacing w:line="320" w:lineRule="exact"/>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25</w:t>
            </w:r>
            <w:r/>
          </w:p>
        </w:tc>
        <w:tc>
          <w:tcPr>
            <w:tcW w:w="324" w:type="pct"/>
            <w:vAlign w:val="center"/>
            <w:textDirection w:val="lrTb"/>
            <w:noWrap w:val="false"/>
          </w:tcPr>
          <w:p>
            <w:pPr>
              <w:jc w:val="left"/>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□不限定                                                                          □</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 xml:space="preserve"> 街道                                                                                      </w:t>
            </w:r>
            <w:r>
              <w:rPr>
                <w:rFonts w:hint="eastAsia" w:ascii="MS Mincho" w:hAnsi="MS Mincho" w:eastAsia="MS Mincho" w:cs="MS Mincho"/>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幕府山  </w:t>
            </w:r>
            <w:r>
              <w:rPr>
                <w:rFonts w:hint="eastAsia" w:cs="宋体" w:asciiTheme="minorEastAsia" w:hAnsiTheme="minorEastAsia" w:eastAsiaTheme="minorEastAsia"/>
                <w:color w:val="000000" w:themeColor="text1"/>
                <w:szCs w:val="21"/>
                <w14:textFill>
                  <w14:solidFill>
                    <w14:schemeClr w14:val="tx1"/>
                  </w14:solidFill>
                </w14:textFill>
              </w:rPr>
              <w:t xml:space="preserve">街道</w:t>
            </w:r>
            <w:r>
              <w:rPr>
                <w:rFonts w:hint="eastAsia" w:cs="宋体" w:asciiTheme="minorEastAsia" w:hAnsiTheme="minorEastAsia" w:eastAsiaTheme="minorEastAsia"/>
                <w:color w:val="000000" w:themeColor="text1"/>
                <w:szCs w:val="21"/>
                <w:u w:val="single"/>
                <w14:textFill>
                  <w14:solidFill>
                    <w14:schemeClr w14:val="tx1"/>
                  </w14:solidFill>
                </w14:textFill>
              </w:rPr>
              <w:t xml:space="preserve"> 五塘新村一段 </w:t>
            </w:r>
            <w:r>
              <w:rPr>
                <w:rFonts w:hint="eastAsia" w:cs="宋体" w:asciiTheme="minorEastAsia" w:hAnsiTheme="minorEastAsia" w:eastAsiaTheme="minorEastAsia"/>
                <w:color w:val="000000" w:themeColor="text1"/>
                <w:szCs w:val="21"/>
                <w14:textFill>
                  <w14:solidFill>
                    <w14:schemeClr w14:val="tx1"/>
                  </w14:solidFill>
                </w14:textFill>
              </w:rPr>
              <w:t xml:space="preserve">社区</w:t>
            </w:r>
            <w:r/>
          </w:p>
        </w:tc>
        <w:tc>
          <w:tcPr>
            <w:shd w:val="clear" w:color="auto" w:fill="auto"/>
            <w:tcW w:w="296"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社区服务</w:t>
            </w:r>
            <w:r/>
          </w:p>
        </w:tc>
        <w:tc>
          <w:tcPr>
            <w:shd w:val="clear" w:color="auto" w:fill="auto"/>
            <w:tcW w:w="418"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养老服务</w:t>
            </w:r>
            <w:r/>
          </w:p>
        </w:tc>
        <w:tc>
          <w:tcPr>
            <w:shd w:val="clear" w:color="auto" w:fill="auto"/>
            <w:tcW w:w="391" w:type="pct"/>
            <w:vAlign w:val="center"/>
            <w:textDirection w:val="lrTb"/>
            <w:noWrap w:val="false"/>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　60岁以上年龄（独居、空巢、失能半失能等）重点特殊困难老人居家看护和心理精神关爱服务</w:t>
            </w:r>
            <w:r/>
          </w:p>
        </w:tc>
        <w:tc>
          <w:tcPr>
            <w:shd w:val="clear" w:color="auto" w:fill="auto"/>
            <w:tcW w:w="450" w:type="pct"/>
            <w:vAlign w:val="center"/>
            <w:textDirection w:val="lrTb"/>
            <w:noWrap w:val="false"/>
          </w:tcPr>
          <w:p>
            <w:pPr>
              <w:jc w:val="center"/>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128</w:t>
            </w:r>
            <w:r/>
          </w:p>
        </w:tc>
        <w:tc>
          <w:tcPr>
            <w:tcW w:w="1229" w:type="pct"/>
            <w:vAlign w:val="center"/>
            <w:textDirection w:val="lrTb"/>
            <w:noWrap w:val="false"/>
          </w:tcPr>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一、居家看护提质完成困难老人全面摸排，建立动态管理档案，覆盖率100%；优化标准化看护流程，失能半失能老人生活照料、健康监测等服务达标率≥85%，独居空巢老人每月巡访≥4次，紧急响应≤15分钟；组建专业看护队伍，完成不少于2轮培训，服务满意度≥90%。</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二、心理关爱增效构建“大学生志愿者一对一疏导+团体陪伴”服务模式，实现心理关爱全覆盖；精准排查负面情绪，联动专业机构干预，有效率≥70%，引导老人参与社区举办的各项兴趣活动，参与率≥60%；建立结对帮扶机制，开展家属心理指导，形成协同关爱格局。</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三、服务体系完善，健全各项管理制度，实现服务规范化；优化对接机制，每月收集反馈并100%整改；探索可复制服务模式，招募≥50名志愿者，形成专业团队与志愿者协同合力。</w:t>
            </w:r>
            <w:r/>
          </w:p>
        </w:tc>
        <w:tc>
          <w:tcPr>
            <w:tcW w:w="1217" w:type="pct"/>
            <w:vAlign w:val="center"/>
            <w:textDirection w:val="lrTb"/>
            <w:noWrap w:val="false"/>
          </w:tcPr>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一、项目实施期间，实现独居、空巢、失能半失能等60岁以上困难老人服务全覆盖，建立完善动态管理档案，居家看护服务达标率、满意度均达标。</w:t>
            </w:r>
            <w:r/>
          </w:p>
          <w:p>
            <w:pPr>
              <w:jc w:val="left"/>
              <w:spacing w:line="320" w:lineRule="exact"/>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二、心理关爱方面，通过多元化服务模式，有效缓解老人负面情绪，兴趣活动参与率、心理干预有效率符合预期。同时，健全服务管理制度，整合各类资源，组建专业服务与志愿者队伍，形成可复制的服务模式，提升项目知晓度与公信力。</w:t>
            </w:r>
            <w:r/>
          </w:p>
          <w:p>
            <w:pPr>
              <w:pStyle w:val="894"/>
              <w:jc w:val="left"/>
              <w:spacing w:after="0" w:line="320" w:lineRule="exact"/>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r>
            <w:r/>
          </w:p>
        </w:tc>
        <w:tc>
          <w:tcPr>
            <w:tcW w:w="419" w:type="pct"/>
            <w:vAlign w:val="center"/>
            <w:textDirection w:val="lrTb"/>
            <w:noWrap/>
          </w:tcPr>
          <w:p>
            <w:pPr>
              <w:jc w:val="center"/>
              <w:spacing w:line="320" w:lineRule="exact"/>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2</w:t>
            </w:r>
            <w:r/>
          </w:p>
        </w:tc>
      </w:tr>
      <w:tr>
        <w:trPr>
          <w:jc w:val="center"/>
          <w:trHeight w:val="115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26</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华侨路街道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　华侨路街道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1、开展民政服务需求调研，形成需求、资源清单，并生成相应服务方案；调研范围覆盖全街道，不少于200人；</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2、开展服务民政政策宣传活动，开展2次，服务覆盖人数不少于50人。</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协助基层民政人员开展社会救助、老龄和养老、儿童福利、社会组织管理、慈善事业、残疾人福利、婚姻、殡葬、区划地名等领域的政策咨询服务、协助事务办理服务、以及其他需要的辅助性服务；包括开展政策咨询、资源链接等，不少于5次；</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4、针对民政服务人群开展个案、个性化精准服务，上门服务等不少于5次，服务人数覆盖不少于50人次</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5、结合街道社区文化特色，兜底人群实际需求开展不少于3场专业主题服务，包括心理咨询、心理关爱、社会融入、社区参与、文化行走等主题特色专业服务，服务覆盖不少于50人。</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6、针对华侨路街道银发顾问、儿童主任、残联专委、救助专员等群体，定制分层培训计划；建立专业督导机制，定期对街道民政工作人员开展服务指导，及时优化服务方法，开展赋能提升专业培训等不少于1次。</w:t>
            </w:r>
            <w:r/>
          </w:p>
        </w:tc>
        <w:tc>
          <w:tcPr>
            <w:tcW w:w="1217" w:type="pct"/>
            <w:vAlign w:val="center"/>
            <w:textDirection w:val="lrTb"/>
            <w:noWrap w:val="false"/>
          </w:tcPr>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1、开展服务民政政策宣传活动，全年开展4次，服务覆盖人数不少于100人。</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协助基层民政人员开展社会救助、老龄和养老、儿童福利、社会组织管理、慈善事业、残疾人福利、婚姻、殡葬、区划地名等领域的政策咨询服务、协助事务办理服务、以及其他需要的辅助性服务；包括开展政策咨询、资源链接等，全年不少于10次；</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3、针对民政服务人群开展个案服务、个性化精准服务，上门服务等全年服务不少于10次，服务人数覆盖不少于100人次</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4、结合街道社区文化特色，兜底人群实际需求开展不少于6场专业主题服务，包括心理咨询、心理关爱、社会融入、社区参与、文化行走等主题特色专业服务，服务覆盖不少于100人。</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5、针对华侨路街道银发顾问、儿童主任、残联专委、救助专员等群体，定制分层培训计划；建立专业督导机制，定期对街道民政工作人员开展服务指导，及时优化服务方法，全年开展赋能提升专业培训等不少于2次。</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488"/>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27</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宁海路街道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宁海路街道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一、基础服务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1、常态化运营宁海路街道民服站平台、“宁海民生外卖”点单服务，完成宁海路街道民服站制度化建设；</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2、做好宁海路街道民服站参观接待工作，交流站点运营模式，特色服务等；</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3、制作民服站宣传手册；面向辖区居民宣传党和政府的惠民、利民、助民政策，不少于3次；服务信息上报（含公共信息平台）不少于2篇；</w:t>
            </w:r>
            <w:r/>
          </w:p>
          <w:p>
            <w:pPr>
              <w:jc w:val="left"/>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4、以辖区内9个社区为单位，开展资源评估，建立资源库；</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5、协助街道对辖区内开展的民生服务项目进行需求调研、设计以及项目评估；</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6、搭建稳定的志愿者团队。</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二、基本公共服务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1、为独居、空巢、计生特扶家庭等特殊困难老年人开展资源链接、社会参与等服务，不少于1次。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2、协助宁海路街道未保站，为困难儿童等特殊儿童及其家庭提供心理社会支持、社会融入、资源链接等服务不少于1次。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3、培育孵化社会组织，开展能力建设培训，引导互相交流。</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4、做好宁海路街道“民生九要”推进工作；</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5、专业督导3期；</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三、兜底人群服务</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为困难群体提供不同类型服务，为特殊群体提供资源链接、社会融入等专业化、个性化服务，不少于3人。</w:t>
            </w:r>
            <w:r/>
          </w:p>
        </w:tc>
        <w:tc>
          <w:tcPr>
            <w:tcW w:w="1217" w:type="pct"/>
            <w:vAlign w:val="center"/>
            <w:textDirection w:val="lrTb"/>
            <w:noWrap w:val="false"/>
          </w:tcPr>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一、基础服务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1、常态化运营宁海路街道民服站平台、“宁海民生外卖”点单服务，完成宁海路街道民服站制度化建设；</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2、做好宁海路街道民服站参观接待工作，交流站点运营模式，特色服务等；</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3、制作民服站宣传手册；面向辖区居民宣传党和政府的惠民、利民、助民政策，不少于5次；服务信息上报（含公共信息平台）不少于5篇；</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4、以辖区内9个社区为单位，开展资源评估，建立资源库；建立民服站社区服务直通车，1个试点；</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5、协助街道对辖区内开展的民生服务项目进行需求调研、设计以及项目评估；</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6、开展社区活动不少于5场；</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7、项目终期志愿服务人次200人次。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二、基本公共服务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1、为独居、空巢、计生特扶家庭等特殊困难老年人开展资源链接、社会参与等服务，不少于2次。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2、协助宁海路街道未保站，为困难儿童等特殊儿童及其家庭提供心理社会支持、社会融入、资源链接等服务不少于2次。</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3、培育孵化社会组织，开展能力建设培训，引导互相交流。</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4、做好宁海路街道“民生九要”推进工作；</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5、专业督导12期；</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6、满意度调查（总体满意度90%以上）。</w:t>
            </w:r>
            <w:r/>
          </w:p>
          <w:p>
            <w:pPr>
              <w:jc w:val="left"/>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三、兜底人群服务</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为困难群体提供不同类型服务，为特殊群体提供资源链接、社会融入等专业化、个性化服务，不少于6人。</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488"/>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28</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湖南路街道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　湖南路街道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shd w:val="clear" w:color="auto" w:fill="auto"/>
            <w:tcW w:w="1229" w:type="pct"/>
            <w:vAlign w:val="center"/>
            <w:textDirection w:val="lrTb"/>
            <w:noWrap w:val="false"/>
          </w:tcPr>
          <w:p>
            <w:pPr>
              <w:jc w:val="left"/>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1、救助困难群体服务，为低保老人、低保残疾人提供心理疏导、情绪支持与精神慰藉服务，服务人数约20人。</w:t>
            </w:r>
            <w:r/>
          </w:p>
          <w:p>
            <w:pPr>
              <w:jc w:val="left"/>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2、为特困人员开展陪诊、助医、助浴、助洁、修脚、理发等服务，服务人数约20人。</w:t>
            </w:r>
            <w:r/>
          </w:p>
          <w:p>
            <w:pPr>
              <w:jc w:val="left"/>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3、入户走访困难老人10人，形成典型案例。</w:t>
            </w:r>
            <w:r/>
          </w:p>
          <w:p>
            <w:pPr>
              <w:rPr>
                <w:color w:val="000000" w:themeColor="text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4、组织开展老年人健康、文体、节日主题等活动。</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cs="楷体" w:asciiTheme="majorEastAsia" w:hAnsiTheme="majorEastAsia" w:eastAsiaTheme="majorEastAsia"/>
                <w:color w:val="000000" w:themeColor="text1"/>
                <w:szCs w:val="21"/>
                <w14:textFill>
                  <w14:solidFill>
                    <w14:schemeClr w14:val="tx1"/>
                  </w14:solidFill>
                </w14:textFill>
              </w:rPr>
            </w:r>
            <w:r/>
          </w:p>
        </w:tc>
        <w:tc>
          <w:tcPr>
            <w:tcW w:w="1217" w:type="pct"/>
            <w:vAlign w:val="center"/>
            <w:textDirection w:val="lrTb"/>
            <w:noWrap w:val="false"/>
          </w:tcPr>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为辖区内老年人、未成年人、残疾人等重点群体，开展兜底保障、专业服务、关爱帮扶、文体活动于一体的综合服务，重点做好困难老人、低保对象、特困人员、残疾人等特殊群体的托底服务，全年累计服务100人；通过精准化、常态化、融合化服务切实提升民生服务质量与水平，同时打造街道可展示、可推广的特色民生服务品牌。组织开展老年人健康、文体、节日主题等活动，全年累计开展10场文娱活动。</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488"/>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29</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中央门街道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中央门街道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200人</w:t>
            </w:r>
            <w:r/>
          </w:p>
        </w:tc>
        <w:tc>
          <w:tcPr>
            <w:tcW w:w="1229" w:type="pct"/>
            <w:vAlign w:val="center"/>
            <w:textDirection w:val="lrTb"/>
            <w:noWrap w:val="false"/>
          </w:tcPr>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1.品牌建设深化。深化“央央邻”民生保障品牌，推进打造功能全面、便捷周到的社区服务体系。</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2.养老资源统筹。开展辖区14个养老服务站点及关联组织联系、服务、合作，推进街道养老服务资源链接、关系调适、社会参与服务，做好养老服务资源的精准对接与优化配置。</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3.特殊困难群体服务。为不少于30名独居、空巢、失能（失智）、计划生育特殊家庭等特殊困难群体健全完善台账，链接社会资源、提供个性化精准帮扶，开展“点单式”入户探访和上门服务。</w:t>
            </w:r>
            <w:r/>
          </w:p>
        </w:tc>
        <w:tc>
          <w:tcPr>
            <w:tcW w:w="1217" w:type="pct"/>
            <w:vAlign w:val="center"/>
            <w:textDirection w:val="lrTb"/>
            <w:noWrap w:val="false"/>
          </w:tcPr>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1.打造社区服务网络。开展困境人群服务，覆盖12个社区，聚焦重点困难群体，提供个性化精准服务，形成“街道—社区—网格—家庭”四级服务网络。</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2.开展形式多样的主题活动。紧扣民生需求，精准对接为老、为小、助残、扶困服务，全年开展相关主题活动不少于12场。</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3.特殊困难群体服务。开展20户困难群体走访、生活能力提升、社会融入等服务活动，落实精准关爱与帮扶。</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楷体" w:asciiTheme="majorEastAsia" w:hAnsiTheme="majorEastAsia" w:eastAsiaTheme="majorEastAsia"/>
                <w:color w:val="000000" w:themeColor="text1"/>
                <w:szCs w:val="21"/>
                <w14:textFill>
                  <w14:solidFill>
                    <w14:schemeClr w14:val="tx1"/>
                  </w14:solidFill>
                </w14:textFill>
              </w:rPr>
              <w:t xml:space="preserve">4.基层治理与志愿保障。参与社区基层治理建设，深化拓展学雷锋活动，为社区大项活动提供不少于300人次志愿者人员保障。</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488"/>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30</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挹江门街道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　挹江门街道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1、协助街道完成挹江门街道民政服务站制度化建设、日常管理和惠民、利民、助民政策宣传等工作；</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2、持续开展社工成长营系列活动，注重社工能力建设（沟通能力、业务能力、宣传能力、减压赋能等）培训。开展1次社工团建活动；开展1期社区特色品牌研讨会。</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聚焦“一老一小”，扎实开展特殊困难群体走访关爱活动，组织街道养老服务联盟成员单位进行业务培训或参观见学2次；加强高温季度特殊群体老人探访工作，开展“高温送清凉活动”，每季度不少于25户，累计不少于50户家庭或人；</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4、加强信息宣传报道工作;每月上报街道层面服务信息不少于2篇。</w:t>
            </w:r>
            <w:r/>
          </w:p>
        </w:tc>
        <w:tc>
          <w:tcPr>
            <w:tcW w:w="1217" w:type="pct"/>
            <w:vAlign w:val="center"/>
            <w:textDirection w:val="lrTb"/>
            <w:noWrap w:val="false"/>
          </w:tcPr>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1、协助街道完成挹江门街道民政服务站制度化建设、日常管理和惠民、利民、助民政策宣传等工作；</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持续开展社工成长营系列活动，注重社工能力建设（沟通能力、业务能力、宣传能力、减压赋能等）培训。开展1次社工团建活动；组织2期社工专题培训会；开展3期社区特色品牌研讨会。协助街道开展1场社工春节联欢会。</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聚焦“一老一小”，扎实开展特殊困难群体走访关爱活动，组织街道养老服务联盟成员单位进行业务培训或参观见学2次；加强严赛天气特殊群体老人探访工作，开展“冬季送温暖活动”，每季度不少于25户，累计不少于100户家庭或人；</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4、协助街道开展敬老月广场宣传活动1次，慰问表彰20名助老先进模范等；</w:t>
            </w:r>
            <w:r/>
          </w:p>
          <w:p>
            <w:pPr>
              <w:jc w:val="left"/>
              <w:spacing w:line="320" w:lineRule="exact"/>
              <w:rPr>
                <w:rFonts w:cs="楷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5、加强信息宣传报道工作;每月上报街道层面服务信息不少于2篇。</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488"/>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31</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江东街道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Segoe UI" w:asciiTheme="majorEastAsia" w:hAnsiTheme="majorEastAsia" w:eastAsiaTheme="majorEastAsia"/>
                <w:color w:val="000000" w:themeColor="text1"/>
                <w:szCs w:val="21"/>
                <w:shd w:val="clear" w:color="auto" w:fill="ffffff"/>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Segoe UI" w:asciiTheme="majorEastAsia" w:hAnsiTheme="majorEastAsia" w:eastAsiaTheme="majorEastAsia"/>
                <w:color w:val="000000" w:themeColor="text1"/>
                <w:szCs w:val="21"/>
                <w:shd w:val="clear" w:color="auto" w:fill="ffffff"/>
                <w14:textFill>
                  <w14:solidFill>
                    <w14:schemeClr w14:val="tx1"/>
                  </w14:solidFill>
                </w14:textFill>
              </w:rPr>
              <w:t xml:space="preserve">江东街道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Segoe UI" w:asciiTheme="majorEastAsia" w:hAnsiTheme="majorEastAsia" w:eastAsiaTheme="majorEastAsia"/>
                <w:color w:val="000000" w:themeColor="text1"/>
                <w:szCs w:val="21"/>
                <w:shd w:val="clear" w:color="auto" w:fill="ffffff"/>
                <w14:textFill>
                  <w14:solidFill>
                    <w14:schemeClr w14:val="tx1"/>
                  </w14:solidFill>
                </w14:textFill>
              </w:rPr>
              <w:t xml:space="preserve">200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一 、基础服务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政策宣传方面，协助街道面向辖区居民宣传民政政策，不少于2次。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二、基本公共服务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 面向“一老一小”开展专业化服务，为特殊困难老年人开展送医陪诊等资源链接、社会参与等服务，不少于5次；协助江东街道未保站，为困境儿童提供社会融入等服务，不少于1次。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2.社会组织服务方面，培育孵化社区社会组织，开展能力建设培训，不少于2次。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3.社工能力建设方面，面向社区社工开展主题培训，提升社区社工服务水平，不少于2次。</w:t>
            </w:r>
            <w:r/>
          </w:p>
        </w:tc>
        <w:tc>
          <w:tcPr>
            <w:tcW w:w="1217" w:type="pct"/>
            <w:vAlign w:val="center"/>
            <w:textDirection w:val="lrTb"/>
            <w:noWrap w:val="false"/>
          </w:tcPr>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一 、基础服务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政策宣传方面，协助街道面向辖区居民宣传民政政策，不少于4次。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二、基本公共服务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 面向“一老一小”开展专业化服务，为特殊困难老年人开展送医陪诊等资源链接、社会参与等服务，不少于10次；协助江东街道未保站，为困境儿童提供社会融入等服务，不少于2次。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 社会组织服务方面，培育孵化社区社会组织，开展能力建设培训，不少于4次。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3.社工能力建设方面，面向社区社工开展主题培训，提升社区社工服务水平，不少于4次。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三、兜底人群服务 </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针对困境群体不同类别服务需求，开展“微心愿”特色服务，打造家门口的社会救助服务品牌，不少于15人。</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Segoe UI" w:asciiTheme="majorEastAsia" w:hAnsiTheme="majorEastAsia" w:eastAsiaTheme="majorEastAsia"/>
                <w:color w:val="000000" w:themeColor="text1"/>
                <w:szCs w:val="21"/>
                <w:shd w:val="clear" w:color="auto" w:fill="ffffff"/>
                <w14:textFill>
                  <w14:solidFill>
                    <w14:schemeClr w14:val="tx1"/>
                  </w14:solidFill>
                </w14:textFill>
              </w:rPr>
              <w:t xml:space="preserve">8</w:t>
            </w:r>
            <w:r/>
          </w:p>
        </w:tc>
      </w:tr>
      <w:tr>
        <w:trPr>
          <w:jc w:val="center"/>
          <w:trHeight w:val="34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32</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凤凰街道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凤凰街道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80人</w:t>
            </w:r>
            <w:r/>
          </w:p>
        </w:tc>
        <w:tc>
          <w:tcPr>
            <w:tcW w:w="1229" w:type="pct"/>
            <w:vAlign w:val="center"/>
            <w:textDirection w:val="lrTb"/>
            <w:noWrap w:val="false"/>
          </w:tcPr>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1、基础</w:t>
            </w:r>
            <w:r>
              <w:rPr>
                <w:rFonts w:hint="eastAsia" w:cs="MS Mincho" w:asciiTheme="majorEastAsia" w:hAnsiTheme="majorEastAsia" w:eastAsiaTheme="majorEastAsia"/>
                <w:color w:val="000000" w:themeColor="text1"/>
                <w:szCs w:val="21"/>
                <w14:textFill>
                  <w14:solidFill>
                    <w14:schemeClr w14:val="tx1"/>
                  </w14:solidFill>
                </w14:textFill>
              </w:rPr>
              <w:t xml:space="preserve">服</w:t>
            </w:r>
            <w:r>
              <w:rPr>
                <w:rFonts w:hint="eastAsia" w:cs="宋体" w:asciiTheme="majorEastAsia" w:hAnsiTheme="majorEastAsia" w:eastAsiaTheme="majorEastAsia"/>
                <w:color w:val="000000" w:themeColor="text1"/>
                <w:szCs w:val="21"/>
                <w14:textFill>
                  <w14:solidFill>
                    <w14:schemeClr w14:val="tx1"/>
                  </w14:solidFill>
                </w14:textFill>
              </w:rPr>
              <w:t xml:space="preserve">务</w:t>
            </w:r>
            <w:r>
              <w:rPr>
                <w:rFonts w:hint="eastAsia" w:cs="MS Mincho" w:asciiTheme="majorEastAsia" w:hAnsiTheme="majorEastAsia" w:eastAsiaTheme="majorEastAsia"/>
                <w:color w:val="000000" w:themeColor="text1"/>
                <w:szCs w:val="21"/>
                <w14:textFill>
                  <w14:solidFill>
                    <w14:schemeClr w14:val="tx1"/>
                  </w14:solidFill>
                </w14:textFill>
              </w:rPr>
              <w:t xml:space="preserve">：媒体宣</w:t>
            </w:r>
            <w:r>
              <w:rPr>
                <w:rFonts w:hint="eastAsia" w:cs="宋体" w:asciiTheme="majorEastAsia" w:hAnsiTheme="majorEastAsia" w:eastAsiaTheme="majorEastAsia"/>
                <w:color w:val="000000" w:themeColor="text1"/>
                <w:szCs w:val="21"/>
                <w14:textFill>
                  <w14:solidFill>
                    <w14:schemeClr w14:val="tx1"/>
                  </w14:solidFill>
                </w14:textFill>
              </w:rPr>
              <w:t xml:space="preserve">传1次。</w:t>
            </w:r>
            <w:r/>
          </w:p>
          <w:p>
            <w:pPr>
              <w:jc w:val="left"/>
              <w:rPr>
                <w:rFonts w:cs="MS Mincho"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2、基本公共服务</w:t>
            </w:r>
            <w:r>
              <w:rPr>
                <w:rFonts w:hint="eastAsia" w:cs="MS Mincho" w:asciiTheme="majorEastAsia" w:hAnsiTheme="majorEastAsia" w:eastAsiaTheme="majorEastAsia"/>
                <w:color w:val="000000" w:themeColor="text1"/>
                <w:szCs w:val="21"/>
                <w14:textFill>
                  <w14:solidFill>
                    <w14:schemeClr w14:val="tx1"/>
                  </w14:solidFill>
                </w14:textFill>
              </w:rPr>
              <w:t xml:space="preserve">：</w:t>
            </w:r>
            <w:r/>
          </w:p>
          <w:p>
            <w:pPr>
              <w:jc w:val="left"/>
              <w:rPr>
                <w:rFonts w:cs="MS Mincho" w:asciiTheme="majorEastAsia" w:hAnsiTheme="majorEastAsia" w:eastAsiaTheme="majorEastAsia"/>
                <w:color w:val="000000" w:themeColor="text1"/>
                <w:szCs w:val="21"/>
                <w14:textFill>
                  <w14:solidFill>
                    <w14:schemeClr w14:val="tx1"/>
                  </w14:solidFill>
                </w14:textFill>
              </w:rPr>
            </w:pPr>
            <w:r>
              <w:rPr>
                <w:rFonts w:hint="eastAsia" w:cs="MS Mincho" w:asciiTheme="majorEastAsia" w:hAnsiTheme="majorEastAsia" w:eastAsiaTheme="majorEastAsia"/>
                <w:color w:val="000000" w:themeColor="text1"/>
                <w:szCs w:val="21"/>
                <w14:textFill>
                  <w14:solidFill>
                    <w14:schemeClr w14:val="tx1"/>
                  </w14:solidFill>
                </w14:textFill>
              </w:rPr>
              <w:t xml:space="preserve">（</w:t>
            </w:r>
            <w:r>
              <w:rPr>
                <w:rFonts w:hint="eastAsia" w:cs="宋体" w:asciiTheme="majorEastAsia" w:hAnsiTheme="majorEastAsia" w:eastAsiaTheme="majorEastAsia"/>
                <w:color w:val="000000" w:themeColor="text1"/>
                <w:szCs w:val="21"/>
                <w14:textFill>
                  <w14:solidFill>
                    <w14:schemeClr w14:val="tx1"/>
                  </w14:solidFill>
                </w14:textFill>
              </w:rPr>
              <w:t xml:space="preserve">1）开</w:t>
            </w:r>
            <w:r>
              <w:rPr>
                <w:rFonts w:hint="eastAsia" w:cs="MS Mincho" w:asciiTheme="majorEastAsia" w:hAnsiTheme="majorEastAsia" w:eastAsiaTheme="majorEastAsia"/>
                <w:color w:val="000000" w:themeColor="text1"/>
                <w:szCs w:val="21"/>
                <w14:textFill>
                  <w14:solidFill>
                    <w14:schemeClr w14:val="tx1"/>
                  </w14:solidFill>
                </w14:textFill>
              </w:rPr>
              <w:t xml:space="preserve">展</w:t>
            </w:r>
            <w:r>
              <w:rPr>
                <w:rFonts w:hint="eastAsia" w:cs="宋体" w:asciiTheme="majorEastAsia" w:hAnsiTheme="majorEastAsia" w:eastAsiaTheme="majorEastAsia"/>
                <w:color w:val="000000" w:themeColor="text1"/>
                <w:szCs w:val="21"/>
                <w14:textFill>
                  <w14:solidFill>
                    <w14:schemeClr w14:val="tx1"/>
                  </w14:solidFill>
                </w14:textFill>
              </w:rPr>
              <w:t xml:space="preserve">辖</w:t>
            </w:r>
            <w:r>
              <w:rPr>
                <w:rFonts w:hint="eastAsia" w:cs="MS Mincho" w:asciiTheme="majorEastAsia" w:hAnsiTheme="majorEastAsia" w:eastAsiaTheme="majorEastAsia"/>
                <w:color w:val="000000" w:themeColor="text1"/>
                <w:szCs w:val="21"/>
                <w14:textFill>
                  <w14:solidFill>
                    <w14:schemeClr w14:val="tx1"/>
                  </w14:solidFill>
                </w14:textFill>
              </w:rPr>
              <w:t xml:space="preserve">区助老助困助残“便民市集”</w:t>
            </w:r>
            <w:r>
              <w:rPr>
                <w:rFonts w:hint="eastAsia" w:cs="宋体" w:asciiTheme="majorEastAsia" w:hAnsiTheme="majorEastAsia" w:eastAsiaTheme="majorEastAsia"/>
                <w:color w:val="000000" w:themeColor="text1"/>
                <w:szCs w:val="21"/>
                <w14:textFill>
                  <w14:solidFill>
                    <w14:schemeClr w14:val="tx1"/>
                  </w14:solidFill>
                </w14:textFill>
              </w:rPr>
              <w:t xml:space="preserve">2场</w:t>
            </w:r>
            <w:r>
              <w:rPr>
                <w:rFonts w:hint="eastAsia" w:cs="MS Mincho" w:asciiTheme="majorEastAsia" w:hAnsiTheme="majorEastAsia" w:eastAsiaTheme="majorEastAsia"/>
                <w:color w:val="000000" w:themeColor="text1"/>
                <w:szCs w:val="21"/>
                <w14:textFill>
                  <w14:solidFill>
                    <w14:schemeClr w14:val="tx1"/>
                  </w14:solidFill>
                </w14:textFill>
              </w:rPr>
              <w:t xml:space="preserve">；</w:t>
            </w:r>
            <w:r/>
          </w:p>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MS Mincho" w:asciiTheme="majorEastAsia" w:hAnsiTheme="majorEastAsia" w:eastAsiaTheme="majorEastAsia"/>
                <w:color w:val="000000" w:themeColor="text1"/>
                <w:szCs w:val="21"/>
                <w14:textFill>
                  <w14:solidFill>
                    <w14:schemeClr w14:val="tx1"/>
                  </w14:solidFill>
                </w14:textFill>
              </w:rPr>
              <w:t xml:space="preserve">（</w:t>
            </w:r>
            <w:r>
              <w:rPr>
                <w:rFonts w:hint="eastAsia" w:cs="宋体" w:asciiTheme="majorEastAsia" w:hAnsiTheme="majorEastAsia" w:eastAsiaTheme="majorEastAsia"/>
                <w:color w:val="000000" w:themeColor="text1"/>
                <w:szCs w:val="21"/>
                <w14:textFill>
                  <w14:solidFill>
                    <w14:schemeClr w14:val="tx1"/>
                  </w14:solidFill>
                </w14:textFill>
              </w:rPr>
              <w:t xml:space="preserve">2）高龄</w:t>
            </w:r>
            <w:r>
              <w:rPr>
                <w:rFonts w:hint="eastAsia" w:cs="MS Mincho" w:asciiTheme="majorEastAsia" w:hAnsiTheme="majorEastAsia" w:eastAsiaTheme="majorEastAsia"/>
                <w:color w:val="000000" w:themeColor="text1"/>
                <w:szCs w:val="21"/>
                <w14:textFill>
                  <w14:solidFill>
                    <w14:schemeClr w14:val="tx1"/>
                  </w14:solidFill>
                </w14:textFill>
              </w:rPr>
              <w:t xml:space="preserve">老人</w:t>
            </w:r>
            <w:r>
              <w:rPr>
                <w:rFonts w:hint="eastAsia" w:cs="宋体" w:asciiTheme="majorEastAsia" w:hAnsiTheme="majorEastAsia" w:eastAsiaTheme="majorEastAsia"/>
                <w:color w:val="000000" w:themeColor="text1"/>
                <w:szCs w:val="21"/>
                <w14:textFill>
                  <w14:solidFill>
                    <w14:schemeClr w14:val="tx1"/>
                  </w14:solidFill>
                </w14:textFill>
              </w:rPr>
              <w:t xml:space="preserve">AI回忆录5份。</w:t>
            </w:r>
            <w:r/>
          </w:p>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（3）困难</w:t>
            </w:r>
            <w:r>
              <w:rPr>
                <w:rFonts w:hint="eastAsia" w:cs="MS Mincho" w:asciiTheme="majorEastAsia" w:hAnsiTheme="majorEastAsia" w:eastAsiaTheme="majorEastAsia"/>
                <w:color w:val="000000" w:themeColor="text1"/>
                <w:szCs w:val="21"/>
                <w14:textFill>
                  <w14:solidFill>
                    <w14:schemeClr w14:val="tx1"/>
                  </w14:solidFill>
                </w14:textFill>
              </w:rPr>
              <w:t xml:space="preserve">儿童</w:t>
            </w:r>
            <w:r>
              <w:rPr>
                <w:rFonts w:hint="eastAsia" w:cs="宋体" w:asciiTheme="majorEastAsia" w:hAnsiTheme="majorEastAsia" w:eastAsiaTheme="majorEastAsia"/>
                <w:color w:val="000000" w:themeColor="text1"/>
                <w:szCs w:val="21"/>
                <w14:textFill>
                  <w14:solidFill>
                    <w14:schemeClr w14:val="tx1"/>
                  </w14:solidFill>
                </w14:textFill>
              </w:rPr>
              <w:t xml:space="preserve">专场</w:t>
            </w:r>
            <w:r>
              <w:rPr>
                <w:rFonts w:hint="eastAsia" w:cs="MS Mincho" w:asciiTheme="majorEastAsia" w:hAnsiTheme="majorEastAsia" w:eastAsiaTheme="majorEastAsia"/>
                <w:color w:val="000000" w:themeColor="text1"/>
                <w:szCs w:val="21"/>
                <w14:textFill>
                  <w14:solidFill>
                    <w14:schemeClr w14:val="tx1"/>
                  </w14:solidFill>
                </w14:textFill>
              </w:rPr>
              <w:t xml:space="preserve">活</w:t>
            </w:r>
            <w:r>
              <w:rPr>
                <w:rFonts w:hint="eastAsia" w:cs="宋体" w:asciiTheme="majorEastAsia" w:hAnsiTheme="majorEastAsia" w:eastAsiaTheme="majorEastAsia"/>
                <w:color w:val="000000" w:themeColor="text1"/>
                <w:szCs w:val="21"/>
                <w14:textFill>
                  <w14:solidFill>
                    <w14:schemeClr w14:val="tx1"/>
                  </w14:solidFill>
                </w14:textFill>
              </w:rPr>
              <w:t xml:space="preserve">动1场。</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ajorEastAsia" w:hAnsiTheme="majorEastAsia" w:eastAsiaTheme="majorEastAsia"/>
                <w:color w:val="000000" w:themeColor="text1"/>
                <w:szCs w:val="21"/>
                <w14:textFill>
                  <w14:solidFill>
                    <w14:schemeClr w14:val="tx1"/>
                  </w14:solidFill>
                </w14:textFill>
              </w:rPr>
              <w:t xml:space="preserve">3、兜底人群点单</w:t>
            </w:r>
            <w:r>
              <w:rPr>
                <w:rFonts w:hint="eastAsia" w:cs="MS Mincho" w:asciiTheme="majorEastAsia" w:hAnsiTheme="majorEastAsia" w:eastAsiaTheme="majorEastAsia"/>
                <w:color w:val="000000" w:themeColor="text1"/>
                <w:szCs w:val="21"/>
                <w14:textFill>
                  <w14:solidFill>
                    <w14:schemeClr w14:val="tx1"/>
                  </w14:solidFill>
                </w14:textFill>
              </w:rPr>
              <w:t xml:space="preserve">式上</w:t>
            </w:r>
            <w:r>
              <w:rPr>
                <w:rFonts w:hint="eastAsia" w:cs="宋体" w:asciiTheme="majorEastAsia" w:hAnsiTheme="majorEastAsia" w:eastAsiaTheme="majorEastAsia"/>
                <w:color w:val="000000" w:themeColor="text1"/>
                <w:szCs w:val="21"/>
                <w14:textFill>
                  <w14:solidFill>
                    <w14:schemeClr w14:val="tx1"/>
                  </w14:solidFill>
                </w14:textFill>
              </w:rPr>
              <w:t xml:space="preserve">门</w:t>
            </w:r>
            <w:r>
              <w:rPr>
                <w:rFonts w:hint="eastAsia" w:cs="MS Mincho" w:asciiTheme="majorEastAsia" w:hAnsiTheme="majorEastAsia" w:eastAsiaTheme="majorEastAsia"/>
                <w:color w:val="000000" w:themeColor="text1"/>
                <w:szCs w:val="21"/>
                <w14:textFill>
                  <w14:solidFill>
                    <w14:schemeClr w14:val="tx1"/>
                  </w14:solidFill>
                </w14:textFill>
              </w:rPr>
              <w:t xml:space="preserve">服</w:t>
            </w:r>
            <w:r>
              <w:rPr>
                <w:rFonts w:hint="eastAsia" w:cs="宋体" w:asciiTheme="majorEastAsia" w:hAnsiTheme="majorEastAsia" w:eastAsiaTheme="majorEastAsia"/>
                <w:color w:val="000000" w:themeColor="text1"/>
                <w:szCs w:val="21"/>
                <w14:textFill>
                  <w14:solidFill>
                    <w14:schemeClr w14:val="tx1"/>
                  </w14:solidFill>
                </w14:textFill>
              </w:rPr>
              <w:t xml:space="preserve">务</w:t>
            </w:r>
            <w:r>
              <w:rPr>
                <w:rFonts w:hint="eastAsia" w:cs="MS Mincho" w:asciiTheme="majorEastAsia" w:hAnsiTheme="majorEastAsia" w:eastAsiaTheme="majorEastAsia"/>
                <w:color w:val="000000" w:themeColor="text1"/>
                <w:szCs w:val="21"/>
                <w14:textFill>
                  <w14:solidFill>
                    <w14:schemeClr w14:val="tx1"/>
                  </w14:solidFill>
                </w14:textFill>
              </w:rPr>
              <w:t xml:space="preserve">：兜底人群“油你不同”清洗油烟机服</w:t>
            </w:r>
            <w:r>
              <w:rPr>
                <w:rFonts w:hint="eastAsia" w:cs="宋体" w:asciiTheme="majorEastAsia" w:hAnsiTheme="majorEastAsia" w:eastAsiaTheme="majorEastAsia"/>
                <w:color w:val="000000" w:themeColor="text1"/>
                <w:szCs w:val="21"/>
                <w14:textFill>
                  <w14:solidFill>
                    <w14:schemeClr w14:val="tx1"/>
                  </w14:solidFill>
                </w14:textFill>
              </w:rPr>
              <w:t xml:space="preserve">务15户</w:t>
            </w:r>
            <w:r>
              <w:rPr>
                <w:rFonts w:hint="eastAsia" w:cs="MS Mincho" w:asciiTheme="majorEastAsia" w:hAnsiTheme="majorEastAsia" w:eastAsiaTheme="majorEastAsia"/>
                <w:color w:val="000000" w:themeColor="text1"/>
                <w:szCs w:val="21"/>
                <w14:textFill>
                  <w14:solidFill>
                    <w14:schemeClr w14:val="tx1"/>
                  </w14:solidFill>
                </w14:textFill>
              </w:rPr>
              <w:t xml:space="preserve">、困</w:t>
            </w:r>
            <w:r>
              <w:rPr>
                <w:rFonts w:hint="eastAsia" w:cs="宋体" w:asciiTheme="majorEastAsia" w:hAnsiTheme="majorEastAsia" w:eastAsiaTheme="majorEastAsia"/>
                <w:color w:val="000000" w:themeColor="text1"/>
                <w:szCs w:val="21"/>
                <w14:textFill>
                  <w14:solidFill>
                    <w14:schemeClr w14:val="tx1"/>
                  </w14:solidFill>
                </w14:textFill>
              </w:rPr>
              <w:t xml:space="preserve">难</w:t>
            </w:r>
            <w:r>
              <w:rPr>
                <w:rFonts w:hint="eastAsia" w:cs="MS Mincho" w:asciiTheme="majorEastAsia" w:hAnsiTheme="majorEastAsia" w:eastAsiaTheme="majorEastAsia"/>
                <w:color w:val="000000" w:themeColor="text1"/>
                <w:szCs w:val="21"/>
                <w14:textFill>
                  <w14:solidFill>
                    <w14:schemeClr w14:val="tx1"/>
                  </w14:solidFill>
                </w14:textFill>
              </w:rPr>
              <w:t xml:space="preserve">人群</w:t>
            </w:r>
            <w:r>
              <w:rPr>
                <w:rFonts w:hint="eastAsia" w:cs="宋体" w:asciiTheme="majorEastAsia" w:hAnsiTheme="majorEastAsia" w:eastAsiaTheme="majorEastAsia"/>
                <w:color w:val="000000" w:themeColor="text1"/>
                <w:szCs w:val="21"/>
                <w14:textFill>
                  <w14:solidFill>
                    <w14:schemeClr w14:val="tx1"/>
                  </w14:solidFill>
                </w14:textFill>
              </w:rPr>
              <w:t xml:space="preserve">15人等走访。</w:t>
            </w:r>
            <w:r/>
          </w:p>
        </w:tc>
        <w:tc>
          <w:tcPr>
            <w:tcW w:w="1217" w:type="pct"/>
            <w:vAlign w:val="center"/>
            <w:textDirection w:val="lrTb"/>
            <w:noWrap w:val="false"/>
          </w:tcPr>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1、基础</w:t>
            </w:r>
            <w:r>
              <w:rPr>
                <w:rFonts w:hint="eastAsia" w:cs="MS Mincho" w:asciiTheme="majorEastAsia" w:hAnsiTheme="majorEastAsia" w:eastAsiaTheme="majorEastAsia"/>
                <w:color w:val="000000" w:themeColor="text1"/>
                <w:szCs w:val="21"/>
                <w14:textFill>
                  <w14:solidFill>
                    <w14:schemeClr w14:val="tx1"/>
                  </w14:solidFill>
                </w14:textFill>
              </w:rPr>
              <w:t xml:space="preserve">服</w:t>
            </w:r>
            <w:r>
              <w:rPr>
                <w:rFonts w:hint="eastAsia" w:cs="宋体" w:asciiTheme="majorEastAsia" w:hAnsiTheme="majorEastAsia" w:eastAsiaTheme="majorEastAsia"/>
                <w:color w:val="000000" w:themeColor="text1"/>
                <w:szCs w:val="21"/>
                <w14:textFill>
                  <w14:solidFill>
                    <w14:schemeClr w14:val="tx1"/>
                  </w14:solidFill>
                </w14:textFill>
              </w:rPr>
              <w:t xml:space="preserve">务</w:t>
            </w:r>
            <w:r>
              <w:rPr>
                <w:rFonts w:hint="eastAsia" w:cs="MS Mincho" w:asciiTheme="majorEastAsia" w:hAnsiTheme="majorEastAsia" w:eastAsiaTheme="majorEastAsia"/>
                <w:color w:val="000000" w:themeColor="text1"/>
                <w:szCs w:val="21"/>
                <w14:textFill>
                  <w14:solidFill>
                    <w14:schemeClr w14:val="tx1"/>
                  </w14:solidFill>
                </w14:textFill>
              </w:rPr>
              <w:t xml:space="preserve">：媒体宣</w:t>
            </w:r>
            <w:r>
              <w:rPr>
                <w:rFonts w:hint="eastAsia" w:cs="宋体" w:asciiTheme="majorEastAsia" w:hAnsiTheme="majorEastAsia" w:eastAsiaTheme="majorEastAsia"/>
                <w:color w:val="000000" w:themeColor="text1"/>
                <w:szCs w:val="21"/>
                <w14:textFill>
                  <w14:solidFill>
                    <w14:schemeClr w14:val="tx1"/>
                  </w14:solidFill>
                </w14:textFill>
              </w:rPr>
              <w:t xml:space="preserve">传2次。</w:t>
            </w:r>
            <w:r/>
          </w:p>
          <w:p>
            <w:pPr>
              <w:jc w:val="left"/>
              <w:rPr>
                <w:rFonts w:cs="MS Mincho"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2、基本公共服务</w:t>
            </w:r>
            <w:r>
              <w:rPr>
                <w:rFonts w:hint="eastAsia" w:cs="MS Mincho" w:asciiTheme="majorEastAsia" w:hAnsiTheme="majorEastAsia" w:eastAsiaTheme="majorEastAsia"/>
                <w:color w:val="000000" w:themeColor="text1"/>
                <w:szCs w:val="21"/>
                <w14:textFill>
                  <w14:solidFill>
                    <w14:schemeClr w14:val="tx1"/>
                  </w14:solidFill>
                </w14:textFill>
              </w:rPr>
              <w:t xml:space="preserve">：</w:t>
            </w:r>
            <w:r/>
          </w:p>
          <w:p>
            <w:pPr>
              <w:jc w:val="left"/>
              <w:rPr>
                <w:rFonts w:cs="MS Mincho" w:asciiTheme="majorEastAsia" w:hAnsiTheme="majorEastAsia" w:eastAsiaTheme="majorEastAsia"/>
                <w:color w:val="000000" w:themeColor="text1"/>
                <w:szCs w:val="21"/>
                <w14:textFill>
                  <w14:solidFill>
                    <w14:schemeClr w14:val="tx1"/>
                  </w14:solidFill>
                </w14:textFill>
              </w:rPr>
            </w:pPr>
            <w:r>
              <w:rPr>
                <w:rFonts w:hint="eastAsia" w:cs="MS Mincho" w:asciiTheme="majorEastAsia" w:hAnsiTheme="majorEastAsia" w:eastAsiaTheme="majorEastAsia"/>
                <w:color w:val="000000" w:themeColor="text1"/>
                <w:szCs w:val="21"/>
                <w14:textFill>
                  <w14:solidFill>
                    <w14:schemeClr w14:val="tx1"/>
                  </w14:solidFill>
                </w14:textFill>
              </w:rPr>
              <w:t xml:space="preserve">（</w:t>
            </w:r>
            <w:r>
              <w:rPr>
                <w:rFonts w:hint="eastAsia" w:cs="宋体" w:asciiTheme="majorEastAsia" w:hAnsiTheme="majorEastAsia" w:eastAsiaTheme="majorEastAsia"/>
                <w:color w:val="000000" w:themeColor="text1"/>
                <w:szCs w:val="21"/>
                <w14:textFill>
                  <w14:solidFill>
                    <w14:schemeClr w14:val="tx1"/>
                  </w14:solidFill>
                </w14:textFill>
              </w:rPr>
              <w:t xml:space="preserve">1）开</w:t>
            </w:r>
            <w:r>
              <w:rPr>
                <w:rFonts w:hint="eastAsia" w:cs="MS Mincho" w:asciiTheme="majorEastAsia" w:hAnsiTheme="majorEastAsia" w:eastAsiaTheme="majorEastAsia"/>
                <w:color w:val="000000" w:themeColor="text1"/>
                <w:szCs w:val="21"/>
                <w14:textFill>
                  <w14:solidFill>
                    <w14:schemeClr w14:val="tx1"/>
                  </w14:solidFill>
                </w14:textFill>
              </w:rPr>
              <w:t xml:space="preserve">展</w:t>
            </w:r>
            <w:r>
              <w:rPr>
                <w:rFonts w:hint="eastAsia" w:cs="宋体" w:asciiTheme="majorEastAsia" w:hAnsiTheme="majorEastAsia" w:eastAsiaTheme="majorEastAsia"/>
                <w:color w:val="000000" w:themeColor="text1"/>
                <w:szCs w:val="21"/>
                <w14:textFill>
                  <w14:solidFill>
                    <w14:schemeClr w14:val="tx1"/>
                  </w14:solidFill>
                </w14:textFill>
              </w:rPr>
              <w:t xml:space="preserve">辖</w:t>
            </w:r>
            <w:r>
              <w:rPr>
                <w:rFonts w:hint="eastAsia" w:cs="MS Mincho" w:asciiTheme="majorEastAsia" w:hAnsiTheme="majorEastAsia" w:eastAsiaTheme="majorEastAsia"/>
                <w:color w:val="000000" w:themeColor="text1"/>
                <w:szCs w:val="21"/>
                <w14:textFill>
                  <w14:solidFill>
                    <w14:schemeClr w14:val="tx1"/>
                  </w14:solidFill>
                </w14:textFill>
              </w:rPr>
              <w:t xml:space="preserve">区助老助困助残“便民市集”</w:t>
            </w:r>
            <w:r>
              <w:rPr>
                <w:rFonts w:hint="eastAsia" w:cs="宋体" w:asciiTheme="majorEastAsia" w:hAnsiTheme="majorEastAsia" w:eastAsiaTheme="majorEastAsia"/>
                <w:color w:val="000000" w:themeColor="text1"/>
                <w:szCs w:val="21"/>
                <w14:textFill>
                  <w14:solidFill>
                    <w14:schemeClr w14:val="tx1"/>
                  </w14:solidFill>
                </w14:textFill>
              </w:rPr>
              <w:t xml:space="preserve">4场</w:t>
            </w:r>
            <w:r>
              <w:rPr>
                <w:rFonts w:hint="eastAsia" w:cs="MS Mincho" w:asciiTheme="majorEastAsia" w:hAnsiTheme="majorEastAsia" w:eastAsiaTheme="majorEastAsia"/>
                <w:color w:val="000000" w:themeColor="text1"/>
                <w:szCs w:val="21"/>
                <w14:textFill>
                  <w14:solidFill>
                    <w14:schemeClr w14:val="tx1"/>
                  </w14:solidFill>
                </w14:textFill>
              </w:rPr>
              <w:t xml:space="preserve">；</w:t>
            </w:r>
            <w:r/>
          </w:p>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MS Mincho" w:asciiTheme="majorEastAsia" w:hAnsiTheme="majorEastAsia" w:eastAsiaTheme="majorEastAsia"/>
                <w:color w:val="000000" w:themeColor="text1"/>
                <w:szCs w:val="21"/>
                <w14:textFill>
                  <w14:solidFill>
                    <w14:schemeClr w14:val="tx1"/>
                  </w14:solidFill>
                </w14:textFill>
              </w:rPr>
              <w:t xml:space="preserve">（</w:t>
            </w:r>
            <w:r>
              <w:rPr>
                <w:rFonts w:hint="eastAsia" w:cs="宋体" w:asciiTheme="majorEastAsia" w:hAnsiTheme="majorEastAsia" w:eastAsiaTheme="majorEastAsia"/>
                <w:color w:val="000000" w:themeColor="text1"/>
                <w:szCs w:val="21"/>
                <w14:textFill>
                  <w14:solidFill>
                    <w14:schemeClr w14:val="tx1"/>
                  </w14:solidFill>
                </w14:textFill>
              </w:rPr>
              <w:t xml:space="preserve">2）高龄</w:t>
            </w:r>
            <w:r>
              <w:rPr>
                <w:rFonts w:hint="eastAsia" w:cs="MS Mincho" w:asciiTheme="majorEastAsia" w:hAnsiTheme="majorEastAsia" w:eastAsiaTheme="majorEastAsia"/>
                <w:color w:val="000000" w:themeColor="text1"/>
                <w:szCs w:val="21"/>
                <w14:textFill>
                  <w14:solidFill>
                    <w14:schemeClr w14:val="tx1"/>
                  </w14:solidFill>
                </w14:textFill>
              </w:rPr>
              <w:t xml:space="preserve">老人</w:t>
            </w:r>
            <w:r>
              <w:rPr>
                <w:rFonts w:hint="eastAsia" w:cs="宋体" w:asciiTheme="majorEastAsia" w:hAnsiTheme="majorEastAsia" w:eastAsiaTheme="majorEastAsia"/>
                <w:color w:val="000000" w:themeColor="text1"/>
                <w:szCs w:val="21"/>
                <w14:textFill>
                  <w14:solidFill>
                    <w14:schemeClr w14:val="tx1"/>
                  </w14:solidFill>
                </w14:textFill>
              </w:rPr>
              <w:t xml:space="preserve">AI回忆录10份。</w:t>
            </w:r>
            <w:r/>
          </w:p>
          <w:p>
            <w:pPr>
              <w:jc w:val="left"/>
              <w:rPr>
                <w:rFonts w:cs="MS Mincho"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（3）困难</w:t>
            </w:r>
            <w:r>
              <w:rPr>
                <w:rFonts w:hint="eastAsia" w:cs="MS Mincho" w:asciiTheme="majorEastAsia" w:hAnsiTheme="majorEastAsia" w:eastAsiaTheme="majorEastAsia"/>
                <w:color w:val="000000" w:themeColor="text1"/>
                <w:szCs w:val="21"/>
                <w14:textFill>
                  <w14:solidFill>
                    <w14:schemeClr w14:val="tx1"/>
                  </w14:solidFill>
                </w14:textFill>
              </w:rPr>
              <w:t xml:space="preserve">儿童</w:t>
            </w:r>
            <w:r>
              <w:rPr>
                <w:rFonts w:hint="eastAsia" w:cs="宋体" w:asciiTheme="majorEastAsia" w:hAnsiTheme="majorEastAsia" w:eastAsiaTheme="majorEastAsia"/>
                <w:color w:val="000000" w:themeColor="text1"/>
                <w:szCs w:val="21"/>
                <w14:textFill>
                  <w14:solidFill>
                    <w14:schemeClr w14:val="tx1"/>
                  </w14:solidFill>
                </w14:textFill>
              </w:rPr>
              <w:t xml:space="preserve">专场</w:t>
            </w:r>
            <w:r>
              <w:rPr>
                <w:rFonts w:hint="eastAsia" w:cs="MS Mincho" w:asciiTheme="majorEastAsia" w:hAnsiTheme="majorEastAsia" w:eastAsiaTheme="majorEastAsia"/>
                <w:color w:val="000000" w:themeColor="text1"/>
                <w:szCs w:val="21"/>
                <w14:textFill>
                  <w14:solidFill>
                    <w14:schemeClr w14:val="tx1"/>
                  </w14:solidFill>
                </w14:textFill>
              </w:rPr>
              <w:t xml:space="preserve">活</w:t>
            </w:r>
            <w:r>
              <w:rPr>
                <w:rFonts w:hint="eastAsia" w:cs="宋体" w:asciiTheme="majorEastAsia" w:hAnsiTheme="majorEastAsia" w:eastAsiaTheme="majorEastAsia"/>
                <w:color w:val="000000" w:themeColor="text1"/>
                <w:szCs w:val="21"/>
                <w14:textFill>
                  <w14:solidFill>
                    <w14:schemeClr w14:val="tx1"/>
                  </w14:solidFill>
                </w14:textFill>
              </w:rPr>
              <w:t xml:space="preserve">动2场</w:t>
            </w:r>
            <w:r>
              <w:rPr>
                <w:rFonts w:hint="eastAsia" w:cs="MS Mincho" w:asciiTheme="majorEastAsia" w:hAnsiTheme="majorEastAsia" w:eastAsiaTheme="majorEastAsia"/>
                <w:color w:val="000000" w:themeColor="text1"/>
                <w:szCs w:val="21"/>
                <w14:textFill>
                  <w14:solidFill>
                    <w14:schemeClr w14:val="tx1"/>
                  </w14:solidFill>
                </w14:textFill>
              </w:rPr>
              <w:t xml:space="preserve">。</w:t>
            </w:r>
            <w:r/>
          </w:p>
          <w:p>
            <w:pPr>
              <w:jc w:val="left"/>
              <w:rPr>
                <w:rFonts w:cs="宋体" w:asciiTheme="majorEastAsia" w:hAnsiTheme="majorEastAsia" w:eastAsiaTheme="majorEastAsia"/>
                <w:color w:val="000000" w:themeColor="text1"/>
                <w:szCs w:val="21"/>
                <w14:textFill>
                  <w14:solidFill>
                    <w14:schemeClr w14:val="tx1"/>
                  </w14:solidFill>
                </w14:textFill>
              </w:rPr>
            </w:pPr>
            <w:r>
              <w:rPr>
                <w:rFonts w:hint="eastAsia" w:cs="MS Mincho" w:asciiTheme="majorEastAsia" w:hAnsiTheme="majorEastAsia" w:eastAsiaTheme="majorEastAsia"/>
                <w:color w:val="000000" w:themeColor="text1"/>
                <w:szCs w:val="21"/>
                <w14:textFill>
                  <w14:solidFill>
                    <w14:schemeClr w14:val="tx1"/>
                  </w14:solidFill>
                </w14:textFill>
              </w:rPr>
              <w:t xml:space="preserve">（</w:t>
            </w:r>
            <w:r>
              <w:rPr>
                <w:rFonts w:hint="eastAsia" w:cs="宋体" w:asciiTheme="majorEastAsia" w:hAnsiTheme="majorEastAsia" w:eastAsiaTheme="majorEastAsia"/>
                <w:color w:val="000000" w:themeColor="text1"/>
                <w:szCs w:val="21"/>
                <w14:textFill>
                  <w14:solidFill>
                    <w14:schemeClr w14:val="tx1"/>
                  </w14:solidFill>
                </w14:textFill>
              </w:rPr>
              <w:t xml:space="preserve">4）社工培训</w:t>
            </w:r>
            <w:r>
              <w:rPr>
                <w:rFonts w:hint="eastAsia" w:cs="MS Mincho" w:asciiTheme="majorEastAsia" w:hAnsiTheme="majorEastAsia" w:eastAsiaTheme="majorEastAsia"/>
                <w:color w:val="000000" w:themeColor="text1"/>
                <w:szCs w:val="21"/>
                <w14:textFill>
                  <w14:solidFill>
                    <w14:schemeClr w14:val="tx1"/>
                  </w14:solidFill>
                </w14:textFill>
              </w:rPr>
              <w:t xml:space="preserve">学</w:t>
            </w:r>
            <w:r>
              <w:rPr>
                <w:rFonts w:hint="eastAsia" w:cs="宋体" w:asciiTheme="majorEastAsia" w:hAnsiTheme="majorEastAsia" w:eastAsiaTheme="majorEastAsia"/>
                <w:color w:val="000000" w:themeColor="text1"/>
                <w:szCs w:val="21"/>
                <w14:textFill>
                  <w14:solidFill>
                    <w14:schemeClr w14:val="tx1"/>
                  </w14:solidFill>
                </w14:textFill>
              </w:rPr>
              <w:t xml:space="preserve">习1场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3、兜底人群点单</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式上</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门</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服</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务</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：兜底人群“油你不同”清洗油烟机服</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务30户</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、困</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难</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人群</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30人等走访</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。春</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节</w:t>
            </w:r>
            <w:r>
              <w:rPr>
                <w:rFonts w:hint="eastAsia" w:cs="MS Mincho" w:asciiTheme="majorEastAsia" w:hAnsiTheme="majorEastAsia" w:eastAsiaTheme="majorEastAsia"/>
                <w:color w:val="000000" w:themeColor="text1"/>
                <w:sz w:val="21"/>
                <w:szCs w:val="21"/>
                <w14:textFill>
                  <w14:solidFill>
                    <w14:schemeClr w14:val="tx1"/>
                  </w14:solidFill>
                </w14:textFill>
              </w:rPr>
              <w:t xml:space="preserve">兜底人群慰</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问1次。</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115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33</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热南街道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热南</w:t>
            </w:r>
            <w:r>
              <w:rPr>
                <w:rFonts w:cs="宋体" w:asciiTheme="majorEastAsia" w:hAnsiTheme="majorEastAsia" w:eastAsiaTheme="majorEastAsia"/>
                <w:color w:val="000000" w:themeColor="text1"/>
                <w:szCs w:val="21"/>
                <w14:textFill>
                  <w14:solidFill>
                    <w14:schemeClr w14:val="tx1"/>
                  </w14:solidFill>
                </w14:textFill>
              </w:rPr>
              <w:t xml:space="preserve">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numPr>
                <w:ilvl w:val="0"/>
                <w:numId w:val="14"/>
              </w:num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基础服务：开展民生政策宣传等活动不少于2次。</w:t>
            </w:r>
            <w:r/>
          </w:p>
          <w:p>
            <w:pPr>
              <w:numPr>
                <w:ilvl w:val="0"/>
                <w:numId w:val="14"/>
              </w:num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基本公共服务：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（1）为特殊儿童（困境、流动、留守儿童）链接资源，提供2次心理/法律/家庭教育/安全健康教育宣传服务；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（2）组织街道专职社工、社会组织人员或志愿者培训不少于1次。</w:t>
            </w:r>
            <w:r/>
          </w:p>
          <w:p>
            <w:pPr>
              <w:numPr>
                <w:ilvl w:val="0"/>
                <w:numId w:val="14"/>
              </w:num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兜底人群点单式上门服务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（1）为辖区内空巢独居老人、困境儿童、残疾人等重点困难群体，上门探访，对他们进行需求评估，提供点单式精准服务，不少于8人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（2）对弱势群体提供心理疏导、能力提升等个性化服务不少于1次，每次不少于15人。</w:t>
            </w:r>
            <w:r/>
          </w:p>
        </w:tc>
        <w:tc>
          <w:tcPr>
            <w:tcW w:w="1217" w:type="pct"/>
            <w:vAlign w:val="center"/>
            <w:textDirection w:val="lrTb"/>
            <w:noWrap w:val="false"/>
          </w:tcPr>
          <w:p>
            <w:pPr>
              <w:numPr>
                <w:ilvl w:val="0"/>
                <w:numId w:val="15"/>
              </w:num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基础服务：开展辖区民生政策宣传4次。</w:t>
            </w:r>
            <w:r/>
          </w:p>
          <w:p>
            <w:pPr>
              <w:numPr>
                <w:ilvl w:val="0"/>
                <w:numId w:val="15"/>
              </w:num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基本公共服务：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（1）为特殊儿童（困境、流动、留守儿童）链接资源，提供4次心理/法律/家庭教育/安全健康教育宣传服务；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（2）对辖区内社工提供2次社工能力提升服务；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3、兜底人群服务</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（1）为辖区内空巢独居老人、困境儿童、残疾人等重点困难群体，上门探访，对他们进行需求评估，提供点单式精准服务，不少于8人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（2）对弱势群体提供心理疏导、能力提升等个性化服务不少于2次，每次不少于15人。</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115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34</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下关街道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下关街道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60人</w:t>
            </w:r>
            <w:r/>
          </w:p>
        </w:tc>
        <w:tc>
          <w:tcPr>
            <w:tcW w:w="1229" w:type="pct"/>
            <w:vAlign w:val="center"/>
            <w:textDirection w:val="lrTb"/>
            <w:noWrap w:val="false"/>
          </w:tcPr>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1、</w:t>
            </w:r>
            <w:r>
              <w:rPr>
                <w:rFonts w:hint="eastAsia" w:cs="宋体" w:asciiTheme="majorEastAsia" w:hAnsiTheme="majorEastAsia" w:eastAsiaTheme="majorEastAsia"/>
                <w:color w:val="000000" w:themeColor="text1"/>
                <w:szCs w:val="21"/>
                <w14:textFill>
                  <w14:solidFill>
                    <w14:schemeClr w14:val="tx1"/>
                  </w14:solidFill>
                </w14:textFill>
              </w:rPr>
              <w:t xml:space="preserve">基础服务：开展民生政策宣传等活动不少于1次。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2、</w:t>
            </w:r>
            <w:r>
              <w:rPr>
                <w:rFonts w:hint="eastAsia" w:cs="宋体" w:asciiTheme="majorEastAsia" w:hAnsiTheme="majorEastAsia" w:eastAsiaTheme="majorEastAsia"/>
                <w:color w:val="000000" w:themeColor="text1"/>
                <w:szCs w:val="21"/>
                <w14:textFill>
                  <w14:solidFill>
                    <w14:schemeClr w14:val="tx1"/>
                  </w14:solidFill>
                </w14:textFill>
              </w:rPr>
              <w:t xml:space="preserve">基本公共服务：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（1）为辖区老年人、未成年人开展2次养老服务，养老政策、居家养老指导等宣传服务；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（2）开展1次精神残疾人康复资源链接，及康复训练服务。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3、兜底人群点单式上门服务：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（1）为辖区内空巢独居老人、困境儿童、残疾人等重点困难群体，开展上门探访走访慰问2次。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（2）开展兜底人群社区融入和社区支持活动1次。</w:t>
            </w:r>
            <w:r/>
          </w:p>
        </w:tc>
        <w:tc>
          <w:tcPr>
            <w:tcW w:w="1217" w:type="pct"/>
            <w:vAlign w:val="center"/>
            <w:textDirection w:val="lrTb"/>
            <w:noWrap w:val="false"/>
          </w:tcPr>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1、基础服务：开展民生政策宣传等活动不少于2次。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2、基本公共服务：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（1）为辖区老年人及未成年人开展4次养老服务，养老政策、居家养老指导等宣传服务；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（2）开展2次精神残疾人康复资源链接，及康复训练服务。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3、兜底人群点单式上门服务：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（1）为辖区内空巢独居老人、困境儿童、残疾人等重点困难群体，开展上门探访走访慰问4次。</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（2）开展兜底人群社区融入和社区支持活动2次。</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115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35</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建宁路街道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建宁路街道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100人</w:t>
            </w:r>
            <w:r/>
          </w:p>
        </w:tc>
        <w:tc>
          <w:tcPr>
            <w:tcW w:w="1229" w:type="pct"/>
            <w:vAlign w:val="center"/>
            <w:textDirection w:val="lrTb"/>
            <w:noWrap w:val="false"/>
          </w:tcPr>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w:t>
            </w:r>
            <w:r>
              <w:rPr>
                <w:rFonts w:cs="宋体" w:asciiTheme="majorEastAsia" w:hAnsiTheme="majorEastAsia" w:eastAsiaTheme="majorEastAsia"/>
                <w:color w:val="000000" w:themeColor="text1"/>
                <w:szCs w:val="21"/>
                <w14:textFill>
                  <w14:solidFill>
                    <w14:schemeClr w14:val="tx1"/>
                  </w14:solidFill>
                </w14:textFill>
              </w:rPr>
              <w:t xml:space="preserve">保障建宁路街道民政服务站常态化开放，建立站点运营台账</w:t>
            </w:r>
            <w:r>
              <w:rPr>
                <w:rFonts w:hint="eastAsia" w:cs="宋体" w:asciiTheme="majorEastAsia" w:hAnsiTheme="majorEastAsia" w:eastAsiaTheme="majorEastAsia"/>
                <w:color w:val="000000" w:themeColor="text1"/>
                <w:szCs w:val="21"/>
                <w14:textFill>
                  <w14:solidFill>
                    <w14:schemeClr w14:val="tx1"/>
                  </w14:solidFill>
                </w14:textFill>
              </w:rPr>
              <w:t xml:space="preserve">。</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w:t>
            </w:r>
            <w:r>
              <w:rPr>
                <w:rFonts w:cs="宋体" w:asciiTheme="majorEastAsia" w:hAnsiTheme="majorEastAsia" w:eastAsiaTheme="majorEastAsia"/>
                <w:color w:val="000000" w:themeColor="text1"/>
                <w:szCs w:val="21"/>
                <w14:textFill>
                  <w14:solidFill>
                    <w14:schemeClr w14:val="tx1"/>
                  </w14:solidFill>
                </w14:textFill>
              </w:rPr>
              <w:t xml:space="preserve">围绕民政政策解读、入户探访、需求评估等主题，开展2场社区社工赋能培训/工作坊，累计参训不少于40人次</w:t>
            </w:r>
            <w:r>
              <w:rPr>
                <w:rFonts w:hint="eastAsia" w:cs="宋体" w:asciiTheme="majorEastAsia" w:hAnsiTheme="majorEastAsia" w:eastAsiaTheme="majorEastAsia"/>
                <w:color w:val="000000" w:themeColor="text1"/>
                <w:szCs w:val="21"/>
                <w14:textFill>
                  <w14:solidFill>
                    <w14:schemeClr w14:val="tx1"/>
                  </w14:solidFill>
                </w14:textFill>
              </w:rPr>
              <w:t xml:space="preserve">。</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w:t>
            </w:r>
            <w:r>
              <w:rPr>
                <w:rFonts w:cs="宋体" w:asciiTheme="majorEastAsia" w:hAnsiTheme="majorEastAsia" w:eastAsiaTheme="majorEastAsia"/>
                <w:color w:val="000000" w:themeColor="text1"/>
                <w:szCs w:val="21"/>
                <w14:textFill>
                  <w14:solidFill>
                    <w14:schemeClr w14:val="tx1"/>
                  </w14:solidFill>
                </w14:textFill>
              </w:rPr>
              <w:t xml:space="preserve">走访摸排辖区内养老、助残、慈善、便民、医疗等领域资源，形成《建宁路街道社区公益资源清单（初稿）》，资源类型不少于10项。</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w:t>
            </w:r>
            <w:r>
              <w:rPr>
                <w:rFonts w:cs="宋体" w:asciiTheme="majorEastAsia" w:hAnsiTheme="majorEastAsia" w:eastAsiaTheme="majorEastAsia"/>
                <w:color w:val="000000" w:themeColor="text1"/>
                <w:szCs w:val="21"/>
                <w14:textFill>
                  <w14:solidFill>
                    <w14:schemeClr w14:val="tx1"/>
                  </w14:solidFill>
                </w14:textFill>
              </w:rPr>
              <w:t xml:space="preserve">联合辖区内社会组织，开展1场联合服务活动（如困难群众慰问、公益宣传等），累计服务不少于50人次</w:t>
            </w:r>
            <w:r>
              <w:rPr>
                <w:rFonts w:hint="eastAsia" w:cs="宋体" w:asciiTheme="majorEastAsia" w:hAnsiTheme="majorEastAsia" w:eastAsiaTheme="majorEastAsia"/>
                <w:color w:val="000000" w:themeColor="text1"/>
                <w:szCs w:val="21"/>
                <w14:textFill>
                  <w14:solidFill>
                    <w14:schemeClr w14:val="tx1"/>
                  </w14:solidFill>
                </w14:textFill>
              </w:rPr>
              <w:t xml:space="preserve">。</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w:t>
            </w:r>
            <w:r>
              <w:rPr>
                <w:rFonts w:cs="宋体" w:asciiTheme="majorEastAsia" w:hAnsiTheme="majorEastAsia" w:eastAsiaTheme="majorEastAsia"/>
                <w:color w:val="000000" w:themeColor="text1"/>
                <w:sz w:val="21"/>
                <w:szCs w:val="21"/>
                <w14:textFill>
                  <w14:solidFill>
                    <w14:schemeClr w14:val="tx1"/>
                  </w14:solidFill>
                </w14:textFill>
              </w:rPr>
              <w:t xml:space="preserve">收集社区社工服务中的典型案例素材，初步梳理“平台赋能·联动服务”工作模式的雏形。</w:t>
            </w:r>
            <w:r/>
          </w:p>
        </w:tc>
        <w:tc>
          <w:tcPr>
            <w:tcW w:w="1217" w:type="pct"/>
            <w:vAlign w:val="center"/>
            <w:textDirection w:val="lrTb"/>
            <w:noWrap w:val="false"/>
          </w:tcPr>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1、保障建宁路街道民政服务站常态化开放，建立站点运营台账。</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2、累计开展4场社区社工赋能培训/工作坊，聚焦民政政策解读、入户探访、需求评估等实操内容，覆盖建宁路街道下辖社区，总参训人次不少于80人次。 </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3、完善《建宁路街道社区公益资源清单》，资源类型扩充至15项以上（涵盖养老、助残、慈善、便民、医疗等领域），促成至少2项资源与社区需求的实质性对接（如企业认领困难群众微心愿、商户提供定期便民服务、公益组织开展专项帮扶等） </w:t>
            </w:r>
            <w:r/>
          </w:p>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4、联合辖区内社会组织开展不少于2场联合服务活动（如困难群众慰问、社工能力共建、公益宣传等），整合各方优势，扩大服务覆盖面，累计服务不少于100人次，提升联动服务实效。</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5、联合社区社工、联动辖区社会组织，共同梳理1-2个典型服务案例。提炼形成“建宁路街道民政服务站工作模式”总结报告。</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629"/>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36</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宝塔桥街道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宝塔桥街道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120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vAlign w:val="center"/>
            <w:textDirection w:val="lrTb"/>
            <w:noWrap w:val="false"/>
          </w:tcPr>
          <w:p>
            <w:pPr>
              <w:jc w:val="left"/>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1. 为辖区困难老人提供紧急就医陪诊、临时陪护等支持与帮助。</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2. 面向辖区居民开展心理疏导服务，普及心理健康知识，提升社区整体对心理健康的认知水平和重视程度。</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3. 为有需要的辖区居民（包括但不限于未成年人、学生、居民等）提供一对一心理咨询、心理测评与心理关爱支持，切实帮助解决心理困扰，累计服务不少于20人次。</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4. 通过举办心理工作坊、家庭情绪剧场、心理沙龙、心灵茶吧、乐心生日会等团体活动，满足居民及社区工作者多样化的心理需求，营造积极健康的心理氛围，提升社区凝聚力和行动力，计划开展不少于4场专项活动。</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5. 为街道提供突发与临时性救助支持服务，及时响应应急需求，形成重点人员应急响应机制。</w:t>
            </w:r>
            <w:r/>
          </w:p>
        </w:tc>
        <w:tc>
          <w:tcPr>
            <w:tcW w:w="1217" w:type="pct"/>
            <w:vAlign w:val="center"/>
            <w:textDirection w:val="lrTb"/>
            <w:noWrap w:val="false"/>
          </w:tcPr>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1. 为老助急：实现对困难老人紧急就医陪诊、临时陪护等需求的及时响应，显著缓解突发照护压力。</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2. 心理科普：提升居民对心理健康的科学认知与重视程度，形成主动关注、理性求助的社区氛围。</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3. 个案支持：为有需求居民提供专业一对一心理疏导与测评，切实缓解情绪困扰，促进个人与家庭和谐。</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4. 团体活动：通过多样化心理活动，营造安全温暖的社区支持空间，有效增强凝聚力与心理韧性。</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t xml:space="preserve">5. 社会影响：项目成效获得省级以上媒体积极报道，形成可推广的社区服务经验。</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1156"/>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37</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cs="宋体" w:asciiTheme="majorEastAsia" w:hAnsiTheme="majorEastAsia" w:eastAsiaTheme="majorEastAsia"/>
                <w:color w:val="000000" w:themeColor="text1"/>
                <w:szCs w:val="21"/>
                <w14:textFill>
                  <w14:solidFill>
                    <w14:schemeClr w14:val="tx1"/>
                  </w14:solidFill>
                </w14:textFill>
              </w:rPr>
              <w:t xml:space="preserve">小市街道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小市街道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asciiTheme="majorEastAsia" w:hAnsiTheme="majorEastAsia" w:eastAsiaTheme="majorEastAsia"/>
                <w:color w:val="000000" w:themeColor="text1"/>
                <w:szCs w:val="21"/>
                <w14:textFill>
                  <w14:solidFill>
                    <w14:schemeClr w14:val="tx1"/>
                  </w14:solidFill>
                </w14:textFill>
              </w:rPr>
              <w:t xml:space="preserve">150人</w:t>
            </w:r>
            <w:r/>
          </w:p>
        </w:tc>
        <w:tc>
          <w:tcPr>
            <w:tcW w:w="1229" w:type="pct"/>
            <w:vAlign w:val="center"/>
            <w:textDirection w:val="lrTb"/>
            <w:noWrap w:val="false"/>
          </w:tcPr>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1.以辖区内9个社区为单位，开展资源评估，建立资源库。</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2.面向民政领域工作人员、社会组织等开展培训交流等活动不少于3场。</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3.面向困难儿童、流动儿童等，开展亲子阅读、心理关爱等活动不少于4场。</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4.面向残障人士、独居高龄老人等，开展精神关爱、社会融入等活动等不少于3场。</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4.组织辖区社会组织、共建单位等开展政策宣传、便民服务等不少于1次。</w:t>
            </w:r>
            <w:r/>
          </w:p>
        </w:tc>
        <w:tc>
          <w:tcPr>
            <w:tcW w:w="1217" w:type="pct"/>
            <w:vAlign w:val="center"/>
            <w:textDirection w:val="lrTb"/>
            <w:noWrap w:val="false"/>
          </w:tcPr>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1.协助街道做好民政服务项目调研、设计、评估等工作。</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2.面向民政领域工作人员、社会组织，开展能力培训、交流活动等不少于6场。</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3.面向困难儿童、流动儿童等，开展亲子阅读、心理关爱等活动不少于8场。</w:t>
            </w:r>
            <w:r/>
          </w:p>
          <w:p>
            <w:pPr>
              <w:pStyle w:val="894"/>
              <w:jc w:val="left"/>
              <w:spacing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4.面向残障人士、独居高龄老人等，开展精神关爱、社会融入等活动等不少于6场。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5.组织辖区社会组织、共建单位等开展政策宣传、便民服务等不少于2次。</w:t>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8</w:t>
            </w:r>
            <w:r/>
          </w:p>
        </w:tc>
      </w:tr>
      <w:tr>
        <w:trPr>
          <w:jc w:val="center"/>
          <w:trHeight w:val="629"/>
        </w:trPr>
        <w:tc>
          <w:tcPr>
            <w:tcW w:w="253" w:type="pct"/>
            <w:vAlign w:val="center"/>
            <w:textDirection w:val="lrTb"/>
            <w:noWrap/>
          </w:tcPr>
          <w:p>
            <w:pPr>
              <w:jc w:val="center"/>
              <w:spacing w:line="320" w:lineRule="exact"/>
              <w:widowControl/>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38</w:t>
            </w:r>
            <w:r/>
          </w:p>
        </w:tc>
        <w:tc>
          <w:tcPr>
            <w:tcW w:w="324"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幕府山街道</w:t>
            </w:r>
            <w:r/>
          </w:p>
        </w:tc>
        <w:tc>
          <w:tcPr>
            <w:shd w:val="clear" w:color="auto" w:fill="auto"/>
            <w:tcW w:w="296"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cs="宋体" w:asciiTheme="majorEastAsia" w:hAnsiTheme="majorEastAsia" w:eastAsiaTheme="majorEastAsia"/>
                <w:color w:val="000000" w:themeColor="text1"/>
                <w:szCs w:val="21"/>
                <w14:textFill>
                  <w14:solidFill>
                    <w14:schemeClr w14:val="tx1"/>
                  </w14:solidFill>
                </w14:textFill>
              </w:rPr>
              <w:t xml:space="preserve">民政服务站</w:t>
            </w:r>
            <w:r/>
          </w:p>
        </w:tc>
        <w:tc>
          <w:tcPr>
            <w:shd w:val="clear" w:color="auto" w:fill="auto"/>
            <w:tcW w:w="418"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民服站</w:t>
            </w:r>
            <w:r/>
          </w:p>
        </w:tc>
        <w:tc>
          <w:tcPr>
            <w:shd w:val="clear" w:color="auto" w:fill="auto"/>
            <w:tcW w:w="391" w:type="pct"/>
            <w:vAlign w:val="center"/>
            <w:textDirection w:val="lrTb"/>
            <w:noWrap w:val="false"/>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幕府山街道</w:t>
            </w:r>
            <w:r/>
          </w:p>
        </w:tc>
        <w:tc>
          <w:tcPr>
            <w:shd w:val="clear" w:color="auto" w:fill="auto"/>
            <w:tcW w:w="450" w:type="pct"/>
            <w:vAlign w:val="center"/>
            <w:textDirection w:val="lrTb"/>
            <w:noWrap w:val="false"/>
          </w:tcPr>
          <w:p>
            <w:pPr>
              <w:jc w:val="cente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200</w:t>
            </w:r>
            <w:r>
              <w:rPr>
                <w:rFonts w:hint="eastAsia" w:cs="宋体" w:asciiTheme="majorEastAsia" w:hAnsiTheme="majorEastAsia" w:eastAsiaTheme="majorEastAsia"/>
                <w:color w:val="000000" w:themeColor="text1"/>
                <w:szCs w:val="21"/>
                <w14:textFill>
                  <w14:solidFill>
                    <w14:schemeClr w14:val="tx1"/>
                  </w14:solidFill>
                </w14:textFill>
              </w:rPr>
              <w:t xml:space="preserve">人</w:t>
            </w:r>
            <w:r/>
          </w:p>
        </w:tc>
        <w:tc>
          <w:tcPr>
            <w:tcW w:w="1229" w:type="pct"/>
            <w:textDirection w:val="lrTb"/>
            <w:noWrap w:val="false"/>
          </w:tcPr>
          <w:p>
            <w:pPr>
              <w:numPr>
                <w:ilvl w:val="0"/>
                <w:numId w:val="16"/>
              </w:num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提升社工能力建设：开展不少于2场主题培训，覆盖社工专业实务、活动组织、沟通技巧、团结协作等核心模块，提升社工综合技能。</w:t>
            </w:r>
            <w:r/>
          </w:p>
          <w:p>
            <w:pPr>
              <w:spacing w:line="320" w:lineRule="exact"/>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2.搭建服务品牌基础：立足民政服务站品牌定位，打造“朝朝暮暮”民政服务品牌，开展不少于2场品牌主题服务。</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3.聚焦特殊困难群体：对辖区</w:t>
            </w:r>
            <w:r>
              <w:rPr>
                <w:rFonts w:hint="eastAsia" w:cs="宋体" w:asciiTheme="majorEastAsia" w:hAnsiTheme="majorEastAsia" w:eastAsiaTheme="majorEastAsia"/>
                <w:color w:val="000000" w:themeColor="text1"/>
                <w:szCs w:val="21"/>
                <w14:textFill>
                  <w14:solidFill>
                    <w14:schemeClr w14:val="tx1"/>
                  </w14:solidFill>
                </w14:textFill>
              </w:rPr>
              <w:t xml:space="preserve">残障人士、独居高龄老人、困境儿童等特殊群体，每季度上门走访不少于10户，提供政策咨询、精神关爱等，形成一本走访日志；结合传统佳节等重要节日，组织开展开展活动不少于3场。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r>
            <w:r/>
          </w:p>
        </w:tc>
        <w:tc>
          <w:tcPr>
            <w:tcW w:w="1217" w:type="pct"/>
            <w:textDirection w:val="lrTb"/>
            <w:noWrap w:val="false"/>
          </w:tcPr>
          <w:p>
            <w:pPr>
              <w:pStyle w:val="894"/>
              <w:numPr>
                <w:ilvl w:val="0"/>
                <w:numId w:val="17"/>
              </w:numPr>
              <w:jc w:val="left"/>
              <w:spacing w:after="0" w:line="3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社工专业能力全面提升：完成全年系统化培训，分层分类实施，形成稳定梯队，至少开展4场次。2.民政服务站品牌成型且具备影响力：形成辨识度高、口碑良好的民政服务站品牌开展不少于4场次的品牌主题服务，形成品牌宣传材料、视频等，生成品牌案例1个。</w:t>
            </w:r>
            <w:r/>
          </w:p>
          <w:p>
            <w:pPr>
              <w:spacing w:line="320" w:lineRule="exact"/>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3.对辖区</w:t>
            </w:r>
            <w:r>
              <w:rPr>
                <w:rFonts w:hint="eastAsia" w:cs="宋体" w:asciiTheme="majorEastAsia" w:hAnsiTheme="majorEastAsia" w:eastAsiaTheme="majorEastAsia"/>
                <w:color w:val="000000" w:themeColor="text1"/>
                <w:szCs w:val="21"/>
                <w14:textFill>
                  <w14:solidFill>
                    <w14:schemeClr w14:val="tx1"/>
                  </w14:solidFill>
                </w14:textFill>
              </w:rPr>
              <w:t xml:space="preserve">残障人士、独居高龄老人、困境儿童等特殊群体，每季度上门走访不少于10户，累计不少于50户家庭或人，提供政策咨询、精神关爱等，形成一本走访日志；结合传统佳节等重要节日，组织开展开展活动不少于6场。</w:t>
            </w:r>
            <w:r/>
          </w:p>
          <w:p>
            <w:pPr>
              <w:pStyle w:val="894"/>
              <w:jc w:val="left"/>
              <w:spacing w:after="0" w:line="320" w:lineRule="exact"/>
              <w:rPr>
                <w:rFonts w:cs="宋体" w:asciiTheme="majorEastAsia" w:hAnsiTheme="majorEastAsia" w:eastAsiaTheme="majorEastAsia"/>
                <w:color w:val="000000" w:themeColor="text1"/>
                <w:sz w:val="21"/>
                <w:szCs w:val="21"/>
                <w14:textFill>
                  <w14:solidFill>
                    <w14:schemeClr w14:val="tx1"/>
                  </w14:solidFill>
                </w14:textFill>
              </w:rPr>
            </w:pPr>
            <w:r>
              <w:rPr>
                <w:rFonts w:cs="宋体" w:asciiTheme="majorEastAsia" w:hAnsiTheme="majorEastAsia" w:eastAsiaTheme="majorEastAsia"/>
                <w:color w:val="000000" w:themeColor="text1"/>
                <w:sz w:val="21"/>
                <w:szCs w:val="21"/>
                <w14:textFill>
                  <w14:solidFill>
                    <w14:schemeClr w14:val="tx1"/>
                  </w14:solidFill>
                </w14:textFill>
              </w:rPr>
            </w:r>
            <w:r/>
          </w:p>
        </w:tc>
        <w:tc>
          <w:tcPr>
            <w:tcW w:w="419" w:type="pct"/>
            <w:vAlign w:val="center"/>
            <w:textDirection w:val="lrTb"/>
            <w:noWrap/>
          </w:tcPr>
          <w:p>
            <w:pPr>
              <w:jc w:val="center"/>
              <w:spacing w:line="320" w:lineRule="exact"/>
              <w:widowControl/>
              <w:rPr>
                <w:rFonts w:cs="宋体"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 xml:space="preserve">8</w:t>
            </w:r>
            <w:r/>
          </w:p>
        </w:tc>
      </w:tr>
    </w:tbl>
    <w:p>
      <w:pPr>
        <w:spacing w:line="360" w:lineRule="auto"/>
        <w:tabs>
          <w:tab w:val="left" w:pos="1050" w:leader="none"/>
        </w:tabs>
        <w:rPr>
          <w:rFonts w:ascii="宋体" w:hAnsi="宋体" w:cs="宋体"/>
          <w:b/>
          <w:color w:val="000000" w:themeColor="text1"/>
          <w:sz w:val="24"/>
          <w:szCs w:val="24"/>
          <w:lang w:val="zh-CN"/>
          <w14:textFill>
            <w14:solidFill>
              <w14:schemeClr w14:val="tx1"/>
            </w14:solidFill>
          </w14:textFill>
        </w:rPr>
      </w:pPr>
      <w:r>
        <w:rPr>
          <w:rFonts w:ascii="宋体" w:hAnsi="宋体" w:cs="宋体"/>
          <w:b/>
          <w:color w:val="000000" w:themeColor="text1"/>
          <w:sz w:val="24"/>
          <w:szCs w:val="24"/>
          <w:lang w:val="zh-CN"/>
          <w14:textFill>
            <w14:solidFill>
              <w14:schemeClr w14:val="tx1"/>
            </w14:solidFill>
          </w14:textFill>
        </w:rPr>
      </w:r>
      <w:r/>
    </w:p>
    <w:p>
      <w:pPr>
        <w:spacing w:line="559" w:lineRule="atLeast"/>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6838" w:h="11906" w:orient="landscape"/>
          <w:pgMar w:top="1417" w:right="850" w:bottom="850" w:left="850" w:header="510" w:footer="680" w:gutter="0"/>
          <w:cols w:num="1" w:sep="0" w:space="720" w:equalWidth="1"/>
          <w:docGrid w:linePitch="360"/>
        </w:sectPr>
      </w:pPr>
      <w:r>
        <w:rPr>
          <w:rFonts w:ascii="宋体" w:hAnsi="宋体" w:cs="宋体"/>
          <w:b/>
          <w:color w:val="000000" w:themeColor="text1"/>
          <w:sz w:val="24"/>
          <w14:textFill>
            <w14:solidFill>
              <w14:schemeClr w14:val="tx1"/>
            </w14:solidFill>
          </w14:textFill>
        </w:rPr>
      </w:r>
      <w:r/>
    </w:p>
    <w:p>
      <w:pPr>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三、项目服务要求（适用于各分包）</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1、监督和反馈：对服务中发现的问题及时上报采购人，同时在权限范围内作出处置；</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2、服务和跟踪：对服务对象进行技术指导，包括服务内容、服务方式、服务程序等进行全程跟踪；</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3、经采购人同意，鼓励运用新媒体、新理念、新载体推动项目运作；</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4、有效投诉率为0%；投诉率小于5%；</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5、总结和归档：各类检查记录（照片）、报告、整改通知应整理归档，形成工作结项报告书并提交至采购人存档；</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w:t>
      </w:r>
      <w:r>
        <w:rPr>
          <w:rFonts w:ascii="宋体" w:hAnsi="宋体" w:cs="宋体"/>
          <w:color w:val="000000" w:themeColor="text1"/>
          <w:sz w:val="24"/>
          <w14:textFill>
            <w14:solidFill>
              <w14:schemeClr w14:val="tx1"/>
            </w14:solidFill>
          </w14:textFill>
        </w:rPr>
        <w:t xml:space="preserve">无安全意外事故；</w:t>
      </w:r>
      <w:r>
        <w:rPr>
          <w:color w:val="000000" w:themeColor="text1"/>
          <w14:textFill>
            <w14:solidFill>
              <w14:schemeClr w14:val="tx1"/>
            </w14:solidFill>
          </w14:textFill>
        </w:rPr>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7、无负面舆论报道。</w:t>
      </w:r>
      <w:r/>
    </w:p>
    <w:p>
      <w:pPr>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四、项目实施要求（适用于各分包）</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1、广泛性：项目所回应的问题是广大城乡社区居民共同面临的，具有普遍推广的必要性；</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2、针对性：设计针对明确的受益群体，有精准的定位，直接受益人数不少于50人，项目需求表中有特殊要求的，以需求表要求为准；</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3、公益性：以服务民生和追求社会效益为主要目的，符合公共利益，项目服务指向明确，公益色彩突出；</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4、可操作性：项目具备良好的社区基础和群众基础，符合政府相关政策导向，资金投入可以产生预期的社会效益；</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5、可持续性：项目具有清晰的发展模式，在服务周期结束后有持续运作的可能，可在条件类似的地区推广、复制。</w:t>
      </w:r>
      <w:r/>
    </w:p>
    <w:p>
      <w:pPr>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五、服务保障和自罚承诺 （适用于各分包）</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1、制定完善的管理制度和保障机制，做到管理正规化、服务规范化、考核标准化，进行智能化服务和管理；</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2、制定合理的薪资标准，自负公司或组织内管理人员及服务人员的薪资（含一切福利待遇、保险等，且不得低于南京市最低工资标准）；</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3、根据服务对象的实际需求，适时增加服务项目和服务内容，服务必须依据援助对象的意愿开展，不得强制服务；</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4、符合所在行业规范要求；</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5、服务的信息要及时向采购人汇报，做到积极响应并接受采购人监督；</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在合同履行期间，采购人有权依照竞争性磋商文件相关要求对相关服务或交付的工作成果进行阶段性考核及/或总体考核。经考核不合格的，供应商应当按照要求在指定的合理期限内进行整改和完善，直至符合相关标准。逾期不予整改或经整改仍不能符合相关要求，或者将导致合同目的无法实现，采购人有权依照法律程序解除合同，并追究供应商违约责任；</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7、供应商必须积极配合并接受上级行政主管部门、民政部门以及财政部门对本采购人单位开展的项目监督检查、绩效评估以及资金使用的审计等事宜；</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8、供应商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9、供应商在履行合同中产生的一切非因采购人过错导致的损失，均自行承担责任；</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10、供应商应编制有合理的项目风险应急预案，不能因人员变化影响项目进度，如因供应商投入人员过少原因，造成无法在服务期内完成既定服务，由此产生的一切责任由供应商承担；</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11、供应商须接受采购人或采购方委托第三方机构组织开展的绩效评估，接受第三方会计师事务所对项目资金预算及开支审查，供应商须如实记录项目进展情况并保存该项目执行过程中产生的所有台账资料（如工作计划方案、服务工作档案、活动记录、发票等）；</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12、项目服务满意率在85%以上，满意率测评由供应商自行组织并存档，采购人或采购人委托的第三方机构将进行抽查；</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13、供应商须根据项目方案设计认真编制项目经费预算，主要用于：</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（1）为实现项目预期目标而付出的直接相关成本。</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（2）项目资金不用于固定资产购置，不得直接向服务对象发放现金，购买物品，不得发生其他捐赠、赞助支出。</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（3）项目资金的使用应符合国家法律法规的规定，全部用于开展符合规定的社会服务活动。 </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（4）对项目资金使用、管理中存在擅自改变专项资金用途，或者骗取、挪用专项资金等行为，按有关规定进行处理并追究有关单位及其相关人员法律责任。</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在项目执行过程中，供应商应建立健全财务管理和会计核算制度，将项目扶持资金纳入单位财务统一管理，单独核算，便于监督检查和追踪问效；严格遵守项目资金支出范围，将项目资金全部用于受益对象和服务活动，确保专款专用。</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（6）在项目执行过程中，不得以相同项目重复套取财政性资金。</w:t>
      </w:r>
      <w:r/>
    </w:p>
    <w:p>
      <w:pPr>
        <w:ind w:firstLine="480"/>
        <w:spacing w:line="559"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14、注重提升项目影响力，利用媒介进行适当宣传。</w:t>
      </w:r>
      <w:r/>
    </w:p>
    <w:p>
      <w:pPr>
        <w:ind w:firstLine="562"/>
        <w:jc w:val="center"/>
        <w:spacing w:line="559" w:lineRule="atLeast"/>
        <w:rPr>
          <w:rFonts w:ascii="宋体" w:hAnsi="宋体" w:cs="宋体"/>
          <w:b/>
          <w:color w:val="000000" w:themeColor="text1"/>
          <w:sz w:val="28"/>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1"/>
          <w14:textFill>
            <w14:solidFill>
              <w14:schemeClr w14:val="tx1"/>
            </w14:solidFill>
          </w14:textFill>
        </w:rPr>
        <w:t xml:space="preserve">（第二部分：商务部分）</w:t>
      </w:r>
      <w:r/>
    </w:p>
    <w:p>
      <w:pPr>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六、报价说明（适用于各分包）</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报价应包含与本次采购项目有关的所有费用。包含但不限于人员、场地、耗材、误餐、住宿等伴随配套服务等所有含税费用。同时，还应包含支付给员工的工资和国家强制缴纳的各种社会保障资金，以及供应商认为需要的其他费用等； </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2、供应商的任何错漏、优惠、竞争性报价不得作为减轻责任、减少服务、增加收费、降低服务质量的理由； </w:t>
      </w:r>
      <w:r/>
    </w:p>
    <w:p>
      <w:pPr>
        <w:ind w:firstLine="480"/>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3、供应商报价除包含采购文件中列明的项目外还应包括保障服务正常运行应当具有的物资和服务，对服务正常运行应当具有的物资和服务理解不一致的以采购人理解为准。 </w:t>
      </w:r>
      <w:r/>
    </w:p>
    <w:p>
      <w:pPr>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七、付款要求（适用于各分包）</w:t>
      </w:r>
      <w:r/>
    </w:p>
    <w:p>
      <w:pPr>
        <w:ind w:firstLine="480"/>
        <w:spacing w:line="559"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本项目的款项均以人民币方式支付，由采购人直接支付给供应商。项目协议生效拨付总金额的50%，中期评估通过后拨付总金额的30%，项目结束并经评估验收通过后拨付总金额的20%。</w:t>
      </w:r>
      <w:r/>
    </w:p>
    <w:p>
      <w:pPr>
        <w:spacing w:line="559" w:lineRule="atLeast"/>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★八、其他</w:t>
      </w:r>
      <w:r/>
    </w:p>
    <w:p>
      <w:pPr>
        <w:ind w:firstLine="480"/>
        <w:spacing w:line="559"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本项目合同履行期限：自签订合同之日起一年内完成。</w:t>
      </w:r>
      <w:r/>
    </w:p>
    <w:p>
      <w:pPr>
        <w:ind w:firstLine="480"/>
        <w:spacing w:line="559"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1"/>
          <w:footnotePr/>
          <w:endnotePr/>
          <w:type w:val="nextPage"/>
          <w:pgSz w:w="11906" w:h="16838" w:orient="portrait"/>
          <w:pgMar w:top="1440" w:right="850" w:bottom="1440" w:left="1236" w:header="510" w:footer="680" w:gutter="0"/>
          <w:cols w:num="1" w:sep="0" w:space="720" w:equalWidth="1"/>
          <w:docGrid w:linePitch="360"/>
        </w:sectPr>
      </w:pPr>
      <w:r>
        <w:rPr>
          <w:rFonts w:hint="eastAsia" w:ascii="宋体" w:hAnsi="宋体" w:cs="宋体"/>
          <w:color w:val="000000" w:themeColor="text1"/>
          <w:sz w:val="24"/>
          <w14:textFill>
            <w14:solidFill>
              <w14:schemeClr w14:val="tx1"/>
            </w14:solidFill>
          </w14:textFill>
        </w:rPr>
      </w:r>
      <w:r/>
    </w:p>
    <w:p>
      <w:pPr>
        <w:jc w:val="center"/>
        <w:spacing w:line="640" w:lineRule="exact"/>
        <w:rPr>
          <w:rFonts w:ascii="Calibri" w:hAnsi="Calibri"/>
          <w:b/>
          <w:bCs/>
          <w:color w:val="000000" w:themeColor="text1"/>
          <w:sz w:val="32"/>
          <w:szCs w:val="32"/>
          <w14:textFill>
            <w14:solidFill>
              <w14:schemeClr w14:val="tx1"/>
            </w14:solidFill>
          </w14:textFill>
        </w:rPr>
      </w:pPr>
      <w:r>
        <w:rPr>
          <w:rFonts w:hint="eastAsia" w:ascii="Calibri" w:hAnsi="Calibri"/>
          <w:b/>
          <w:bCs/>
          <w:color w:val="000000" w:themeColor="text1"/>
          <w:sz w:val="32"/>
          <w:szCs w:val="32"/>
          <w14:textFill>
            <w14:solidFill>
              <w14:schemeClr w14:val="tx1"/>
            </w14:solidFill>
          </w14:textFill>
        </w:rPr>
        <w:t xml:space="preserve">2026年度鼓楼区区级公益创投采购合同 </w:t>
      </w:r>
      <w:r/>
    </w:p>
    <w:p>
      <w:pPr>
        <w:jc w:val="center"/>
        <w:spacing w:line="640" w:lineRule="exact"/>
        <w:rPr>
          <w:rFonts w:ascii="Calibri" w:hAnsi="Calibri"/>
          <w:color w:val="000000" w:themeColor="text1"/>
          <w:szCs w:val="21"/>
          <w14:textFill>
            <w14:solidFill>
              <w14:schemeClr w14:val="tx1"/>
            </w14:solidFill>
          </w14:textFill>
        </w:rPr>
      </w:pPr>
      <w:r>
        <w:rPr>
          <w:rFonts w:hint="eastAsia" w:ascii="Calibri" w:hAnsi="Calibri"/>
          <w:color w:val="000000" w:themeColor="text1"/>
          <w:szCs w:val="21"/>
          <w14:textFill>
            <w14:solidFill>
              <w14:schemeClr w14:val="tx1"/>
            </w14:solidFill>
          </w14:textFill>
        </w:rPr>
        <w:t xml:space="preserve"> </w:t>
      </w:r>
      <w:r/>
    </w:p>
    <w:p>
      <w:pPr>
        <w:jc w:val="left"/>
        <w:spacing w:line="640" w:lineRule="exact"/>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ind w:firstLine="480"/>
        <w:spacing w:line="480" w:lineRule="exact"/>
        <w:rPr>
          <w:rFonts w:ascii="Calibri" w:hAnsi="Calibri"/>
          <w:color w:val="000000" w:themeColor="text1"/>
          <w:sz w:val="32"/>
          <w:szCs w:val="40"/>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根据《中华人民共和国政府采购法》、《中华人民共和国民法典》等法律法规规定，甲乙丙丁四方按照“2026年度鼓楼区区级公益创投”竞争性磋商结果签订本合同。</w:t>
      </w:r>
      <w:r/>
    </w:p>
    <w:p>
      <w:pPr>
        <w:numPr>
          <w:ilvl w:val="0"/>
          <w:numId w:val="18"/>
        </w:num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服务内容</w:t>
      </w:r>
      <w:r/>
    </w:p>
    <w:p>
      <w:pPr>
        <w:ind w:firstLine="480"/>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1.合同编号： </w:t>
      </w:r>
      <w:r>
        <w:rPr>
          <w:rFonts w:hint="eastAsia" w:ascii="仿宋" w:hAnsi="仿宋" w:eastAsia="仿宋" w:cs="仿宋"/>
          <w:color w:val="000000" w:themeColor="text1"/>
          <w:sz w:val="24"/>
          <w:szCs w:val="24"/>
          <w:u w:val="single"/>
          <w14:textFill>
            <w14:solidFill>
              <w14:schemeClr w14:val="tx1"/>
            </w14:solidFill>
          </w14:textFill>
        </w:rPr>
        <w:t xml:space="preserve">    2026GLGYCT-XX（“XX”为采购包编号，如“01”）              </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2.服务名称：2026年度鼓楼区区级公益创投</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3.中标项目类型：</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项目类型、项目名称、实施区域及资助金额见下表：</w:t>
      </w:r>
      <w:r/>
    </w:p>
    <w:tbl>
      <w:tblPr>
        <w:tblStyle w:val="1126"/>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3260"/>
        <w:gridCol w:w="2552"/>
        <w:gridCol w:w="1276"/>
      </w:tblGrid>
      <w:tr>
        <w:trPr>
          <w:jc w:val="center"/>
          <w:trHeight w:val="529"/>
        </w:trPr>
        <w:tc>
          <w:tcPr>
            <w:tcW w:w="1559" w:type="dxa"/>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项目类型</w:t>
            </w:r>
            <w:r/>
          </w:p>
        </w:tc>
        <w:tc>
          <w:tcPr>
            <w:tcW w:w="3260" w:type="dxa"/>
            <w:vAlign w:val="center"/>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p>
        </w:tc>
        <w:tc>
          <w:tcPr>
            <w:tcW w:w="2552" w:type="dxa"/>
            <w:vAlign w:val="center"/>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实施区域</w:t>
            </w:r>
            <w:r/>
          </w:p>
        </w:tc>
        <w:tc>
          <w:tcPr>
            <w:tcW w:w="1276" w:type="dxa"/>
            <w:vAlign w:val="center"/>
            <w:textDirection w:val="lrTb"/>
            <w:noWrap w:val="false"/>
          </w:tcPr>
          <w:p>
            <w:pPr>
              <w:jc w:val="center"/>
              <w:spacing w:line="2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资助金额（万元）</w:t>
            </w:r>
            <w:r/>
          </w:p>
        </w:tc>
      </w:tr>
      <w:tr>
        <w:trPr>
          <w:jc w:val="center"/>
          <w:trHeight w:val="680"/>
        </w:trPr>
        <w:tc>
          <w:tcPr>
            <w:tcW w:w="1559" w:type="dxa"/>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W w:w="3260" w:type="dxa"/>
            <w:vAlign w:val="center"/>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W w:w="2552" w:type="dxa"/>
            <w:vAlign w:val="center"/>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jc w:val="center"/>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tc>
      </w:tr>
    </w:tbl>
    <w:p>
      <w:pPr>
        <w:numPr>
          <w:ilvl w:val="0"/>
          <w:numId w:val="19"/>
        </w:numPr>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付款标准、付款流程和付款方式  </w:t>
      </w:r>
      <w:r/>
    </w:p>
    <w:p>
      <w:pPr>
        <w:ind w:left="470"/>
        <w:spacing w:line="560" w:lineRule="exact"/>
        <w:tabs>
          <w:tab w:val="left" w:pos="312"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本项目的款项均以人民币方式支付，由甲方直接支付给乙方。项目协议生效拨付总金额的50%，中期评估通过后拨付总金额的30%，项目结束并经评估验收通过后拨付总金额的20%。</w:t>
      </w:r>
      <w:r>
        <w:rPr>
          <w:rFonts w:ascii="仿宋" w:hAnsi="仿宋" w:eastAsia="仿宋" w:cs="仿宋"/>
          <w:color w:val="000000" w:themeColor="text1"/>
          <w:sz w:val="24"/>
          <w:szCs w:val="24"/>
          <w14:textFill>
            <w14:solidFill>
              <w14:schemeClr w14:val="tx1"/>
            </w14:solidFill>
          </w14:textFill>
        </w:rPr>
        <w:t xml:space="preserve">   </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三、四方权责</w:t>
      </w:r>
      <w:r/>
    </w:p>
    <w:p>
      <w:pPr>
        <w:ind w:firstLine="482"/>
        <w:spacing w:line="56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1.甲方</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（1）负责区级公益创投项目具体组织，指导推动区街公益创投项目开展。</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（2）组织协调项目运行中的对接、评估、督查等问题。</w:t>
      </w:r>
      <w:r/>
    </w:p>
    <w:p>
      <w:pPr>
        <w:ind w:firstLine="482"/>
        <w:spacing w:line="56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2.乙方</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（1）乙方应根据项目实施方案高质量的提供约定的服务。</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（2）按规定的时间向丁方提供有关资料，积极配合对项目、资金等情况的评估和审计，并自觉接受社会各界的监督。</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（3）必须严格遵守项目协议的相关规定，不得擅自向其他组织和个人转让项目，不得随意改变项目约定内容，如果发生重大事项变化，需提前提交甲、丙、方审批。</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（4）每次付款前五日，须提供等额发票，否则采购人有权拒绝付款。</w:t>
      </w:r>
      <w:r/>
    </w:p>
    <w:p>
      <w:pPr>
        <w:ind w:firstLine="482"/>
        <w:spacing w:line="56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3.丙方</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（1）协助乙方对接项目实施地，并协调有关活动实施场地等问题。</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（2）按照响应文件要求，及时跟进项目进度，定期向甲方汇报工作开展情况。</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（3）协助丁方开展项目督查、抽访、评估等工作。</w:t>
      </w:r>
      <w:r/>
    </w:p>
    <w:p>
      <w:pPr>
        <w:ind w:firstLine="482"/>
        <w:spacing w:line="56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4.丁方</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（1）按照合同约定及项目实施方案严格、客观评估项目质量。</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（2）每月对项目进行服务对象电话抽访、满意度调查、月报表核查等工作。</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（3）每季度对项目进行实地监测，并提供监测报告。</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（4）根据甲方要求，开展中期评估和结项评估工作。</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（5）配合开展资金审查审计工作。</w:t>
      </w:r>
      <w:r/>
    </w:p>
    <w:p>
      <w:pPr>
        <w:ind w:firstLine="480"/>
        <w:spacing w:line="56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（6）加强项目指导，适时开展项目运行、财务管理、个性化辅导、项目宣传推广和经验交流培训等活动。</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w:t>
      </w:r>
      <w:r>
        <w:rPr>
          <w:rFonts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权利保证</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乙方应保证提供的服务内容，未侵犯第三方专利权、版权、商标权或其他权利。一旦出现侵权，乙方应承担全部责任。</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五</w:t>
      </w:r>
      <w:r>
        <w:rPr>
          <w:rFonts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质量保证</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乙方提供的服务必须全部达到采购文件各项要求，国家或行业有规定的，还要符合相应规定。项目结项前，乙方应根据甲方要求提供完整的文档资料。</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六</w:t>
      </w:r>
      <w:r>
        <w:rPr>
          <w:rFonts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交付使用和验收</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1.乙方应当在</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年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日前完成采购文件规定的项目,采购文件有约定的，从其约定。</w:t>
      </w:r>
      <w:r/>
    </w:p>
    <w:p>
      <w:pPr>
        <w:ind w:firstLine="480"/>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2.甲方自行组织或视情邀请相关专家或国家认可的第三方机构参加验收，乙方提供的服务不符合采购文件和合同规定的，甲方有权拒收。</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七</w:t>
      </w:r>
      <w:r>
        <w:rPr>
          <w:rFonts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违约责任</w:t>
      </w:r>
      <w:r>
        <w:rPr>
          <w:rFonts w:hint="eastAsia" w:ascii="仿宋" w:hAnsi="仿宋" w:eastAsia="仿宋" w:cs="仿宋"/>
          <w:b/>
          <w:bCs/>
          <w:color w:val="000000" w:themeColor="text1"/>
          <w:sz w:val="24"/>
          <w:szCs w:val="24"/>
          <w14:textFill>
            <w14:solidFill>
              <w14:schemeClr w14:val="tx1"/>
            </w14:solidFill>
          </w14:textFill>
        </w:rPr>
        <w:tab/>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１.如乙方不能按期交付服务的，乙方应向甲方支付合同总价5%的违约金。</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2.乙方在承担违约责任后，仍应继续履行合同规定的义务（甲方及丙方解除合同的除外）。甲方及丙方未能及时追究乙方的任何一项违约责任并不表明甲方及丙方放弃追究乙方该项或其他违约责任。</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八</w:t>
      </w:r>
      <w:r>
        <w:rPr>
          <w:rFonts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合同的变更和终止</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黑体" w:hAnsi="黑体" w:eastAsia="黑体" w:cs="黑体"/>
          <w:color w:val="000000" w:themeColor="text1"/>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本合同一经签订，各方不得擅自变更、中止或终止合同。乙方有以下情形的，甲方、丙方有权终止合同：</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①.中期评估不合格，整改后仍不合格的；</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②</w:t>
      </w:r>
      <w:r>
        <w:rPr>
          <w:rFonts w:hint="eastAsia" w:ascii="仿宋" w:hAnsi="仿宋" w:eastAsia="仿宋" w:cs="仿宋"/>
          <w:color w:val="000000" w:themeColor="text1"/>
          <w:sz w:val="24"/>
          <w:szCs w:val="24"/>
          <w14:textFill>
            <w14:solidFill>
              <w14:schemeClr w14:val="tx1"/>
            </w14:solidFill>
          </w14:textFill>
        </w:rPr>
        <w:t xml:space="preserve">.未按响应文件开展活动或合同签订后至中期评估期间未开展活动的；</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③. 逾期交付服务达15天；</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④.不接受甲方、丙方、丁方监督管理的；</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⑤. 放弃或拒绝履行合同</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①至③情形两年内、④至⑤情形三年内、不得参加市、区两级公益创投项目活动。</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九、不可抗力事件处理</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2.不可抗力事件发生后，应立即通知对方，并寄送有关权威机构出具的证明。</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3.不可抗力事件延续120天以上，双方应通过友好协商，确定是否继续履行合同。</w:t>
      </w:r>
      <w:r/>
    </w:p>
    <w:p>
      <w:pPr>
        <w:ind w:firstLine="482"/>
        <w:spacing w:line="56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十、其他事项</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1.乙方负责承担项目执行中的一切风险和纠纷。</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凡提供虚假资料或采取其它不正当手段虚假参与、实施公益创投的，一经发现立即取消项目参与资格，追回所获荣誉和奖励，同时在媒体进行通告，三年内不得参加市、区两级公益创投或其它类似活动，列入失信名单，并依据相关法律、法规、规章对相关人员或单位予以处理；涉嫌犯罪的，依法移交司法机关。</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十一、诉讼</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各方在执行合同中所发生的一切争议，应通过协商解决。如协商不成，可向甲方所在地法院起诉。</w:t>
      </w:r>
      <w:r/>
    </w:p>
    <w:p>
      <w:pPr>
        <w:ind w:firstLine="482"/>
        <w:spacing w:line="48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十二、合同生效及其它</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1.合同经各方法定代表人或授权委托代表人签字或加盖单位公章后生效。</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2.本合同未尽事宜，遵照《民法典》有关条文执行。</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3.本合同正本一式4份，具有同等法律效力，甲方、乙方、丙方、丁方各执一份。</w:t>
      </w:r>
      <w:r/>
    </w:p>
    <w:p>
      <w:pPr>
        <w:jc w:val="left"/>
        <w:spacing w:line="640" w:lineRule="exact"/>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jc w:val="left"/>
        <w:spacing w:line="640" w:lineRule="exact"/>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甲  方（区民政局）                         乙  方（供应商）</w:t>
      </w:r>
      <w:r/>
    </w:p>
    <w:p>
      <w:pPr>
        <w:jc w:val="left"/>
        <w:spacing w:line="640" w:lineRule="exact"/>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单位公章（授权人）：                        单位公章（授权人）：</w:t>
      </w:r>
      <w:r/>
    </w:p>
    <w:p>
      <w:pPr>
        <w:jc w:val="left"/>
        <w:spacing w:line="640" w:lineRule="exact"/>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jc w:val="left"/>
        <w:spacing w:line="640" w:lineRule="exact"/>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jc w:val="left"/>
        <w:spacing w:line="640" w:lineRule="exact"/>
        <w:rPr>
          <w:rFonts w:ascii="Calibri" w:hAnsi="Calibri"/>
          <w:b/>
          <w:bCs/>
          <w:color w:val="000000" w:themeColor="text1"/>
          <w:sz w:val="24"/>
          <w:szCs w:val="24"/>
          <w14:textFill>
            <w14:solidFill>
              <w14:schemeClr w14:val="tx1"/>
            </w14:solidFill>
          </w14:textFill>
        </w:rPr>
      </w:pPr>
      <w:r>
        <w:rPr>
          <w:rFonts w:ascii="Calibri" w:hAnsi="Calibri"/>
          <w:b/>
          <w:bCs/>
          <w:color w:val="000000" w:themeColor="text1"/>
          <w:sz w:val="24"/>
          <w:szCs w:val="24"/>
          <w14:textFill>
            <w14:solidFill>
              <w14:schemeClr w14:val="tx1"/>
            </w14:solidFill>
          </w14:textFill>
        </w:rPr>
      </w:r>
      <w:r/>
    </w:p>
    <w:p>
      <w:pPr>
        <w:jc w:val="left"/>
        <w:spacing w:line="640" w:lineRule="exact"/>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丙  方（项目需求方）                       丁  方（监管方）</w:t>
      </w:r>
      <w:r/>
    </w:p>
    <w:p>
      <w:pPr>
        <w:jc w:val="left"/>
        <w:spacing w:line="640" w:lineRule="exact"/>
        <w:rPr>
          <w:rFonts w:ascii="Calibri" w:hAnsi="Calibri"/>
          <w:b/>
          <w:bCs/>
          <w:color w:val="000000" w:themeColor="text1"/>
          <w:sz w:val="24"/>
          <w:szCs w:val="24"/>
          <w14:textFill>
            <w14:solidFill>
              <w14:schemeClr w14:val="tx1"/>
            </w14:solidFill>
          </w14:textFill>
        </w:rPr>
      </w:pPr>
      <w:r>
        <w:rPr>
          <w:rFonts w:hint="eastAsia" w:ascii="Calibri" w:hAnsi="Calibri"/>
          <w:b/>
          <w:bCs/>
          <w:color w:val="000000" w:themeColor="text1"/>
          <w:sz w:val="24"/>
          <w:szCs w:val="24"/>
          <w14:textFill>
            <w14:solidFill>
              <w14:schemeClr w14:val="tx1"/>
            </w14:solidFill>
          </w14:textFill>
        </w:rPr>
        <w:t xml:space="preserve">单位公章（授权人）：                        单位公章（授权人）：</w:t>
      </w:r>
      <w:r/>
    </w:p>
    <w:p>
      <w:pPr>
        <w:ind w:firstLine="480"/>
        <w:spacing w:line="480" w:lineRule="exac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r>
      <w:r/>
    </w:p>
    <w:p>
      <w:pPr>
        <w:ind w:firstLine="480"/>
        <w:jc w:val="center"/>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jc w:val="center"/>
        <w:spacing w:line="48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签订日期：2026年 </w:t>
      </w:r>
      <w:r>
        <w:rPr>
          <w:rFonts w:ascii="Calibri" w:hAnsi="Calibri"/>
          <w:color w:val="000000" w:themeColor="text1"/>
          <w:sz w:val="22"/>
          <w:szCs w:val="2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-633730</wp:posOffset>
                </wp:positionH>
                <wp:positionV relativeFrom="paragraph">
                  <wp:posOffset>8135620</wp:posOffset>
                </wp:positionV>
                <wp:extent cx="6764020" cy="1407795"/>
                <wp:effectExtent l="0" t="0" r="0" b="1905"/>
                <wp:wrapNone/>
                <wp:docPr id="7" name="矩形 4"/>
                <wp:cNvGraphicFramePr/>
                <a:graphic xmlns:a="http://schemas.openxmlformats.org/drawingml/2006/main">
                  <a:graphicData uri="http://schemas.microsoft.com/office/word/2010/wordprocessingShape">
                    <wps:wsp>
                      <wps:cNvPr id="0" name=""/>
                      <wps:cNvSpPr/>
                      <wps:spPr bwMode="auto">
                        <a:xfrm>
                          <a:off x="0" y="0"/>
                          <a:ext cx="6764020" cy="140779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49.9pt;mso-position-horizontal:absolute;mso-position-vertical-relative:text;margin-top:640.6pt;mso-position-vertical:absolute;width:532.6pt;height:110.8pt;mso-wrap-distance-left:9.0pt;mso-wrap-distance-top:0.0pt;mso-wrap-distance-right:9.0pt;mso-wrap-distance-bottom:0.0pt;visibility:visible;" fillcolor="#FFFFFF" stroked="f" strokeweight="2.00pt">
                <v:stroke dashstyle="solid"/>
              </v:shape>
            </w:pict>
          </mc:Fallback>
        </mc:AlternateContent>
      </w:r>
      <w:r>
        <w:rPr>
          <w:rFonts w:ascii="仿宋" w:hAnsi="仿宋" w:eastAsia="仿宋" w:cs="仿宋"/>
          <w:color w:val="000000" w:themeColor="text1"/>
          <w:sz w:val="24"/>
          <w:szCs w:val="24"/>
          <w14:textFill>
            <w14:solidFill>
              <w14:schemeClr w14:val="tx1"/>
            </w14:solidFill>
          </w14:textFill>
        </w:rPr>
        <w:t xml:space="preserve">   月</w:t>
      </w:r>
      <w:r>
        <w:rPr>
          <w:rFonts w:hint="eastAsia"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z w:val="24"/>
          <w:szCs w:val="24"/>
          <w14:textFill>
            <w14:solidFill>
              <w14:schemeClr w14:val="tx1"/>
            </w14:solidFill>
          </w14:textFill>
        </w:rPr>
        <w:t xml:space="preserve">    日</w:t>
      </w:r>
      <w:r/>
    </w:p>
    <w:p>
      <w:pPr>
        <w:jc w:val="left"/>
        <w:spacing w:line="460" w:lineRule="exact"/>
        <w:rPr>
          <w:rFonts w:ascii="Calibri" w:hAnsi="Calibri"/>
          <w:color w:val="000000" w:themeColor="text1"/>
          <w:sz w:val="24"/>
          <w:szCs w:val="24"/>
          <w14:textFill>
            <w14:solidFill>
              <w14:schemeClr w14:val="tx1"/>
            </w14:solidFill>
          </w14:textFill>
        </w:rPr>
      </w:pPr>
      <w:r>
        <w:rPr>
          <w:rFonts w:ascii="Calibri" w:hAnsi="Calibri"/>
          <w:color w:val="000000" w:themeColor="text1"/>
          <w:sz w:val="24"/>
          <w:szCs w:val="24"/>
          <w14:textFill>
            <w14:solidFill>
              <w14:schemeClr w14:val="tx1"/>
            </w14:solidFill>
          </w14:textFill>
        </w:rPr>
      </w:r>
      <w:r/>
    </w:p>
    <w:p>
      <w:pPr>
        <w:jc w:val="left"/>
        <w:widowControl/>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br w:type="page" w:clear="all"/>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第六章 竞争性磋商文件格式及附件</w:t>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（项目编号）</w:t>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（项目名称）</w:t>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t xml:space="preserve">（采购包号</w:t>
      </w:r>
      <w:r>
        <w:rPr>
          <w:rFonts w:ascii="宋体" w:hAnsi="宋体" w:cs="宋体"/>
          <w:color w:val="000000" w:themeColor="text1"/>
          <w:sz w:val="36"/>
          <w:szCs w:val="36"/>
          <w:lang w:val="zh-CN"/>
          <w14:textFill>
            <w14:solidFill>
              <w14:schemeClr w14:val="tx1"/>
            </w14:solidFill>
          </w14:textFill>
        </w:rPr>
        <w:t xml:space="preserve">）</w:t>
      </w: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响应文件</w:t>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供应商：（加盖CA电子公章）</w:t>
      </w:r>
      <w:r/>
    </w:p>
    <w:p>
      <w:pPr>
        <w:jc w:val="center"/>
        <w:rPr>
          <w:rFonts w:ascii="宋体" w:hAnsi="宋体" w:cs="宋体"/>
          <w:color w:val="000000" w:themeColor="text1"/>
          <w:sz w:val="36"/>
          <w:szCs w:val="36"/>
          <w:lang w:val="zh-CN"/>
          <w14:textFill>
            <w14:solidFill>
              <w14:schemeClr w14:val="tx1"/>
            </w14:solidFill>
          </w14:textFill>
        </w:rPr>
      </w:pPr>
      <w:r>
        <w:rPr>
          <w:rFonts w:ascii="宋体" w:hAnsi="宋体" w:cs="宋体"/>
          <w:color w:val="000000" w:themeColor="text1"/>
          <w:sz w:val="36"/>
          <w:szCs w:val="36"/>
          <w:lang w:val="zh-CN"/>
          <w14:textFill>
            <w14:solidFill>
              <w14:schemeClr w14:val="tx1"/>
            </w14:solidFill>
          </w14:textFill>
        </w:rPr>
      </w:r>
      <w:r/>
    </w:p>
    <w:p>
      <w:pPr>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年  月  日</w:t>
      </w:r>
      <w:r/>
    </w:p>
    <w:p>
      <w:pPr>
        <w:ind w:firstLine="560"/>
        <w:jc w:val="center"/>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p>
    <w:p>
      <w:pPr>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附件一、磋商申请及声明</w:t>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磋商申请及声明</w:t>
      </w:r>
      <w:r/>
    </w:p>
    <w:p>
      <w:pP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致：南京市鼓楼区民政局：</w:t>
      </w:r>
      <w:r/>
    </w:p>
    <w:p>
      <w:pPr>
        <w:ind w:firstLine="420"/>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根据贵方（项目名称）（项目编号）（</w:t>
      </w:r>
      <w:r>
        <w:rPr>
          <w:rFonts w:hint="eastAsia" w:ascii="宋体" w:hAnsi="宋体" w:cs="宋体"/>
          <w:color w:val="000000" w:themeColor="text1"/>
          <w:szCs w:val="21"/>
          <w14:textFill>
            <w14:solidFill>
              <w14:schemeClr w14:val="tx1"/>
            </w14:solidFill>
          </w14:textFill>
        </w:rPr>
        <w:t xml:space="preserve">采购包号</w:t>
      </w:r>
      <w:r>
        <w:rPr>
          <w:rFonts w:hint="eastAsia" w:ascii="宋体" w:hAnsi="宋体" w:cs="宋体"/>
          <w:color w:val="000000" w:themeColor="text1"/>
          <w:szCs w:val="21"/>
          <w:lang w:val="zh-CN"/>
          <w14:textFill>
            <w14:solidFill>
              <w14:schemeClr w14:val="tx1"/>
            </w14:solidFill>
          </w14:textFill>
        </w:rPr>
        <w:t xml:space="preserve">）磋商邀请，正式授权下述签字人(姓名和职务)代表（供应商名称），提交响应文件并参加磋商。</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据此函，签字人兹宣布同意如下：</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b/>
          <w:color w:val="000000" w:themeColor="text1"/>
          <w:szCs w:val="21"/>
          <w:lang w:val="zh-CN"/>
          <w14:textFill>
            <w14:solidFill>
              <w14:schemeClr w14:val="tx1"/>
            </w14:solidFill>
          </w14:textFill>
        </w:rPr>
        <w:t xml:space="preserve">我们的资格条件完全符合政府采购法和本次采购要求</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我们</w:t>
      </w:r>
      <w:r>
        <w:rPr>
          <w:rFonts w:hint="eastAsia" w:ascii="宋体" w:hAnsi="宋体" w:cs="宋体"/>
          <w:color w:val="000000" w:themeColor="text1"/>
          <w:szCs w:val="21"/>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 。</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3、根据已收到的本项目磋商文件，遵照规定，</w:t>
      </w:r>
      <w:r>
        <w:rPr>
          <w:rFonts w:hint="eastAsia" w:ascii="宋体" w:hAnsi="宋体" w:cs="宋体"/>
          <w:color w:val="000000" w:themeColor="text1"/>
          <w:lang w:val="zh-CN"/>
          <w14:textFill>
            <w14:solidFill>
              <w14:schemeClr w14:val="tx1"/>
            </w14:solidFill>
          </w14:textFill>
        </w:rPr>
        <w:t xml:space="preserve">我们的投标</w:t>
      </w:r>
      <w:r>
        <w:rPr>
          <w:rFonts w:hint="eastAsia" w:ascii="宋体" w:hAnsi="宋体" w:cs="宋体"/>
          <w:color w:val="000000" w:themeColor="text1"/>
          <w14:textFill>
            <w14:solidFill>
              <w14:schemeClr w14:val="tx1"/>
            </w14:solidFill>
          </w14:textFill>
        </w:rPr>
        <w:t xml:space="preserve">报价为：</w:t>
      </w:r>
      <w:r>
        <w:rPr>
          <w:rFonts w:hint="eastAsia" w:ascii="宋体" w:hAnsi="宋体" w:cs="宋体"/>
          <w:color w:val="000000" w:themeColor="text1"/>
          <w:szCs w:val="21"/>
          <w:lang w:val="zh-CN"/>
          <w14:textFill>
            <w14:solidFill>
              <w14:schemeClr w14:val="tx1"/>
            </w14:solidFill>
          </w14:textFill>
        </w:rPr>
        <w:t xml:space="preserve">人民币</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（小写）</w:t>
      </w:r>
      <w:r>
        <w:rPr>
          <w:rFonts w:hint="eastAsia" w:ascii="宋体" w:hAnsi="宋体" w:cs="宋体"/>
          <w:color w:val="000000" w:themeColor="text1"/>
          <w:szCs w:val="21"/>
          <w14:textFill>
            <w14:solidFill>
              <w14:schemeClr w14:val="tx1"/>
            </w14:solidFill>
          </w14:textFill>
        </w:rPr>
        <w:t xml:space="preserve">元</w:t>
      </w:r>
      <w:r>
        <w:rPr>
          <w:rFonts w:hint="eastAsia" w:ascii="宋体" w:hAnsi="宋体" w:cs="宋体"/>
          <w:color w:val="000000" w:themeColor="text1"/>
          <w:szCs w:val="21"/>
          <w:lang w:val="zh-CN"/>
          <w14:textFill>
            <w14:solidFill>
              <w14:schemeClr w14:val="tx1"/>
            </w14:solidFill>
          </w14:textFill>
        </w:rPr>
        <w:t xml:space="preserve">，人民币</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（大写）</w:t>
      </w:r>
      <w:r>
        <w:rPr>
          <w:rFonts w:hint="eastAsia" w:ascii="宋体" w:hAnsi="宋体" w:cs="宋体"/>
          <w:color w:val="000000" w:themeColor="text1"/>
          <w:szCs w:val="21"/>
          <w14:textFill>
            <w14:solidFill>
              <w14:schemeClr w14:val="tx1"/>
            </w14:solidFill>
          </w14:textFill>
        </w:rPr>
        <w:t xml:space="preserve">元；合同履行期限：</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cs="宋体"/>
          <w:b/>
          <w:color w:val="000000" w:themeColor="text1"/>
          <w:szCs w:val="21"/>
          <w:lang w:val="zh-CN"/>
          <w14:textFill>
            <w14:solidFill>
              <w14:schemeClr w14:val="tx1"/>
            </w14:solidFill>
          </w14:textFill>
        </w:rPr>
        <w:t xml:space="preserve">不对磋商文件本身提出质疑</w:t>
      </w:r>
      <w:r>
        <w:rPr>
          <w:rFonts w:hint="eastAsia" w:ascii="宋体" w:hAnsi="宋体" w:cs="宋体"/>
          <w:color w:val="000000" w:themeColor="text1"/>
          <w:szCs w:val="21"/>
          <w:lang w:val="zh-CN"/>
          <w14:textFill>
            <w14:solidFill>
              <w14:schemeClr w14:val="tx1"/>
            </w14:solidFill>
          </w14:textFill>
        </w:rPr>
        <w:t xml:space="preserve">。否则，属于不诚信和故意扰乱政府采购活动行为，我们将无条件接受处罚。</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5、一旦我方成交，我方将根据磋商文件的规定，严格履行合同，保证于承诺的时间内完成本项目规定的服务内容。</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6、我方决不</w:t>
      </w:r>
      <w:r>
        <w:rPr>
          <w:rFonts w:hint="eastAsia" w:ascii="宋体" w:hAnsi="宋体" w:cs="宋体"/>
          <w:color w:val="000000" w:themeColor="text1"/>
          <w:szCs w:val="21"/>
          <w14:textFill>
            <w14:solidFill>
              <w14:schemeClr w14:val="tx1"/>
            </w14:solidFill>
          </w14:textFill>
        </w:rPr>
        <w:t xml:space="preserve">提供虚假材料谋取成交、</w:t>
      </w:r>
      <w:r>
        <w:rPr>
          <w:rFonts w:hint="eastAsia" w:ascii="宋体" w:hAnsi="宋体" w:cs="宋体"/>
          <w:color w:val="000000" w:themeColor="text1"/>
          <w14:textFill>
            <w14:solidFill>
              <w14:schemeClr w14:val="tx1"/>
            </w14:solidFill>
          </w14:textFill>
        </w:rPr>
        <w:t xml:space="preserve">决不</w:t>
      </w:r>
      <w:r>
        <w:rPr>
          <w:rFonts w:hint="eastAsia" w:ascii="宋体" w:hAnsi="宋体" w:cs="宋体"/>
          <w:color w:val="000000" w:themeColor="text1"/>
          <w:szCs w:val="21"/>
          <w14:textFill>
            <w14:solidFill>
              <w14:schemeClr w14:val="tx1"/>
            </w14:solidFill>
          </w14:textFill>
        </w:rPr>
        <w:t xml:space="preserve">采取不正当手段诋毁、排挤其他供应商、</w:t>
      </w:r>
      <w:r>
        <w:rPr>
          <w:rFonts w:hint="eastAsia" w:ascii="宋体" w:hAnsi="宋体" w:cs="宋体"/>
          <w:color w:val="000000" w:themeColor="text1"/>
          <w14:textFill>
            <w14:solidFill>
              <w14:schemeClr w14:val="tx1"/>
            </w14:solidFill>
          </w14:textFill>
        </w:rPr>
        <w:t xml:space="preserve">决不</w:t>
      </w:r>
      <w:r>
        <w:rPr>
          <w:rFonts w:hint="eastAsia" w:ascii="宋体" w:hAnsi="宋体" w:cs="宋体"/>
          <w:color w:val="000000" w:themeColor="text1"/>
          <w:szCs w:val="21"/>
          <w14:textFill>
            <w14:solidFill>
              <w14:schemeClr w14:val="tx1"/>
            </w14:solidFill>
          </w14:textFill>
        </w:rPr>
        <w:t xml:space="preserve">与采购人、其它供应商或者代理机构恶意串通、</w:t>
      </w:r>
      <w:r>
        <w:rPr>
          <w:rFonts w:hint="eastAsia" w:ascii="宋体" w:hAnsi="宋体" w:cs="宋体"/>
          <w:color w:val="000000" w:themeColor="text1"/>
          <w14:textFill>
            <w14:solidFill>
              <w14:schemeClr w14:val="tx1"/>
            </w14:solidFill>
          </w14:textFill>
        </w:rPr>
        <w:t xml:space="preserve">决不</w:t>
      </w:r>
      <w:r>
        <w:rPr>
          <w:rFonts w:hint="eastAsia" w:ascii="宋体" w:hAnsi="宋体" w:cs="宋体"/>
          <w:color w:val="000000" w:themeColor="text1"/>
          <w:szCs w:val="21"/>
          <w14:textFill>
            <w14:solidFill>
              <w14:schemeClr w14:val="tx1"/>
            </w14:solidFill>
          </w14:textFill>
        </w:rPr>
        <w:t xml:space="preserve">向</w:t>
      </w:r>
      <w:r>
        <w:rPr>
          <w:rFonts w:hint="eastAsia" w:ascii="宋体" w:hAnsi="宋体" w:cs="宋体"/>
          <w:color w:val="000000" w:themeColor="text1"/>
          <w14:textFill>
            <w14:solidFill>
              <w14:schemeClr w14:val="tx1"/>
            </w14:solidFill>
          </w14:textFill>
        </w:rPr>
        <w:t xml:space="preserve">采购人、代理机构工作人员和磋商小组进行商业贿赂</w:t>
      </w:r>
      <w:r>
        <w:rPr>
          <w:rFonts w:hint="eastAsia" w:ascii="宋体" w:hAnsi="宋体" w:cs="宋体"/>
          <w:color w:val="000000" w:themeColor="text1"/>
          <w:szCs w:val="21"/>
          <w14:textFill>
            <w14:solidFill>
              <w14:schemeClr w14:val="tx1"/>
            </w14:solidFill>
          </w14:textFill>
        </w:rPr>
        <w:t xml:space="preserve">、决不拒绝有关部门监督检查或提供虚假情况，如有违反，</w:t>
      </w:r>
      <w:r>
        <w:rPr>
          <w:rFonts w:hint="eastAsia" w:ascii="宋体" w:hAnsi="宋体" w:cs="宋体"/>
          <w:color w:val="000000" w:themeColor="text1"/>
          <w14:textFill>
            <w14:solidFill>
              <w14:schemeClr w14:val="tx1"/>
            </w14:solidFill>
          </w14:textFill>
        </w:rPr>
        <w:t xml:space="preserve">无条件接受贵方及相关管理部门的处罚。</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7、我方正式通讯方式为：</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8、我方正式开户银行和帐号为：</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开户银行：</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帐    号：</w:t>
      </w:r>
      <w:r/>
    </w:p>
    <w:p>
      <w:pPr>
        <w:ind w:firstLine="420"/>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供应商授权代表姓名（签字）：</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供应商名称（公章）：</w:t>
      </w:r>
      <w:r/>
    </w:p>
    <w:p>
      <w:pPr>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期：年月日</w:t>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p>
    <w:p>
      <w:pPr>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附件二、法定代表人授权书格式</w:t>
      </w:r>
      <w:r/>
    </w:p>
    <w:p>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法定代表人授权书</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南京市鼓楼区民政局：</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声明：注册于（供应商住址）的（供应商名称）法定代表人（法定代表人姓名、职务）代表本公司授权在下面签字的（供应商代表姓名、职务）为本公司的合法代理人，就贵方组织的（项目名称）（项目编号）（</w:t>
      </w:r>
      <w:r>
        <w:rPr>
          <w:rFonts w:hint="eastAsia" w:ascii="宋体" w:hAnsi="宋体" w:cs="宋体"/>
          <w:color w:val="000000" w:themeColor="text1"/>
          <w:szCs w:val="21"/>
          <w14:textFill>
            <w14:solidFill>
              <w14:schemeClr w14:val="tx1"/>
            </w14:solidFill>
          </w14:textFill>
        </w:rPr>
        <w:t xml:space="preserve">采购包号</w:t>
      </w:r>
      <w:r>
        <w:rPr>
          <w:rFonts w:hint="eastAsia" w:ascii="宋体" w:hAnsi="宋体" w:cs="宋体"/>
          <w:color w:val="000000" w:themeColor="text1"/>
          <w:szCs w:val="21"/>
          <w:lang w:val="zh-CN"/>
          <w14:textFill>
            <w14:solidFill>
              <w14:schemeClr w14:val="tx1"/>
            </w14:solidFill>
          </w14:textFill>
        </w:rPr>
        <w:t xml:space="preserve">）竞争性磋商，以本公司名义处理一切与之有关的事务。</w:t>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本授权书于年月日签字生效，特此声明。</w:t>
      </w:r>
      <w:r/>
    </w:p>
    <w:p>
      <w:pPr>
        <w:jc w:val="lef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法定代表人签字</w:t>
      </w:r>
      <w:r>
        <w:rPr>
          <w:rFonts w:hint="eastAsia" w:ascii="宋体" w:hAnsi="宋体" w:cs="宋体"/>
          <w:color w:val="000000" w:themeColor="text1"/>
          <w:szCs w:val="21"/>
          <w14:textFill>
            <w14:solidFill>
              <w14:schemeClr w14:val="tx1"/>
            </w14:solidFill>
          </w14:textFill>
        </w:rPr>
        <w:t xml:space="preserve">或盖章</w:t>
      </w:r>
      <w:r>
        <w:rPr>
          <w:rFonts w:hint="eastAsia" w:ascii="宋体" w:hAnsi="宋体" w:cs="宋体"/>
          <w:color w:val="000000" w:themeColor="text1"/>
          <w:szCs w:val="21"/>
          <w:lang w:val="zh-CN"/>
          <w14:textFill>
            <w14:solidFill>
              <w14:schemeClr w14:val="tx1"/>
            </w14:solidFill>
          </w14:textFill>
        </w:rPr>
        <w:t xml:space="preserve">：</w:t>
      </w:r>
      <w:r/>
    </w:p>
    <w:p>
      <w:pPr>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被授权人签字：</w:t>
      </w:r>
      <w:r/>
    </w:p>
    <w:p>
      <w:pPr>
        <w:jc w:val="left"/>
        <w:spacing w:line="360" w:lineRule="auto"/>
        <w:tabs>
          <w:tab w:val="left" w:pos="1440" w:leader="none"/>
        </w:tabs>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rPr>
          <w:rFonts w:hint="eastAsia" w:ascii="宋体" w:hAnsi="宋体" w:cs="宋体"/>
          <w:color w:val="000000" w:themeColor="text1"/>
          <w:szCs w:val="21"/>
          <w:lang w:val="zh-CN"/>
          <w14:textFill>
            <w14:solidFill>
              <w14:schemeClr w14:val="tx1"/>
            </w14:solidFill>
          </w14:textFill>
        </w:rPr>
        <w:t xml:space="preserve">（盖章）</w:t>
      </w:r>
      <w:r/>
    </w:p>
    <w:p>
      <w:pPr>
        <w:jc w:val="left"/>
        <w:spacing w:line="360" w:lineRule="auto"/>
        <w:tabs>
          <w:tab w:val="left" w:pos="1440" w:leader="none"/>
        </w:tabs>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日期：年月日</w:t>
      </w:r>
      <w:r/>
    </w:p>
    <w:p>
      <w:pPr>
        <w:jc w:val="left"/>
        <w:spacing w:line="360" w:lineRule="auto"/>
        <w:tabs>
          <w:tab w:val="left" w:pos="1440" w:leader="none"/>
        </w:tabs>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tabs>
          <w:tab w:val="left" w:pos="1440" w:leader="none"/>
        </w:tabs>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法定代表人身份证复印件：</w:t>
      </w:r>
      <w:r/>
    </w:p>
    <w:p>
      <w:pPr>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被授权人身份证复印件：</w:t>
      </w:r>
      <w:r/>
    </w:p>
    <w:p>
      <w:pPr>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p>
    <w:p>
      <w:pPr>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附件三、</w:t>
      </w:r>
      <w:r>
        <w:rPr>
          <w:rFonts w:hint="eastAsia" w:ascii="宋体" w:hAnsi="宋体" w:cs="宋体"/>
          <w:b/>
          <w:bCs/>
          <w:color w:val="000000" w:themeColor="text1"/>
          <w:szCs w:val="21"/>
          <w14:textFill>
            <w14:solidFill>
              <w14:schemeClr w14:val="tx1"/>
            </w14:solidFill>
          </w14:textFill>
        </w:rPr>
        <w:t xml:space="preserve">磋商</w:t>
      </w:r>
      <w:r>
        <w:rPr>
          <w:rFonts w:hint="eastAsia" w:ascii="宋体" w:hAnsi="宋体" w:cs="宋体"/>
          <w:b/>
          <w:bCs/>
          <w:color w:val="000000" w:themeColor="text1"/>
          <w:szCs w:val="21"/>
          <w:lang w:val="zh-CN"/>
          <w14:textFill>
            <w14:solidFill>
              <w14:schemeClr w14:val="tx1"/>
            </w14:solidFill>
          </w14:textFill>
        </w:rPr>
        <w:t xml:space="preserve">报价表格式</w:t>
      </w:r>
      <w:r/>
    </w:p>
    <w:p>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磋商报价表</w:t>
      </w:r>
      <w:r/>
    </w:p>
    <w:p>
      <w:pPr>
        <w:pStyle w:val="914"/>
        <w:spacing w:beforeAutospacing="0" w:afterAutospacing="0"/>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本次为首次报价                     货币单位：人民币元</w:t>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项目编号：项目编号 </w:t>
      </w:r>
      <w:r/>
    </w:p>
    <w:p>
      <w:pPr>
        <w:pStyle w:val="914"/>
        <w:rPr>
          <w:rFonts w:hint="default"/>
          <w:color w:val="000000" w:themeColor="text1"/>
          <w14:textFill>
            <w14:solidFill>
              <w14:schemeClr w14:val="tx1"/>
            </w14:solidFill>
          </w14:textFill>
        </w:rPr>
      </w:pPr>
      <w:r>
        <w:rPr>
          <w:rFonts w:cs="宋体"/>
          <w:color w:val="000000" w:themeColor="text1"/>
          <w:szCs w:val="21"/>
          <w14:textFill>
            <w14:solidFill>
              <w14:schemeClr w14:val="tx1"/>
            </w14:solidFill>
          </w14:textFill>
        </w:rPr>
        <w:t xml:space="preserve">采购包号：</w:t>
      </w:r>
      <w:r/>
    </w:p>
    <w:tbl>
      <w:tblPr>
        <w:tblStyle w:val="889"/>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583"/>
        <w:gridCol w:w="3660"/>
        <w:gridCol w:w="2142"/>
      </w:tblGrid>
      <w:tr>
        <w:trPr>
          <w:trHeight w:val="73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left"/>
              <w:rPr>
                <w:rFonts w:ascii="宋体" w:hAnsi="宋体" w:cs="宋体"/>
                <w:b/>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tcPr>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项目内容</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tcPr>
          <w:p>
            <w:pPr>
              <w:jc w:val="lef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总价（小写）</w:t>
            </w:r>
            <w:r/>
          </w:p>
        </w:tc>
      </w:tr>
      <w:tr>
        <w:trPr>
          <w:trHeight w:val="125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trHeight w:val="737"/>
        </w:trPr>
        <w:tc>
          <w:tcPr>
            <w:tcBorders>
              <w:top w:val="single" w:color="auto" w:sz="4" w:space="0"/>
              <w:left w:val="single" w:color="auto" w:sz="4" w:space="0"/>
              <w:bottom w:val="single" w:color="auto" w:sz="4" w:space="0"/>
              <w:right w:val="single" w:color="auto" w:sz="4" w:space="0"/>
            </w:tcBorders>
            <w:tcW w:w="3583" w:type="dxa"/>
            <w:vAlign w:val="center"/>
            <w:textDirection w:val="lrTb"/>
            <w:noWrap/>
          </w:tcPr>
          <w:p>
            <w:pPr>
              <w:jc w:val="left"/>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总价（大写）：</w:t>
            </w:r>
            <w:r/>
          </w:p>
        </w:tc>
        <w:tc>
          <w:tcPr>
            <w:gridSpan w:val="2"/>
            <w:tcBorders>
              <w:top w:val="single" w:color="auto" w:sz="4" w:space="0"/>
              <w:left w:val="single" w:color="auto" w:sz="4" w:space="0"/>
              <w:bottom w:val="single" w:color="auto" w:sz="4" w:space="0"/>
              <w:right w:val="single" w:color="auto" w:sz="4" w:space="0"/>
            </w:tcBorders>
            <w:tcW w:w="5802" w:type="dxa"/>
            <w:vAlign w:val="center"/>
            <w:textDirection w:val="lrTb"/>
            <w:noWrap/>
          </w:tcPr>
          <w:p>
            <w:pPr>
              <w:pStyle w:val="891"/>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报价说明：</w:t>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1、报价包括完成项目的所有费用。采购人不再支付报价以外的任何费用。</w:t>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2、报价以总价为准，大小写不一致以大写为准；</w:t>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3、偏离说明：详见《偏离表》；</w:t>
      </w:r>
      <w:r/>
    </w:p>
    <w:p>
      <w:pPr>
        <w:pStyle w:val="914"/>
        <w:rPr>
          <w:rFonts w:hint="default"/>
          <w:color w:val="000000" w:themeColor="text1"/>
          <w14:textFill>
            <w14:solidFill>
              <w14:schemeClr w14:val="tx1"/>
            </w14:solidFill>
          </w14:textFill>
        </w:rPr>
      </w:pPr>
      <w:r>
        <w:rPr>
          <w:color w:val="000000" w:themeColor="text1"/>
          <w14:textFill>
            <w14:solidFill>
              <w14:schemeClr w14:val="tx1"/>
            </w14:solidFill>
          </w14:textFill>
        </w:rPr>
        <w:t xml:space="preserve">供应商（电子签章）：</w:t>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9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clear="all"/>
      </w:r>
      <w:r/>
    </w:p>
    <w:p>
      <w:pPr>
        <w:jc w:val="left"/>
        <w:spacing w:line="240" w:lineRule="atLeast"/>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附件四、分项报价表格式</w:t>
      </w:r>
      <w:r/>
    </w:p>
    <w:p>
      <w:pPr>
        <w:jc w:val="center"/>
        <w:spacing w:line="240" w:lineRule="atLeast"/>
        <w:widowControl/>
        <w:rPr>
          <w:rFonts w:ascii="宋体" w:hAnsi="宋体" w:cs="宋体"/>
          <w:color w:val="000000" w:themeColor="text1"/>
          <w:sz w:val="36"/>
          <w:szCs w:val="36"/>
          <w:lang w:val="zh-CN"/>
          <w14:textFill>
            <w14:solidFill>
              <w14:schemeClr w14:val="tx1"/>
            </w14:solidFill>
          </w14:textFill>
        </w:rPr>
      </w:pPr>
      <w:r>
        <w:rPr>
          <w:rFonts w:hint="eastAsia" w:ascii="宋体" w:hAnsi="宋体" w:cs="宋体"/>
          <w:color w:val="000000" w:themeColor="text1"/>
          <w:sz w:val="36"/>
          <w:szCs w:val="36"/>
          <w:lang w:val="zh-CN"/>
          <w14:textFill>
            <w14:solidFill>
              <w14:schemeClr w14:val="tx1"/>
            </w14:solidFill>
          </w14:textFill>
        </w:rPr>
        <w:t xml:space="preserve">分项报价表</w:t>
      </w:r>
      <w:r/>
    </w:p>
    <w:p>
      <w:pPr>
        <w:pStyle w:val="894"/>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（格式自拟）</w:t>
      </w:r>
      <w:r/>
    </w:p>
    <w:p>
      <w:pPr>
        <w:ind w:firstLine="420"/>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w:t>
      </w:r>
      <w:r>
        <w:rPr>
          <w:rFonts w:hint="eastAsia" w:ascii="宋体" w:hAnsi="宋体" w:cs="宋体"/>
          <w:b/>
          <w:color w:val="000000" w:themeColor="text1"/>
          <w:szCs w:val="21"/>
          <w:lang w:val="zh-CN"/>
          <w14:textFill>
            <w14:solidFill>
              <w14:schemeClr w14:val="tx1"/>
            </w14:solidFill>
          </w14:textFill>
        </w:rPr>
        <w:t xml:space="preserve">经磋商后，如果成交价低于供应商在响应文件首次报价的，分项报价同比例调整。</w:t>
      </w:r>
      <w:r/>
    </w:p>
    <w:p>
      <w:pPr>
        <w:jc w:val="left"/>
        <w:spacing w:line="240" w:lineRule="atLeast"/>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240" w:lineRule="atLeast"/>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附件五、技术条款偏离表格式</w:t>
      </w:r>
      <w:r/>
    </w:p>
    <w:p>
      <w:pPr>
        <w:ind w:left="420"/>
        <w:jc w:val="center"/>
        <w:spacing w:line="360" w:lineRule="auto"/>
        <w:widowControl/>
        <w:rPr>
          <w:rFonts w:ascii="宋体" w:hAnsi="宋体" w:cs="宋体"/>
          <w:color w:val="000000" w:themeColor="text1"/>
          <w:sz w:val="36"/>
          <w:szCs w:val="36"/>
          <w:lang w:val="zh-CN"/>
          <w14:textFill>
            <w14:solidFill>
              <w14:schemeClr w14:val="tx1"/>
            </w14:solidFill>
          </w14:textFill>
        </w:rPr>
        <w:outlineLvl w:val="0"/>
      </w:pPr>
      <w:r>
        <w:rPr>
          <w:rFonts w:hint="eastAsia" w:ascii="宋体" w:hAnsi="宋体" w:cs="宋体"/>
          <w:color w:val="000000" w:themeColor="text1"/>
          <w:sz w:val="36"/>
          <w:szCs w:val="36"/>
          <w:lang w:val="zh-CN"/>
          <w14:textFill>
            <w14:solidFill>
              <w14:schemeClr w14:val="tx1"/>
            </w14:solidFill>
          </w14:textFill>
        </w:rPr>
        <w:t xml:space="preserve">技术条款偏离表</w:t>
      </w:r>
      <w:r/>
    </w:p>
    <w:tbl>
      <w:tblPr>
        <w:tblStyle w:val="889"/>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2864"/>
        <w:gridCol w:w="148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5085" w:type="dxa"/>
            <w:vAlign w:val="center"/>
            <w:textDirection w:val="lrTb"/>
            <w:noWrap w:val="false"/>
          </w:tcPr>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4350" w:type="dxa"/>
            <w:vAlign w:val="center"/>
            <w:textDirection w:val="lrTb"/>
            <w:noWrap w:val="false"/>
          </w:tcPr>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14:textFill>
                  <w14:solidFill>
                    <w14:schemeClr w14:val="tx1"/>
                  </w14:solidFill>
                </w14:textFill>
              </w:rPr>
              <w:t xml:space="preserve">        采购包号：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文件要求的</w:t>
            </w:r>
            <w:r>
              <w:rPr>
                <w:rFonts w:hint="eastAsia" w:ascii="宋体" w:hAnsi="宋体" w:cs="宋体"/>
                <w:color w:val="000000" w:themeColor="text1"/>
                <w:szCs w:val="21"/>
                <w14:textFill>
                  <w14:solidFill>
                    <w14:schemeClr w14:val="tx1"/>
                  </w14:solidFill>
                </w14:textFill>
              </w:rPr>
              <w:t xml:space="preserve">技术</w:t>
            </w:r>
            <w:r>
              <w:rPr>
                <w:rFonts w:hint="eastAsia" w:ascii="宋体" w:hAnsi="宋体" w:cs="宋体"/>
                <w:color w:val="000000" w:themeColor="text1"/>
                <w:szCs w:val="21"/>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w:t>
            </w:r>
            <w:r>
              <w:rPr>
                <w:rFonts w:hint="eastAsia" w:ascii="宋体" w:hAnsi="宋体" w:cs="宋体"/>
                <w:color w:val="000000" w:themeColor="text1"/>
                <w:szCs w:val="21"/>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64"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86"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供应商名称：（盖章）</w:t>
      </w:r>
      <w:r/>
    </w:p>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如果行数不够，请自行增加。</w:t>
      </w:r>
      <w:r/>
    </w:p>
    <w:p>
      <w:pPr>
        <w:ind w:firstLine="630"/>
        <w:jc w:val="left"/>
        <w:spacing w:line="360" w:lineRule="auto"/>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2.供应商需在上表中对第四章“（第一部分：技术部分）”相关内容进行响应。</w:t>
      </w:r>
      <w:r/>
    </w:p>
    <w:p>
      <w:pPr>
        <w:jc w:val="left"/>
        <w:spacing w:line="360" w:lineRule="auto"/>
        <w:widowControl/>
        <w:rPr>
          <w:rFonts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r>
      <w:r/>
    </w:p>
    <w:p>
      <w:pPr>
        <w:jc w:val="left"/>
        <w:spacing w:line="360" w:lineRule="auto"/>
        <w:widowControl/>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附件六</w:t>
      </w:r>
      <w:r>
        <w:rPr>
          <w:rFonts w:hint="eastAsia" w:ascii="宋体" w:hAnsi="宋体" w:cs="宋体"/>
          <w:b/>
          <w:color w:val="000000" w:themeColor="text1"/>
          <w:szCs w:val="21"/>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lang w:val="zh-CN"/>
          <w14:textFill>
            <w14:solidFill>
              <w14:schemeClr w14:val="tx1"/>
            </w14:solidFill>
          </w14:textFill>
        </w:rPr>
        <w:outlineLvl w:val="0"/>
      </w:pPr>
      <w:r>
        <w:rPr>
          <w:rFonts w:hint="eastAsia" w:ascii="宋体" w:hAnsi="宋体" w:cs="宋体"/>
          <w:color w:val="000000" w:themeColor="text1"/>
          <w:sz w:val="36"/>
          <w:szCs w:val="36"/>
          <w:lang w:val="zh-CN"/>
          <w14:textFill>
            <w14:solidFill>
              <w14:schemeClr w14:val="tx1"/>
            </w14:solidFill>
          </w14:textFill>
        </w:rPr>
        <w:t xml:space="preserve">商务条款偏离表</w:t>
      </w:r>
      <w:r/>
    </w:p>
    <w:tbl>
      <w:tblPr>
        <w:tblStyle w:val="88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284"/>
          <w:tblHeader/>
        </w:trPr>
        <w:tc>
          <w:tcPr>
            <w:gridSpan w:val="3"/>
            <w:tcBorders>
              <w:top w:val="none" w:color="000000" w:sz="4" w:space="0"/>
              <w:left w:val="none" w:color="000000" w:sz="4" w:space="0"/>
              <w:right w:val="none" w:color="000000" w:sz="4" w:space="0"/>
            </w:tcBorders>
            <w:tcW w:w="4971" w:type="dxa"/>
            <w:vAlign w:val="center"/>
            <w:textDirection w:val="lrTb"/>
            <w:noWrap w:val="false"/>
          </w:tcPr>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4245" w:type="dxa"/>
            <w:vAlign w:val="center"/>
            <w:textDirection w:val="lrTb"/>
            <w:noWrap w:val="false"/>
          </w:tcPr>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14:textFill>
                  <w14:solidFill>
                    <w14:schemeClr w14:val="tx1"/>
                  </w14:solidFill>
                </w14:textFill>
              </w:rPr>
              <w:t xml:space="preserve">        采购包号：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文件要求的商务条款</w:t>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w:t>
            </w:r>
            <w:r>
              <w:rPr>
                <w:rFonts w:hint="eastAsia" w:ascii="宋体" w:hAnsi="宋体" w:cs="宋体"/>
                <w:color w:val="000000" w:themeColor="text1"/>
                <w:szCs w:val="21"/>
                <w:lang w:val="zh-CN"/>
                <w14:textFill>
                  <w14:solidFill>
                    <w14:schemeClr w14:val="tx1"/>
                  </w14:solidFill>
                </w14:textFill>
              </w:rPr>
              <w:t xml:space="preserve">响应</w:t>
            </w:r>
            <w:r/>
          </w:p>
        </w:tc>
        <w:tc>
          <w:tcPr>
            <w:tcW w:w="1372" w:type="dxa"/>
            <w:vAlign w:val="center"/>
            <w:textDirection w:val="lrTb"/>
            <w:noWrap w:val="false"/>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2873"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tcW w:w="1372" w:type="dxa"/>
            <w:vAlign w:val="center"/>
            <w:textDirection w:val="lrTb"/>
            <w:noWrap w:val="false"/>
          </w:tcPr>
          <w:p>
            <w:pPr>
              <w:jc w:val="center"/>
              <w:spacing w:line="360" w:lineRule="auto"/>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供应商名称：（盖章）</w:t>
      </w:r>
      <w:r/>
    </w:p>
    <w:p>
      <w:pPr>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如果行数不够，请自行增加。</w:t>
      </w:r>
      <w:r/>
    </w:p>
    <w:p>
      <w:pPr>
        <w:ind w:firstLine="630"/>
        <w:jc w:val="left"/>
        <w:spacing w:line="360" w:lineRule="auto"/>
        <w:widowControl/>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供应商需在上表中对第四章</w:t>
      </w:r>
      <w:r>
        <w:rPr>
          <w:rFonts w:hint="eastAsia" w:ascii="宋体" w:hAnsi="宋体" w:cs="宋体"/>
          <w:color w:val="000000" w:themeColor="text1"/>
          <w:szCs w:val="21"/>
          <w14:textFill>
            <w14:solidFill>
              <w14:schemeClr w14:val="tx1"/>
            </w14:solidFill>
          </w14:textFill>
        </w:rPr>
        <w:t xml:space="preserve">“（第二部分：商务部分）”相关内容</w:t>
      </w:r>
      <w:r>
        <w:rPr>
          <w:rFonts w:hint="eastAsia" w:ascii="宋体" w:hAnsi="宋体" w:cs="宋体"/>
          <w:color w:val="000000" w:themeColor="text1"/>
          <w:szCs w:val="21"/>
          <w:lang w:val="zh-CN"/>
          <w14:textFill>
            <w14:solidFill>
              <w14:schemeClr w14:val="tx1"/>
            </w14:solidFill>
          </w14:textFill>
        </w:rPr>
        <w:t xml:space="preserve">进行响应。</w:t>
      </w:r>
      <w:r/>
    </w:p>
    <w:p>
      <w:pPr>
        <w:jc w:val="left"/>
        <w:spacing w:line="240" w:lineRule="atLeast"/>
        <w:widowControl/>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240" w:lineRule="atLeast"/>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240" w:lineRule="atLeas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附件七、竞争性磋商文件要求及供应商认为需要提供的证明文件及材料等（格式自拟）</w:t>
      </w:r>
      <w:r/>
    </w:p>
    <w:p>
      <w:pPr>
        <w:spacing w:line="240" w:lineRule="atLeast"/>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附件八、中小企业声明函格式</w:t>
      </w:r>
      <w:r/>
    </w:p>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中小企业声明函（工程、服务）</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szCs w:val="21"/>
          <w:u w:val="single"/>
          <w14:textFill>
            <w14:solidFill>
              <w14:schemeClr w14:val="tx1"/>
            </w14:solidFill>
          </w14:textFill>
        </w:rPr>
        <w:t xml:space="preserve">采购包号</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 其他未列明行业 </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（企业名称），从业人员</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企业名称（盖章）：</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p>
    <w:p>
      <w:pPr>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注3：供应商如不提供此声明函，价格将不做相应扣除。</w:t>
      </w:r>
      <w:r/>
    </w:p>
    <w:p>
      <w:pPr>
        <w:spacing w:line="440" w:lineRule="exact"/>
        <w:rPr>
          <w:rFonts w:cs="宋体"/>
          <w:color w:val="000000" w:themeColor="text1"/>
          <w:sz w:val="22"/>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注4：</w:t>
      </w:r>
      <w:r>
        <w:rPr>
          <w:rFonts w:hint="eastAsia" w:cs="宋体"/>
          <w:color w:val="000000" w:themeColor="text1"/>
          <w:sz w:val="22"/>
          <w:szCs w:val="21"/>
          <w14:textFill>
            <w14:solidFill>
              <w14:schemeClr w14:val="tx1"/>
            </w14:solidFill>
          </w14:textFill>
        </w:rPr>
        <w:t xml:space="preserve">依据《关于印发中小企业划型标准规定的通知》（工信部联企业〔2011〕300号 ）：</w:t>
      </w:r>
      <w:r/>
    </w:p>
    <w:p>
      <w:pPr>
        <w:spacing w:line="440" w:lineRule="exact"/>
        <w:rPr>
          <w:rFonts w:cs="宋体"/>
          <w:color w:val="000000" w:themeColor="text1"/>
          <w:szCs w:val="21"/>
          <w14:textFill>
            <w14:solidFill>
              <w14:schemeClr w14:val="tx1"/>
            </w14:solidFill>
          </w14:textFill>
        </w:rPr>
      </w:pPr>
      <w:r>
        <w:rPr>
          <w:rFonts w:hint="eastAsia" w:cs="宋体"/>
          <w:b/>
          <w:bCs/>
          <w:color w:val="000000" w:themeColor="text1"/>
          <w:szCs w:val="21"/>
          <w14:textFill>
            <w14:solidFill>
              <w14:schemeClr w14:val="tx1"/>
            </w14:solidFill>
          </w14:textFill>
        </w:rPr>
        <w:t xml:space="preserve">（十六）其他未列明行业。</w:t>
      </w:r>
      <w:r>
        <w:rPr>
          <w:rFonts w:hint="eastAsia" w:cs="宋体"/>
          <w:color w:val="000000" w:themeColor="text1"/>
          <w:szCs w:val="2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 </w:t>
      </w:r>
      <w:r/>
    </w:p>
    <w:p>
      <w:pPr>
        <w:spacing w:line="240" w:lineRule="atLeast"/>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240" w:lineRule="atLeast"/>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240" w:lineRule="atLeast"/>
        <w:widowControl/>
        <w:rPr>
          <w:rFonts w:ascii="宋体" w:hAnsi="宋体" w:cs="宋体"/>
          <w:b/>
          <w:color w:val="000000" w:themeColor="text1"/>
          <w14:textFill>
            <w14:solidFill>
              <w14:schemeClr w14:val="tx1"/>
            </w14:solidFill>
          </w14:textFill>
        </w:rPr>
        <w:sectPr>
          <w:footnotePr/>
          <w:endnotePr/>
          <w:type w:val="nextPage"/>
          <w:pgSz w:w="11906" w:h="16838" w:orient="portrait"/>
          <w:pgMar w:top="1440" w:right="1236" w:bottom="1440" w:left="1236" w:header="510" w:footer="680" w:gutter="0"/>
          <w:cols w:num="1" w:sep="0" w:space="720" w:equalWidth="1"/>
          <w:docGrid w:linePitch="360"/>
        </w:sectPr>
      </w:pPr>
      <w:r>
        <w:rPr>
          <w:rFonts w:ascii="宋体" w:hAnsi="宋体" w:cs="宋体"/>
          <w:b/>
          <w:color w:val="000000" w:themeColor="text1"/>
          <w14:textFill>
            <w14:solidFill>
              <w14:schemeClr w14:val="tx1"/>
            </w14:solidFill>
          </w14:textFill>
        </w:rPr>
      </w:r>
      <w:r/>
    </w:p>
    <w:p>
      <w:pPr>
        <w:spacing w:line="240" w:lineRule="atLeast"/>
        <w:widowControl/>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附件九、无重大违法记录声明格式</w:t>
      </w:r>
      <w:r/>
    </w:p>
    <w:p>
      <w:pPr>
        <w:spacing w:line="240" w:lineRule="atLeast"/>
        <w:widowControl/>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无重大违法记录声明</w:t>
      </w:r>
      <w:r/>
    </w:p>
    <w:p>
      <w:pPr>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南京市鼓楼区民政局</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参加政府采购活动前3年内在经营活动中</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（在下划线上如实填写：有或没有）重大违法记录。</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声明人：          （公章）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        年     月    日</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918"/>
        <w:rPr>
          <w:rFonts w:cs="宋体"/>
          <w:b/>
          <w:color w:val="000000" w:themeColor="text1"/>
          <w14:textFill>
            <w14:solidFill>
              <w14:schemeClr w14:val="tx1"/>
            </w14:solidFill>
          </w14:textFill>
        </w:rPr>
      </w:pPr>
      <w:r>
        <w:rPr>
          <w:rFonts w:cs="宋体"/>
          <w:b/>
          <w:color w:val="000000" w:themeColor="text1"/>
          <w14:textFill>
            <w14:solidFill>
              <w14:schemeClr w14:val="tx1"/>
            </w14:solidFill>
          </w14:textFill>
        </w:rPr>
      </w:r>
      <w:r/>
    </w:p>
    <w:p>
      <w:pPr>
        <w:pStyle w:val="918"/>
        <w:rPr>
          <w:rFonts w:cs="宋体"/>
          <w:b/>
          <w:color w:val="000000" w:themeColor="text1"/>
          <w14:textFill>
            <w14:solidFill>
              <w14:schemeClr w14:val="tx1"/>
            </w14:solidFill>
          </w14:textFill>
        </w:rPr>
      </w:pPr>
      <w:r>
        <w:rPr>
          <w:rFonts w:cs="宋体"/>
          <w:b/>
          <w:color w:val="000000" w:themeColor="text1"/>
          <w14:textFill>
            <w14:solidFill>
              <w14:schemeClr w14:val="tx1"/>
            </w14:solidFill>
          </w14:textFill>
        </w:rPr>
      </w:r>
      <w:r/>
    </w:p>
    <w:p>
      <w:pPr>
        <w:pStyle w:val="918"/>
        <w:rPr>
          <w:rFonts w:cs="宋体"/>
          <w:b/>
          <w:color w:val="000000" w:themeColor="text1"/>
          <w14:textFill>
            <w14:solidFill>
              <w14:schemeClr w14:val="tx1"/>
            </w14:solidFill>
          </w14:textFill>
        </w:rPr>
      </w:pPr>
      <w:r>
        <w:rPr>
          <w:rFonts w:cs="宋体"/>
          <w:b/>
          <w:color w:val="000000" w:themeColor="text1"/>
          <w14:textFill>
            <w14:solidFill>
              <w14:schemeClr w14:val="tx1"/>
            </w14:solidFill>
          </w14:textFill>
        </w:rPr>
      </w:r>
      <w:r/>
    </w:p>
    <w:p>
      <w:pPr>
        <w:pStyle w:val="918"/>
        <w:rPr>
          <w:rFonts w:cs="宋体"/>
          <w:b/>
          <w:color w:val="000000" w:themeColor="text1"/>
          <w14:textFill>
            <w14:solidFill>
              <w14:schemeClr w14:val="tx1"/>
            </w14:solidFill>
          </w14:textFill>
        </w:rPr>
      </w:pPr>
      <w:r>
        <w:rPr>
          <w:rFonts w:cs="宋体"/>
          <w:b/>
          <w:color w:val="000000" w:themeColor="text1"/>
          <w14:textFill>
            <w14:solidFill>
              <w14:schemeClr w14:val="tx1"/>
            </w14:solidFill>
          </w14:textFill>
        </w:rPr>
      </w:r>
      <w:r/>
    </w:p>
    <w:p>
      <w:pPr>
        <w:jc w:val="left"/>
        <w:rPr>
          <w:rFonts w:ascii="宋体" w:hAnsi="宋体" w:cs="宋体"/>
          <w:color w:val="000000" w:themeColor="text1"/>
          <w:sz w:val="36"/>
          <w:szCs w:val="36"/>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附件十： 具备履行合同所必需的设备和专业技术能力的声明格式</w:t>
      </w:r>
      <w:r/>
    </w:p>
    <w:p>
      <w:pPr>
        <w:jc w:val="lef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具备履行合同所必需的设备和专业技术能力的声明</w:t>
      </w:r>
      <w:r/>
    </w:p>
    <w:p>
      <w:pPr>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南京市鼓楼区民政局：</w:t>
      </w:r>
      <w:r/>
    </w:p>
    <w:p>
      <w:pPr>
        <w:ind w:firstLine="492"/>
        <w:spacing w:line="4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主要设备有：</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ind w:firstLine="492"/>
        <w:spacing w:line="4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主要专业技术能力有：</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525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声明人（公章）：</w:t>
      </w:r>
      <w:r/>
    </w:p>
    <w:p>
      <w:pPr>
        <w:ind w:firstLine="525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        年     月    日</w:t>
      </w:r>
      <w:r/>
    </w:p>
    <w:p>
      <w:pPr>
        <w:ind w:firstLine="492"/>
        <w:spacing w:line="4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其他证明材料及文件：（如果投标人认为需要提供的话）  </w:t>
      </w:r>
      <w:r/>
    </w:p>
    <w:p>
      <w:pPr>
        <w:pStyle w:val="1097"/>
        <w:ind w:left="0"/>
        <w:spacing w:before="20"/>
        <w:widowControl/>
        <w:rPr>
          <w:rFonts w:hint="default" w:cs="宋体"/>
          <w:color w:val="000000" w:themeColor="text1"/>
          <w14:textFill>
            <w14:solidFill>
              <w14:schemeClr w14:val="tx1"/>
            </w14:solidFill>
          </w14:textFill>
        </w:rPr>
      </w:pPr>
      <w:r>
        <w:rPr>
          <w:rFonts w:hint="default" w:cs="宋体"/>
          <w:color w:val="000000" w:themeColor="text1"/>
          <w14:textFill>
            <w14:solidFill>
              <w14:schemeClr w14:val="tx1"/>
            </w14:solidFill>
          </w14:textFill>
        </w:rPr>
      </w:r>
      <w:r/>
    </w:p>
    <w:p>
      <w:pPr>
        <w:pStyle w:val="1097"/>
        <w:ind w:left="0"/>
        <w:spacing w:before="20"/>
        <w:widowControl/>
        <w:rPr>
          <w:rFonts w:hint="default" w:cs="宋体"/>
          <w:color w:val="000000" w:themeColor="text1"/>
          <w14:textFill>
            <w14:solidFill>
              <w14:schemeClr w14:val="tx1"/>
            </w14:solidFill>
          </w14:textFill>
        </w:rPr>
        <w:sectPr>
          <w:footnotePr/>
          <w:endnotePr/>
          <w:type w:val="nextPage"/>
          <w:pgSz w:w="11906" w:h="16838" w:orient="portrait"/>
          <w:pgMar w:top="1440" w:right="1236" w:bottom="1440" w:left="1236" w:header="510" w:footer="680" w:gutter="0"/>
          <w:cols w:num="1" w:sep="0" w:space="720" w:equalWidth="1"/>
          <w:docGrid w:linePitch="360"/>
        </w:sectPr>
      </w:pPr>
      <w:r>
        <w:rPr>
          <w:rFonts w:hint="default" w:cs="宋体"/>
          <w:color w:val="000000" w:themeColor="text1"/>
          <w14:textFill>
            <w14:solidFill>
              <w14:schemeClr w14:val="tx1"/>
            </w14:solidFill>
          </w14:textFill>
        </w:rPr>
      </w:r>
      <w:r/>
    </w:p>
    <w:p>
      <w:pPr>
        <w:pStyle w:val="1097"/>
        <w:ind w:left="0"/>
        <w:spacing w:before="20"/>
        <w:widowControl/>
        <w:rPr>
          <w:rFonts w:hint="default" w:cs="宋体"/>
          <w:color w:val="000000" w:themeColor="text1"/>
          <w14:textFill>
            <w14:solidFill>
              <w14:schemeClr w14:val="tx1"/>
            </w14:solidFill>
          </w14:textFill>
        </w:rPr>
      </w:pPr>
      <w:r>
        <w:rPr>
          <w:rFonts w:cs="宋体"/>
          <w:color w:val="000000" w:themeColor="text1"/>
          <w14:textFill>
            <w14:solidFill>
              <w14:schemeClr w14:val="tx1"/>
            </w14:solidFill>
          </w14:textFill>
        </w:rPr>
        <w:t xml:space="preserve">附件十一、残疾人福利性单位声明函格式</w:t>
      </w:r>
      <w:r/>
    </w:p>
    <w:p>
      <w:pPr>
        <w:pStyle w:val="894"/>
        <w:widowControl/>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pStyle w:val="1097"/>
        <w:ind w:left="3832"/>
        <w:spacing w:before="167"/>
        <w:widowControl/>
        <w:rPr>
          <w:rFonts w:hint="default" w:cs="宋体"/>
          <w:color w:val="000000" w:themeColor="text1"/>
          <w14:textFill>
            <w14:solidFill>
              <w14:schemeClr w14:val="tx1"/>
            </w14:solidFill>
          </w14:textFill>
        </w:rPr>
      </w:pPr>
      <w:r>
        <w:rPr>
          <w:rFonts w:cs="宋体"/>
          <w:color w:val="000000" w:themeColor="text1"/>
          <w14:textFill>
            <w14:solidFill>
              <w14:schemeClr w14:val="tx1"/>
            </w14:solidFill>
          </w14:textFill>
        </w:rPr>
        <w:t xml:space="preserve">残疾人福利性单位声明函</w:t>
      </w:r>
      <w:r/>
    </w:p>
    <w:p>
      <w:pPr>
        <w:pStyle w:val="894"/>
        <w:spacing w:before="7"/>
        <w:widowControl/>
        <w:rPr>
          <w:rFonts w:ascii="宋体" w:hAnsi="宋体" w:cs="宋体"/>
          <w:b/>
          <w:color w:val="000000" w:themeColor="text1"/>
          <w:sz w:val="18"/>
          <w14:textFill>
            <w14:solidFill>
              <w14:schemeClr w14:val="tx1"/>
            </w14:solidFill>
          </w14:textFill>
        </w:rPr>
      </w:pPr>
      <w:r>
        <w:rPr>
          <w:rFonts w:ascii="宋体" w:hAnsi="宋体" w:cs="宋体"/>
          <w:b/>
          <w:color w:val="000000" w:themeColor="text1"/>
          <w:sz w:val="18"/>
          <w14:textFill>
            <w14:solidFill>
              <w14:schemeClr w14:val="tx1"/>
            </w14:solidFill>
          </w14:textFill>
        </w:rPr>
      </w:r>
      <w:r/>
    </w:p>
    <w:p>
      <w:pPr>
        <w:pStyle w:val="894"/>
        <w:ind w:right="617" w:firstLine="480"/>
        <w:spacing w:line="422" w:lineRule="auto"/>
        <w:widowControl/>
        <w:tabs>
          <w:tab w:val="left" w:pos="3711" w:leader="none"/>
          <w:tab w:val="left" w:pos="5151"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本单位郑重声明</w:t>
      </w:r>
      <w:r>
        <w:rPr>
          <w:rFonts w:hint="eastAsia" w:ascii="宋体" w:hAnsi="宋体" w:cs="宋体"/>
          <w:color w:val="000000" w:themeColor="text1"/>
          <w:spacing w:val="-27"/>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根</w:t>
      </w:r>
      <w:r>
        <w:rPr>
          <w:rFonts w:hint="eastAsia" w:ascii="宋体" w:hAnsi="宋体" w:cs="宋体"/>
          <w:color w:val="000000" w:themeColor="text1"/>
          <w:spacing w:val="-24"/>
          <w14:textFill>
            <w14:solidFill>
              <w14:schemeClr w14:val="tx1"/>
            </w14:solidFill>
          </w14:textFill>
        </w:rPr>
        <w:t xml:space="preserve">据</w:t>
      </w:r>
      <w:r>
        <w:rPr>
          <w:rFonts w:hint="eastAsia" w:ascii="宋体" w:hAnsi="宋体" w:cs="宋体"/>
          <w:color w:val="000000" w:themeColor="text1"/>
          <w14:textFill>
            <w14:solidFill>
              <w14:schemeClr w14:val="tx1"/>
            </w14:solidFill>
          </w14:textFill>
        </w:rPr>
        <w:t xml:space="preserve">《财政部民政部中国残疾人联合会关于促进残疾人就业</w:t>
      </w:r>
      <w:r>
        <w:rPr>
          <w:rFonts w:hint="eastAsia" w:ascii="宋体" w:hAnsi="宋体" w:cs="宋体"/>
          <w:color w:val="000000" w:themeColor="text1"/>
          <w:spacing w:val="-18"/>
          <w14:textFill>
            <w14:solidFill>
              <w14:schemeClr w14:val="tx1"/>
            </w14:solidFill>
          </w14:textFill>
        </w:rPr>
        <w:t xml:space="preserve">政</w:t>
      </w:r>
      <w:r>
        <w:rPr>
          <w:rFonts w:hint="eastAsia" w:ascii="宋体" w:hAnsi="宋体" w:cs="宋体"/>
          <w:color w:val="000000" w:themeColor="text1"/>
          <w14:textFill>
            <w14:solidFill>
              <w14:schemeClr w14:val="tx1"/>
            </w14:solidFill>
          </w14:textFill>
        </w:rPr>
        <w:t xml:space="preserve">府采购政策的通知</w:t>
      </w:r>
      <w:r>
        <w:rPr>
          <w:rFonts w:hint="eastAsia" w:ascii="宋体" w:hAnsi="宋体" w:cs="宋体"/>
          <w:color w:val="000000" w:themeColor="text1"/>
          <w:spacing w:val="-39"/>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（财</w:t>
      </w:r>
      <w:r>
        <w:rPr>
          <w:rFonts w:hint="eastAsia" w:ascii="宋体" w:hAnsi="宋体" w:cs="宋体"/>
          <w:color w:val="000000" w:themeColor="text1"/>
          <w:spacing w:val="-17"/>
          <w14:textFill>
            <w14:solidFill>
              <w14:schemeClr w14:val="tx1"/>
            </w14:solidFill>
          </w14:textFill>
        </w:rPr>
        <w:t xml:space="preserve">库</w:t>
      </w:r>
      <w:r>
        <w:rPr>
          <w:rFonts w:hint="eastAsia" w:ascii="宋体" w:hAnsi="宋体" w:cs="宋体"/>
          <w:color w:val="000000" w:themeColor="text1"/>
          <w14:textFill>
            <w14:solidFill>
              <w14:schemeClr w14:val="tx1"/>
            </w14:solidFill>
          </w14:textFill>
        </w:rPr>
        <w:t xml:space="preserve">〔2017〕141号</w:t>
      </w:r>
      <w:r>
        <w:rPr>
          <w:rFonts w:hint="eastAsia" w:ascii="宋体" w:hAnsi="宋体" w:cs="宋体"/>
          <w:color w:val="000000" w:themeColor="text1"/>
          <w:spacing w:val="-20"/>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的规定</w:t>
      </w:r>
      <w:r>
        <w:rPr>
          <w:rFonts w:hint="eastAsia" w:ascii="宋体" w:hAnsi="宋体" w:cs="宋体"/>
          <w:color w:val="000000" w:themeColor="text1"/>
          <w:spacing w:val="-17"/>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本单位为符合条件的残疾人福</w:t>
      </w:r>
      <w:r>
        <w:rPr>
          <w:rFonts w:hint="eastAsia" w:ascii="宋体" w:hAnsi="宋体" w:cs="宋体"/>
          <w:color w:val="000000" w:themeColor="text1"/>
          <w:spacing w:val="-16"/>
          <w14:textFill>
            <w14:solidFill>
              <w14:schemeClr w14:val="tx1"/>
            </w14:solidFill>
          </w14:textFill>
        </w:rPr>
        <w:t xml:space="preserve">利</w:t>
      </w:r>
      <w:r>
        <w:rPr>
          <w:rFonts w:hint="eastAsia" w:ascii="宋体" w:hAnsi="宋体" w:cs="宋体"/>
          <w:color w:val="000000" w:themeColor="text1"/>
          <w14:textFill>
            <w14:solidFill>
              <w14:schemeClr w14:val="tx1"/>
            </w14:solidFill>
          </w14:textFill>
        </w:rPr>
        <w:t xml:space="preserve">性单位</w:t>
      </w:r>
      <w:r>
        <w:rPr>
          <w:rFonts w:hint="eastAsia" w:ascii="宋体" w:hAnsi="宋体" w:cs="宋体"/>
          <w:color w:val="000000" w:themeColor="text1"/>
          <w:spacing w:val="-27"/>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且本单位参加</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单位的</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项目采购活动提供本单位制造的货</w:t>
      </w:r>
      <w:r>
        <w:rPr>
          <w:rFonts w:hint="eastAsia" w:ascii="宋体" w:hAnsi="宋体" w:cs="宋体"/>
          <w:color w:val="000000" w:themeColor="text1"/>
          <w:spacing w:val="-24"/>
          <w14:textFill>
            <w14:solidFill>
              <w14:schemeClr w14:val="tx1"/>
            </w14:solidFill>
          </w14:textFill>
        </w:rPr>
        <w:t xml:space="preserve">物</w:t>
      </w:r>
      <w:r>
        <w:rPr>
          <w:rFonts w:hint="eastAsia" w:ascii="宋体" w:hAnsi="宋体" w:cs="宋体"/>
          <w:color w:val="000000" w:themeColor="text1"/>
          <w14:textFill>
            <w14:solidFill>
              <w14:schemeClr w14:val="tx1"/>
            </w14:solidFill>
          </w14:textFill>
        </w:rPr>
        <w:t xml:space="preserve">（由</w:t>
      </w:r>
      <w:r>
        <w:rPr>
          <w:rFonts w:hint="eastAsia" w:ascii="宋体" w:hAnsi="宋体" w:cs="宋体"/>
          <w:color w:val="000000" w:themeColor="text1"/>
          <w:spacing w:val="-18"/>
          <w14:textFill>
            <w14:solidFill>
              <w14:schemeClr w14:val="tx1"/>
            </w14:solidFill>
          </w14:textFill>
        </w:rPr>
        <w:t xml:space="preserve">本</w:t>
      </w:r>
      <w:r>
        <w:rPr>
          <w:rFonts w:hint="eastAsia" w:ascii="宋体" w:hAnsi="宋体" w:cs="宋体"/>
          <w:color w:val="000000" w:themeColor="text1"/>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894"/>
        <w:ind w:left="1098"/>
        <w:spacing w:before="3"/>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本单位对上述声明的真实性负责。如有虚假，将依法承担相应责任。</w:t>
      </w:r>
      <w:r/>
    </w:p>
    <w:p>
      <w:pPr>
        <w:pStyle w:val="894"/>
        <w:spacing w:before="6"/>
        <w:widowControl/>
        <w:rPr>
          <w:rFonts w:ascii="宋体" w:hAnsi="宋体" w:cs="宋体"/>
          <w:color w:val="000000" w:themeColor="text1"/>
          <w:sz w:val="18"/>
          <w14:textFill>
            <w14:solidFill>
              <w14:schemeClr w14:val="tx1"/>
            </w14:solidFill>
          </w14:textFill>
        </w:rPr>
      </w:pPr>
      <w:r>
        <w:rPr>
          <w:rFonts w:ascii="宋体" w:hAnsi="宋体" w:cs="宋体"/>
          <w:color w:val="000000" w:themeColor="text1"/>
          <w:sz w:val="18"/>
          <w14:textFill>
            <w14:solidFill>
              <w14:schemeClr w14:val="tx1"/>
            </w14:solidFill>
          </w14:textFill>
        </w:rPr>
      </w:r>
      <w:r/>
    </w:p>
    <w:p>
      <w:pPr>
        <w:pStyle w:val="894"/>
        <w:ind w:right="2725"/>
        <w:spacing w:line="420" w:lineRule="auto"/>
        <w:widowControl/>
        <w:tabs>
          <w:tab w:val="left" w:pos="7098" w:leader="none"/>
        </w:tabs>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单位名称（盖章</w:t>
      </w:r>
      <w:r>
        <w:rPr>
          <w:rFonts w:hint="eastAsia" w:ascii="宋体" w:hAnsi="宋体" w:cs="宋体"/>
          <w:color w:val="000000" w:themeColor="text1"/>
          <w:spacing w:val="-9"/>
          <w14:textFill>
            <w14:solidFill>
              <w14:schemeClr w14:val="tx1"/>
            </w14:solidFill>
          </w14:textFill>
        </w:rPr>
        <w:t xml:space="preserve">）：</w:t>
      </w:r>
      <w:r/>
    </w:p>
    <w:p>
      <w:pPr>
        <w:pStyle w:val="894"/>
        <w:ind w:right="2725"/>
        <w:spacing w:line="420" w:lineRule="auto"/>
        <w:widowControl/>
        <w:tabs>
          <w:tab w:val="left" w:pos="7098" w:leader="none"/>
        </w:tabs>
        <w:rPr>
          <w:rFonts w:ascii="宋体" w:hAnsi="宋体" w:cs="宋体"/>
          <w:color w:val="000000" w:themeColor="text1"/>
          <w:spacing w:val="-9"/>
          <w14:textFill>
            <w14:solidFill>
              <w14:schemeClr w14:val="tx1"/>
            </w14:solidFill>
          </w14:textFill>
        </w:rPr>
      </w:pPr>
      <w:r>
        <w:rPr>
          <w:rFonts w:hint="eastAsia" w:ascii="宋体" w:hAnsi="宋体" w:cs="宋体"/>
          <w:color w:val="000000" w:themeColor="text1"/>
          <w:spacing w:val="-9"/>
          <w14:textFill>
            <w14:solidFill>
              <w14:schemeClr w14:val="tx1"/>
            </w14:solidFill>
          </w14:textFill>
        </w:rPr>
        <w:t xml:space="preserve">日</w:t>
      </w:r>
      <w:r>
        <w:rPr>
          <w:rFonts w:hint="eastAsia" w:ascii="宋体" w:hAnsi="宋体" w:cs="宋体"/>
          <w:color w:val="000000" w:themeColor="text1"/>
          <w14:textFill>
            <w14:solidFill>
              <w14:schemeClr w14:val="tx1"/>
            </w14:solidFill>
          </w14:textFill>
        </w:rPr>
        <w:t xml:space="preserve">期</w:t>
      </w:r>
      <w:r>
        <w:rPr>
          <w:rFonts w:hint="eastAsia" w:ascii="宋体" w:hAnsi="宋体" w:cs="宋体"/>
          <w:color w:val="000000" w:themeColor="text1"/>
          <w:spacing w:val="-17"/>
          <w14:textFill>
            <w14:solidFill>
              <w14:schemeClr w14:val="tx1"/>
            </w14:solidFill>
          </w14:textFill>
        </w:rPr>
        <w:t xml:space="preserve">：</w:t>
      </w:r>
      <w:r/>
    </w:p>
    <w:p>
      <w:pPr>
        <w:pStyle w:val="1097"/>
        <w:ind w:left="0"/>
        <w:widowControl/>
        <w:rPr>
          <w:rFonts w:hint="default" w:cs="宋体"/>
          <w:color w:val="000000" w:themeColor="text1"/>
          <w14:textFill>
            <w14:solidFill>
              <w14:schemeClr w14:val="tx1"/>
            </w14:solidFill>
          </w14:textFill>
        </w:rPr>
      </w:pPr>
      <w:r>
        <w:rPr>
          <w:rFonts w:cs="宋体"/>
          <w:color w:val="000000" w:themeColor="text1"/>
          <w14:textFill>
            <w14:solidFill>
              <w14:schemeClr w14:val="tx1"/>
            </w14:solidFill>
          </w14:textFill>
        </w:rPr>
        <w:t xml:space="preserve">附件十二、属于监狱企业的证明文件</w:t>
      </w:r>
      <w:r/>
    </w:p>
    <w:p>
      <w:pPr>
        <w:pStyle w:val="894"/>
        <w:ind w:right="554" w:firstLine="480"/>
        <w:spacing w:before="165" w:line="422"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提供由省级以上监狱管理局、戒毒管理局(含新疆生产建设兵团)出具的属于监狱企业的证明文件</w:t>
      </w:r>
      <w:r>
        <w:rPr>
          <w:rFonts w:hint="eastAsia" w:ascii="宋体" w:hAnsi="宋体" w:cs="宋体"/>
          <w:color w:val="000000" w:themeColor="text1"/>
          <w14:textFill>
            <w14:solidFill>
              <w14:schemeClr w14:val="tx1"/>
            </w14:solidFill>
          </w14:textFill>
        </w:rPr>
        <w:br w:type="page" w:clear="all"/>
      </w:r>
      <w:r/>
    </w:p>
    <w:p>
      <w:pPr>
        <w:pStyle w:val="1097"/>
        <w:ind w:left="0"/>
        <w:widowControl/>
        <w:rPr>
          <w:rFonts w:hint="default" w:cs="宋体"/>
          <w:color w:val="000000" w:themeColor="text1"/>
          <w14:textFill>
            <w14:solidFill>
              <w14:schemeClr w14:val="tx1"/>
            </w14:solidFill>
          </w14:textFill>
        </w:rPr>
      </w:pPr>
      <w:r>
        <w:rPr>
          <w:rFonts w:cs="宋体"/>
          <w:color w:val="000000" w:themeColor="text1"/>
          <w14:textFill>
            <w14:solidFill>
              <w14:schemeClr w14:val="tx1"/>
            </w14:solidFill>
          </w14:textFill>
        </w:rPr>
        <w:t xml:space="preserve">附件十三、南京市政府采购供应商信用记录表暨信用承诺书</w:t>
      </w:r>
      <w:r/>
    </w:p>
    <w:p>
      <w:pPr>
        <w:jc w:val="center"/>
        <w:spacing w:line="360" w:lineRule="auto"/>
        <w:widowControl/>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南京市政府采购供应商信用记录表暨信用承诺书</w:t>
      </w:r>
      <w:r/>
    </w:p>
    <w:p>
      <w:pPr>
        <w:jc w:val="center"/>
        <w:widowControl/>
        <w:rPr>
          <w:rFonts w:ascii="宋体" w:hAnsi="宋体" w:cs="宋体"/>
          <w:b/>
          <w:bCs/>
          <w:color w:val="000000" w:themeColor="text1"/>
          <w:sz w:val="36"/>
          <w:szCs w:val="36"/>
          <w14:textFill>
            <w14:solidFill>
              <w14:schemeClr w14:val="tx1"/>
            </w14:solidFill>
          </w14:textFill>
        </w:rPr>
      </w:pPr>
      <w:r>
        <w:rPr>
          <w:rFonts w:hint="eastAsia" w:ascii="宋体" w:cs="宋体"/>
          <w:b/>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lang w:val="zh-CN"/>
          <w14:textFill>
            <w14:solidFill>
              <w14:schemeClr w14:val="tx1"/>
            </w14:solidFill>
          </w14:textFill>
        </w:rPr>
        <w:t xml:space="preserve">仅为示范格式，直接填写无效，需至“南京政府采购供应商诚信档案管理系统”在线打印</w:t>
      </w:r>
      <w:r>
        <w:rPr>
          <w:rFonts w:hint="eastAsia" w:ascii="宋体" w:hAnsi="宋体" w:cs="宋体"/>
          <w:b/>
          <w:color w:val="000000" w:themeColor="text1"/>
          <w:szCs w:val="21"/>
          <w14:textFill>
            <w14:solidFill>
              <w14:schemeClr w14:val="tx1"/>
            </w14:solidFill>
          </w14:textFill>
        </w:rPr>
        <w:t xml:space="preserve">并签字盖章提供</w:t>
      </w:r>
      <w:r>
        <w:rPr>
          <w:rFonts w:hint="eastAsia" w:ascii="宋体" w:cs="宋体"/>
          <w:b/>
          <w:color w:val="000000" w:themeColor="text1"/>
          <w:szCs w:val="21"/>
          <w:lang w:val="zh-CN"/>
          <w14:textFill>
            <w14:solidFill>
              <w14:schemeClr w14:val="tx1"/>
            </w14:solidFill>
          </w14:textFill>
        </w:rPr>
        <w:t xml:space="preserve">）</w:t>
      </w:r>
      <w:r/>
    </w:p>
    <w:p>
      <w:pP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righ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   年  月   日</w:t>
      </w:r>
      <w:r/>
    </w:p>
    <w:p>
      <w:pP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bl>
      <w:tblPr>
        <w:tblStyle w:val="889"/>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单位名称</w:t>
            </w:r>
            <w:r/>
          </w:p>
        </w:tc>
        <w:tc>
          <w:tcPr>
            <w:tcW w:w="2205"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统一社会信用代码</w:t>
            </w:r>
            <w:r/>
          </w:p>
        </w:tc>
        <w:tc>
          <w:tcPr>
            <w:tcW w:w="3472"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r>
      <w:tr>
        <w:trPr>
          <w:jc w:val="center"/>
          <w:trHeight w:val="510"/>
        </w:trPr>
        <w:tc>
          <w:tcPr>
            <w:tcW w:w="2137"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法定代表人</w:t>
            </w:r>
            <w:r/>
          </w:p>
        </w:tc>
        <w:tc>
          <w:tcPr>
            <w:tcW w:w="2205"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联系人</w:t>
            </w:r>
            <w:r/>
          </w:p>
        </w:tc>
        <w:tc>
          <w:tcPr>
            <w:tcW w:w="3472"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r>
      <w:tr>
        <w:trPr>
          <w:jc w:val="center"/>
          <w:trHeight w:val="510"/>
        </w:trPr>
        <w:tc>
          <w:tcPr>
            <w:tcW w:w="2137"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联系地址</w:t>
            </w:r>
            <w:r/>
          </w:p>
        </w:tc>
        <w:tc>
          <w:tcPr>
            <w:tcW w:w="2205"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c>
          <w:tcPr>
            <w:tcW w:w="2048"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tc>
        <w:tc>
          <w:tcPr>
            <w:tcW w:w="3472"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r>
      <w:tr>
        <w:trPr>
          <w:jc w:val="center"/>
          <w:trHeight w:val="1710"/>
        </w:trPr>
        <w:tc>
          <w:tcPr>
            <w:tcW w:w="2137"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诚信档案记录情况</w:t>
            </w:r>
            <w:r/>
          </w:p>
        </w:tc>
        <w:tc>
          <w:tcPr>
            <w:gridSpan w:val="3"/>
            <w:tcW w:w="7725" w:type="dxa"/>
            <w:vAlign w:val="center"/>
            <w:textDirection w:val="lrTb"/>
            <w:noWrap/>
          </w:tcPr>
          <w:p>
            <w:pPr>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c>
      </w:tr>
      <w:tr>
        <w:trPr>
          <w:jc w:val="center"/>
          <w:trHeight w:val="4075"/>
        </w:trPr>
        <w:tc>
          <w:tcPr>
            <w:tcW w:w="2137" w:type="dxa"/>
            <w:vAlign w:val="center"/>
            <w:vMerge w:val="restart"/>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信用承诺</w:t>
            </w:r>
            <w:r/>
          </w:p>
        </w:tc>
        <w:tc>
          <w:tcPr>
            <w:gridSpan w:val="3"/>
            <w:tcW w:w="7725" w:type="dxa"/>
            <w:vAlign w:val="center"/>
            <w:textDirection w:val="lrTb"/>
            <w:noWrap/>
          </w:tcPr>
          <w:p>
            <w:pPr>
              <w:ind w:left="42" w:firstLine="480"/>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我公司自愿参加贵中心（公司）组织的本次采购活动，严格遵守《中华人民共和国政府采购法》及相关法</w:t>
            </w:r>
            <w:r>
              <w:rPr>
                <w:rFonts w:hint="eastAsia" w:ascii="宋体" w:hAnsi="宋体" w:cs="宋体"/>
                <w:color w:val="000000" w:themeColor="text1"/>
                <w:sz w:val="24"/>
                <w14:textFill>
                  <w14:solidFill>
                    <w14:schemeClr w14:val="tx1"/>
                  </w14:solidFill>
                </w14:textFill>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240"/>
        </w:trPr>
        <w:tc>
          <w:tcPr>
            <w:tcW w:w="2137" w:type="dxa"/>
            <w:vAlign w:val="center"/>
            <w:vMerge w:val="continue"/>
            <w:textDirection w:val="lrTb"/>
            <w:noWrap/>
          </w:tcPr>
          <w:p>
            <w:pP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3"/>
            <w:tcW w:w="7725" w:type="dxa"/>
            <w:vAlign w:val="center"/>
            <w:textDirection w:val="lrTb"/>
            <w:noWrap/>
          </w:tcPr>
          <w:p>
            <w:pPr>
              <w:ind w:left="3780"/>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供应商名称（盖章）∶</w:t>
            </w:r>
            <w:r/>
          </w:p>
          <w:p>
            <w:pPr>
              <w:ind w:left="3780"/>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w:t>
            </w:r>
            <w:r/>
          </w:p>
          <w:p>
            <w:pPr>
              <w:ind w:left="3780"/>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二O  年  月  日</w:t>
            </w:r>
            <w:r/>
          </w:p>
        </w:tc>
      </w:tr>
    </w:tbl>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ectPr>
      <w:footerReference w:type="default" r:id="rId13"/>
      <w:footerReference w:type="even" r:id="rId14"/>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仿宋_GBK">
    <w:panose1 w:val="020B0503020202020204"/>
  </w:font>
  <w:font w:name="方正楷体_GBK">
    <w:panose1 w:val="020B0503020202020204"/>
  </w:font>
  <w:font w:name="MS Mincho">
    <w:panose1 w:val="02020603050405090304"/>
  </w:font>
  <w:font w:name="SimHei">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Helvetica Neue">
    <w:panose1 w:val="020B0503020202020204"/>
  </w:font>
  <w:font w:name="微软雅黑">
    <w:panose1 w:val="020B0503020204020204"/>
  </w:font>
  <w:font w:name="Cambria">
    <w:panose1 w:val="02040503050406030204"/>
  </w:font>
  <w:font w:name="Courier New">
    <w:panose1 w:val="02070309020205020404"/>
  </w:font>
  <w:font w:name="楷体_GB2312">
    <w:panose1 w:val="02010609060101010101"/>
  </w:font>
  <w:font w:name="Verdana">
    <w:panose1 w:val="020B0604030504040204"/>
  </w:font>
  <w:font w:name="方正楷体简体">
    <w:panose1 w:val="020B050302020202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03"/>
                          </w:pPr>
                          <w:r>
                            <w:rPr>
                              <w:rFonts w:hint="eastAsia"/>
                            </w:rPr>
                            <w:t xml:space="preserve">第 </w:t>
                          </w:r>
                          <w:r>
                            <w:fldChar w:fldCharType="begin"/>
                          </w:r>
                          <w:r>
                            <w:instrText xml:space="preserve"> PAGE  \* MERGEFORMAT </w:instrText>
                          </w:r>
                          <w:r>
                            <w:fldChar w:fldCharType="separate"/>
                          </w:r>
                          <w:r>
                            <w:t xml:space="preserve">47</w:t>
                          </w:r>
                          <w:r>
                            <w:fldChar w:fldCharType="end"/>
                          </w:r>
                          <w:r>
                            <w:rPr>
                              <w:rFonts w:hint="eastAsia"/>
                            </w:rPr>
                            <w:t xml:space="preserve"> 页 共 </w:t>
                          </w:r>
                          <w:r>
                            <w:fldChar w:fldCharType="begin"/>
                          </w:r>
                          <w:r>
                            <w:instrText xml:space="preserve"> NUMPAGES  \* MERGEFORMAT </w:instrText>
                          </w:r>
                          <w:r>
                            <w:fldChar w:fldCharType="separate"/>
                          </w:r>
                          <w:r>
                            <w:t xml:space="preserve">64</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03"/>
                    </w:pPr>
                    <w:r>
                      <w:rPr>
                        <w:rFonts w:hint="eastAsia"/>
                      </w:rPr>
                      <w:t xml:space="preserve">第 </w:t>
                    </w:r>
                    <w:r>
                      <w:fldChar w:fldCharType="begin"/>
                    </w:r>
                    <w:r>
                      <w:instrText xml:space="preserve"> PAGE  \* MERGEFORMAT </w:instrText>
                    </w:r>
                    <w:r>
                      <w:fldChar w:fldCharType="separate"/>
                    </w:r>
                    <w:r>
                      <w:t xml:space="preserve">47</w:t>
                    </w:r>
                    <w:r>
                      <w:fldChar w:fldCharType="end"/>
                    </w:r>
                    <w:r>
                      <w:rPr>
                        <w:rFonts w:hint="eastAsia"/>
                      </w:rPr>
                      <w:t xml:space="preserve"> 页 共 </w:t>
                    </w:r>
                    <w:r>
                      <w:fldChar w:fldCharType="begin"/>
                    </w:r>
                    <w:r>
                      <w:instrText xml:space="preserve"> NUMPAGES  \* MERGEFORMAT </w:instrText>
                    </w:r>
                    <w:r>
                      <w:fldChar w:fldCharType="separate"/>
                    </w:r>
                    <w:r>
                      <w:t xml:space="preserve">64</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03"/>
                          </w:pPr>
                          <w:r>
                            <w:rPr>
                              <w:rFonts w:hint="eastAsia"/>
                            </w:rPr>
                            <w:t xml:space="preserve">第 </w:t>
                          </w:r>
                          <w:r>
                            <w:fldChar w:fldCharType="begin"/>
                          </w:r>
                          <w:r>
                            <w:instrText xml:space="preserve"> PAGE  \* MERGEFORMAT </w:instrText>
                          </w:r>
                          <w:r>
                            <w:fldChar w:fldCharType="separate"/>
                          </w:r>
                          <w:r>
                            <w:t xml:space="preserve">64</w:t>
                          </w:r>
                          <w:r>
                            <w:fldChar w:fldCharType="end"/>
                          </w:r>
                          <w:r>
                            <w:rPr>
                              <w:rFonts w:hint="eastAsia"/>
                            </w:rPr>
                            <w:t xml:space="preserve"> 页 共 </w:t>
                          </w:r>
                          <w:r>
                            <w:fldChar w:fldCharType="begin"/>
                          </w:r>
                          <w:r>
                            <w:instrText xml:space="preserve"> NUMPAGES  \* MERGEFORMAT </w:instrText>
                          </w:r>
                          <w:r>
                            <w:fldChar w:fldCharType="separate"/>
                          </w:r>
                          <w:r>
                            <w:t xml:space="preserve">64</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03"/>
                    </w:pPr>
                    <w:r>
                      <w:rPr>
                        <w:rFonts w:hint="eastAsia"/>
                      </w:rPr>
                      <w:t xml:space="preserve">第 </w:t>
                    </w:r>
                    <w:r>
                      <w:fldChar w:fldCharType="begin"/>
                    </w:r>
                    <w:r>
                      <w:instrText xml:space="preserve"> PAGE  \* MERGEFORMAT </w:instrText>
                    </w:r>
                    <w:r>
                      <w:fldChar w:fldCharType="separate"/>
                    </w:r>
                    <w:r>
                      <w:t xml:space="preserve">64</w:t>
                    </w:r>
                    <w:r>
                      <w:fldChar w:fldCharType="end"/>
                    </w:r>
                    <w:r>
                      <w:rPr>
                        <w:rFonts w:hint="eastAsia"/>
                      </w:rPr>
                      <w:t xml:space="preserve"> 页 共 </w:t>
                    </w:r>
                    <w:r>
                      <w:fldChar w:fldCharType="begin"/>
                    </w:r>
                    <w:r>
                      <w:instrText xml:space="preserve"> NUMPAGES  \* MERGEFORMAT </w:instrText>
                    </w:r>
                    <w:r>
                      <w:fldChar w:fldCharType="separate"/>
                    </w:r>
                    <w:r>
                      <w:t xml:space="preserve">64</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p>
  <w:p>
    <w:pPr>
      <w:pStyle w:val="903"/>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tabs>
        <w:tab w:val="left" w:pos="600" w:leader="none"/>
      </w:tabs>
    </w:pPr>
    <w:r/>
    <w:r/>
  </w:p>
  <w:p>
    <w:pPr>
      <w:pStyle w:val="904"/>
      <w:jc w:val="left"/>
      <w:tabs>
        <w:tab w:val="left" w:pos="600" w:leader="none"/>
      </w:tabs>
    </w:pPr>
    <w:r>
      <mc:AlternateContent>
        <mc:Choice Requires="wpg">
          <w:drawing>
            <wp:inline xmlns:wp="http://schemas.openxmlformats.org/drawingml/2006/wordprocessingDrawing" distT="0" distB="0" distL="0" distR="0">
              <wp:extent cx="1377315" cy="386715"/>
              <wp:effectExtent l="0" t="0" r="13333" b="13333"/>
              <wp:docPr id="1" name="图片 6" descr="c826bae80687e3a7b3b8bc243736336"/>
              <wp:cNvGraphicFramePr/>
              <a:graphic xmlns:a="http://schemas.openxmlformats.org/drawingml/2006/main">
                <a:graphicData uri="http://schemas.openxmlformats.org/drawingml/2006/picture">
                  <pic:pic xmlns:pic="http://schemas.openxmlformats.org/drawingml/2006/picture">
                    <pic:nvPicPr>
                      <pic:cNvPr id="4097" name="图片 6" descr="c826bae80687e3a7b3b8bc243736336"/>
                      <pic:cNvPicPr/>
                      <pic:nvPr/>
                    </pic:nvPicPr>
                    <pic:blipFill>
                      <a:blip r:embed="rId1"/>
                      <a:stretch/>
                    </pic:blipFill>
                    <pic:spPr bwMode="auto">
                      <a:xfrm>
                        <a:off x="0" y="0"/>
                        <a:ext cx="1377315" cy="3867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tabs>
        <w:tab w:val="left" w:pos="600" w:leader="none"/>
      </w:tabs>
    </w:pPr>
    <w:r/>
    <w:r/>
  </w:p>
  <w:p>
    <w:pPr>
      <w:pStyle w:val="904"/>
      <w:jc w:val="left"/>
      <w:tabs>
        <w:tab w:val="left" w:pos="600" w:leader="none"/>
      </w:tabs>
    </w:pPr>
    <w:r>
      <mc:AlternateContent>
        <mc:Choice Requires="wpg">
          <w:drawing>
            <wp:inline xmlns:wp="http://schemas.openxmlformats.org/drawingml/2006/wordprocessingDrawing" distT="0" distB="0" distL="0" distR="0">
              <wp:extent cx="1377315" cy="386715"/>
              <wp:effectExtent l="0" t="0" r="13335" b="13335"/>
              <wp:docPr id="2" name="图片 6"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6" descr="c826bae80687e3a7b3b8bc243736336"/>
                      <pic:cNvPicPr/>
                      <pic:nvPr/>
                    </pic:nvPicPr>
                    <pic:blipFill>
                      <a:blip r:embed="rId1"/>
                      <a:stretch/>
                    </pic:blipFill>
                    <pic:spPr bwMode="auto">
                      <a:xfrm>
                        <a:off x="0" y="0"/>
                        <a:ext cx="1377315" cy="3867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30.4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tabs>
        <w:tab w:val="left" w:pos="600" w:leader="none"/>
      </w:tabs>
    </w:pPr>
    <w:r/>
    <w:r/>
  </w:p>
  <w:p>
    <w:pPr>
      <w:pStyle w:val="904"/>
      <w:jc w:val="left"/>
      <w:tabs>
        <w:tab w:val="left" w:pos="600" w:leader="none"/>
      </w:tabs>
    </w:pPr>
    <w:r>
      <mc:AlternateContent>
        <mc:Choice Requires="wpg">
          <w:drawing>
            <wp:inline xmlns:wp="http://schemas.openxmlformats.org/drawingml/2006/wordprocessingDrawing" distT="0" distB="0" distL="0" distR="0">
              <wp:extent cx="1377315" cy="386715"/>
              <wp:effectExtent l="0" t="0" r="13333" b="13333"/>
              <wp:docPr id="3" name="图片 6"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pic:nvPr/>
                    </pic:nvPicPr>
                    <pic:blipFill>
                      <a:blip r:embed="rId1"/>
                      <a:stretch/>
                    </pic:blipFill>
                    <pic:spPr bwMode="auto">
                      <a:xfrm>
                        <a:off x="0" y="0"/>
                        <a:ext cx="1377315" cy="38671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30.4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116"/>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11">
    <w:multiLevelType w:val="hybridMultilevel"/>
    <w:lvl w:ilvl="0">
      <w:start w:val="1"/>
      <w:numFmt w:val="decimal"/>
      <w:pStyle w:val="879"/>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japaneseCounting"/>
      <w:isLgl w:val="false"/>
      <w:suff w:val="tab"/>
      <w:lvlText w:val="%1、"/>
      <w:lvlJc w:val="left"/>
      <w:pPr>
        <w:ind w:left="992" w:hanging="51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0"/>
  </w:num>
  <w:num w:numId="3">
    <w:abstractNumId w:val="16"/>
  </w:num>
  <w:num w:numId="4">
    <w:abstractNumId w:val="14"/>
  </w:num>
  <w:num w:numId="5">
    <w:abstractNumId w:val="2"/>
  </w:num>
  <w:num w:numId="6">
    <w:abstractNumId w:val="4"/>
  </w:num>
  <w:num w:numId="7">
    <w:abstractNumId w:val="0"/>
  </w:num>
  <w:num w:numId="8">
    <w:abstractNumId w:val="15"/>
  </w:num>
  <w:num w:numId="9">
    <w:abstractNumId w:val="7"/>
  </w:num>
  <w:num w:numId="10">
    <w:abstractNumId w:val="9"/>
  </w:num>
  <w:num w:numId="11">
    <w:abstractNumId w:val="12"/>
  </w:num>
  <w:num w:numId="12">
    <w:abstractNumId w:val="18"/>
  </w:num>
  <w:num w:numId="13">
    <w:abstractNumId w:val="3"/>
  </w:num>
  <w:num w:numId="14">
    <w:abstractNumId w:val="13"/>
    <w:lvlOverride w:ilvl="0">
      <w:startOverride w:val="1"/>
    </w:lvlOverride>
  </w:num>
  <w:num w:numId="15">
    <w:abstractNumId w:val="8"/>
    <w:lvlOverride w:ilvl="0">
      <w:startOverride w:val="1"/>
    </w:lvlOverride>
  </w:num>
  <w:num w:numId="16">
    <w:abstractNumId w:val="5"/>
    <w:lvlOverride w:ilvl="0">
      <w:startOverride w:val="1"/>
    </w:lvlOverride>
  </w:num>
  <w:num w:numId="17">
    <w:abstractNumId w:val="1"/>
    <w:lvlOverride w:ilvl="0">
      <w:startOverride w:val="1"/>
    </w:lvlOverride>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888"/>
    <w:link w:val="879"/>
    <w:uiPriority w:val="9"/>
    <w:rPr>
      <w:rFonts w:ascii="Arial" w:hAnsi="Arial" w:eastAsia="Arial" w:cs="Arial"/>
      <w:sz w:val="40"/>
      <w:szCs w:val="40"/>
    </w:rPr>
  </w:style>
  <w:style w:type="character" w:styleId="864">
    <w:name w:val="Heading 2 Char"/>
    <w:basedOn w:val="888"/>
    <w:link w:val="880"/>
    <w:uiPriority w:val="9"/>
    <w:rPr>
      <w:rFonts w:ascii="Arial" w:hAnsi="Arial" w:eastAsia="Arial" w:cs="Arial"/>
      <w:sz w:val="34"/>
    </w:rPr>
  </w:style>
  <w:style w:type="character" w:styleId="865">
    <w:name w:val="Heading 3 Char"/>
    <w:basedOn w:val="888"/>
    <w:link w:val="881"/>
    <w:uiPriority w:val="9"/>
    <w:rPr>
      <w:rFonts w:ascii="Arial" w:hAnsi="Arial" w:eastAsia="Arial" w:cs="Arial"/>
      <w:sz w:val="30"/>
      <w:szCs w:val="30"/>
    </w:rPr>
  </w:style>
  <w:style w:type="character" w:styleId="866">
    <w:name w:val="Heading 4 Char"/>
    <w:basedOn w:val="888"/>
    <w:link w:val="882"/>
    <w:uiPriority w:val="9"/>
    <w:rPr>
      <w:rFonts w:ascii="Arial" w:hAnsi="Arial" w:eastAsia="Arial" w:cs="Arial"/>
      <w:b/>
      <w:bCs/>
      <w:sz w:val="26"/>
      <w:szCs w:val="26"/>
    </w:rPr>
  </w:style>
  <w:style w:type="character" w:styleId="867">
    <w:name w:val="Heading 5 Char"/>
    <w:basedOn w:val="888"/>
    <w:link w:val="883"/>
    <w:uiPriority w:val="9"/>
    <w:rPr>
      <w:rFonts w:ascii="Arial" w:hAnsi="Arial" w:eastAsia="Arial" w:cs="Arial"/>
      <w:b/>
      <w:bCs/>
      <w:sz w:val="24"/>
      <w:szCs w:val="24"/>
    </w:rPr>
  </w:style>
  <w:style w:type="character" w:styleId="868">
    <w:name w:val="Heading 6 Char"/>
    <w:basedOn w:val="888"/>
    <w:link w:val="884"/>
    <w:uiPriority w:val="9"/>
    <w:rPr>
      <w:rFonts w:ascii="Arial" w:hAnsi="Arial" w:eastAsia="Arial" w:cs="Arial"/>
      <w:b/>
      <w:bCs/>
      <w:sz w:val="22"/>
      <w:szCs w:val="22"/>
    </w:rPr>
  </w:style>
  <w:style w:type="character" w:styleId="869">
    <w:name w:val="Heading 7 Char"/>
    <w:basedOn w:val="888"/>
    <w:link w:val="885"/>
    <w:uiPriority w:val="9"/>
    <w:rPr>
      <w:rFonts w:ascii="Arial" w:hAnsi="Arial" w:eastAsia="Arial" w:cs="Arial"/>
      <w:b/>
      <w:bCs/>
      <w:i/>
      <w:iCs/>
      <w:sz w:val="22"/>
      <w:szCs w:val="22"/>
    </w:rPr>
  </w:style>
  <w:style w:type="character" w:styleId="870">
    <w:name w:val="Heading 8 Char"/>
    <w:basedOn w:val="888"/>
    <w:link w:val="886"/>
    <w:uiPriority w:val="9"/>
    <w:rPr>
      <w:rFonts w:ascii="Arial" w:hAnsi="Arial" w:eastAsia="Arial" w:cs="Arial"/>
      <w:i/>
      <w:iCs/>
      <w:sz w:val="22"/>
      <w:szCs w:val="22"/>
    </w:rPr>
  </w:style>
  <w:style w:type="character" w:styleId="871">
    <w:name w:val="Heading 9 Char"/>
    <w:basedOn w:val="888"/>
    <w:link w:val="887"/>
    <w:uiPriority w:val="9"/>
    <w:rPr>
      <w:rFonts w:ascii="Arial" w:hAnsi="Arial" w:eastAsia="Arial" w:cs="Arial"/>
      <w:i/>
      <w:iCs/>
      <w:sz w:val="21"/>
      <w:szCs w:val="21"/>
    </w:rPr>
  </w:style>
  <w:style w:type="character" w:styleId="872">
    <w:name w:val="Title Char"/>
    <w:basedOn w:val="888"/>
    <w:link w:val="915"/>
    <w:uiPriority w:val="10"/>
    <w:rPr>
      <w:sz w:val="48"/>
      <w:szCs w:val="48"/>
    </w:rPr>
  </w:style>
  <w:style w:type="character" w:styleId="873">
    <w:name w:val="Quote Char"/>
    <w:link w:val="952"/>
    <w:uiPriority w:val="29"/>
    <w:rPr>
      <w:i/>
    </w:rPr>
  </w:style>
  <w:style w:type="character" w:styleId="874">
    <w:name w:val="Intense Quote Char"/>
    <w:link w:val="954"/>
    <w:uiPriority w:val="30"/>
    <w:rPr>
      <w:i/>
    </w:rPr>
  </w:style>
  <w:style w:type="character" w:styleId="875">
    <w:name w:val="Header Char"/>
    <w:basedOn w:val="888"/>
    <w:link w:val="904"/>
    <w:uiPriority w:val="99"/>
  </w:style>
  <w:style w:type="character" w:styleId="876">
    <w:name w:val="Footer Char"/>
    <w:basedOn w:val="888"/>
    <w:link w:val="903"/>
    <w:uiPriority w:val="99"/>
  </w:style>
  <w:style w:type="paragraph" w:styleId="877">
    <w:name w:val="TOC Heading"/>
    <w:uiPriority w:val="39"/>
    <w:unhideWhenUsed/>
  </w:style>
  <w:style w:type="paragraph" w:styleId="87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79">
    <w:name w:val="Heading 1"/>
    <w:basedOn w:val="878"/>
    <w:next w:val="878"/>
    <w:uiPriority w:val="9"/>
    <w:qFormat/>
    <w:pPr>
      <w:numPr>
        <w:ilvl w:val="0"/>
        <w:numId w:val="1"/>
      </w:numPr>
      <w:keepLines/>
      <w:keepNext/>
      <w:spacing w:before="340" w:after="330" w:line="578" w:lineRule="auto"/>
      <w:outlineLvl w:val="0"/>
    </w:pPr>
    <w:rPr>
      <w:b/>
      <w:bCs/>
      <w:sz w:val="44"/>
      <w:szCs w:val="44"/>
    </w:rPr>
  </w:style>
  <w:style w:type="paragraph" w:styleId="880">
    <w:name w:val="Heading 2"/>
    <w:basedOn w:val="878"/>
    <w:next w:val="878"/>
    <w:link w:val="1108"/>
    <w:uiPriority w:val="0"/>
    <w:qFormat/>
    <w:pPr>
      <w:keepLines/>
      <w:keepNext/>
      <w:spacing w:before="260" w:after="260" w:line="415" w:lineRule="auto"/>
      <w:outlineLvl w:val="1"/>
    </w:pPr>
    <w:rPr>
      <w:rFonts w:ascii="Arial" w:hAnsi="Arial" w:eastAsia="黑体" w:cs="Arial"/>
      <w:b/>
      <w:bCs/>
      <w:sz w:val="32"/>
      <w:szCs w:val="32"/>
    </w:rPr>
  </w:style>
  <w:style w:type="paragraph" w:styleId="881">
    <w:name w:val="Heading 3"/>
    <w:basedOn w:val="878"/>
    <w:next w:val="878"/>
    <w:link w:val="1107"/>
    <w:uiPriority w:val="0"/>
    <w:qFormat/>
    <w:pPr>
      <w:keepLines/>
      <w:keepNext/>
      <w:spacing w:before="260" w:after="260" w:line="412" w:lineRule="auto"/>
      <w:outlineLvl w:val="2"/>
    </w:pPr>
    <w:rPr>
      <w:b/>
      <w:sz w:val="32"/>
      <w:szCs w:val="32"/>
    </w:rPr>
  </w:style>
  <w:style w:type="paragraph" w:styleId="882">
    <w:name w:val="Heading 4"/>
    <w:basedOn w:val="878"/>
    <w:next w:val="878"/>
    <w:link w:val="1096"/>
    <w:uiPriority w:val="0"/>
    <w:qFormat/>
    <w:pPr>
      <w:keepLines/>
      <w:keepNext/>
      <w:spacing w:before="120" w:after="120"/>
      <w:outlineLvl w:val="3"/>
    </w:pPr>
    <w:rPr>
      <w:rFonts w:ascii="Arial" w:hAnsi="Arial" w:eastAsia="黑体"/>
      <w:b/>
      <w:sz w:val="28"/>
    </w:rPr>
  </w:style>
  <w:style w:type="paragraph" w:styleId="883">
    <w:name w:val="Heading 5"/>
    <w:basedOn w:val="878"/>
    <w:next w:val="878"/>
    <w:link w:val="945"/>
    <w:uiPriority w:val="9"/>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46"/>
    <w:uiPriority w:val="9"/>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47"/>
    <w:uiPriority w:val="9"/>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48"/>
    <w:uiPriority w:val="9"/>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49"/>
    <w:uiPriority w:val="9"/>
    <w:qFormat/>
    <w:pPr>
      <w:keepLines/>
      <w:keepNext/>
      <w:spacing w:before="320" w:after="200"/>
      <w:outlineLvl w:val="8"/>
    </w:pPr>
    <w:rPr>
      <w:rFonts w:ascii="Arial" w:hAnsi="Arial" w:eastAsia="Arial" w:cs="Arial"/>
      <w:i/>
      <w:iCs/>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qFormat/>
    <w:pPr>
      <w:ind w:left="1701"/>
      <w:spacing w:after="57"/>
    </w:pPr>
  </w:style>
  <w:style w:type="paragraph" w:styleId="891">
    <w:name w:val="Normal Indent"/>
    <w:basedOn w:val="878"/>
    <w:uiPriority w:val="0"/>
    <w:qFormat/>
  </w:style>
  <w:style w:type="paragraph" w:styleId="892">
    <w:name w:val="Caption"/>
    <w:basedOn w:val="878"/>
    <w:next w:val="878"/>
    <w:uiPriority w:val="35"/>
    <w:qFormat/>
    <w:pPr>
      <w:spacing w:line="276" w:lineRule="auto"/>
    </w:pPr>
    <w:rPr>
      <w:b/>
      <w:bCs/>
      <w:color w:val="5b9bd5"/>
      <w:sz w:val="18"/>
      <w:szCs w:val="18"/>
    </w:rPr>
  </w:style>
  <w:style w:type="paragraph" w:styleId="893">
    <w:name w:val="annotation text"/>
    <w:basedOn w:val="878"/>
    <w:link w:val="1124"/>
    <w:uiPriority w:val="0"/>
    <w:qFormat/>
    <w:pPr>
      <w:jc w:val="left"/>
    </w:pPr>
  </w:style>
  <w:style w:type="paragraph" w:styleId="894">
    <w:name w:val="Body Text"/>
    <w:basedOn w:val="878"/>
    <w:link w:val="1099"/>
    <w:uiPriority w:val="0"/>
    <w:qFormat/>
    <w:pPr>
      <w:spacing w:after="120"/>
    </w:pPr>
    <w:rPr>
      <w:sz w:val="24"/>
      <w:szCs w:val="24"/>
    </w:rPr>
  </w:style>
  <w:style w:type="paragraph" w:styleId="895">
    <w:name w:val="Body Text Indent"/>
    <w:basedOn w:val="878"/>
    <w:next w:val="882"/>
    <w:uiPriority w:val="99"/>
    <w:qFormat/>
    <w:pPr>
      <w:ind w:left="420"/>
      <w:spacing w:after="120"/>
    </w:pPr>
    <w:rPr>
      <w:rFonts w:ascii="楷体_GB2312" w:eastAsia="楷体_GB2312"/>
      <w:sz w:val="32"/>
    </w:rPr>
  </w:style>
  <w:style w:type="paragraph" w:styleId="896">
    <w:name w:val="index 4"/>
    <w:basedOn w:val="878"/>
    <w:next w:val="878"/>
    <w:uiPriority w:val="99"/>
    <w:qFormat/>
    <w:pPr>
      <w:ind w:left="600"/>
    </w:pPr>
    <w:rPr>
      <w:rFonts w:ascii="Verdana" w:hAnsi="Verdana"/>
    </w:rPr>
  </w:style>
  <w:style w:type="paragraph" w:styleId="897">
    <w:name w:val="toc 5"/>
    <w:basedOn w:val="878"/>
    <w:next w:val="878"/>
    <w:uiPriority w:val="39"/>
    <w:qFormat/>
    <w:pPr>
      <w:ind w:left="1134"/>
      <w:spacing w:after="57"/>
    </w:pPr>
  </w:style>
  <w:style w:type="paragraph" w:styleId="898">
    <w:name w:val="toc 3"/>
    <w:basedOn w:val="878"/>
    <w:next w:val="878"/>
    <w:uiPriority w:val="39"/>
    <w:qFormat/>
    <w:pPr>
      <w:ind w:left="567"/>
      <w:spacing w:after="57"/>
    </w:pPr>
  </w:style>
  <w:style w:type="paragraph" w:styleId="899">
    <w:name w:val="Plain Text"/>
    <w:basedOn w:val="878"/>
    <w:link w:val="1109"/>
    <w:uiPriority w:val="0"/>
    <w:qFormat/>
    <w:rPr>
      <w:rFonts w:ascii="宋体" w:hAnsi="Courier New" w:cs="Arial"/>
      <w:szCs w:val="22"/>
    </w:rPr>
  </w:style>
  <w:style w:type="paragraph" w:styleId="900">
    <w:name w:val="toc 8"/>
    <w:basedOn w:val="878"/>
    <w:next w:val="878"/>
    <w:uiPriority w:val="39"/>
    <w:qFormat/>
    <w:pPr>
      <w:ind w:left="1984"/>
      <w:spacing w:after="57"/>
    </w:pPr>
  </w:style>
  <w:style w:type="paragraph" w:styleId="901">
    <w:name w:val="endnote text"/>
    <w:basedOn w:val="878"/>
    <w:link w:val="1085"/>
    <w:uiPriority w:val="99"/>
    <w:qFormat/>
    <w:rPr>
      <w:sz w:val="20"/>
    </w:rPr>
  </w:style>
  <w:style w:type="paragraph" w:styleId="902">
    <w:name w:val="Balloon Text"/>
    <w:basedOn w:val="878"/>
    <w:link w:val="1105"/>
    <w:uiPriority w:val="0"/>
    <w:qFormat/>
    <w:rPr>
      <w:sz w:val="18"/>
      <w:szCs w:val="18"/>
    </w:rPr>
  </w:style>
  <w:style w:type="paragraph" w:styleId="903">
    <w:name w:val="Footer"/>
    <w:basedOn w:val="878"/>
    <w:link w:val="1100"/>
    <w:uiPriority w:val="0"/>
    <w:qFormat/>
    <w:pPr>
      <w:jc w:val="left"/>
      <w:tabs>
        <w:tab w:val="center" w:pos="4153" w:leader="none"/>
        <w:tab w:val="right" w:pos="8306" w:leader="none"/>
      </w:tabs>
    </w:pPr>
    <w:rPr>
      <w:sz w:val="18"/>
    </w:rPr>
  </w:style>
  <w:style w:type="paragraph" w:styleId="904">
    <w:name w:val="Header"/>
    <w:basedOn w:val="878"/>
    <w:link w:val="110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5">
    <w:name w:val="toc 1"/>
    <w:basedOn w:val="878"/>
    <w:next w:val="878"/>
    <w:uiPriority w:val="39"/>
    <w:qFormat/>
    <w:pPr>
      <w:spacing w:after="57"/>
    </w:pPr>
  </w:style>
  <w:style w:type="paragraph" w:styleId="906">
    <w:name w:val="toc 4"/>
    <w:basedOn w:val="878"/>
    <w:next w:val="878"/>
    <w:uiPriority w:val="39"/>
    <w:qFormat/>
    <w:pPr>
      <w:ind w:left="850"/>
      <w:spacing w:after="57"/>
    </w:pPr>
  </w:style>
  <w:style w:type="paragraph" w:styleId="907">
    <w:name w:val="Subtitle"/>
    <w:basedOn w:val="878"/>
    <w:next w:val="878"/>
    <w:link w:val="951"/>
    <w:uiPriority w:val="11"/>
    <w:qFormat/>
    <w:pPr>
      <w:spacing w:before="200" w:after="200"/>
    </w:pPr>
    <w:rPr>
      <w:sz w:val="24"/>
      <w:szCs w:val="24"/>
    </w:rPr>
  </w:style>
  <w:style w:type="paragraph" w:styleId="908">
    <w:name w:val="footnote text"/>
    <w:basedOn w:val="878"/>
    <w:link w:val="1084"/>
    <w:uiPriority w:val="99"/>
    <w:qFormat/>
    <w:pPr>
      <w:spacing w:after="40"/>
    </w:pPr>
    <w:rPr>
      <w:sz w:val="18"/>
    </w:rPr>
  </w:style>
  <w:style w:type="paragraph" w:styleId="909">
    <w:name w:val="toc 6"/>
    <w:basedOn w:val="878"/>
    <w:next w:val="878"/>
    <w:uiPriority w:val="99"/>
    <w:qFormat/>
    <w:pPr>
      <w:ind w:left="1050"/>
      <w:jc w:val="left"/>
    </w:pPr>
    <w:rPr>
      <w:szCs w:val="21"/>
    </w:rPr>
  </w:style>
  <w:style w:type="paragraph" w:styleId="910">
    <w:name w:val="table of figures"/>
    <w:basedOn w:val="878"/>
    <w:next w:val="878"/>
    <w:uiPriority w:val="99"/>
    <w:qFormat/>
  </w:style>
  <w:style w:type="paragraph" w:styleId="911">
    <w:name w:val="toc 2"/>
    <w:basedOn w:val="878"/>
    <w:next w:val="878"/>
    <w:uiPriority w:val="39"/>
    <w:qFormat/>
    <w:pPr>
      <w:ind w:left="283"/>
      <w:spacing w:after="57"/>
    </w:pPr>
  </w:style>
  <w:style w:type="paragraph" w:styleId="912">
    <w:name w:val="toc 9"/>
    <w:basedOn w:val="878"/>
    <w:next w:val="878"/>
    <w:uiPriority w:val="39"/>
    <w:qFormat/>
    <w:pPr>
      <w:ind w:left="2268"/>
      <w:spacing w:after="57"/>
    </w:pPr>
  </w:style>
  <w:style w:type="paragraph" w:styleId="913">
    <w:name w:val="HTML Preformatted"/>
    <w:basedOn w:val="878"/>
    <w:link w:val="11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14">
    <w:name w:val="Normal (Web)"/>
    <w:basedOn w:val="878"/>
    <w:uiPriority w:val="0"/>
    <w:qFormat/>
    <w:pPr>
      <w:jc w:val="left"/>
      <w:spacing w:beforeAutospacing="1" w:afterAutospacing="1"/>
      <w:widowControl/>
    </w:pPr>
    <w:rPr>
      <w:rFonts w:hint="eastAsia" w:ascii="宋体" w:hAnsi="宋体"/>
      <w:sz w:val="24"/>
      <w:szCs w:val="24"/>
    </w:rPr>
  </w:style>
  <w:style w:type="paragraph" w:styleId="915">
    <w:name w:val="Title"/>
    <w:basedOn w:val="878"/>
    <w:next w:val="878"/>
    <w:link w:val="950"/>
    <w:uiPriority w:val="10"/>
    <w:qFormat/>
    <w:pPr>
      <w:contextualSpacing/>
      <w:spacing w:before="300" w:after="200"/>
    </w:pPr>
    <w:rPr>
      <w:sz w:val="48"/>
      <w:szCs w:val="48"/>
    </w:rPr>
  </w:style>
  <w:style w:type="paragraph" w:styleId="916">
    <w:name w:val="annotation subject"/>
    <w:basedOn w:val="893"/>
    <w:next w:val="893"/>
    <w:link w:val="1125"/>
    <w:uiPriority w:val="0"/>
    <w:qFormat/>
    <w:rPr>
      <w:b/>
      <w:bCs/>
    </w:rPr>
  </w:style>
  <w:style w:type="paragraph" w:styleId="917">
    <w:name w:val="Body Text First Indent"/>
    <w:basedOn w:val="894"/>
    <w:next w:val="909"/>
    <w:uiPriority w:val="99"/>
    <w:qFormat/>
    <w:pPr>
      <w:ind w:firstLine="420"/>
    </w:pPr>
  </w:style>
  <w:style w:type="paragraph" w:styleId="918">
    <w:name w:val="Body Text First Indent 2"/>
    <w:basedOn w:val="895"/>
    <w:uiPriority w:val="99"/>
    <w:qFormat/>
    <w:pPr>
      <w:ind w:left="0" w:firstLine="420"/>
      <w:spacing w:after="0" w:line="360" w:lineRule="auto"/>
    </w:pPr>
    <w:rPr>
      <w:rFonts w:ascii="宋体" w:hAnsi="宋体" w:eastAsia="宋体"/>
      <w:sz w:val="20"/>
    </w:rPr>
  </w:style>
  <w:style w:type="table" w:styleId="919">
    <w:name w:val="Table Grid"/>
    <w:basedOn w:val="8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uiPriority w:val="0"/>
    <w:qFormat/>
    <w:rPr>
      <w:b/>
      <w:bCs/>
    </w:rPr>
  </w:style>
  <w:style w:type="character" w:styleId="921">
    <w:name w:val="endnote reference"/>
    <w:basedOn w:val="888"/>
    <w:uiPriority w:val="99"/>
    <w:qFormat/>
    <w:rPr>
      <w:vertAlign w:val="superscript"/>
    </w:rPr>
  </w:style>
  <w:style w:type="character" w:styleId="922">
    <w:name w:val="page number"/>
    <w:basedOn w:val="888"/>
    <w:uiPriority w:val="0"/>
    <w:qFormat/>
  </w:style>
  <w:style w:type="character" w:styleId="923">
    <w:name w:val="FollowedHyperlink"/>
    <w:basedOn w:val="888"/>
    <w:uiPriority w:val="0"/>
    <w:qFormat/>
    <w:rPr>
      <w:color w:val="800080"/>
      <w:u w:val="single"/>
    </w:rPr>
  </w:style>
  <w:style w:type="character" w:styleId="924">
    <w:name w:val="Emphasis"/>
    <w:basedOn w:val="888"/>
    <w:uiPriority w:val="20"/>
    <w:qFormat/>
    <w:rPr>
      <w:i/>
    </w:rPr>
  </w:style>
  <w:style w:type="character" w:styleId="925">
    <w:name w:val="Hyperlink"/>
    <w:basedOn w:val="888"/>
    <w:uiPriority w:val="0"/>
    <w:qFormat/>
    <w:rPr>
      <w:color w:val="0000ff"/>
      <w:u w:val="single"/>
    </w:rPr>
  </w:style>
  <w:style w:type="character" w:styleId="926">
    <w:name w:val="annotation reference"/>
    <w:basedOn w:val="888"/>
    <w:uiPriority w:val="0"/>
    <w:qFormat/>
    <w:rPr>
      <w:sz w:val="21"/>
      <w:szCs w:val="21"/>
    </w:rPr>
  </w:style>
  <w:style w:type="character" w:styleId="927">
    <w:name w:val="footnote reference"/>
    <w:basedOn w:val="888"/>
    <w:uiPriority w:val="99"/>
    <w:qFormat/>
    <w:rPr>
      <w:vertAlign w:val="superscript"/>
    </w:rPr>
  </w:style>
  <w:style w:type="paragraph" w:styleId="928" w:customStyle="1">
    <w:name w:val="正文文本1"/>
    <w:basedOn w:val="878"/>
    <w:next w:val="878"/>
    <w:uiPriority w:val="0"/>
    <w:qFormat/>
    <w:rPr>
      <w:rFonts w:ascii="楷体_GB2312" w:hAnsi="Arial" w:eastAsia="楷体_GB2312"/>
      <w:sz w:val="28"/>
    </w:rPr>
  </w:style>
  <w:style w:type="character" w:styleId="929" w:customStyle="1">
    <w:name w:val="Heading 5 Char_dadd53c0-8f38-4f55-bcab-2bcdf1f3e634"/>
    <w:basedOn w:val="888"/>
    <w:uiPriority w:val="9"/>
    <w:qFormat/>
    <w:rPr>
      <w:rFonts w:ascii="Arial" w:hAnsi="Arial" w:eastAsia="Arial" w:cs="Arial"/>
      <w:b/>
      <w:bCs/>
      <w:sz w:val="24"/>
      <w:szCs w:val="24"/>
    </w:rPr>
  </w:style>
  <w:style w:type="character" w:styleId="930" w:customStyle="1">
    <w:name w:val="Heading 6 Char_7af03f61-ec2d-4f7b-ab91-d662190fe7e9"/>
    <w:basedOn w:val="888"/>
    <w:uiPriority w:val="9"/>
    <w:qFormat/>
    <w:rPr>
      <w:rFonts w:ascii="Arial" w:hAnsi="Arial" w:eastAsia="Arial" w:cs="Arial"/>
      <w:b/>
      <w:bCs/>
      <w:sz w:val="22"/>
      <w:szCs w:val="22"/>
    </w:rPr>
  </w:style>
  <w:style w:type="character" w:styleId="931" w:customStyle="1">
    <w:name w:val="Heading 7 Char_e5a13096-daca-4e09-a2cd-f4667f4f83a5"/>
    <w:basedOn w:val="888"/>
    <w:uiPriority w:val="9"/>
    <w:qFormat/>
    <w:rPr>
      <w:rFonts w:ascii="Arial" w:hAnsi="Arial" w:eastAsia="Arial" w:cs="Arial"/>
      <w:b/>
      <w:bCs/>
      <w:i/>
      <w:iCs/>
      <w:sz w:val="22"/>
      <w:szCs w:val="22"/>
    </w:rPr>
  </w:style>
  <w:style w:type="character" w:styleId="932" w:customStyle="1">
    <w:name w:val="Heading 8 Char_cf5750f9-ed2f-4d07-a8fe-748a8e46a50d"/>
    <w:basedOn w:val="888"/>
    <w:uiPriority w:val="9"/>
    <w:qFormat/>
    <w:rPr>
      <w:rFonts w:ascii="Arial" w:hAnsi="Arial" w:eastAsia="Arial" w:cs="Arial"/>
      <w:i/>
      <w:iCs/>
      <w:sz w:val="22"/>
      <w:szCs w:val="22"/>
    </w:rPr>
  </w:style>
  <w:style w:type="character" w:styleId="933" w:customStyle="1">
    <w:name w:val="Heading 9 Char_cd4a9d77-7969-43db-888e-757a9d1b64b0"/>
    <w:basedOn w:val="888"/>
    <w:uiPriority w:val="9"/>
    <w:qFormat/>
    <w:rPr>
      <w:rFonts w:ascii="Arial" w:hAnsi="Arial" w:eastAsia="Arial" w:cs="Arial"/>
      <w:i/>
      <w:iCs/>
      <w:sz w:val="21"/>
      <w:szCs w:val="21"/>
    </w:rPr>
  </w:style>
  <w:style w:type="character" w:styleId="934" w:customStyle="1">
    <w:name w:val="Title Char_f7e2b8e9-d283-4953-900f-f7f821e762da"/>
    <w:basedOn w:val="888"/>
    <w:uiPriority w:val="10"/>
    <w:qFormat/>
    <w:rPr>
      <w:sz w:val="48"/>
      <w:szCs w:val="48"/>
    </w:rPr>
  </w:style>
  <w:style w:type="character" w:styleId="935" w:customStyle="1">
    <w:name w:val="Subtitle Char"/>
    <w:basedOn w:val="888"/>
    <w:uiPriority w:val="11"/>
    <w:qFormat/>
    <w:rPr>
      <w:sz w:val="24"/>
      <w:szCs w:val="24"/>
    </w:rPr>
  </w:style>
  <w:style w:type="character" w:styleId="936" w:customStyle="1">
    <w:name w:val="Quote Char_7520f436-0df6-43b0-b9b5-d131c655b0f0"/>
    <w:uiPriority w:val="29"/>
    <w:qFormat/>
    <w:rPr>
      <w:i/>
    </w:rPr>
  </w:style>
  <w:style w:type="character" w:styleId="937" w:customStyle="1">
    <w:name w:val="Intense Quote Char_d2ce13f9-5c06-4d33-9e49-2bc1df7e704c"/>
    <w:uiPriority w:val="30"/>
    <w:qFormat/>
    <w:rPr>
      <w:i/>
    </w:rPr>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Heading_48892d7f-5e29-4b90-b948-c0579e100026"/>
    <w:uiPriority w:val="39"/>
    <w:qFormat/>
    <w:rPr>
      <w:rFonts w:ascii="Times New Roman" w:hAnsi="Times New Roman" w:eastAsia="宋体" w:cs="Times New Roman"/>
      <w:lang w:val="en-US" w:eastAsia="zh-CN" w:bidi="ar-SA"/>
    </w:rPr>
  </w:style>
  <w:style w:type="character" w:styleId="941" w:customStyle="1">
    <w:name w:val="Heading 1 Char_df37836f-815c-4778-aa14-6241fba9327e"/>
    <w:basedOn w:val="888"/>
    <w:uiPriority w:val="9"/>
    <w:qFormat/>
    <w:rPr>
      <w:rFonts w:ascii="Arial" w:hAnsi="Arial" w:eastAsia="Arial" w:cs="Arial"/>
      <w:sz w:val="40"/>
      <w:szCs w:val="40"/>
    </w:rPr>
  </w:style>
  <w:style w:type="character" w:styleId="942" w:customStyle="1">
    <w:name w:val="Heading 2 Char_1858e92c-0070-4339-a381-e97f1caf6e71"/>
    <w:basedOn w:val="888"/>
    <w:uiPriority w:val="9"/>
    <w:qFormat/>
    <w:rPr>
      <w:rFonts w:ascii="Arial" w:hAnsi="Arial" w:eastAsia="Arial" w:cs="Arial"/>
      <w:sz w:val="34"/>
    </w:rPr>
  </w:style>
  <w:style w:type="character" w:styleId="943" w:customStyle="1">
    <w:name w:val="Heading 3 Char_5d10c7fe-7a13-4ff6-9891-d1e60c4b88f2"/>
    <w:basedOn w:val="888"/>
    <w:uiPriority w:val="9"/>
    <w:qFormat/>
    <w:rPr>
      <w:rFonts w:ascii="Arial" w:hAnsi="Arial" w:eastAsia="Arial" w:cs="Arial"/>
      <w:sz w:val="30"/>
      <w:szCs w:val="30"/>
    </w:rPr>
  </w:style>
  <w:style w:type="character" w:styleId="944" w:customStyle="1">
    <w:name w:val="Heading 4 Char_dee7834b-d294-4468-bbaa-071bce0866d9"/>
    <w:basedOn w:val="888"/>
    <w:uiPriority w:val="9"/>
    <w:qFormat/>
    <w:rPr>
      <w:rFonts w:ascii="Arial" w:hAnsi="Arial" w:eastAsia="Arial" w:cs="Arial"/>
      <w:b/>
      <w:bCs/>
      <w:sz w:val="26"/>
      <w:szCs w:val="26"/>
    </w:rPr>
  </w:style>
  <w:style w:type="character" w:styleId="945" w:customStyle="1">
    <w:name w:val="标题 5 Char"/>
    <w:basedOn w:val="888"/>
    <w:link w:val="883"/>
    <w:uiPriority w:val="9"/>
    <w:qFormat/>
    <w:rPr>
      <w:rFonts w:ascii="Arial" w:hAnsi="Arial" w:eastAsia="Arial" w:cs="Arial"/>
      <w:b/>
      <w:bCs/>
      <w:sz w:val="24"/>
      <w:szCs w:val="24"/>
    </w:rPr>
  </w:style>
  <w:style w:type="character" w:styleId="946" w:customStyle="1">
    <w:name w:val="标题 6 Char"/>
    <w:basedOn w:val="888"/>
    <w:link w:val="884"/>
    <w:uiPriority w:val="9"/>
    <w:qFormat/>
    <w:rPr>
      <w:rFonts w:ascii="Arial" w:hAnsi="Arial" w:eastAsia="Arial" w:cs="Arial"/>
      <w:b/>
      <w:bCs/>
      <w:sz w:val="22"/>
      <w:szCs w:val="22"/>
    </w:rPr>
  </w:style>
  <w:style w:type="character" w:styleId="947" w:customStyle="1">
    <w:name w:val="标题 7 Char"/>
    <w:basedOn w:val="888"/>
    <w:link w:val="885"/>
    <w:uiPriority w:val="9"/>
    <w:qFormat/>
    <w:rPr>
      <w:rFonts w:ascii="Arial" w:hAnsi="Arial" w:eastAsia="Arial" w:cs="Arial"/>
      <w:b/>
      <w:bCs/>
      <w:i/>
      <w:iCs/>
      <w:sz w:val="22"/>
      <w:szCs w:val="22"/>
    </w:rPr>
  </w:style>
  <w:style w:type="character" w:styleId="948" w:customStyle="1">
    <w:name w:val="标题 8 Char"/>
    <w:basedOn w:val="888"/>
    <w:link w:val="886"/>
    <w:uiPriority w:val="9"/>
    <w:qFormat/>
    <w:rPr>
      <w:rFonts w:ascii="Arial" w:hAnsi="Arial" w:eastAsia="Arial" w:cs="Arial"/>
      <w:i/>
      <w:iCs/>
      <w:sz w:val="22"/>
      <w:szCs w:val="22"/>
    </w:rPr>
  </w:style>
  <w:style w:type="character" w:styleId="949" w:customStyle="1">
    <w:name w:val="标题 9 Char"/>
    <w:basedOn w:val="888"/>
    <w:link w:val="887"/>
    <w:uiPriority w:val="9"/>
    <w:qFormat/>
    <w:rPr>
      <w:rFonts w:ascii="Arial" w:hAnsi="Arial" w:eastAsia="Arial" w:cs="Arial"/>
      <w:i/>
      <w:iCs/>
      <w:sz w:val="21"/>
      <w:szCs w:val="21"/>
    </w:rPr>
  </w:style>
  <w:style w:type="character" w:styleId="950" w:customStyle="1">
    <w:name w:val="标题 Char"/>
    <w:basedOn w:val="888"/>
    <w:link w:val="915"/>
    <w:uiPriority w:val="10"/>
    <w:qFormat/>
    <w:rPr>
      <w:sz w:val="48"/>
      <w:szCs w:val="48"/>
    </w:rPr>
  </w:style>
  <w:style w:type="character" w:styleId="951" w:customStyle="1">
    <w:name w:val="副标题 Char"/>
    <w:basedOn w:val="888"/>
    <w:link w:val="907"/>
    <w:uiPriority w:val="11"/>
    <w:qFormat/>
    <w:rPr>
      <w:sz w:val="24"/>
      <w:szCs w:val="24"/>
    </w:rPr>
  </w:style>
  <w:style w:type="paragraph" w:styleId="952">
    <w:name w:val="Quote"/>
    <w:basedOn w:val="878"/>
    <w:next w:val="878"/>
    <w:link w:val="953"/>
    <w:uiPriority w:val="29"/>
    <w:qFormat/>
    <w:pPr>
      <w:ind w:left="720" w:right="720"/>
    </w:pPr>
    <w:rPr>
      <w:i/>
    </w:rPr>
  </w:style>
  <w:style w:type="character" w:styleId="953" w:customStyle="1">
    <w:name w:val="引用 Char"/>
    <w:link w:val="952"/>
    <w:uiPriority w:val="29"/>
    <w:qFormat/>
    <w:rPr>
      <w:i/>
    </w:rPr>
  </w:style>
  <w:style w:type="paragraph" w:styleId="954">
    <w:name w:val="Intense Quote"/>
    <w:basedOn w:val="878"/>
    <w:next w:val="878"/>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Char"/>
    <w:link w:val="954"/>
    <w:uiPriority w:val="30"/>
    <w:qFormat/>
    <w:rPr>
      <w:i/>
    </w:rPr>
  </w:style>
  <w:style w:type="character" w:styleId="956" w:customStyle="1">
    <w:name w:val="Header Char_9a8cf32b-cfe8-49f0-9e4d-1881769e6574"/>
    <w:basedOn w:val="888"/>
    <w:uiPriority w:val="99"/>
    <w:qFormat/>
  </w:style>
  <w:style w:type="character" w:styleId="957" w:customStyle="1">
    <w:name w:val="Footer Char_67e98b2e-e693-4351-a2a5-c50d9e08f645"/>
    <w:basedOn w:val="888"/>
    <w:uiPriority w:val="99"/>
    <w:qFormat/>
  </w:style>
  <w:style w:type="character" w:styleId="958" w:customStyle="1">
    <w:name w:val="Caption Char"/>
    <w:uiPriority w:val="99"/>
    <w:qFormat/>
  </w:style>
  <w:style w:type="table" w:styleId="959" w:customStyle="1">
    <w:name w:val="Table Grid Light"/>
    <w:basedOn w:val="8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0" w:customStyle="1">
    <w:name w:val="Plain Table 1"/>
    <w:basedOn w:val="88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88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8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8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8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88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72" w:customStyle="1">
    <w:name w:val="Grid Table 2"/>
    <w:basedOn w:val="88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73" w:customStyle="1">
    <w:name w:val="Grid Table 2 - Accent 1"/>
    <w:basedOn w:val="889"/>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74" w:customStyle="1">
    <w:name w:val="Grid Table 2 - Accent 2"/>
    <w:basedOn w:val="88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75" w:customStyle="1">
    <w:name w:val="Grid Table 2 - Accent 3"/>
    <w:basedOn w:val="88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76" w:customStyle="1">
    <w:name w:val="Grid Table 2 - Accent 4"/>
    <w:basedOn w:val="88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77" w:customStyle="1">
    <w:name w:val="Grid Table 2 - Accent 5"/>
    <w:basedOn w:val="889"/>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78" w:customStyle="1">
    <w:name w:val="Grid Table 2 - Accent 6"/>
    <w:basedOn w:val="88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79" w:customStyle="1">
    <w:name w:val="Grid Table 3"/>
    <w:basedOn w:val="889"/>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89"/>
    <w:uiPriority w:val="99"/>
    <w:qFormat/>
    <w:tblPr>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89"/>
    <w:uiPriority w:val="99"/>
    <w:qFormat/>
    <w:tblPr>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89"/>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89"/>
    <w:uiPriority w:val="99"/>
    <w:qFormat/>
    <w:tblPr>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89"/>
    <w:uiPriority w:val="99"/>
    <w:qFormat/>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89"/>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88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7" w:customStyle="1">
    <w:name w:val="Grid Table 4 - Accent 1"/>
    <w:basedOn w:val="88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88" w:customStyle="1">
    <w:name w:val="Grid Table 4 - Accent 2"/>
    <w:basedOn w:val="88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89" w:customStyle="1">
    <w:name w:val="Grid Table 4 - Accent 3"/>
    <w:basedOn w:val="88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90" w:customStyle="1">
    <w:name w:val="Grid Table 4 - Accent 4"/>
    <w:basedOn w:val="88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91" w:customStyle="1">
    <w:name w:val="Grid Table 4 - Accent 5"/>
    <w:basedOn w:val="88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92" w:customStyle="1">
    <w:name w:val="Grid Table 4 - Accent 6"/>
    <w:basedOn w:val="88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93" w:customStyle="1">
    <w:name w:val="Grid Table 5 Dark"/>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94" w:customStyle="1">
    <w:name w:val="Grid Table 5 Dark- Accent 1"/>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95" w:customStyle="1">
    <w:name w:val="Grid Table 5 Dark - Accent 2"/>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96" w:customStyle="1">
    <w:name w:val="Grid Table 5 Dark - Accent 3"/>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97" w:customStyle="1">
    <w:name w:val="Grid Table 5 Dark- Accent 4"/>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98" w:customStyle="1">
    <w:name w:val="Grid Table 5 Dark - Accent 5"/>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99" w:customStyle="1">
    <w:name w:val="Grid Table 5 Dark - Accent 6"/>
    <w:basedOn w:val="88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00" w:customStyle="1">
    <w:name w:val="Grid Table 6 Colorful"/>
    <w:basedOn w:val="88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01" w:customStyle="1">
    <w:name w:val="Grid Table 6 Colorful - Accent 1"/>
    <w:basedOn w:val="889"/>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1002" w:customStyle="1">
    <w:name w:val="Grid Table 6 Colorful - Accent 2"/>
    <w:basedOn w:val="88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1003" w:customStyle="1">
    <w:name w:val="Grid Table 6 Colorful - Accent 3"/>
    <w:basedOn w:val="88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04" w:customStyle="1">
    <w:name w:val="Grid Table 6 Colorful - Accent 4"/>
    <w:basedOn w:val="88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1005" w:customStyle="1">
    <w:name w:val="Grid Table 6 Colorful - Accent 5"/>
    <w:basedOn w:val="88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1006" w:customStyle="1">
    <w:name w:val="Grid Table 6 Colorful - Accent 6"/>
    <w:basedOn w:val="88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1007" w:customStyle="1">
    <w:name w:val="Grid Table 7 Colorful"/>
    <w:basedOn w:val="889"/>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8" w:customStyle="1">
    <w:name w:val="Grid Table 7 Colorful - Accent 1"/>
    <w:basedOn w:val="889"/>
    <w:uiPriority w:val="99"/>
    <w:qFormat/>
    <w:tblPr>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1009" w:customStyle="1">
    <w:name w:val="Grid Table 7 Colorful - Accent 2"/>
    <w:basedOn w:val="889"/>
    <w:uiPriority w:val="99"/>
    <w:qFormat/>
    <w:tblPr>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10" w:customStyle="1">
    <w:name w:val="Grid Table 7 Colorful - Accent 3"/>
    <w:basedOn w:val="889"/>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11" w:customStyle="1">
    <w:name w:val="Grid Table 7 Colorful - Accent 4"/>
    <w:basedOn w:val="889"/>
    <w:uiPriority w:val="99"/>
    <w:qFormat/>
    <w:tblPr>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12" w:customStyle="1">
    <w:name w:val="Grid Table 7 Colorful - Accent 5"/>
    <w:basedOn w:val="889"/>
    <w:uiPriority w:val="99"/>
    <w:qFormat/>
    <w:tblPr>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013" w:customStyle="1">
    <w:name w:val="Grid Table 7 Colorful - Accent 6"/>
    <w:basedOn w:val="889"/>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14" w:customStyle="1">
    <w:name w:val="List Table 1 Light"/>
    <w:basedOn w:val="889"/>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5" w:customStyle="1">
    <w:name w:val="List Table 1 Light - Accent 1"/>
    <w:basedOn w:val="889"/>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16" w:customStyle="1">
    <w:name w:val="List Table 1 Light - Accent 2"/>
    <w:basedOn w:val="889"/>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17" w:customStyle="1">
    <w:name w:val="List Table 1 Light - Accent 3"/>
    <w:basedOn w:val="889"/>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18" w:customStyle="1">
    <w:name w:val="List Table 1 Light - Accent 4"/>
    <w:basedOn w:val="889"/>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19" w:customStyle="1">
    <w:name w:val="List Table 1 Light - Accent 5"/>
    <w:basedOn w:val="889"/>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20" w:customStyle="1">
    <w:name w:val="List Table 1 Light - Accent 6"/>
    <w:basedOn w:val="889"/>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21" w:customStyle="1">
    <w:name w:val="List Table 2"/>
    <w:basedOn w:val="889"/>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22" w:customStyle="1">
    <w:name w:val="List Table 2 - Accent 1"/>
    <w:basedOn w:val="889"/>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23" w:customStyle="1">
    <w:name w:val="List Table 2 - Accent 2"/>
    <w:basedOn w:val="889"/>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24" w:customStyle="1">
    <w:name w:val="List Table 2 - Accent 3"/>
    <w:basedOn w:val="889"/>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25" w:customStyle="1">
    <w:name w:val="List Table 2 - Accent 4"/>
    <w:basedOn w:val="889"/>
    <w:uiPriority w:val="99"/>
    <w:qFormat/>
    <w:tblPr>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1026" w:customStyle="1">
    <w:name w:val="List Table 2 - Accent 5"/>
    <w:basedOn w:val="889"/>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27" w:customStyle="1">
    <w:name w:val="List Table 2 - Accent 6"/>
    <w:basedOn w:val="889"/>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28" w:customStyle="1">
    <w:name w:val="List Table 3"/>
    <w:basedOn w:val="889"/>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9" w:customStyle="1">
    <w:name w:val="List Table 3 - Accent 1"/>
    <w:basedOn w:val="889"/>
    <w:uiPriority w:val="99"/>
    <w:qFormat/>
    <w:tblPr>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30" w:customStyle="1">
    <w:name w:val="List Table 3 - Accent 2"/>
    <w:basedOn w:val="889"/>
    <w:uiPriority w:val="99"/>
    <w:qFormat/>
    <w:tblPr>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1031" w:customStyle="1">
    <w:name w:val="List Table 3 - Accent 3"/>
    <w:basedOn w:val="889"/>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32" w:customStyle="1">
    <w:name w:val="List Table 3 - Accent 4"/>
    <w:basedOn w:val="889"/>
    <w:uiPriority w:val="99"/>
    <w:qFormat/>
    <w:tblPr>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1033" w:customStyle="1">
    <w:name w:val="List Table 3 - Accent 5"/>
    <w:basedOn w:val="889"/>
    <w:uiPriority w:val="99"/>
    <w:qFormat/>
    <w:tblPr>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1034" w:customStyle="1">
    <w:name w:val="List Table 3 - Accent 6"/>
    <w:basedOn w:val="889"/>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35" w:customStyle="1">
    <w:name w:val="List Table 4"/>
    <w:basedOn w:val="88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6" w:customStyle="1">
    <w:name w:val="List Table 4 - Accent 1"/>
    <w:basedOn w:val="88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37" w:customStyle="1">
    <w:name w:val="List Table 4 - Accent 2"/>
    <w:basedOn w:val="88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38" w:customStyle="1">
    <w:name w:val="List Table 4 - Accent 3"/>
    <w:basedOn w:val="88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39" w:customStyle="1">
    <w:name w:val="List Table 4 - Accent 4"/>
    <w:basedOn w:val="88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40" w:customStyle="1">
    <w:name w:val="List Table 4 - Accent 5"/>
    <w:basedOn w:val="88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41" w:customStyle="1">
    <w:name w:val="List Table 4 - Accent 6"/>
    <w:basedOn w:val="88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42" w:customStyle="1">
    <w:name w:val="List Table 5 Dark"/>
    <w:basedOn w:val="889"/>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43" w:customStyle="1">
    <w:name w:val="List Table 5 Dark - Accent 1"/>
    <w:basedOn w:val="889"/>
    <w:uiPriority w:val="99"/>
    <w:qFormat/>
    <w:tblPr>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044" w:customStyle="1">
    <w:name w:val="List Table 5 Dark - Accent 2"/>
    <w:basedOn w:val="889"/>
    <w:uiPriority w:val="99"/>
    <w:qFormat/>
    <w:tblPr>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1045" w:customStyle="1">
    <w:name w:val="List Table 5 Dark - Accent 3"/>
    <w:basedOn w:val="889"/>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46" w:customStyle="1">
    <w:name w:val="List Table 5 Dark - Accent 4"/>
    <w:basedOn w:val="889"/>
    <w:uiPriority w:val="99"/>
    <w:qFormat/>
    <w:tblPr>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1047" w:customStyle="1">
    <w:name w:val="List Table 5 Dark - Accent 5"/>
    <w:basedOn w:val="889"/>
    <w:uiPriority w:val="99"/>
    <w:qFormat/>
    <w:tblPr>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1048" w:customStyle="1">
    <w:name w:val="List Table 5 Dark - Accent 6"/>
    <w:basedOn w:val="889"/>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49" w:customStyle="1">
    <w:name w:val="List Table 6 Colorful"/>
    <w:basedOn w:val="889"/>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50" w:customStyle="1">
    <w:name w:val="List Table 6 Colorful - Accent 1"/>
    <w:basedOn w:val="889"/>
    <w:uiPriority w:val="99"/>
    <w:qFormat/>
    <w:tblPr>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1051" w:customStyle="1">
    <w:name w:val="List Table 6 Colorful - Accent 2"/>
    <w:basedOn w:val="889"/>
    <w:uiPriority w:val="99"/>
    <w:qFormat/>
    <w:tblPr>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1052" w:customStyle="1">
    <w:name w:val="List Table 6 Colorful - Accent 3"/>
    <w:basedOn w:val="889"/>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53" w:customStyle="1">
    <w:name w:val="List Table 6 Colorful - Accent 4"/>
    <w:basedOn w:val="889"/>
    <w:uiPriority w:val="99"/>
    <w:qFormat/>
    <w:tblPr>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1054" w:customStyle="1">
    <w:name w:val="List Table 6 Colorful - Accent 5"/>
    <w:basedOn w:val="889"/>
    <w:uiPriority w:val="99"/>
    <w:qFormat/>
    <w:tblPr>
      <w:tblBorders>
        <w:top w:val="single" w:color="8EA9DB" w:sz="4" w:space="0"/>
        <w:bottom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1055" w:customStyle="1">
    <w:name w:val="List Table 6 Colorful - Accent 6"/>
    <w:basedOn w:val="889"/>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56" w:customStyle="1">
    <w:name w:val="List Table 7 Colorful"/>
    <w:basedOn w:val="889"/>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57" w:customStyle="1">
    <w:name w:val="List Table 7 Colorful - Accent 1"/>
    <w:basedOn w:val="889"/>
    <w:uiPriority w:val="99"/>
    <w:qFormat/>
    <w:tblPr>
      <w:tblBorders>
        <w:right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58" w:customStyle="1">
    <w:name w:val="List Table 7 Colorful - Accent 2"/>
    <w:basedOn w:val="889"/>
    <w:uiPriority w:val="99"/>
    <w:qFormat/>
    <w:tblPr>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59" w:customStyle="1">
    <w:name w:val="List Table 7 Colorful - Accent 3"/>
    <w:basedOn w:val="889"/>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60" w:customStyle="1">
    <w:name w:val="List Table 7 Colorful - Accent 4"/>
    <w:basedOn w:val="889"/>
    <w:uiPriority w:val="99"/>
    <w:qFormat/>
    <w:tblPr>
      <w:tblBorders>
        <w:right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61" w:customStyle="1">
    <w:name w:val="List Table 7 Colorful - Accent 5"/>
    <w:basedOn w:val="889"/>
    <w:uiPriority w:val="99"/>
    <w:qFormat/>
    <w:tblPr>
      <w:tblBorders>
        <w:right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62" w:customStyle="1">
    <w:name w:val="List Table 7 Colorful - Accent 6"/>
    <w:basedOn w:val="889"/>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63" w:customStyle="1">
    <w:name w:val="Lined - Accent"/>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4" w:customStyle="1">
    <w:name w:val="Lined - Accent 1"/>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65" w:customStyle="1">
    <w:name w:val="Lined - Accent 2"/>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66" w:customStyle="1">
    <w:name w:val="Lined - Accent 3"/>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67" w:customStyle="1">
    <w:name w:val="Lined - Accent 4"/>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68" w:customStyle="1">
    <w:name w:val="Lined - Accent 5"/>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69" w:customStyle="1">
    <w:name w:val="Lined - Accent 6"/>
    <w:basedOn w:val="8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70" w:customStyle="1">
    <w:name w:val="Bordered &amp; Lined - Accent"/>
    <w:basedOn w:val="88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1" w:customStyle="1">
    <w:name w:val="Bordered &amp; Lined - Accent 1"/>
    <w:basedOn w:val="88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72" w:customStyle="1">
    <w:name w:val="Bordered &amp; Lined - Accent 2"/>
    <w:basedOn w:val="88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73" w:customStyle="1">
    <w:name w:val="Bordered &amp; Lined - Accent 3"/>
    <w:basedOn w:val="88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74" w:customStyle="1">
    <w:name w:val="Bordered &amp; Lined - Accent 4"/>
    <w:basedOn w:val="88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75" w:customStyle="1">
    <w:name w:val="Bordered &amp; Lined - Accent 5"/>
    <w:basedOn w:val="88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76" w:customStyle="1">
    <w:name w:val="Bordered &amp; Lined - Accent 6"/>
    <w:basedOn w:val="88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77" w:customStyle="1">
    <w:name w:val="Bordered"/>
    <w:basedOn w:val="88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78" w:customStyle="1">
    <w:name w:val="Bordered - Accent 1"/>
    <w:basedOn w:val="88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79" w:customStyle="1">
    <w:name w:val="Bordered - Accent 2"/>
    <w:basedOn w:val="88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80" w:customStyle="1">
    <w:name w:val="Bordered - Accent 3"/>
    <w:basedOn w:val="88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81" w:customStyle="1">
    <w:name w:val="Bordered - Accent 4"/>
    <w:basedOn w:val="88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82" w:customStyle="1">
    <w:name w:val="Bordered - Accent 5"/>
    <w:basedOn w:val="88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83" w:customStyle="1">
    <w:name w:val="Bordered - Accent 6"/>
    <w:basedOn w:val="88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84" w:customStyle="1">
    <w:name w:val="脚注文本 Char"/>
    <w:link w:val="908"/>
    <w:uiPriority w:val="99"/>
    <w:qFormat/>
    <w:rPr>
      <w:sz w:val="18"/>
    </w:rPr>
  </w:style>
  <w:style w:type="character" w:styleId="1085" w:customStyle="1">
    <w:name w:val="尾注文本 Char"/>
    <w:link w:val="901"/>
    <w:uiPriority w:val="99"/>
    <w:qFormat/>
    <w:rPr>
      <w:sz w:val="20"/>
    </w:rPr>
  </w:style>
  <w:style w:type="paragraph" w:styleId="1086" w:customStyle="1">
    <w:name w:val="TOC 标题1"/>
    <w:uiPriority w:val="39"/>
    <w:qFormat/>
    <w:rPr>
      <w:rFonts w:ascii="Times New Roman" w:hAnsi="Times New Roman" w:eastAsia="宋体" w:cs="Times New Roman"/>
      <w:lang w:val="en-US" w:eastAsia="zh-CN" w:bidi="ar-SA"/>
    </w:rPr>
  </w:style>
  <w:style w:type="paragraph" w:styleId="1087" w:customStyle="1">
    <w:name w:val="首行缩进"/>
    <w:basedOn w:val="878"/>
    <w:uiPriority w:val="99"/>
    <w:qFormat/>
    <w:pPr>
      <w:ind w:left="420" w:firstLine="480"/>
      <w:spacing w:line="400" w:lineRule="exact"/>
    </w:pPr>
  </w:style>
  <w:style w:type="paragraph" w:styleId="1088">
    <w:name w:val="List Paragraph"/>
    <w:basedOn w:val="878"/>
    <w:next w:val="893"/>
    <w:uiPriority w:val="34"/>
    <w:qFormat/>
    <w:pPr>
      <w:ind w:firstLine="420"/>
    </w:pPr>
    <w:rPr>
      <w:szCs w:val="24"/>
    </w:rPr>
  </w:style>
  <w:style w:type="paragraph" w:styleId="1089" w:customStyle="1">
    <w:name w:val="标题 41"/>
    <w:basedOn w:val="878"/>
    <w:next w:val="878"/>
    <w:uiPriority w:val="0"/>
    <w:qFormat/>
    <w:pPr>
      <w:keepLines/>
      <w:keepNext/>
      <w:spacing w:before="120" w:after="120"/>
    </w:pPr>
    <w:rPr>
      <w:rFonts w:ascii="Arial" w:hAnsi="Arial" w:eastAsia="黑体"/>
      <w:b/>
      <w:sz w:val="28"/>
    </w:rPr>
  </w:style>
  <w:style w:type="paragraph" w:styleId="1090" w:customStyle="1">
    <w:name w:val="正文缩进1"/>
    <w:basedOn w:val="878"/>
    <w:uiPriority w:val="0"/>
    <w:qFormat/>
    <w:pPr>
      <w:ind w:firstLine="420"/>
    </w:pPr>
  </w:style>
  <w:style w:type="paragraph" w:styleId="10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2" w:customStyle="1">
    <w:name w:val="段"/>
    <w:uiPriority w:val="0"/>
    <w:qFormat/>
    <w:pPr>
      <w:ind w:firstLine="200"/>
      <w:jc w:val="both"/>
    </w:pPr>
    <w:rPr>
      <w:rFonts w:ascii="宋体" w:hAnsi="Times New Roman" w:eastAsia="宋体" w:cs="Times New Roman"/>
      <w:sz w:val="21"/>
      <w:lang w:val="en-US" w:eastAsia="zh-CN" w:bidi="ar-SA"/>
    </w:rPr>
  </w:style>
  <w:style w:type="paragraph" w:styleId="1093" w:customStyle="1">
    <w:name w:val="正文文本缩进 31"/>
    <w:basedOn w:val="878"/>
    <w:uiPriority w:val="0"/>
    <w:qFormat/>
    <w:pPr>
      <w:ind w:firstLine="504"/>
      <w:spacing w:line="360" w:lineRule="auto"/>
      <w:tabs>
        <w:tab w:val="left" w:pos="0" w:leader="none"/>
      </w:tabs>
    </w:pPr>
    <w:rPr>
      <w:rFonts w:ascii="宋体"/>
      <w:b/>
      <w:bCs/>
      <w:sz w:val="24"/>
      <w:szCs w:val="24"/>
    </w:rPr>
  </w:style>
  <w:style w:type="paragraph" w:styleId="1094" w:customStyle="1">
    <w:name w:val="Table Paragraph"/>
    <w:basedOn w:val="878"/>
    <w:uiPriority w:val="1"/>
    <w:qFormat/>
    <w:rPr>
      <w:rFonts w:ascii="宋体" w:hAnsi="宋体" w:cs="宋体"/>
      <w:lang w:val="zh-CN" w:bidi="zh-CN"/>
    </w:rPr>
  </w:style>
  <w:style w:type="paragraph" w:styleId="1095" w:customStyle="1">
    <w:name w:val="列出段落1"/>
    <w:basedOn w:val="878"/>
    <w:uiPriority w:val="99"/>
    <w:qFormat/>
    <w:pPr>
      <w:ind w:firstLine="420"/>
    </w:pPr>
  </w:style>
  <w:style w:type="character" w:styleId="1096" w:customStyle="1">
    <w:name w:val="标题 4 Char"/>
    <w:basedOn w:val="888"/>
    <w:link w:val="882"/>
    <w:uiPriority w:val="0"/>
    <w:qFormat/>
    <w:rPr>
      <w:rFonts w:ascii="Cambria" w:hAnsi="Cambria" w:eastAsia="宋体" w:cs="Times New Roman"/>
      <w:b/>
      <w:sz w:val="28"/>
      <w:szCs w:val="28"/>
    </w:rPr>
  </w:style>
  <w:style w:type="paragraph" w:styleId="1097" w:customStyle="1">
    <w:name w:val="标题 411"/>
    <w:basedOn w:val="878"/>
    <w:next w:val="1098"/>
    <w:uiPriority w:val="0"/>
    <w:qFormat/>
    <w:pPr>
      <w:ind w:left="618"/>
      <w:jc w:val="left"/>
      <w:outlineLvl w:val="4"/>
    </w:pPr>
    <w:rPr>
      <w:rFonts w:hint="eastAsia" w:ascii="宋体" w:hAnsi="宋体"/>
      <w:b/>
      <w:sz w:val="24"/>
      <w:szCs w:val="24"/>
    </w:rPr>
  </w:style>
  <w:style w:type="paragraph" w:styleId="1098" w:customStyle="1">
    <w:name w:val="正文1"/>
    <w:basedOn w:val="878"/>
    <w:next w:val="1097"/>
    <w:uiPriority w:val="0"/>
    <w:qFormat/>
    <w:pPr>
      <w:ind w:firstLine="510"/>
      <w:spacing w:before="156" w:line="360" w:lineRule="auto"/>
    </w:pPr>
    <w:rPr>
      <w:sz w:val="24"/>
    </w:rPr>
  </w:style>
  <w:style w:type="character" w:styleId="1099" w:customStyle="1">
    <w:name w:val="正文文本 Char"/>
    <w:basedOn w:val="888"/>
    <w:link w:val="894"/>
    <w:uiPriority w:val="0"/>
    <w:qFormat/>
    <w:rPr>
      <w:rFonts w:hint="default" w:ascii="Times New Roman" w:hAnsi="Times New Roman" w:eastAsia="宋体" w:cs="Times New Roman"/>
      <w:sz w:val="24"/>
      <w:szCs w:val="24"/>
    </w:rPr>
  </w:style>
  <w:style w:type="character" w:styleId="1100" w:customStyle="1">
    <w:name w:val="页脚 Char"/>
    <w:basedOn w:val="888"/>
    <w:link w:val="903"/>
    <w:uiPriority w:val="0"/>
    <w:qFormat/>
    <w:rPr>
      <w:rFonts w:hint="default" w:ascii="Times New Roman" w:hAnsi="Times New Roman" w:eastAsia="宋体" w:cs="Times New Roman"/>
      <w:sz w:val="18"/>
      <w:szCs w:val="18"/>
    </w:rPr>
  </w:style>
  <w:style w:type="character" w:styleId="1101" w:customStyle="1">
    <w:name w:val="页眉 Char"/>
    <w:basedOn w:val="888"/>
    <w:link w:val="904"/>
    <w:uiPriority w:val="0"/>
    <w:qFormat/>
    <w:rPr>
      <w:rFonts w:hint="default" w:ascii="Times New Roman" w:hAnsi="Times New Roman" w:eastAsia="宋体" w:cs="Times New Roman"/>
      <w:sz w:val="18"/>
      <w:szCs w:val="18"/>
    </w:rPr>
  </w:style>
  <w:style w:type="paragraph" w:styleId="1102" w:customStyle="1">
    <w:name w:val="ewb-con-p2"/>
    <w:basedOn w:val="878"/>
    <w:uiPriority w:val="0"/>
    <w:qFormat/>
    <w:pPr>
      <w:jc w:val="left"/>
      <w:spacing w:before="100" w:beforeAutospacing="1" w:after="100" w:afterAutospacing="1"/>
      <w:widowControl/>
    </w:pPr>
    <w:rPr>
      <w:rFonts w:ascii="宋体" w:hAnsi="宋体" w:cs="宋体"/>
      <w:sz w:val="24"/>
    </w:rPr>
  </w:style>
  <w:style w:type="paragraph" w:styleId="1103" w:customStyle="1">
    <w:name w:val="正文2"/>
    <w:basedOn w:val="878"/>
    <w:uiPriority w:val="0"/>
    <w:qFormat/>
    <w:pPr>
      <w:ind w:firstLine="510"/>
      <w:spacing w:before="156" w:line="360" w:lineRule="auto"/>
    </w:pPr>
    <w:rPr>
      <w:sz w:val="24"/>
    </w:rPr>
  </w:style>
  <w:style w:type="character" w:styleId="1104" w:customStyle="1">
    <w:name w:val="标题 3 Char1"/>
    <w:basedOn w:val="888"/>
    <w:uiPriority w:val="0"/>
    <w:qFormat/>
    <w:rPr>
      <w:b/>
      <w:bCs/>
      <w:sz w:val="32"/>
      <w:szCs w:val="32"/>
    </w:rPr>
  </w:style>
  <w:style w:type="character" w:styleId="1105" w:customStyle="1">
    <w:name w:val="批注框文本 Char"/>
    <w:basedOn w:val="888"/>
    <w:link w:val="902"/>
    <w:uiPriority w:val="0"/>
    <w:qFormat/>
    <w:rPr>
      <w:sz w:val="18"/>
      <w:szCs w:val="18"/>
    </w:rPr>
  </w:style>
  <w:style w:type="paragraph" w:styleId="1106" w:customStyle="1">
    <w:name w:val="msolistparagraph"/>
    <w:basedOn w:val="878"/>
    <w:uiPriority w:val="0"/>
    <w:qFormat/>
    <w:pPr>
      <w:ind w:firstLine="420"/>
      <w:spacing w:line="360" w:lineRule="auto"/>
    </w:pPr>
    <w:rPr>
      <w:rFonts w:ascii="Calibri" w:hAnsi="Calibri"/>
      <w:sz w:val="20"/>
    </w:rPr>
  </w:style>
  <w:style w:type="character" w:styleId="1107" w:customStyle="1">
    <w:name w:val="标题 3 Char"/>
    <w:basedOn w:val="888"/>
    <w:link w:val="881"/>
    <w:uiPriority w:val="0"/>
    <w:qFormat/>
    <w:rPr>
      <w:b/>
      <w:sz w:val="32"/>
      <w:szCs w:val="32"/>
    </w:rPr>
  </w:style>
  <w:style w:type="character" w:styleId="1108" w:customStyle="1">
    <w:name w:val="标题 2 Char"/>
    <w:basedOn w:val="888"/>
    <w:link w:val="880"/>
    <w:uiPriority w:val="0"/>
    <w:qFormat/>
    <w:rPr>
      <w:rFonts w:hint="default" w:ascii="Arial" w:hAnsi="Arial" w:eastAsia="黑体" w:cs="Arial"/>
      <w:b/>
      <w:sz w:val="32"/>
      <w:szCs w:val="32"/>
    </w:rPr>
  </w:style>
  <w:style w:type="character" w:styleId="1109" w:customStyle="1">
    <w:name w:val="纯文本 Char"/>
    <w:basedOn w:val="888"/>
    <w:link w:val="899"/>
    <w:uiPriority w:val="0"/>
    <w:qFormat/>
    <w:rPr>
      <w:rFonts w:hint="eastAsia" w:ascii="宋体" w:hAnsi="Courier New" w:eastAsia="宋体" w:cs="宋体"/>
      <w:sz w:val="21"/>
      <w:szCs w:val="21"/>
    </w:rPr>
  </w:style>
  <w:style w:type="character" w:styleId="1110" w:customStyle="1">
    <w:name w:val="HTML 预设格式 Char"/>
    <w:basedOn w:val="888"/>
    <w:link w:val="913"/>
    <w:uiPriority w:val="0"/>
    <w:qFormat/>
    <w:rPr>
      <w:rFonts w:hint="eastAsia" w:ascii="宋体" w:hAnsi="宋体" w:eastAsia="宋体" w:cs="宋体"/>
      <w:sz w:val="24"/>
      <w:szCs w:val="24"/>
    </w:rPr>
  </w:style>
  <w:style w:type="character" w:styleId="1111" w:customStyle="1">
    <w:name w:val="列出段落 Char"/>
    <w:basedOn w:val="888"/>
    <w:uiPriority w:val="0"/>
    <w:qFormat/>
    <w:rPr>
      <w:rFonts w:hint="default" w:ascii="Calibri" w:hAnsi="Calibri" w:cs="Calibri"/>
    </w:rPr>
  </w:style>
  <w:style w:type="paragraph" w:styleId="1112" w:customStyle="1">
    <w:name w:val="NormalIndent"/>
    <w:basedOn w:val="878"/>
    <w:uiPriority w:val="0"/>
    <w:qFormat/>
    <w:pPr>
      <w:ind w:firstLine="420"/>
    </w:pPr>
    <w:rPr>
      <w:rFonts w:ascii="Calibri" w:hAnsi="Calibri"/>
      <w:szCs w:val="24"/>
    </w:rPr>
  </w:style>
  <w:style w:type="paragraph" w:styleId="1113" w:customStyle="1">
    <w:name w:val="正文3"/>
    <w:basedOn w:val="878"/>
    <w:uiPriority w:val="0"/>
    <w:qFormat/>
    <w:rPr>
      <w:sz w:val="20"/>
    </w:rPr>
  </w:style>
  <w:style w:type="table" w:styleId="1114" w:customStyle="1">
    <w:name w:val="Table Normal"/>
    <w:uiPriority w:val="0"/>
    <w:qFormat/>
    <w:tblPr>
      <w:tblCellMar>
        <w:left w:w="0" w:type="dxa"/>
        <w:top w:w="0" w:type="dxa"/>
        <w:right w:w="0" w:type="dxa"/>
        <w:bottom w:w="0" w:type="dxa"/>
      </w:tblCellMar>
    </w:tblPr>
  </w:style>
  <w:style w:type="paragraph" w:styleId="1115" w:customStyle="1">
    <w:name w:val="标准文本"/>
    <w:basedOn w:val="878"/>
    <w:uiPriority w:val="0"/>
    <w:qFormat/>
    <w:pPr>
      <w:ind w:firstLine="480"/>
    </w:pPr>
    <w:rPr>
      <w:rFonts w:cs="宋体"/>
    </w:rPr>
  </w:style>
  <w:style w:type="paragraph" w:styleId="1116" w:customStyle="1">
    <w:name w:val="标题 11"/>
    <w:basedOn w:val="878"/>
    <w:next w:val="878"/>
    <w:uiPriority w:val="0"/>
    <w:qFormat/>
    <w:pPr>
      <w:numPr>
        <w:ilvl w:val="0"/>
        <w:numId w:val="2"/>
      </w:numPr>
      <w:jc w:val="center"/>
      <w:keepLines/>
      <w:keepNext/>
      <w:spacing w:before="340" w:after="330" w:line="578" w:lineRule="auto"/>
    </w:pPr>
    <w:rPr>
      <w:b/>
      <w:bCs/>
      <w:sz w:val="32"/>
      <w:szCs w:val="44"/>
    </w:rPr>
  </w:style>
  <w:style w:type="character" w:styleId="1117" w:customStyle="1">
    <w:name w:val="NormalCharacter"/>
    <w:uiPriority w:val="0"/>
    <w:qFormat/>
  </w:style>
  <w:style w:type="paragraph" w:styleId="1118"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119" w:customStyle="1">
    <w:name w:val="UserStyle_0"/>
    <w:next w:val="878"/>
    <w:uiPriority w:val="0"/>
    <w:qFormat/>
    <w:pPr>
      <w:ind w:firstLine="200"/>
      <w:jc w:val="both"/>
    </w:pPr>
    <w:rPr>
      <w:rFonts w:ascii="宋体" w:hAnsi="Calibri" w:eastAsia="宋体" w:cs="宋体"/>
      <w:sz w:val="21"/>
      <w:lang w:val="en-US" w:eastAsia="zh-CN" w:bidi="ar-SA"/>
    </w:rPr>
  </w:style>
  <w:style w:type="paragraph" w:styleId="1120">
    <w:name w:val="No Spacing"/>
    <w:uiPriority w:val="0"/>
    <w:qFormat/>
    <w:rPr>
      <w:rFonts w:ascii="Calibri" w:hAnsi="Calibri" w:eastAsia="宋体" w:cs="Times New Roman"/>
      <w:sz w:val="22"/>
      <w:szCs w:val="22"/>
      <w:lang w:val="en-US" w:eastAsia="zh-CN" w:bidi="ar-SA"/>
    </w:rPr>
  </w:style>
  <w:style w:type="character" w:styleId="1121" w:customStyle="1">
    <w:name w:val="font21"/>
    <w:basedOn w:val="888"/>
    <w:uiPriority w:val="0"/>
    <w:qFormat/>
    <w:rPr>
      <w:rFonts w:hint="eastAsia" w:ascii="仿宋" w:hAnsi="仿宋" w:eastAsia="仿宋" w:cs="仿宋"/>
      <w:color w:val="ff0000"/>
      <w:sz w:val="24"/>
      <w:szCs w:val="24"/>
      <w:u w:val="none"/>
    </w:rPr>
  </w:style>
  <w:style w:type="character" w:styleId="1122" w:customStyle="1">
    <w:name w:val="font11"/>
    <w:basedOn w:val="888"/>
    <w:uiPriority w:val="0"/>
    <w:qFormat/>
    <w:rPr>
      <w:rFonts w:hint="eastAsia" w:ascii="仿宋" w:hAnsi="仿宋" w:eastAsia="仿宋" w:cs="仿宋"/>
      <w:color w:val="000000"/>
      <w:sz w:val="24"/>
      <w:szCs w:val="24"/>
      <w:u w:val="none"/>
    </w:rPr>
  </w:style>
  <w:style w:type="paragraph" w:styleId="1123" w:customStyle="1">
    <w:name w:val="修订1"/>
    <w:uiPriority w:val="99"/>
    <w:qFormat/>
    <w:rPr>
      <w:rFonts w:ascii="Times New Roman" w:hAnsi="Times New Roman" w:eastAsia="宋体" w:cs="Times New Roman"/>
      <w:sz w:val="21"/>
      <w:lang w:val="en-US" w:eastAsia="zh-CN" w:bidi="ar-SA"/>
    </w:rPr>
  </w:style>
  <w:style w:type="character" w:styleId="1124" w:customStyle="1">
    <w:name w:val="批注文字 Char"/>
    <w:basedOn w:val="888"/>
    <w:link w:val="893"/>
    <w:uiPriority w:val="0"/>
    <w:qFormat/>
    <w:rPr>
      <w:sz w:val="21"/>
    </w:rPr>
  </w:style>
  <w:style w:type="character" w:styleId="1125" w:customStyle="1">
    <w:name w:val="批注主题 Char"/>
    <w:basedOn w:val="1124"/>
    <w:link w:val="916"/>
    <w:uiPriority w:val="0"/>
    <w:qFormat/>
    <w:rPr>
      <w:b/>
      <w:bCs/>
      <w:sz w:val="21"/>
    </w:rPr>
  </w:style>
  <w:style w:type="table" w:styleId="1126" w:customStyle="1">
    <w:name w:val="网格型1"/>
    <w:basedOn w:val="88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E58C8E7-8F49-49E1-ABB3-4CF6F0ADCFAC}"/>
</file>

<file path=customXml/itemProps2.xml><?xml version="1.0" encoding="utf-8"?>
<ds:datastoreItem xmlns:ds="http://schemas.openxmlformats.org/officeDocument/2006/customXml" ds:itemID="{BBEBD37E-054D-4E5F-AE71-D3094C38946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李佳蓉</cp:lastModifiedBy>
  <cp:revision>30</cp:revision>
  <dcterms:created xsi:type="dcterms:W3CDTF">2024-02-20T05:50:00Z</dcterms:created>
  <dcterms:modified xsi:type="dcterms:W3CDTF">2026-05-27T10:34:55Z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27904D9F9DB440C8931B42987FEACDB1_13</vt:lpwstr>
  </property>
  <property fmtid="{D5CDD505-2E9C-101B-9397-08002B2CF9AE}" pid="4" name="commondata">
    <vt:lpwstr>eyJoZGlkIjoiNzZmMjFmYzJiODZhY2Q0NjJjMDg2MTg5NzA0OGYzNjgifQ==</vt:lpwstr>
  </property>
  <property fmtid="{D5CDD505-2E9C-101B-9397-08002B2CF9AE}" pid="5" name="KSOTemplateDocerSaveRecord">
    <vt:lpwstr>eyJoZGlkIjoiMzYwM2E0OTM1MTNmYjdhZDYzZTk0ZmY4ODg5YjlmZWEiLCJ1c2VySWQiOiI0MzkyODMxNDkifQ==</vt:lpwstr>
  </property>
</Properties>
</file>