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苏州工业园区政府采购</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采购文件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96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采购编号：JSZC-320591-PMJS-G2026-0017 </w:t>
      </w:r>
      <w:r/>
    </w:p>
    <w:p>
      <w:pPr>
        <w:ind w:left="2566" w:right="0" w:hanging="160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采购名称：阳澄湖半岛治安联防队技防监控维护项目</w:t>
      </w:r>
      <w:r/>
    </w:p>
    <w:p>
      <w:pPr>
        <w:ind w:left="0" w:right="0" w:firstLine="96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采购人：苏州工业园区唯亭街道办事处</w:t>
      </w:r>
      <w:r/>
    </w:p>
    <w:p>
      <w:pPr>
        <w:ind w:left="0" w:right="0" w:firstLine="96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采购类别：服务类</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江苏京苏项目管理咨询有限公司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2026年06月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highlight w:val="none"/>
        </w:rPr>
      </w:r>
      <w:r>
        <w:rPr>
          <w:rFonts w:ascii="SimSun" w:hAnsi="SimSun" w:eastAsia="SimSun" w:cs="SimSun"/>
          <w:b/>
          <w:color w:val="000000"/>
          <w:sz w:val="52"/>
          <w:highlight w:val="none"/>
        </w:rPr>
      </w:r>
    </w:p>
    <w:p>
      <w:pPr>
        <w:ind w:left="0" w:right="0" w:firstLine="0"/>
        <w:jc w:val="center"/>
        <w:spacing w:before="240" w:after="240" w:line="85" w:lineRule="atLeast"/>
        <w:rPr>
          <w:rFonts w:ascii="SimSun" w:hAnsi="SimSun" w:eastAsia="SimSun" w:cs="SimSun"/>
          <w:b/>
          <w:bCs/>
          <w:color w:val="000000"/>
          <w:sz w:val="52"/>
          <w:szCs w:val="5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highlight w:val="none"/>
        </w:rPr>
      </w:r>
      <w:r>
        <w:rPr>
          <w:rFonts w:ascii="SimSun" w:hAnsi="SimSun" w:eastAsia="SimSun" w:cs="SimSun"/>
          <w:b/>
          <w:color w:val="000000"/>
          <w:sz w:val="52"/>
          <w:highlight w:val="none"/>
        </w:rPr>
      </w:r>
    </w:p>
    <w:p>
      <w:pPr>
        <w:ind w:left="0" w:right="0" w:firstLine="0"/>
        <w:jc w:val="center"/>
        <w:spacing w:before="240" w:after="240" w:line="85" w:lineRule="atLeast"/>
        <w:rPr>
          <w:rFonts w:ascii="SimSun" w:hAnsi="SimSun" w:eastAsia="SimSun" w:cs="SimSun"/>
          <w:b/>
          <w:bCs/>
          <w:color w:val="000000"/>
          <w:sz w:val="52"/>
          <w:szCs w:val="5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highlight w:val="none"/>
        </w:rPr>
      </w:r>
      <w:r>
        <w:rPr>
          <w:rFonts w:ascii="SimSun" w:hAnsi="SimSun" w:eastAsia="SimSun" w:cs="SimSun"/>
          <w:b/>
          <w:color w:val="000000"/>
          <w:sz w:val="52"/>
          <w:highlight w:val="none"/>
        </w:rPr>
      </w:r>
    </w:p>
    <w:p>
      <w:pPr>
        <w:ind w:left="0" w:right="0" w:firstLine="0"/>
        <w:jc w:val="center"/>
        <w:spacing w:before="240" w:after="240" w:line="85" w:lineRule="atLeast"/>
        <w:rPr>
          <w:rFonts w:ascii="SimSun" w:hAnsi="SimSun" w:eastAsia="SimSun" w:cs="SimSun"/>
          <w:b/>
          <w:bCs/>
          <w:color w:val="000000"/>
          <w:sz w:val="52"/>
          <w:szCs w:val="5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目录</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spacing w:before="0" w:after="0" w:line="85" w:lineRule="atLeast"/>
        <w:tabs>
          <w:tab w:val="left" w:pos="9072" w:leader="none"/>
        </w:tabs>
        <w:pBdr>
          <w:top w:val="none" w:color="000000" w:sz="4" w:space="0"/>
          <w:left w:val="none" w:color="000000" w:sz="4" w:space="0"/>
          <w:bottom w:val="none" w:color="000000" w:sz="4" w:space="0"/>
          <w:right w:val="none" w:color="000000" w:sz="4" w:space="0"/>
        </w:pBdr>
      </w:pPr>
      <w:r>
        <w:rPr>
          <w:rFonts w:ascii="SimHei" w:hAnsi="SimHei" w:eastAsia="SimHei" w:cs="SimHei"/>
          <w:sz w:val="28"/>
        </w:rPr>
        <w:t xml:space="preserve">前附表</w:t>
      </w:r>
      <w:r>
        <w:rPr>
          <w:rFonts w:ascii="Times New Roman" w:hAnsi="Times New Roman" w:eastAsia="Times New Roman" w:cs="Times New Roman"/>
          <w:sz w:val="28"/>
        </w:rPr>
        <w:tab/>
      </w:r>
      <w:r/>
    </w:p>
    <w:p>
      <w:pPr>
        <w:ind w:left="0" w:right="0" w:firstLine="0"/>
        <w:spacing w:before="0" w:after="0" w:line="85" w:lineRule="atLeast"/>
        <w:tabs>
          <w:tab w:val="left" w:pos="9072" w:leader="none"/>
        </w:tabs>
        <w:rPr>
          <w:rFonts w:ascii="SimHei" w:hAnsi="SimHei" w:eastAsia="SimHei" w:cs="SimHei"/>
          <w:sz w:val="28"/>
          <w:szCs w:val="28"/>
          <w14:ligatures w14:val="none"/>
        </w:rPr>
        <w:pBdr>
          <w:top w:val="none" w:color="000000" w:sz="4" w:space="0"/>
          <w:left w:val="none" w:color="000000" w:sz="4" w:space="0"/>
          <w:bottom w:val="none" w:color="000000" w:sz="4" w:space="0"/>
          <w:right w:val="none" w:color="000000" w:sz="4" w:space="0"/>
        </w:pBdr>
      </w:pPr>
      <w:r>
        <w:rPr>
          <w:rFonts w:ascii="SimHei" w:hAnsi="SimHei" w:eastAsia="SimHei" w:cs="SimHei"/>
          <w:sz w:val="28"/>
          <w:szCs w:val="28"/>
        </w:rPr>
      </w:r>
      <w:hyperlink r:id="rId13" w:tooltip="http://jszfcg.jsczt.cn/jszc/onlyoffice/7.2.1-34/web-apps/apps/documenteditor/main/index_loader.html?_dc=7.2.1-34&amp;lang=zh&amp;customer=%20&amp;logo=%20&amp;headerlogo=%2Ffavicon.ico&amp;frameEditorId=iframePage&amp;compact=true&amp;parentOrigin=http://jszfcg.jsczt.cn#_Toc23103" w:history="1">
        <w:r>
          <w:rPr>
            <w:rFonts w:ascii="SimHei" w:hAnsi="SimHei" w:eastAsia="SimHei" w:cs="SimHei"/>
            <w:sz w:val="28"/>
            <w:szCs w:val="28"/>
          </w:rPr>
          <w:t xml:space="preserve">招标公告</w:t>
        </w:r>
        <w:r>
          <w:rPr>
            <w:rFonts w:ascii="SimHei" w:hAnsi="SimHei" w:eastAsia="SimHei" w:cs="SimHei"/>
            <w:sz w:val="28"/>
            <w:szCs w:val="28"/>
          </w:rPr>
          <w:tab/>
        </w:r>
      </w:hyperlink>
      <w:r>
        <w:rPr>
          <w:rFonts w:ascii="SimHei" w:hAnsi="SimHei" w:eastAsia="SimHei" w:cs="SimHei"/>
          <w:sz w:val="28"/>
          <w:szCs w:val="28"/>
        </w:rPr>
      </w:r>
      <w:r/>
    </w:p>
    <w:p>
      <w:pPr>
        <w:ind w:left="0" w:right="0" w:firstLine="0"/>
        <w:spacing w:before="0" w:after="0" w:line="85" w:lineRule="atLeast"/>
        <w:tabs>
          <w:tab w:val="left" w:pos="9072" w:leader="none"/>
        </w:tabs>
        <w:rPr>
          <w:rFonts w:ascii="SimHei" w:hAnsi="SimHei" w:eastAsia="SimHei" w:cs="SimHei"/>
          <w:sz w:val="28"/>
          <w:szCs w:val="28"/>
          <w14:ligatures w14:val="none"/>
        </w:rPr>
        <w:pBdr>
          <w:top w:val="none" w:color="000000" w:sz="4" w:space="0"/>
          <w:left w:val="none" w:color="000000" w:sz="4" w:space="0"/>
          <w:bottom w:val="none" w:color="000000" w:sz="4" w:space="0"/>
          <w:right w:val="none" w:color="000000" w:sz="4" w:space="0"/>
        </w:pBdr>
      </w:pPr>
      <w:r>
        <w:rPr>
          <w:rFonts w:ascii="SimHei" w:hAnsi="SimHei" w:eastAsia="SimHei" w:cs="SimHei"/>
          <w:sz w:val="28"/>
          <w:szCs w:val="28"/>
        </w:rPr>
      </w:r>
      <w:hyperlink r:id="rId14" w:tooltip="http://jszfcg.jsczt.cn/jszc/onlyoffice/7.2.1-34/web-apps/apps/documenteditor/main/index_loader.html?_dc=7.2.1-34&amp;lang=zh&amp;customer=%20&amp;logo=%20&amp;headerlogo=%2Ffavicon.ico&amp;frameEditorId=iframePage&amp;compact=true&amp;parentOrigin=http://jszfcg.jsczt.cn#_Toc13879" w:history="1">
        <w:r>
          <w:rPr>
            <w:rFonts w:ascii="SimHei" w:hAnsi="SimHei" w:eastAsia="SimHei" w:cs="SimHei"/>
            <w:sz w:val="28"/>
            <w:szCs w:val="28"/>
          </w:rPr>
          <w:t xml:space="preserve">第一章</w:t>
        </w:r>
        <w:r>
          <w:rPr>
            <w:rFonts w:ascii="SimHei" w:hAnsi="SimHei" w:eastAsia="SimHei" w:cs="SimHei"/>
            <w:sz w:val="28"/>
            <w:szCs w:val="28"/>
          </w:rPr>
          <w:t xml:space="preserve">  </w:t>
        </w:r>
        <w:r>
          <w:rPr>
            <w:rFonts w:ascii="SimHei" w:hAnsi="SimHei" w:eastAsia="SimHei" w:cs="SimHei"/>
            <w:sz w:val="28"/>
            <w:szCs w:val="28"/>
          </w:rPr>
          <w:t xml:space="preserve">投标邀请函</w:t>
        </w:r>
        <w:r>
          <w:rPr>
            <w:rFonts w:ascii="SimHei" w:hAnsi="SimHei" w:eastAsia="SimHei" w:cs="SimHei"/>
            <w:sz w:val="28"/>
            <w:szCs w:val="28"/>
          </w:rPr>
          <w:tab/>
        </w:r>
      </w:hyperlink>
      <w:r>
        <w:rPr>
          <w:rFonts w:ascii="SimHei" w:hAnsi="SimHei" w:eastAsia="SimHei" w:cs="SimHei"/>
          <w:sz w:val="28"/>
          <w:szCs w:val="28"/>
        </w:rPr>
      </w:r>
      <w:r/>
    </w:p>
    <w:p>
      <w:pPr>
        <w:ind w:left="0" w:right="0" w:firstLine="0"/>
        <w:spacing w:before="0" w:after="0" w:line="85" w:lineRule="atLeast"/>
        <w:tabs>
          <w:tab w:val="left" w:pos="9072" w:leader="none"/>
        </w:tabs>
        <w:rPr>
          <w:rFonts w:ascii="SimHei" w:hAnsi="SimHei" w:eastAsia="SimHei" w:cs="SimHei"/>
          <w:sz w:val="28"/>
          <w:szCs w:val="28"/>
          <w14:ligatures w14:val="none"/>
        </w:rPr>
        <w:pBdr>
          <w:top w:val="none" w:color="000000" w:sz="4" w:space="0"/>
          <w:left w:val="none" w:color="000000" w:sz="4" w:space="0"/>
          <w:bottom w:val="none" w:color="000000" w:sz="4" w:space="0"/>
          <w:right w:val="none" w:color="000000" w:sz="4" w:space="0"/>
        </w:pBdr>
      </w:pPr>
      <w:r>
        <w:rPr>
          <w:rFonts w:ascii="SimHei" w:hAnsi="SimHei" w:eastAsia="SimHei" w:cs="SimHei"/>
          <w:sz w:val="28"/>
          <w:szCs w:val="28"/>
        </w:rPr>
      </w:r>
      <w:hyperlink r:id="rId15" w:tooltip="http://jszfcg.jsczt.cn/jszc/onlyoffice/7.2.1-34/web-apps/apps/documenteditor/main/index_loader.html?_dc=7.2.1-34&amp;lang=zh&amp;customer=%20&amp;logo=%20&amp;headerlogo=%2Ffavicon.ico&amp;frameEditorId=iframePage&amp;compact=true&amp;parentOrigin=http://jszfcg.jsczt.cn#_Toc9316" w:history="1">
        <w:r>
          <w:rPr>
            <w:rFonts w:ascii="SimHei" w:hAnsi="SimHei" w:eastAsia="SimHei" w:cs="SimHei"/>
            <w:sz w:val="28"/>
            <w:szCs w:val="28"/>
          </w:rPr>
          <w:t xml:space="preserve">第二章</w:t>
        </w:r>
        <w:r>
          <w:rPr>
            <w:rFonts w:ascii="SimHei" w:hAnsi="SimHei" w:eastAsia="SimHei" w:cs="SimHei"/>
            <w:sz w:val="28"/>
            <w:szCs w:val="28"/>
          </w:rPr>
          <w:t xml:space="preserve">  </w:t>
        </w:r>
        <w:r>
          <w:rPr>
            <w:rFonts w:ascii="SimHei" w:hAnsi="SimHei" w:eastAsia="SimHei" w:cs="SimHei"/>
            <w:sz w:val="28"/>
            <w:szCs w:val="28"/>
          </w:rPr>
          <w:t xml:space="preserve">投标人须知</w:t>
        </w:r>
        <w:r>
          <w:rPr>
            <w:rFonts w:ascii="SimHei" w:hAnsi="SimHei" w:eastAsia="SimHei" w:cs="SimHei"/>
            <w:sz w:val="28"/>
            <w:szCs w:val="28"/>
          </w:rPr>
          <w:tab/>
        </w:r>
      </w:hyperlink>
      <w:r>
        <w:rPr>
          <w:rFonts w:ascii="SimHei" w:hAnsi="SimHei" w:eastAsia="SimHei" w:cs="SimHei"/>
          <w:sz w:val="28"/>
          <w:szCs w:val="28"/>
        </w:rPr>
      </w:r>
      <w:r/>
    </w:p>
    <w:p>
      <w:pPr>
        <w:ind w:left="0" w:right="0" w:firstLine="0"/>
        <w:spacing w:before="0" w:after="0" w:line="85" w:lineRule="atLeast"/>
        <w:tabs>
          <w:tab w:val="left" w:pos="9072" w:leader="none"/>
        </w:tabs>
        <w:rPr>
          <w:rFonts w:ascii="SimHei" w:hAnsi="SimHei" w:eastAsia="SimHei" w:cs="SimHei"/>
          <w:sz w:val="28"/>
          <w:szCs w:val="28"/>
          <w14:ligatures w14:val="none"/>
        </w:rPr>
        <w:pBdr>
          <w:top w:val="none" w:color="000000" w:sz="4" w:space="0"/>
          <w:left w:val="none" w:color="000000" w:sz="4" w:space="0"/>
          <w:bottom w:val="none" w:color="000000" w:sz="4" w:space="0"/>
          <w:right w:val="none" w:color="000000" w:sz="4" w:space="0"/>
        </w:pBdr>
      </w:pPr>
      <w:r>
        <w:rPr>
          <w:rFonts w:ascii="SimHei" w:hAnsi="SimHei" w:eastAsia="SimHei" w:cs="SimHei"/>
          <w:sz w:val="28"/>
          <w:szCs w:val="28"/>
        </w:rPr>
      </w:r>
      <w:hyperlink r:id="rId16" w:tooltip="http://jszfcg.jsczt.cn/jszc/onlyoffice/7.2.1-34/web-apps/apps/documenteditor/main/index_loader.html?_dc=7.2.1-34&amp;lang=zh&amp;customer=%20&amp;logo=%20&amp;headerlogo=%2Ffavicon.ico&amp;frameEditorId=iframePage&amp;compact=true&amp;parentOrigin=http://jszfcg.jsczt.cn#_Toc25170" w:history="1">
        <w:r>
          <w:rPr>
            <w:rFonts w:ascii="SimHei" w:hAnsi="SimHei" w:eastAsia="SimHei" w:cs="SimHei"/>
            <w:sz w:val="28"/>
            <w:szCs w:val="28"/>
          </w:rPr>
          <w:t xml:space="preserve">第三章</w:t>
        </w:r>
        <w:r>
          <w:rPr>
            <w:rFonts w:ascii="SimHei" w:hAnsi="SimHei" w:eastAsia="SimHei" w:cs="SimHei"/>
            <w:sz w:val="28"/>
            <w:szCs w:val="28"/>
          </w:rPr>
          <w:t xml:space="preserve">  </w:t>
        </w:r>
        <w:r>
          <w:rPr>
            <w:rFonts w:ascii="SimHei" w:hAnsi="SimHei" w:eastAsia="SimHei" w:cs="SimHei"/>
            <w:sz w:val="28"/>
            <w:szCs w:val="28"/>
          </w:rPr>
          <w:t xml:space="preserve">投标文件格式</w:t>
        </w:r>
        <w:r>
          <w:rPr>
            <w:rFonts w:ascii="SimHei" w:hAnsi="SimHei" w:eastAsia="SimHei" w:cs="SimHei"/>
            <w:sz w:val="28"/>
            <w:szCs w:val="28"/>
          </w:rPr>
          <w:tab/>
        </w:r>
      </w:hyperlink>
      <w:r>
        <w:rPr>
          <w:rFonts w:ascii="SimHei" w:hAnsi="SimHei" w:eastAsia="SimHei" w:cs="SimHei"/>
          <w:sz w:val="28"/>
          <w:szCs w:val="28"/>
        </w:rPr>
      </w:r>
      <w:r/>
    </w:p>
    <w:p>
      <w:pPr>
        <w:ind w:left="0" w:right="0" w:firstLine="0"/>
        <w:spacing w:before="0" w:after="0" w:line="85" w:lineRule="atLeast"/>
        <w:tabs>
          <w:tab w:val="left" w:pos="9072" w:leader="none"/>
        </w:tabs>
        <w:rPr>
          <w:rFonts w:ascii="SimHei" w:hAnsi="SimHei" w:eastAsia="SimHei" w:cs="SimHei"/>
          <w:sz w:val="28"/>
          <w:szCs w:val="28"/>
          <w14:ligatures w14:val="none"/>
        </w:rPr>
        <w:pBdr>
          <w:top w:val="none" w:color="000000" w:sz="4" w:space="0"/>
          <w:left w:val="none" w:color="000000" w:sz="4" w:space="0"/>
          <w:bottom w:val="none" w:color="000000" w:sz="4" w:space="0"/>
          <w:right w:val="none" w:color="000000" w:sz="4" w:space="0"/>
        </w:pBdr>
      </w:pPr>
      <w:r>
        <w:rPr>
          <w:rFonts w:ascii="SimHei" w:hAnsi="SimHei" w:eastAsia="SimHei" w:cs="SimHei"/>
          <w:sz w:val="28"/>
          <w:szCs w:val="28"/>
        </w:rPr>
      </w:r>
      <w:hyperlink r:id="rId17" w:tooltip="http://jszfcg.jsczt.cn/jszc/onlyoffice/7.2.1-34/web-apps/apps/documenteditor/main/index_loader.html?_dc=7.2.1-34&amp;lang=zh&amp;customer=%20&amp;logo=%20&amp;headerlogo=%2Ffavicon.ico&amp;frameEditorId=iframePage&amp;compact=true&amp;parentOrigin=http://jszfcg.jsczt.cn#_Toc8987" w:history="1">
        <w:r>
          <w:rPr>
            <w:rFonts w:ascii="SimHei" w:hAnsi="SimHei" w:eastAsia="SimHei" w:cs="SimHei"/>
            <w:sz w:val="28"/>
            <w:szCs w:val="28"/>
          </w:rPr>
          <w:t xml:space="preserve">第四章</w:t>
        </w:r>
        <w:r>
          <w:rPr>
            <w:rFonts w:ascii="SimHei" w:hAnsi="SimHei" w:eastAsia="SimHei" w:cs="SimHei"/>
            <w:sz w:val="28"/>
            <w:szCs w:val="28"/>
          </w:rPr>
          <w:t xml:space="preserve"> </w:t>
        </w:r>
        <w:r>
          <w:rPr>
            <w:rFonts w:ascii="SimHei" w:hAnsi="SimHei" w:eastAsia="SimHei" w:cs="SimHei"/>
            <w:sz w:val="28"/>
            <w:szCs w:val="28"/>
          </w:rPr>
          <w:t xml:space="preserve">招标书</w:t>
        </w:r>
        <w:r>
          <w:rPr>
            <w:rFonts w:ascii="SimHei" w:hAnsi="SimHei" w:eastAsia="SimHei" w:cs="SimHei"/>
            <w:sz w:val="28"/>
            <w:szCs w:val="28"/>
          </w:rPr>
          <w:tab/>
        </w:r>
      </w:hyperlink>
      <w:r>
        <w:rPr>
          <w:rFonts w:ascii="SimHei" w:hAnsi="SimHei" w:eastAsia="SimHei" w:cs="SimHei"/>
          <w:sz w:val="28"/>
          <w:szCs w:val="28"/>
        </w:rPr>
      </w:r>
      <w:r/>
    </w:p>
    <w:p>
      <w:pPr>
        <w:ind w:left="0" w:right="0" w:firstLine="0"/>
        <w:spacing w:before="0" w:after="0" w:line="85" w:lineRule="atLeast"/>
        <w:tabs>
          <w:tab w:val="left" w:pos="9072" w:leader="none"/>
        </w:tabs>
        <w:rPr>
          <w:rFonts w:ascii="SimHei" w:hAnsi="SimHei" w:eastAsia="SimHei" w:cs="SimHei"/>
          <w:sz w:val="28"/>
          <w:szCs w:val="28"/>
          <w14:ligatures w14:val="none"/>
        </w:rPr>
        <w:pBdr>
          <w:top w:val="none" w:color="000000" w:sz="4" w:space="0"/>
          <w:left w:val="none" w:color="000000" w:sz="4" w:space="0"/>
          <w:bottom w:val="none" w:color="000000" w:sz="4" w:space="0"/>
          <w:right w:val="none" w:color="000000" w:sz="4" w:space="0"/>
        </w:pBdr>
      </w:pPr>
      <w:r>
        <w:rPr>
          <w:rFonts w:ascii="SimHei" w:hAnsi="SimHei" w:eastAsia="SimHei" w:cs="SimHei"/>
          <w:sz w:val="28"/>
          <w:szCs w:val="28"/>
        </w:rPr>
      </w:r>
      <w:hyperlink r:id="rId18" w:tooltip="http://jszfcg.jsczt.cn/jszc/onlyoffice/7.2.1-34/web-apps/apps/documenteditor/main/index_loader.html?_dc=7.2.1-34&amp;lang=zh&amp;customer=%20&amp;logo=%20&amp;headerlogo=%2Ffavicon.ico&amp;frameEditorId=iframePage&amp;compact=true&amp;parentOrigin=http://jszfcg.jsczt.cn#_Toc30006" w:history="1">
        <w:r>
          <w:rPr>
            <w:rFonts w:ascii="SimHei" w:hAnsi="SimHei" w:eastAsia="SimHei" w:cs="SimHei"/>
            <w:sz w:val="28"/>
            <w:szCs w:val="28"/>
          </w:rPr>
          <w:t xml:space="preserve">第五章</w:t>
        </w:r>
        <w:r>
          <w:rPr>
            <w:rFonts w:ascii="SimHei" w:hAnsi="SimHei" w:eastAsia="SimHei" w:cs="SimHei"/>
            <w:sz w:val="28"/>
            <w:szCs w:val="28"/>
          </w:rPr>
          <w:t xml:space="preserve"> </w:t>
        </w:r>
        <w:r>
          <w:rPr>
            <w:rFonts w:ascii="SimHei" w:hAnsi="SimHei" w:eastAsia="SimHei" w:cs="SimHei"/>
            <w:sz w:val="28"/>
            <w:szCs w:val="28"/>
          </w:rPr>
          <w:t xml:space="preserve">合同主要条款</w:t>
        </w:r>
        <w:r>
          <w:rPr>
            <w:rFonts w:ascii="SimHei" w:hAnsi="SimHei" w:eastAsia="SimHei" w:cs="SimHei"/>
            <w:sz w:val="28"/>
            <w:szCs w:val="28"/>
          </w:rPr>
          <w:tab/>
        </w:r>
      </w:hyperlink>
      <w:r>
        <w:rPr>
          <w:rFonts w:ascii="SimHei" w:hAnsi="SimHei" w:eastAsia="SimHei" w:cs="SimHei"/>
          <w:sz w:val="28"/>
          <w:szCs w:val="28"/>
        </w:rPr>
      </w:r>
      <w:r/>
    </w:p>
    <w:p>
      <w:pPr>
        <w:ind w:left="0" w:right="0" w:firstLine="0"/>
        <w:spacing w:before="0" w:after="0" w:line="85" w:lineRule="atLeast"/>
        <w:tabs>
          <w:tab w:val="left" w:pos="9072" w:leader="none"/>
        </w:tabs>
        <w:pBdr>
          <w:top w:val="none" w:color="000000" w:sz="4" w:space="0"/>
          <w:left w:val="none" w:color="000000" w:sz="4" w:space="0"/>
          <w:bottom w:val="none" w:color="000000" w:sz="4" w:space="0"/>
          <w:right w:val="none" w:color="000000" w:sz="4" w:space="0"/>
        </w:pBdr>
      </w:pPr>
      <w:r>
        <w:rPr>
          <w:rFonts w:ascii="SimHei" w:hAnsi="SimHei" w:eastAsia="SimHei" w:cs="SimHei"/>
          <w:sz w:val="28"/>
          <w:szCs w:val="28"/>
        </w:rPr>
      </w:r>
      <w:hyperlink r:id="rId19" w:tooltip="http://jszfcg.jsczt.cn/jszc/onlyoffice/7.2.1-34/web-apps/apps/documenteditor/main/index_loader.html?_dc=7.2.1-34&amp;lang=zh&amp;customer=%20&amp;logo=%20&amp;headerlogo=%2Ffavicon.ico&amp;frameEditorId=iframePage&amp;compact=true&amp;parentOrigin=http://jszfcg.jsczt.cn#_Toc29939" w:history="1">
        <w:r>
          <w:rPr>
            <w:rFonts w:ascii="SimHei" w:hAnsi="SimHei" w:eastAsia="SimHei" w:cs="SimHei"/>
            <w:sz w:val="28"/>
            <w:szCs w:val="28"/>
          </w:rPr>
          <w:t xml:space="preserve">第六章</w:t>
        </w:r>
        <w:r>
          <w:rPr>
            <w:rFonts w:ascii="SimHei" w:hAnsi="SimHei" w:eastAsia="SimHei" w:cs="SimHei"/>
            <w:sz w:val="28"/>
            <w:szCs w:val="28"/>
          </w:rPr>
          <w:t xml:space="preserve"> </w:t>
        </w:r>
        <w:r>
          <w:rPr>
            <w:rFonts w:ascii="SimHei" w:hAnsi="SimHei" w:eastAsia="SimHei" w:cs="SimHei"/>
            <w:sz w:val="28"/>
            <w:szCs w:val="28"/>
          </w:rPr>
          <w:t xml:space="preserve">评分标准</w:t>
        </w:r>
        <w:r>
          <w:rPr>
            <w:rFonts w:ascii="SimHei" w:hAnsi="SimHei" w:eastAsia="SimHei" w:cs="SimHei"/>
            <w:sz w:val="28"/>
            <w:szCs w:val="28"/>
          </w:rPr>
          <w:tab/>
        </w:r>
      </w:hyperlink>
      <w:r>
        <w:rPr>
          <w:rFonts w:ascii="SimHei" w:hAnsi="SimHei" w:eastAsia="SimHei" w:cs="SimHei"/>
          <w:sz w:val="28"/>
          <w:szCs w:val="28"/>
        </w:rPr>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p>
    <w:p>
      <w:pPr>
        <w:ind w:left="0" w:right="0" w:firstLine="0"/>
        <w:jc w:val="center"/>
        <w:spacing w:before="240" w:after="240" w:line="113"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p>
    <w:p>
      <w:pPr>
        <w:ind w:left="0" w:right="0" w:firstLine="0"/>
        <w:jc w:val="center"/>
        <w:spacing w:before="240" w:after="240" w:line="113"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p>
    <w:p>
      <w:pPr>
        <w:ind w:left="0" w:right="0" w:firstLine="0"/>
        <w:jc w:val="center"/>
        <w:spacing w:before="240" w:after="240" w:line="113"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前附表</w:t>
      </w:r>
      <w:r/>
    </w:p>
    <w:tbl>
      <w:tblPr>
        <w:tblStyle w:val="7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1"/>
        <w:gridCol w:w="8221"/>
      </w:tblGrid>
      <w:tr>
        <w:trPr>
          <w:trHeight w:val="52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内容规定</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采购内容：阳澄湖半岛治安联防队技防监控维护项目</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标段数：1个标段</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采购内容：见第四章采购需求</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投标有效期：90日历天</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投标保证金：不提交，本项目招标文件内关于投标保证金的相关规定均不适用。</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签订合同：中标通知书发出之日起30日内</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考察：不组织。因采购项目种类较为复杂，为达到准确报价要求，投标报价前请投标单位自行做好现场踏勘工作（可自行联系采购方现场人员踏勘现场）。开标后，投标单位不得以不了解现场情况为由提出费用调整。</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投标文件：应使用“苏采云”系统制作并提交电子版投标文件，未按要求线上递交电子投标文件将被拒收。供应商中标后须提供4套投标文件。</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履约保证金：本项目无需缴纳履约保证金，涉及的相关条款均不适用。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电子投标文件上传截止时间：2026年06月26日09:30（北京时间）</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上传地点：苏采云政府采购一体化平台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本项目为不见面开标项目，开标阶段供应商在【供应商解密】环节必须使用 CA 证书解密电子投标文件，如在系统规定的解密时间内未能完成解密的，视为放弃投标（响应）。</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询问：获取招标文件成功的投标供应商在下载招标文件后，若对招标文件有疑问，可通过邮件（1214506206@qq.com）进行询问。采购代理机构通过邮件予以解答，询问人自行在邮件中查看解答信息。</w:t>
            </w:r>
            <w:r/>
          </w:p>
        </w:tc>
      </w:tr>
      <w:tr>
        <w:trPr>
          <w:trHeight w:val="9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投标人认为招标文件、采购过程、中标结果使自己的权益受到损害的，可以在知道或者应知其权益受到损害之日起7个工作日内，以书面形式向采购人提出质疑。投标人须在法定质疑期内一次性提出针对同一采购程序环节的质疑。投标人若质疑，应符合《政府采购质疑和投诉办法》（中华人民共和国财政部令第94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未依照采购公告要求依法获取招标文件的投标人，视为未参加该项政府采购活动，不具备对该政府采购项目提出质疑的法定权利。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接受质疑函的方式：当场送达或邮寄。</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代理服务费收费标准：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 100 万元以下部分，费率为该部分预算金额的 1.5%；</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 100 万元（含）－ 500 万元部分，费率为该部分预算金额的 1.1%；</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代理服务费以采购预算金额为基数依据，按以上规定的标准和差额定率累进法进行计算收取。例：如预算金额为150万元，则代理服务费＝100万元×1.5%＋（150万元－100万元）×1.1%。如按上述方法计算的金额低于人民币 3000 元整，则本项目代理服务费按人民币 3000 元整计收。该费用由中标单位在领取中标通知书时一次性付清。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本项目招标代理费金额：22150.00元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中标原则：采用综合评分法</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评标办法：详见第六章。</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733"/>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招标公告</w:t>
      </w:r>
      <w:r/>
    </w:p>
    <w:p>
      <w:pPr>
        <w:ind w:left="0" w:right="0" w:firstLine="480"/>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阳澄湖半岛治安联防队技防监控维护项目的潜在投标人应在“苏采云政府采购一体化平台”网站自行免费下载招标文件，并于2026年06月26日09点30分（北京时间）前提交投标文件。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采购编号：JSZC-320591-PMJS-G2026-0017</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采购内容：阳澄湖半岛治安联防队技防监控维护项目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预算金额：165万元（含代理费）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技防监控维护主要是对唯亭街道东区辖区内主要道路、重点场所、要害部位和标志性建筑周边安装超级卡口、人像卡口及监控摄像机的维护和保养。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合同履行期限：三年，自2026年7月11日至2029年7月10日</w:t>
      </w:r>
      <w:r>
        <w:rPr>
          <w:rFonts w:ascii="Segoe UI" w:hAnsi="Segoe UI" w:eastAsia="Segoe UI" w:cs="Segoe UI"/>
          <w:color w:val="000000"/>
          <w:sz w:val="24"/>
          <w:highlight w:val="white"/>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本项目（是/否）接受联合体投标：否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（1）根据政府采购法及相关法规，招标代理人将对供应商进行信用查询。对列入失信被执行人、重大税收违法案件当事人名单、政府采购严重违法失信行为记录名单的供应商，拒绝其参与政府采购活动。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（2）单位负责人为同一人或者存在直接控股、管理关系的不同供应商，不得参加同一合同项下的政府采购活动。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（3）为本采购项目提供整体设计、规范编制或者项目管理、监理、检测等服务的供应商，不得再参加本采购项目的其他采购活动。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时间：自招标文件公告发布之日起5个工作日内。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地点：供应商登录苏州市政府采购网站首页下侧“苏采云—已参与项目”，根据提示下载招标（采购）文件。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方式：网上报名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2026年06月26日09:30（北京时间）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地点：苏州市政府采购网站-苏采云系统</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w:t>
      </w:r>
      <w:r>
        <w:rPr>
          <w:rFonts w:ascii="SimSun" w:hAnsi="SimSun" w:eastAsia="SimSun" w:cs="SimSun"/>
          <w:b/>
          <w:color w:val="000000"/>
          <w:sz w:val="24"/>
          <w:u w:val="none"/>
        </w:rPr>
        <w:t xml:space="preserve">其他补充事宜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为网上招投标项目，供应商应在“苏州市政府采购网－苏采云－项目参与－采购项目”页面，点击“我要参与”并签章提交《投标供应商确认函》，提交《投标供应商确认函》的日期视同为依法获取招标文件的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2.本项目支持网上不见面开标，</w:t>
      </w:r>
      <w:r>
        <w:rPr>
          <w:rFonts w:ascii="SimSun" w:hAnsi="SimSun" w:eastAsia="SimSun" w:cs="SimSun"/>
          <w:b/>
          <w:color w:val="000000"/>
          <w:sz w:val="24"/>
        </w:rPr>
        <w:t xml:space="preserve">供应商不需到现场参加开标会，开标阶段供应商在【供应商解密】环节必须使用 CA证书解密电子投标（响应）文件，如在系统规定的解密时间内未能完成解密的视为放弃投标（响应）。</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4.线上参加（观看）开标会方式：苏州市政府采购网点击“苏采云”进入交易系统，点击“开标大厅—我的项目”。找到对应项目</w:t>
      </w:r>
      <w:r>
        <w:rPr>
          <w:rFonts w:ascii="SimSun" w:hAnsi="SimSun" w:eastAsia="SimSun" w:cs="SimSun"/>
          <w:color w:val="000000"/>
          <w:sz w:val="24"/>
          <w:highlight w:val="white"/>
        </w:rPr>
        <w:t xml:space="preserve">进入不见面开标系统</w:t>
      </w:r>
      <w:r>
        <w:rPr>
          <w:rFonts w:ascii="SimSun" w:hAnsi="SimSun" w:eastAsia="SimSun" w:cs="SimSun"/>
          <w:color w:val="000000"/>
          <w:sz w:val="24"/>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5.请供应商确保电脑、系统及其他设备（视频输入输出设备等）无误，且开标直至项目结束始终保持系统在线状态。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CA办理及使用指南：根据省财政厅《关于更换全省政府采购交易系统CA数字证书和电子签章的通知》（苏财购〔2023〕101号），“苏采云”政府采购交易系统（以下简称苏采云系统）的CA数字证书、电子签章为江苏省电子政务证书认证中心CA和方正国际软件（北京）有限公司电子签章。具体办理指南和操作手册见苏州市政府采购网苏采云登录页面右下角“【新CA办理指南】--江苏省政府采购数字证书（供应商）CA及电子签章办理指南”。苏州现场办理地址：苏州高新区邓尉路105号狮山科技馆1楼服务大厅，咨询电话：0512-65737</w:t>
      </w:r>
      <w:r>
        <w:rPr>
          <w:rFonts w:ascii="SimSun" w:hAnsi="SimSun" w:eastAsia="SimSun" w:cs="SimSun"/>
          <w:color w:val="000000"/>
          <w:sz w:val="24"/>
        </w:rPr>
        <w:t xml:space="preserve">699。</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入“苏采云”政府采购交易系统后，按照《苏采云系统供应商操作手册》（以下简称《操作手册》）进行注册，并按《操作手册》要求制作、上传电子响应文件。供应商可在采购系统中下载《苏采云系统供应商操作手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7.考虑到熟悉苏采云系统操作需要一定的时间，请提早准备以免耽误采购活动。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供应商应及时关注政府采购信息发布媒体上发布的更正（补充）公告，同时在苏采云系统中下载更正（补充）资料，如有遗漏（包括但不限于文件未下载或下载不完整），所造成的投标失败或损失由供应商自行负责。</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9.投标人（供应商）应自行在苏采云政府采购一体化平台上下载/获取招标（采购）文件及其澄清（答疑）、工程量清单（如有）、图纸等相关招标（采购）资料（如有），恕不另行通知。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10.采购项目需要落实的政府采购政策：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（1）财政部、工业和信息化部《政府采购促进中小企业发展管理办法》财库〔2020〕46号。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关于促进残疾人就业政府采购政策的通知》（财库〔2017〕141号）；《关于政府采购支持监狱企业发展有关问题的通知》（财库〔2014〕68号）；苏州市财政局《关于贯彻执行绿色采购、促进残疾人就业和支持监狱企业发展有关政策的通知》（苏财购〔2020〕10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（3）财库〔2022〕19号《关于进一步加大政府采购支持中小企业力度的通知》。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（4）苏财购〔2022〕16号关于印发《苏州市政府采购促进中小企业发展实施意见》的通知。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（5）国办发〔2025〕34号《国务院办公厅关于在政府采购中实施本国产品标准及相关政策的通知》。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11.成交供应商可凭政府采购合同办理融资贷款，详情请见江苏政府采购网“政采贷”专栏。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12.请贵单位领取本次采购文件后，认真阅读各项内容，进行必要的投标准备，按文件的要求详细填写和编制投标文件。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13.苏州工业园区政府采购监督电话：0512-66681110。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14.本次采购的有关信息将在苏州市政府采购网、江苏政府采购网、中国政府采购网</w:t>
      </w:r>
      <w:r>
        <w:rPr>
          <w:rFonts w:ascii="SimSun" w:hAnsi="SimSun" w:eastAsia="SimSun" w:cs="SimSun"/>
          <w:sz w:val="24"/>
        </w:rPr>
        <w:t xml:space="preserve">上发布</w:t>
      </w:r>
      <w:r>
        <w:rPr>
          <w:rFonts w:ascii="SimSun" w:hAnsi="SimSun" w:eastAsia="SimSun" w:cs="SimSun"/>
          <w:color w:val="000000"/>
          <w:sz w:val="24"/>
        </w:rPr>
        <w:t xml:space="preserve">，敬请留意。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15.技术支持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注册咨询：18261002950；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CA技术咨询电话：400-608-6099；</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签章使用问题：025-83633811、025-83633812、15380932027、15371015030；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系统使用指导与咨询：联系电话：13914088964、18261002950；QQ：3048755361、1315179389、895706745。智能客服：登录苏采云系统后，联系系统右下方智能客服图标进行咨询。</w:t>
      </w:r>
      <w:r/>
    </w:p>
    <w:p>
      <w:pPr>
        <w:ind w:left="0" w:right="0" w:firstLine="24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七、凡对本次采购提出询问，请按以下方式联系。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名称：苏州工业园区唯亭街道办事处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单位地址：苏州工业园区展业路18号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 陈菊珍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电话：0512-67333908</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名称：江苏京苏项目管理咨询有限公司</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地址：苏州工业园区东环路1400号综艺开元大厦1幢15楼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电话：0512-67256848-1647</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项目联系人：俞莉、顾梦飞、顾苏芯（项目负责人）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 0512-67256848-1647</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33"/>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highlight w:val="none"/>
        </w:rPr>
      </w:r>
      <w:r>
        <w:rPr>
          <w:rFonts w:ascii="SimHei" w:hAnsi="SimHei" w:eastAsia="SimHei" w:cs="SimHei"/>
          <w:b/>
          <w:color w:val="000000"/>
          <w:sz w:val="48"/>
          <w:highlight w:val="none"/>
        </w:rPr>
      </w:r>
    </w:p>
    <w:p>
      <w:pPr>
        <w:pStyle w:val="733"/>
        <w:ind w:left="0" w:right="0" w:firstLine="0"/>
        <w:jc w:val="center"/>
        <w:spacing w:before="120" w:after="120" w:line="85" w:lineRule="atLeast"/>
        <w:rPr>
          <w:rFonts w:ascii="SimHei" w:hAnsi="SimHei" w:eastAsia="SimHei" w:cs="SimHei"/>
          <w:b/>
          <w:bCs/>
          <w:color w:val="000000"/>
          <w:sz w:val="48"/>
          <w:szCs w:val="48"/>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highlight w:val="none"/>
        </w:rPr>
      </w:r>
      <w:r>
        <w:rPr>
          <w:rFonts w:ascii="SimHei" w:hAnsi="SimHei" w:eastAsia="SimHei" w:cs="SimHei"/>
          <w:b/>
          <w:color w:val="000000"/>
          <w:sz w:val="48"/>
          <w:highlight w:val="none"/>
        </w:rPr>
      </w:r>
    </w:p>
    <w:p>
      <w:pPr>
        <w:pStyle w:val="733"/>
        <w:ind w:left="0" w:right="0" w:firstLine="0"/>
        <w:jc w:val="center"/>
        <w:spacing w:before="120" w:after="120" w:line="85" w:lineRule="atLeast"/>
        <w:rPr>
          <w:rFonts w:ascii="SimHei" w:hAnsi="SimHei" w:eastAsia="SimHei" w:cs="SimHei"/>
          <w:b/>
          <w:bCs/>
          <w:color w:val="000000"/>
          <w:sz w:val="48"/>
          <w:szCs w:val="48"/>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highlight w:val="none"/>
        </w:rPr>
      </w:r>
      <w:r>
        <w:rPr>
          <w:rFonts w:ascii="SimHei" w:hAnsi="SimHei" w:eastAsia="SimHei" w:cs="SimHei"/>
          <w:b/>
          <w:color w:val="000000"/>
          <w:sz w:val="48"/>
          <w:highlight w:val="none"/>
        </w:rPr>
      </w:r>
    </w:p>
    <w:p>
      <w:pPr>
        <w:pStyle w:val="733"/>
        <w:ind w:left="0" w:right="0" w:firstLine="0"/>
        <w:jc w:val="center"/>
        <w:spacing w:before="120" w:after="120" w:line="85" w:lineRule="atLeast"/>
        <w:rPr>
          <w:rFonts w:ascii="SimHei" w:hAnsi="SimHei" w:eastAsia="SimHei" w:cs="SimHei"/>
          <w:b/>
          <w:bCs/>
          <w:color w:val="000000"/>
          <w:sz w:val="48"/>
          <w:szCs w:val="48"/>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highlight w:val="none"/>
        </w:rPr>
      </w:r>
      <w:r>
        <w:rPr>
          <w:rFonts w:ascii="SimHei" w:hAnsi="SimHei" w:eastAsia="SimHei" w:cs="SimHei"/>
          <w:b/>
          <w:color w:val="000000"/>
          <w:sz w:val="48"/>
          <w:highlight w:val="none"/>
        </w:rPr>
      </w:r>
    </w:p>
    <w:p>
      <w:pPr>
        <w:pStyle w:val="733"/>
        <w:ind w:left="0" w:right="0" w:firstLine="0"/>
        <w:jc w:val="center"/>
        <w:spacing w:before="120" w:after="120" w:line="85" w:lineRule="atLeast"/>
        <w:rPr>
          <w:rFonts w:ascii="SimHei" w:hAnsi="SimHei" w:eastAsia="SimHei" w:cs="SimHei"/>
          <w:b/>
          <w:bCs/>
          <w:color w:val="000000"/>
          <w:sz w:val="48"/>
          <w:szCs w:val="48"/>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highlight w:val="none"/>
        </w:rPr>
      </w:r>
      <w:r>
        <w:rPr>
          <w:rFonts w:ascii="SimHei" w:hAnsi="SimHei" w:eastAsia="SimHei" w:cs="SimHei"/>
          <w:b/>
          <w:color w:val="000000"/>
          <w:sz w:val="48"/>
          <w:highlight w:val="none"/>
        </w:rPr>
      </w:r>
    </w:p>
    <w:p>
      <w:pPr>
        <w:pStyle w:val="733"/>
        <w:ind w:left="0" w:right="0" w:firstLine="0"/>
        <w:jc w:val="center"/>
        <w:spacing w:before="120" w:after="120" w:line="85" w:lineRule="atLeast"/>
        <w:rPr>
          <w:rFonts w:ascii="SimHei" w:hAnsi="SimHei" w:eastAsia="SimHei" w:cs="SimHei"/>
          <w:b/>
          <w:bCs/>
          <w:color w:val="000000"/>
          <w:sz w:val="48"/>
          <w:szCs w:val="48"/>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highlight w:val="none"/>
        </w:rPr>
      </w:r>
      <w:r>
        <w:rPr>
          <w:rFonts w:ascii="SimHei" w:hAnsi="SimHei" w:eastAsia="SimHei" w:cs="SimHei"/>
          <w:b/>
          <w:color w:val="000000"/>
          <w:sz w:val="48"/>
          <w:highlight w:val="none"/>
        </w:rPr>
      </w:r>
    </w:p>
    <w:p>
      <w:pPr>
        <w:pStyle w:val="733"/>
        <w:ind w:left="0" w:right="0" w:firstLine="0"/>
        <w:jc w:val="center"/>
        <w:spacing w:before="120" w:after="120" w:line="85" w:lineRule="atLeast"/>
        <w:rPr>
          <w:rFonts w:ascii="SimHei" w:hAnsi="SimHei" w:eastAsia="SimHei" w:cs="SimHei"/>
          <w:b/>
          <w:bCs/>
          <w:color w:val="000000"/>
          <w:sz w:val="48"/>
          <w:szCs w:val="48"/>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u w:val="none"/>
        </w:rPr>
        <w:t xml:space="preserve">第一章</w:t>
      </w:r>
      <w:r>
        <w:rPr>
          <w:rFonts w:ascii="SimHei" w:hAnsi="SimHei" w:eastAsia="SimHei" w:cs="SimHei"/>
          <w:b/>
          <w:color w:val="000000"/>
          <w:sz w:val="48"/>
        </w:rPr>
        <w:t xml:space="preserve">  投标邀请函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江苏京苏项目管理咨询有限公司受苏州工业园区唯亭街道办事处的委托，就其所需的阳澄湖半岛治安联防队技防监控维护项目进行国内公开招标。欢迎有条件的单位前来参加投标。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1.采购编号：</w:t>
      </w:r>
      <w:r>
        <w:rPr>
          <w:rFonts w:ascii="SimSun" w:hAnsi="SimSun" w:eastAsia="SimSun" w:cs="SimSun"/>
          <w:color w:val="000000"/>
          <w:sz w:val="24"/>
        </w:rPr>
        <w:t xml:space="preserve">JSZC-320591-PMJS-G2026-0017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2.招标内容：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2.1项目名称：阳澄湖半岛治安联防队技防监控维护项目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2.2预算金额：165万元（含代理费）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2.3服务范围：详见招标文件第四章《招标书》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2.4采购需求：详见招标文件第四章《招标书》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2.5服务期限：</w:t>
      </w:r>
      <w:r>
        <w:rPr>
          <w:rFonts w:ascii="SimSun" w:hAnsi="SimSun" w:eastAsia="SimSun" w:cs="SimSun"/>
          <w:color w:val="000000"/>
          <w:sz w:val="24"/>
          <w:highlight w:val="white"/>
        </w:rPr>
        <w:t xml:space="preserve">三年，</w:t>
      </w:r>
      <w:r>
        <w:rPr>
          <w:rFonts w:ascii="SimSun" w:hAnsi="SimSun" w:eastAsia="SimSun" w:cs="SimSun"/>
          <w:color w:val="000000"/>
          <w:sz w:val="24"/>
        </w:rPr>
        <w:t xml:space="preserve">自2026年7月11日至2029年7月10日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3.开标信息：</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3.1投标文件上传截止时间：2026年06月26日09:30（北京时间）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3.2投标文件递交地点：苏州市政府采购网站-苏采云系统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3.3时间：2026年06月26日09:30</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3.4本项目支持网上不见面开标，</w:t>
      </w:r>
      <w:r>
        <w:rPr>
          <w:rFonts w:ascii="SimSun" w:hAnsi="SimSun" w:eastAsia="SimSun" w:cs="SimSun"/>
          <w:b/>
          <w:color w:val="000000"/>
          <w:sz w:val="24"/>
        </w:rPr>
        <w:t xml:space="preserve">供应商不需到现场参加开标会。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3.5本项目为不见面开标项目，开标阶段供应商在【供应商解密】环节必须使用 CA证书解密电子投标（响应）文件，如在系统规定的解密时间内未能完成解密的视为放弃投标（响应）。</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3.6请供应商确保电脑、系统及其他设备（视频输入输出设备等）无误，且开标直至项目结束始终保持系统在线状态。</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3.7线上参加（观看）开标会方式：苏州市政府采购网点击“苏采云”进入交易系统，点击“开标大厅－我的项目”，找到对应项目</w:t>
      </w:r>
      <w:r>
        <w:rPr>
          <w:rFonts w:ascii="SimSun" w:hAnsi="SimSun" w:eastAsia="SimSun" w:cs="SimSun"/>
          <w:color w:val="000000"/>
          <w:sz w:val="24"/>
          <w:highlight w:val="white"/>
        </w:rPr>
        <w:t xml:space="preserve">进入不见面开标系统</w:t>
      </w:r>
      <w:r>
        <w:rPr>
          <w:rFonts w:ascii="SimSun" w:hAnsi="SimSun" w:eastAsia="SimSun" w:cs="SimSun"/>
          <w:color w:val="000000"/>
          <w:sz w:val="24"/>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4.联系单位：</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4.1采购人信息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名称：苏州工业园区唯亭街道办事处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地址：苏州工业园区展业路18号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 陈菊珍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电话：0512-67333908</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4.2采购代理机构信息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名称：江苏京苏项目管理咨询有限公司</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地址：苏州工业园区东环路1400号综艺开元大厦1幢15楼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电话：0512-67256848-1647</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4.3项目联系方式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项目联系人：顾梦飞、俞莉、顾苏芯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 0512-67256848-1647</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江苏京苏项目管理咨询有限公司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2026年06月05日</w:t>
      </w:r>
      <w:r/>
    </w:p>
    <w:p>
      <w:pPr>
        <w:ind w:left="0" w:right="0" w:firstLine="40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964"/>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
    </w:p>
    <w:p>
      <w:pPr>
        <w:pStyle w:val="733"/>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第二章  投标人须知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A 说明和释义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 说明</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1.1本招标文件仅适用于江苏京苏项目管理咨询有限公司组织的招标活动。</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1.2本次招标活动及因本次招标产生的合同受中国法律制约和保护。</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1.3本招标文件的解释权属于江苏京苏项目管理咨询有限公司。</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 词语释义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2.1采购人：依法进行政府采购的各级国家机关、事业单位、团体组织。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2.2投标人：指向采购人提供货物、工程或服务的法人、其他组织或者自然人。</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2.3采购代理机构：指依法接受采购人委托，从事货物、工程和服务等政府采购代理业务的社会中介机构。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2.4响应：投标人根据采购人或采购代理机构发布的招标文件，编制投标文件并按规定投标的行为。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2.5合同：采供双方根据招标文件和中标的投标文件及中标通知书规定的内容签署的以书面形式所达成的协议，包括所有的附件、附录和构成协议的所有文件。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2.6甲方（采购人）：合同中明确规定的实际购买货物和服务的法人或其他组织和自然人。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2.7乙方（投标人）：合同中规定的向采购人提供货物和服务的法人或其他组织和自然人。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2.8知识产权：指专利权、商标权、著作权等无形财产专有权的统称。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2.9天：日历日。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2.10服务地点：合同中明确约定的乙方服务的最终地点。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2.11不可抗力：不能预见、不能避免并且不能克服的客观情况。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2.12实质性响应：满足有关本次采购标的、数量、质量、价款或者报酬、服务要求、履行期限、履行地点和方式、违约责任和解决争议方法等要求。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2.13进口产品：通过中国海关报关验放进入中国境内且产自关境外的产品。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2.14书面形式：指书面文字、合同书、信件和传真等可以有形地表现所载内容的形式。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2.15扫描件：指原件的各种彩色复制件，包括扫描、照片等。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B 投标人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 合格投标人的一般条件</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按招标公告</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4.合格投标人的特殊条件</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按招标公告</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 投标人代表</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5.1指全权代表投标人参加投标活动并签署投标文件的人，如果投标人代表不是法定代表人，须持有《法定代表人授权委托书》（详见统一格式）。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 投标费用</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6.1无论投标过程中的做法和结果如何，投标人自行承担所有与参加投标有关的全部费用。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 联合体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7.1如接受联合体参加投标的，由两个或两个以上法人组成一个联合体以一个投标人的身份共同响应时，联合体各方均应当符合政府采购法第二十二条规定的条件。同时还应符合以下要求：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 联合体各方中至少应当有一方应具备承担本项目的相应资格条件。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7.1.2 联合体各方应签订联合投标协议，明确联合体的牵头人，明确约定各方拟承担的工作和责任，并将该联合投标协议随投标文件一并提交。联合体牵头人应被授权作为联合体所有成员的代表承担责任和接受指令，并负责整个合同的全面履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7.1.3以联合体形式参加政府采购活动的，联合体各方不得再单独参加或者与其他投标人另外组成联合体参加同一合同项下的政府采购活动。出现上述情况者，其投标和与其有关的联合体的投标均作无效投标处理。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7.1.4联合体中标的，联合体各方应当共同与采购人签订合同，就中标项目向采购人承担连带责任。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7.2除非另有规定或说明，本采购文件中“投标人”一词亦指联合体各成员。</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 招标文件</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招标文件由招标文件总目录所列内容组成，投标人获取招标文件后，应仔细检查招标文件的所有内容，如有残缺等问题应在获取招标文件后及时向采购代理机构提出，否则，由此产生的影响由投标人自己承担，投标人同时应认真阅读招标文件中所有的事项、格式、条款和规范要求等，若投标人的投标文件没有按招标文件要求提交全部资料，或投标文件没有对招标文件做出实质性响应，其风险由投标人自行承担，并根据有关条款规定，该电子投标文件将被拒绝。</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招标文件及其更正（补充）文件不是直接从苏采云系统获得的，采购代理机构对招标文件及其更正（补充）文件的真实性、完整性不承担任何责任。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 招标文件的询问</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9.1投标人在收到招标文件后，若有问题需要询问，应按照前附表要求及时提出，采购代理机构将予以解答，但答复内容不得涉及商业秘密。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 招标文件的澄清、修改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在投标截止时间前，采购人、采购代理机构无论出于自己的考虑，还是出于对投标人提问的澄清，均可对招标文件用更正（补充）文件的方式在原公告发布媒体上对招标文件进行澄清或修改，澄清或修改不得改变采购标的和资格条件。更正（补充）文件将作为招标文件的组成部分，对所有投标人有约束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10.2为使投标人有足够的时间按招标文件的修改要求考虑修正投标文件，或出于其他原因，采购人、采购代理机构有权推迟投标截止日期和开标日期。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10.3投标人应及时关注采购信息发布媒体上发布的更正（补充）公告，如有遗漏（包括但不限于文件未下载或下载不完整），所造成的投标失败或损失由投标人自行负责。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10.4招标文件的澄清、修改、补充等内容均以原公告发布媒体上发布的内容为准。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11.现场考察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11.1根据自身投标需要，投标人对有关现场和周围环境进行考察，以获取编制投标文件和签署合同所需的信息。考察现场所发生的费用由投标人自己承担。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经采购人允许，投标人可为考察目的进入采购人的项目现场，但投标人不得因此使采购人承担有关的责任和蒙受损失。投标人应承担考察现场的责任和风险。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投标人应在现场考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12.提示与要求</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12.1投标人应仔细阅读招标文件的所有内容，按招标文件的要求提供投标文件，并保证所提供的全部数据的真实性，以使其投标对招标文件作出实质性响应，否则，其投标可能被拒绝。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12.2无论是否提交投标文件，投标人都应将招标文件及以后的所有通知、文件等视为保密文件。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 投标文件计量单位和使用文字</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13.1投标文件中所使用的计量单位，除招标文件中有特殊要求外，均应使用中华人民共和国法定计量单位。</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投标文件应使用中文编制，递交中文证明资料，投标文件中必须使用其它文字的，必须附有中文译本。对于未附有中文译本和中文译本不准确的投标文件可能引起的对投标人不利的后果，采购人或采购代理机构概不负责。</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 投标文件的组成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14.1投标书一（报价部分）：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14.1.1投标函 （格式见第三章）；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14.1.2法定代表人授权委托书（如有授权）；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14.1.3《开标一览表》；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14.1.4《投标报价明细表》；（格式见第三章）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投标书二（技术及资格证明部分）：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14.2.1关于资格文件的声明函（格式见第三章）；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14.2.2投标人情况表（格式见第三章）；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14.2.3供应商与其他单位存在控股、管理关系情况表（格式见第三章）；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14.2.4投标人企业法定代表人身份证扫描件；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14.2.5代理人身份证扫描件（如有授权）；</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14.2.6投标人证明其满足合格投标人资格基本条件的证明材料：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（1）具有独立承担民事责任的能力证明：包括法人或者其他组织的营业执照等证明文件，自然人身份证明；</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（2）具有良好的商业信誉和健全的财务会计制度证明：包括但不限于最近一期财务报表，其他组织、自然人及成立未满一年的法人应提供银行出具的资信证明；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（3）履行合同所必备的设备和专业技术能力的证明材料或承诺函；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投标人参加本次政府采购活动前半年（至少一个月）依法缴纳税收和社会保障资金（专用收据或社会保险缴纳清单）的证明材料；如为依法免税或不需要缴纳的，投标人则须提供对应证明资料，否则不予认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（5）参加政府采购活动前三年内在经营活动中没有重大违法记录的书面声明函；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14.2.7服务要求对照偏离表（见格式）；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14.2.8商务条款偏离表（见格式）；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14.2.9中小企业声明函（格式见第三章）或残疾人福利性单位声明函（格式见第三章）或监狱企业证明文件；</w:t>
      </w:r>
      <w:r>
        <w:rPr>
          <w:rFonts w:ascii="SimSun" w:hAnsi="SimSun" w:eastAsia="SimSun" w:cs="SimSun"/>
          <w:b/>
          <w:color w:val="000000"/>
          <w:sz w:val="24"/>
          <w:u w:val="single"/>
        </w:rPr>
        <w:t xml:space="preserve">(注：未提供或者提供的中小企业声明函或残疾人福利性单位声明函、监狱企业证明文件未加盖有公章的彩色扫描件上传至电子投标文件中的均视为无效标。）</w:t>
      </w:r>
      <w:r/>
    </w:p>
    <w:p>
      <w:pPr>
        <w:ind w:left="0" w:right="0" w:firstLine="46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14.2.10《关于符合本国产品标准的声明函》（注：如供应商提供的货物中涉及本国产品标准，提供声明函）；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14.2.11针对本项目的人员配置表（见格式）；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14.2.12拟投入本项目的负责人简历表；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14.2.13投标人针对本项目人员配备方案，服务团队人员详细介绍；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14.2.14投标人针对本项目的详细服务方案；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14.2.15服务承诺说明；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14.2.16《类似业绩一览表》（格式见第三章）；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14.2.17其他可以证明投标人资信、资质和货物、服务质量的证书、文件、推荐信等资料；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14.2.18招标文件及评分标准中所涉及需提供的其他资料。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注：1、投标书二（技术及资格证明部分）中不得出现价格。</w:t>
      </w:r>
      <w:r/>
    </w:p>
    <w:p>
      <w:pPr>
        <w:ind w:left="0" w:right="0" w:firstLine="98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2.投标人必须提交上述14.1.1—14.2.8款规定的资料。否则，投标文件将因未实质响应招标文件而被拒绝。</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14.3投标文件由14.1、14.2款规定的内容共同组成。</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 电子投标文件编制及提交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本项目为网上招投标项目，供应商应登录苏采云系统、线上获取招标（采购）文件，线上获取更正（补充）文件、对投标（响应）文件进行电子签章、线上递交投标（响应）文件；应使用电子投标文件制作工具制作电子版投标（响应）文件。</w:t>
      </w:r>
      <w:r>
        <w:rPr>
          <w:rFonts w:ascii="SimSun" w:hAnsi="SimSun" w:eastAsia="SimSun" w:cs="SimSun"/>
          <w:b/>
          <w:color w:val="000000"/>
          <w:sz w:val="24"/>
        </w:rPr>
        <w:t xml:space="preserve">电子投标（响应）文件制作完成后请于上传截止前成功上传，未按要求线上递交电子投标（响应）文件将被拒收，供应商参与多个标段投标的，应分别单独上传。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15.2电子投标（响应）文件制作工具下载：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电子投标文件制作工具下载：详见苏州市政府采购网-苏采云登陆页面右下角点击驱动下载。使用指南见《苏采云系统供应商操作手册》。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15.3电子投标（响应）文件制作与提交：</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供应商根据《苏采云系统供应商操作手册》进行操作。制作电子投标文件时必须与投标文件制作软件目录一一对应，将相关资料上传至相应模块。</w:t>
      </w:r>
      <w:r>
        <w:rPr>
          <w:rFonts w:ascii="SimSun" w:hAnsi="SimSun" w:eastAsia="SimSun" w:cs="SimSun"/>
          <w:b/>
          <w:color w:val="000000"/>
          <w:sz w:val="24"/>
        </w:rPr>
        <w:t xml:space="preserve">需对投标（响应）文件中涉及的扫描件（复印件）及需要加盖公章的部分进行签章，否则视为未提供相对应项。</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15.4投标（响应）文件制作完成后导出投标（响应）文件，在“参与详情”页面上传已制作完成的投标（响应）文件。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15.5投标（响应）文件提交后，供应商可通过模拟解密操作检测投标（响应）文件是否可以正常解密。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15.6</w:t>
      </w:r>
      <w:r>
        <w:rPr>
          <w:rFonts w:ascii="SimSun" w:hAnsi="SimSun" w:eastAsia="SimSun" w:cs="SimSun"/>
          <w:b/>
          <w:color w:val="000000"/>
          <w:sz w:val="24"/>
          <w:u w:val="single"/>
        </w:rPr>
        <w:t xml:space="preserve">因本章“14.投标文件的组成”要求的中小企业声明函、残疾人福利性单位声明函要求的文件需在中标公告时对外公示，故投标供应商如涉及需要提供“14.投标文件的组成”要求的中小企业声明函、残疾人福利性单位声明函的文件时，必须将签章上传至电子投标文件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15.7供应商应在采购系统中选择已制作好的投标文件进行上传，上传必须在投标（响应）截止时间前完成。</w:t>
      </w:r>
      <w:r>
        <w:rPr>
          <w:rFonts w:ascii="SimSun" w:hAnsi="SimSun" w:eastAsia="SimSun" w:cs="SimSun"/>
          <w:b/>
          <w:color w:val="000000"/>
          <w:sz w:val="24"/>
        </w:rPr>
        <w:t xml:space="preserve">未按要求成功上传的投标（响应）文件视为未递交。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15.8在投标文件递交截止时间止采购人收到的投标文件递交份数少于三份，采购人有权宣布本次采购失败。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15.9联合体投标：本项目不涉及。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如招标（采购）公告中允许联合体投标，联合体投标的投标（响应）文件制作上传操作如下：</w:t>
      </w:r>
      <w:r/>
    </w:p>
    <w:p>
      <w:pPr>
        <w:ind w:left="0" w:right="0" w:firstLine="480"/>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第一步：在投标（响应）文件中上传联合体投标协议书。</w:t>
      </w:r>
      <w:r/>
    </w:p>
    <w:p>
      <w:pPr>
        <w:ind w:left="0" w:right="0" w:firstLine="480"/>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第二步：在投标（响应）文件中，由联合体中的牵头人制作投标（响应）文件。</w:t>
      </w:r>
      <w:r/>
    </w:p>
    <w:p>
      <w:pPr>
        <w:ind w:left="0" w:right="0" w:firstLine="482"/>
        <w:spacing w:before="0" w:after="0" w:line="85" w:lineRule="atLeast"/>
        <w:tabs>
          <w:tab w:val="left" w:pos="5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备注：投标文件中的CA证书签章为有效签名章。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 报价（编制）要求的说明</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除非合同中另有规定，投标人对《分项报价表》中的报价应包括但不限于完成本项目所需全部人工费、材料、机械、消耗品、管理、维护、保险、利润、税金、通讯器材、办公设备、国家规定的社会保障基金、各种税费、保险、劳保、政策性文件规定及合同包含的所有风险、责任等各项应有费用。同时，除非合同条款中另有规定，否则，响应单位所报价格在合同实施期间不因市场变化因素而变动。投标人应对所投项目的全部内容进行报价，只投其中部分内容者，其标书将被拒绝。投标报价为最终报价，除非因特殊原因并经双方协商同意，投标人不得再要求追加任何费</w:t>
      </w:r>
      <w:r>
        <w:rPr>
          <w:rFonts w:ascii="SimSun" w:hAnsi="SimSun" w:eastAsia="SimSun" w:cs="SimSun"/>
          <w:color w:val="000000"/>
          <w:sz w:val="24"/>
        </w:rPr>
        <w:t xml:space="preserve">用。同时，除非合同条款中另有规定，否则，投标人所报价格在合同实施期间不因市场变化因素而变动，政策性条款例外。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16.2投标报价编制要求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16.2.1根据提供的投标文件及有关资料单独编制相关的投标报价并汇总填入《分项报价表》；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投标人应按《分项报价表》中的全部服务计算单价和总价。《分项报价表》中的每一单项均应计算并填写单价和总价。如发现投标报价中有错算、漏算现象，一旦中标，投标人自行承担错算、漏算这部分的经济损失，视为包含在总报价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投标人应对招标文件内所要采购的全部内容进行报价，只投其中部分内容者，其投标文件将被拒绝。但如果采购文件要求分标段投标的，则投标人可以有选择地只投其中一个或几个标段，也可以投全部标段，但各标段应分别计算填写单价和总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16.5一项内容只允许一个报价，采购人不接受任何有选择性的报价。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16.6投标文件报价中的单价和总价全部采用人民币表示，除非合同的特殊条款另有规定。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 投标保证金（本项目无需提交投标保证金，本招标文件内投标保证金相关规定均不适用）。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 投标文件的有效期</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18.1投标文件的有效期见前附表，在此期间内，投标文件应保持有效。有效期短于这个规定期限的响应，将被拒绝。</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18.2在特殊情况下，采购单位可与投标人协商延长投标文件的有效期。这种要求和答复都应以书面的形式进行。同意延长有效期的投标人不能修改投标文件。拒绝接受延期要求的投标人的投标将被拒绝。</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 投标文件的修改和撤回</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19.1投标人在提交投标文件后开启前可在系统中对其投标文件进行修改或撤销。</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开启后投标人不得撤回投标文件。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 开标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20.1本项目支持网上不见面开标，</w:t>
      </w:r>
      <w:r>
        <w:rPr>
          <w:rFonts w:ascii="SimSun" w:hAnsi="SimSun" w:eastAsia="SimSun" w:cs="SimSun"/>
          <w:b/>
          <w:color w:val="000000"/>
          <w:sz w:val="24"/>
        </w:rPr>
        <w:t xml:space="preserve">供应商不需到现场参加开标会</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20.2线上参加（观看）开标会方式：苏州市政府采购网点击“苏采云”进入交易系统，点击“开标大厅－我的项目”，找到对应项目</w:t>
      </w:r>
      <w:r>
        <w:rPr>
          <w:rFonts w:ascii="SimSun" w:hAnsi="SimSun" w:eastAsia="SimSun" w:cs="SimSun"/>
          <w:color w:val="000000"/>
          <w:sz w:val="24"/>
          <w:highlight w:val="white"/>
        </w:rPr>
        <w:t xml:space="preserve">进入不见面开标系统</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w:t>
      </w:r>
      <w:r>
        <w:rPr>
          <w:rFonts w:ascii="SimSun" w:hAnsi="SimSun" w:eastAsia="SimSun" w:cs="SimSun"/>
          <w:b/>
          <w:color w:val="000000"/>
          <w:sz w:val="24"/>
        </w:rPr>
        <w:t xml:space="preserve">开标阶段供应商在【供应商解密】环节必须使用 CA证书解密电子投标（响应）文件，如在系统规定的解密时间内未能完成解密的视为放弃投标（响应）。</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20.4开评审结果会在评标结束后通过采购系统告知投标人，请投标人及时查看，否则导致对投标人不利的后果由投标人自行承担。</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20.5开标过程中，投标人应当通过苏采云系统的开标大厅进入开标系统，采购人或采购代理机构会在留言栏目作出答复，请投标人及时关注。为了保证开标秩序，请不要在互动交流中发表与开标无关的言论。开标中出现异常情况时，将通过留言栏目发布相关信息，请投标人及时关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20.6</w:t>
      </w:r>
      <w:r>
        <w:rPr>
          <w:rFonts w:ascii="SimSun" w:hAnsi="SimSun" w:eastAsia="SimSun" w:cs="SimSun"/>
          <w:b/>
          <w:color w:val="000000"/>
          <w:sz w:val="24"/>
        </w:rPr>
        <w:t xml:space="preserve">请供应商确保电脑、系统及其他设备（视频输入输出设备等）无误，且开标直至项目结束始终保持系统在线状态。</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20.7本项目采用线上澄清：</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在对投标文件的有效性、完整性和响应程度进行审查时，可以要求投标人对投标文件中含义不明确、同类问题表述不一致或者有明显文字和计算错误的内容等作出必要的澄清、说明或者更正。投标人的澄清、说明或者更正不得超出投标文件的范围或者改变投标文件的实质性内容。</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评审中需要投标人进行澄清的通知会通过苏采云系统发出，投标人应及时登录采购系统查看澄清要求并在规定的时间内按要求进行线上答复。</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有关澄清的答复应在系统内采用书面形式，该书面答复应有投标人签（盖）章，并将作为投标内容的一部分。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线上澄清答复的方式：当发起答疑澄清时，页面弹出处理答疑澄清消息菜单，点击反馈进入－点击【响应】－填写询问响应内容后，进行询问响应函签章。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评审结束后系统公告中会提示评审流程结束，投标人可离开电脑。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20.8由于开标现场监控传输路径与开标信息传输路径不同，会造成网页显示时间与监控图像显示时间不同。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20.9技术支持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注册咨询：18261002950；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CA技术咨询电话：400-608-6099；</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签章使用问题：025-83633811、025-83633812、15380932027、15371015030；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系统使用指导与咨询：联系电话：13914088964、18261002950；QQ：3048755361、1315179389、895706745。</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21.资格审查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21.1公开招标采购项目开标结束后，采购人或者采购代理机构应当依法对投标人的资格进行审查，</w:t>
      </w:r>
      <w:r>
        <w:rPr>
          <w:rFonts w:ascii="SimSun" w:hAnsi="SimSun" w:eastAsia="SimSun" w:cs="SimSun"/>
          <w:b/>
          <w:color w:val="000000"/>
          <w:sz w:val="24"/>
        </w:rPr>
        <w:t xml:space="preserve">未通过资格审查的投标无效。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21.2根据政府采购法及相关法规，以及苏州市财政局《关于印发苏州市市级政府采购信用记录查询和使用工作试行办法的通知》（苏财购〔2017〕11号）的规定，将对投标人进行信用查询。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21.2.1查询时间：投标文件递交截止时间。</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21.2.2查询渠道：在中国政府采购网（http://www.ccgp.gov.cn）、信用中国（www.creditchina.gov.cn）的网站输入投标人全称或统一社会信用代码查询信用记录，并将查询结果递交评审小组。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21.3经采购人或者采购代理机构审查供应商存在失信行为的，投标无效。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21.4合格投标人不足3家的，不得评标。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 评标委员会或评标小组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22.1评标委员会或评标小组（以下简称评委会）成员依法组建，负责具体评标事务，并独立履行职责；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22.2评标委员会或评标小组与参加采购活动的投标人存在下列利害关系之一的，应当回避：</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（一）参加采购活动前三年内，与投标人存在劳动关系，或者担任过投标人的董事、监事，或者是投标人的控股股东或实际控制人；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（二）与投标人的法定代表人或者负责人有夫妻、直系血亲、三代以内旁系血亲或者近姻亲关系；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（三）与投标人有其他影响政府采购活动公平、公正进行的关系。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评标委员会或评标小组发现本人与参加采购活动的投标人有利害关系的，应当主动提出回避。采购人或采购代理机构发现评审专家与参加采购活动的投标人有利害关系的，应当要求其回避。</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22.3评标委员会将对符合资格的投标人的投标文件进行符合性审查，以确定其是否满足招标文件的实质性要求。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22.4评委会组负责具体的评标事务，并独立履行以下职责：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22.4.1审查、评价投标文件是否符合招标文件的商务、技术等实质性要求；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22.4.2要求投标人对投标文件有关事项作出澄清或者说明；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22.4.3对投标文件进行比较和评价；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22.4.4确定中标候选人名单，以及根据采购人委托直接确定中标人；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22.4.5向采购人、采购代理机构或者有关部门报告评标中发现的违法行为。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22.5评委会成员应当履行下列义务：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22.5.1遵纪守法，客观、公正、廉洁地履行职责；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22.5.2按照招标文件规定的评标办法和评标标准进行评标，对评审意见承担个人责任；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22.5.3对评标过程和结果，以及投标人的商业秘密保密；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22.5.4参与评标报告的起草；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22.5.5配合采购人、采购代理机构答复投标人提出的质疑；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22.5.6配合有关部门的投诉处理工作。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 评标内容的保密</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23.1公开开标后，直到宣布授予中标单位合同为止，凡属于审查、澄清、评价和比较投标的所有数据，有关授予合同的信息都不应向投标人或与评标无关的其他人泄露。</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23.2在投标文件的审查、澄清、评价和比较以及授予合同的过程中，投标人对采购人、采购代理机构和评标委员会成员施加影响的任何行为，都将取消其中标资格。</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23.3在评标期间，采购人、采购代理机构将通过指定联络人与投标人进行联系。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 对投标文件初审</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评委会将对资格符合的投标文件进行符合性审查。即依据招标文件规定，从投标文件的有效性、完整性和对招标文件的响应程度进行审查，以确定是否对招标文件的实质性要求作出响应。投标文件有下列情况之一者将被认定为无效投标：</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24.1.1投标文件未按照本招标文件规定对投标文件进行签章；</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24.1.2投标人拒绝修正错误；</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24.1.3投标人的报价是选择性的；</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24.1.4投标人的报价只投了同一标段中部分内容；</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24.1.5投标人的投标文件中出现评委会认为不应雷同的；</w:t>
      </w:r>
      <w:r/>
    </w:p>
    <w:p>
      <w:pPr>
        <w:ind w:left="0" w:right="0" w:firstLine="50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24.1.6不同投标人的“机器码一致”的情形；</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24.1.7其他被评委会认定无效的情况。</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实质性响应的投标应该是与招标文件要求的标的、数量、质量、价款或者报酬、履行期限、履行地点和方式、违约责任和解决争议方法等条款相符。不得限制合同中买方的权利或投标人的义务，也不得对其他实质性回应的投标人的竞争地位产生不公正影响。</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招标文件提供的工艺、材料、设备、参考的商标或样本目录号码等仅作为说明并没有限制性，投标人在投标中可以选用替代标准，但这些替代标准要优于或相当于技术规格中要求的标准，以满足采购人的需要。</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对于投标文件中含义不明确、同类问题表述不一致或者有明显文字和计算错误的内容，评标委员会应当以书面形式要求投标人作出必要的澄清、说明或者补正。投标人的澄清、说明或者补正不得超出投标文件的范围或者改变投标文件的实质性内容。</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24.5投标文件报价出现前后不一致的，除招标文件另有规定外，按照下列规定修正：</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24.5.1投标文件中开标一览表（报价表）内容与投标文件中相应内容不一致的，以开标一览表（报价表）为准；</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24.5.2大写金额和小写金额不一致的，以大写金额为准；</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24.5.3单价金额小数点或者百分比有明显错位的，以开标一览表的总价为准，并修改单价；</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24.5.4总价金额与按单价汇总金额不一致的，以单价金额计算结果为准。</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同时出现两种以上不一致的，按照前款规定的顺序修正。修正后的报价按照《中华人民共和国财政部令第87号》第五十一条第二款的规定经投标人确认后产生约束力，投标人不确认的，其投标无效。</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24.6除上述情形外，对投标文件的判定，只依据投标文件本身，不依靠开标后的任何外来证明。</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24.7采购代理机构将拒绝被确定为非实质性响应的投标，投标人不能通过修正或撤销不符之处而使其投标成为实质性响应的投标。</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24.8对不同文字文本投标文件的解释发生异议的，以中文文本为准。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 投标的澄清、说明或纠正</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25.2投标人对投标文件的澄清不得改变投标的价格（校核时发现的算术错误除外）及实质内容。</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25.3评审中需要供应商进行澄清的通知会通过苏采云系统发出，供应商应及时登录采购系统查看澄清要求并在规定的时间内按要求进行线上答复，否则视为未实质性响应。</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有关澄清的答复应在系统内采用书面形式，该书面答复应有投标人签（盖）章，并将作为投标内容的一部分。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线上澄清答复的方式：当发起答疑澄清时，页面弹出处理答疑澄清消息菜单，点击反馈进入－点击【响应】－填写询问响应内容后，进行询问响应函签章。</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26.异常低价投标审查</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26.1 评标过程中出现下列情形之一的，评标委员会应当启动异常低价投标审查程序：</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（1）投标（响应）报价低于全部通过符合性审查供应商投标（响应）报价平均值50%的，即投标（响应）报价（全部通过符合性审查供应商投标（响应）报价平均值×50%；）</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（2）投标（响应）报价低于通过符合性审查的次低报价供应商投标（响应）报价50%的，即投标（响应）报价（通过符合性审查的次低报价供应商投标（响应）报价×50%；）</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（3）投标报价低于采购项目最高限价45%的，即投标报价＜采购项目最高限价×45%；</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（4）评标委员会认定的供应商报价过低、有可能影响产品质量或者不能诚信履约的其他情形。</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26.2评标委员会认定的供应商报价过低、有可能影响产品质量或者不能诚信履约的其他情形。</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26.3启动异常低价投标审查后，评标委员会应当要求相关供应商在评标现场合理的时间内，提供项目具体成本测算等与报价合理性相关的书面说明材料及相关证明材料，对投标价格作出解释，包括但不限于原材料成本、人工成本、制造费用等；评审委员会依据投标（响应）供应商不能提供书面说明、证明材料，或者提供的书面说明、证明材料不能证明其报价合理性的，评审委员会应当将其作为无效投标（响应）处理。由评标委员会根据专业经验，参考同类项目中标（成交）价格、类似产品市场价格水平、行业人工费用标准、国家有关部门指导行业协会发布的行业平均成本</w:t>
      </w:r>
      <w:r>
        <w:rPr>
          <w:rFonts w:ascii="SimSun" w:hAnsi="SimSun" w:eastAsia="SimSun" w:cs="SimSun"/>
          <w:b/>
          <w:color w:val="000000"/>
          <w:sz w:val="24"/>
        </w:rPr>
        <w:t xml:space="preserve">等情况，对报价合理性进行判断。投标供应商不提供书面说明、证明材料，或者提供的书面说明、证明材料不能证明其报价合理性的，评标委员会应当将其作为无效投标处理。审查相关情况应当在评标报告中进行记录。</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27.1 在招标过程中，出现下列情况之一的，应予废标：</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27.1.1进入评审的实质响应的供应商不足三家的；</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27.1.2出现影响采购公正的违法、违规行为的；</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27.1.3投标人的报价均超过了采购预算的，采购方不能支付的；</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27.1.4因重大变故，采购任务取消的；</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27.2 废标后，采购人将把废标的理由通知所有投标人。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 投标文件的评价和比较</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28.1评标委员会将仅对按照本须知有关规定确定为实质性响应招标文件要求的投标文件进行评价和比较。</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评价和比较采用综合评分法，评委会严格按照招标文件的规定要求、条件、评分标准，对投标人所提供货物或服务的先进性、可靠性、售后服务承诺、质量保证承诺等实质性响应内容进行比较评价。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 中标单位的确认</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29.1中标人的数量：1个。</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29.2评标委员会根据投标人资格审查情况，对投标文件进行评价和比较，按照评标办法和标准进行评标推荐中标候选人。评标委员会有权评定中标人，同时也有权拒绝任何或所有投标人中标。</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评标结果按评审后得分由高到低顺序排列。得分相同的，按投标报价由低到高顺序排列。得分且投标报价相同的并列，则由评标委员会以抽签方式确定中标候选人。投标文件满足招标文件全部实质性要求，且按照评审因素的量化指标评审得分最高的投标人为排名第一的中标候选人。</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29.4采购人或者采购代理机构应当自中标人确定之日起2个工作日内，在政府采购信息媒体上发布中标公告，中标公告期限为1个工作日。</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在公告中标结果的同时，采购人或者采购代理机构应当向中标人发出中标通知书；对未通过资格审查的投标人，应当告知其未通过的原因；采用综合评分法评审的，还应当告知未中标人本人的评审得分与排序。未中标人须在中标公告发出之日起2个工作日内向采购代理机构另行提供用以接收《未中标通知书》和“评审得分与排序”的电子邮件地址，未按时提供电子邮件地址或提供信息有误的，视为自动放弃并自行承担相应后果。</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 中标通知书</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30.1中标通知书将成为合同的组成部分。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31.履约保证金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详见前附表。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乙方履约保证金在签订本合同前缴纳，履约保证金可采用支票、本票、汇票、电子履约保函，或者金融机构、担保机构出具的银行保函等非现金形式。如递交电子履约保函的，中标单位在江苏政府采购电子履约保函（保险）平台开具履约保函，按履约要求准时提供有关材料。开具电子保函路径：1、苏采云（江苏政府采购一体化平台）--政策支持--保险保函；2、江苏政府采购网-－保险保函；3、PC端登录 https://www.jsdzbh.com 直接开具。咨询电话：4006800040。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31.2如果乙方未能履行合同规定的任何义务，或因乙方责任应由乙方承担的赔偿或违约金支付未完成，甲方有权从履约保证金中取得补偿。</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31.3履约保证金（无息）将在乙方履行完合同义务一个月内，凭乙方的收款收据退还余款给乙方。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31.4甲方逾期退还履约保证金的，乙方有权要求甲方自约定的退还期限届满次日起，每逾期一日，按应退还的履约保证金款项的0.03%支付违约金，直至实际退还之日为止。</w:t>
      </w:r>
      <w:r/>
    </w:p>
    <w:p>
      <w:pPr>
        <w:ind w:left="0" w:right="0" w:firstLine="48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31.5乙方擅自解除合同，或因乙方违约导致甲方解除合同，或因乙方违约给甲方造成重大损失时，履约保证金不予退还。</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32.合同</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32.1采购人应当自中标通知书发出之日起15日内，按照招标文件和中标人投标文件的规定，与中标人签订书面合同。</w:t>
      </w:r>
      <w:r/>
    </w:p>
    <w:p>
      <w:pPr>
        <w:ind w:left="40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 政府采购合同的双方当事人不得擅自变更、中止或者终止合同。</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32.3政府采购合同继续履行将损害国家利益和社会公共利益的，双方当事人应当变更、中止或者终止合同。有过错的一方应当承担赔偿责任，双方都有过错的，各自承担相应的责任。</w:t>
      </w:r>
      <w:r/>
    </w:p>
    <w:p>
      <w:pPr>
        <w:ind w:left="0" w:right="0" w:firstLine="3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32.4采购人在合同签订后，可以增加与合同标的相同的服务，在不改变合同其他条款的前提下，可以与投标人协商签订补充合同，但所有补充合同的采购金额不得超过原合同采购金额的百分之十。</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根据《政府采购质疑和投诉办法》财政部第94号令，供应商认为采购文件、采购过程、中标（成交）结果使自己的权益受到损害的，可以在知道或者应知其权益受到损害之日起7个工作日内，以书面形式向采购人、采购代理机构提出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33.2本次采购文件要求供应商在法定质疑期内一次性提出针对同一采购程序环节的质疑。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33.3采购人、采购代理机构收到质疑供应商在法定质疑期内发出的质疑函，应当在收到质疑函后7个工作日内作出答复，并以书面形式通知质疑供应商和其他有关供应商。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33.4供应商提出质疑应当提交质疑函、交易文件下载确认单和必要的证明材料。质疑函应当包括下列内容：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33.5供应商的姓名或者名称、地址、邮编、联系人及联系电话；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33.6质疑项目的名称、编号；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33.7具体、明确的质疑事项和与质疑事项相关的请求；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33.8事实依据；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33.9必要的法律依据；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33.10提出质疑的日期。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33.11质疑联系方式详见采购公告。</w:t>
      </w:r>
      <w:r/>
    </w:p>
    <w:p>
      <w:pPr>
        <w:ind w:left="171"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34.政府采购政策</w:t>
      </w:r>
      <w:r/>
    </w:p>
    <w:p>
      <w:pPr>
        <w:ind w:left="0" w:right="0" w:firstLine="72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34.1关于节能环保产品政府采购要求：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项目为服务类项目，不涉及属于《节能产品政府采购品目清单》中强制采购范围内产品，不涉及属于《节能产品政府采购品目清单》中优先采购范围内的产品及《环境标志产品政府采购品目清单》范围内的产品。</w:t>
      </w:r>
      <w:r/>
    </w:p>
    <w:p>
      <w:pPr>
        <w:ind w:left="0" w:right="0" w:firstLine="72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34.2针对中小型企业的评审：</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（1）针对中小型企业的评审：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促进中小企业发展管理办法》（财库〔2020〕46号）的相关规定，供应商认定本企业提供的货物、工程或服务符合上述文件规定情形，供应商需根据《中小企业划型标准规定》（工信部联企业〔2011〕300号）提交《中小企业声明函》并加盖公章，</w:t>
      </w:r>
      <w:r>
        <w:rPr>
          <w:rFonts w:ascii="SimSun" w:hAnsi="SimSun" w:eastAsia="SimSun" w:cs="SimSun"/>
          <w:b/>
          <w:color w:val="000000"/>
          <w:sz w:val="24"/>
        </w:rPr>
        <w:t xml:space="preserve">《中小企业声明函》中所填的行业应与本采购标的对应的中小企业划分标准所属行业一致，未提交声明函或所提交的声明函中行业与本采购标的对应的中小企业划分标准所属行业不一致的不享受相关扶持政策。服务类项目中供应商若使用退休人员，将不享受相关扶持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政府采购活动中，供应商提供的服务符合下列情形的，享受《政府采购促进中小企业发展管理办法》规定的中小企业扶持政策：在服务项目中，服务由中小企业承接。如供应商属于小型或微型企业，对小型和微型企业的价格给予20%的扣除，用扣除后的价格参与评审。</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根据《政府采购促进中小企业发展管理办法》（财库〔2020〕46号）及《中小企业划型标准规定》（工信部联企业〔2011〕300号），本采购项目对应的中小企业划分标准所属行业为：其他未列明行业。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若中小微企业提供的 “中小企业声明函” 或认定证明为虚假声明则视同提供虚假材料，按政府采购相关规定处理并报请政府监管部门给予行政处罚。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未尽事宜按照《苏州市政府采购促进中小企业发展实施意见》执行。</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（2）残疾人福利性单位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促进残疾人就业政府采购政策的通知》（财库〔2017〕141号）的相关规定，在政府采购活动中残疾人福利性单位视同小型、微型企业。符合条件的残疾人福利性单位，应提交《残疾人福利性单位声明函》，并对声明的真实性负责。</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（3）监狱企业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w:t>
      </w:r>
      <w:r/>
    </w:p>
    <w:p>
      <w:pPr>
        <w:ind w:left="0" w:right="0" w:firstLine="482"/>
        <w:spacing w:before="240" w:after="3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34.3实施本国产品标准及相关政策</w:t>
      </w:r>
      <w:r/>
    </w:p>
    <w:p>
      <w:pPr>
        <w:ind w:left="0" w:right="0" w:firstLine="0"/>
        <w:spacing w:before="240" w:after="3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本项目为服务类项目，如提供服务中需提供货物，</w:t>
      </w:r>
      <w:r>
        <w:rPr>
          <w:rFonts w:ascii="SimSun" w:hAnsi="SimSun" w:eastAsia="SimSun" w:cs="SimSun"/>
          <w:b/>
          <w:color w:val="000000"/>
          <w:sz w:val="24"/>
        </w:rPr>
        <w:t xml:space="preserve">根据《国务院办公厅关于在政府采购中实施本国产品标准及相关政策的通知》（国办发</w:t>
      </w:r>
      <w:r>
        <w:rPr>
          <w:rFonts w:ascii="SimSun" w:hAnsi="SimSun" w:eastAsia="SimSun" w:cs="SimSun"/>
          <w:color w:val="000000"/>
          <w:sz w:val="24"/>
        </w:rPr>
        <w:t xml:space="preserve">〔</w:t>
      </w:r>
      <w:r>
        <w:rPr>
          <w:rFonts w:ascii="SimSun" w:hAnsi="SimSun" w:eastAsia="SimSun" w:cs="SimSun"/>
          <w:b/>
          <w:color w:val="000000"/>
          <w:sz w:val="24"/>
        </w:rPr>
        <w:t xml:space="preserve">2025</w:t>
      </w:r>
      <w:r>
        <w:rPr>
          <w:rFonts w:ascii="SimSun" w:hAnsi="SimSun" w:eastAsia="SimSun" w:cs="SimSun"/>
          <w:color w:val="000000"/>
          <w:sz w:val="24"/>
        </w:rPr>
        <w:t xml:space="preserve">〕</w:t>
      </w:r>
      <w:r>
        <w:rPr>
          <w:rFonts w:ascii="SimSun" w:hAnsi="SimSun" w:eastAsia="SimSun" w:cs="SimSun"/>
          <w:b/>
          <w:color w:val="000000"/>
          <w:sz w:val="24"/>
        </w:rPr>
        <w:t xml:space="preserve">34号）的规定，本项目对采购本国产品给予政策支持</w:t>
      </w:r>
      <w:r>
        <w:rPr>
          <w:rFonts w:ascii="SimSun" w:hAnsi="SimSun" w:eastAsia="SimSun" w:cs="SimSun"/>
          <w:color w:val="000000"/>
          <w:sz w:val="24"/>
        </w:rPr>
        <w:t xml:space="preserve">。</w:t>
      </w:r>
      <w:r/>
    </w:p>
    <w:p>
      <w:pPr>
        <w:ind w:left="0" w:right="0" w:firstLine="0"/>
        <w:spacing w:before="240" w:after="3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0"/>
        <w:spacing w:before="240" w:after="3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spacing w:before="240" w:after="3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34.3.3本项目政府采购活动中既有本国产品又有非本国产品参与竞争的，依法对本国产品给予价格评审优惠，对本国产品的报价给予20%的价格扣除，用扣除后的价格参与评审。</w:t>
      </w:r>
      <w:r/>
    </w:p>
    <w:p>
      <w:pPr>
        <w:ind w:left="0" w:right="0" w:firstLine="0"/>
        <w:spacing w:before="240" w:after="3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采购项目或者采购包中含有多种产品，供应商为该采购项目或者采购包提供的符合本国产品标准的产品成本之和占该供应商提供的全部产品成本之和的比例达到80%以上时（供应商需在“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0"/>
        <w:spacing w:before="240" w:after="3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34.3.4供应商需按照招标文件的要求提供《关于符合本国产品标准的声明函》（以下简称《声明函》）或财政部会同有关部门规定的有关证明文件的，如不提供或提供不符合要求的将不享受本国产品价格评审优惠。</w:t>
      </w:r>
      <w:r/>
    </w:p>
    <w:p>
      <w:pPr>
        <w:ind w:left="0" w:right="0" w:firstLine="0"/>
        <w:spacing w:before="240" w:after="3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34.3.5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0"/>
        <w:spacing w:before="240" w:after="3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34.3.6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2"/>
        <w:spacing w:before="240" w:after="3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34.4信用记录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34.4.1查询截止时点：响应文件递交截止时间。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34.4.2查询渠道：</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采购代理机构将通过，在中国政府采购网（http://www.ccgp.gov.cn）、信用中国（www.creditchina.gov.cn）的网站输入供应商全称或统一社会信用代码查询信用记录，并将查询结果递交评审小组。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34.4.3信用记录使用规则：对响应单位进行资格性审查时，应根据查询结果对供应商的不良信用记录逐项甄别确认。按照《中华人民共和国政府采购法》第二十二条规定，下列信用记录属于应依法拒绝供应商参加政府采购的失信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（一）政府采购严重违法记录，即供应商被全国各级财政部门列入“政府采购严重违法失信行为记录名单”，且在处罚有效期内的。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（二）财政部门与法院、工商、税务等部门联合惩戒的失信信息，包括：</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（1）被列入失信被执行人名单；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（2）被列入重大税收违法案件当事人名单；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投标（响应）文件日未满三年的。</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 代理服务费</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35.1中标单位须按前附表的规定计算并支付代理服务费，该费用应在中标通知书发出时付清。</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35.2中标单位如果未按规定缴纳代理服务费，采购人或采购代理机构保留诉讼的权利。</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36. 未尽事宜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按《中华人民共和国政府采购法》及其他有关的法律法规的规定执行。</w:t>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733"/>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第三章  投标文件格式</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对本章所有的投标书格式 ，投标方可根据自身情况进行补充和修改，但补充和修改不得造成与本格式内容有实质性的违背。</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格式一、投标函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江苏京苏项目管理咨询有限公司：</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我们收到贵公司</w:t>
      </w:r>
      <w:r>
        <w:rPr>
          <w:rFonts w:ascii="SimSun" w:hAnsi="SimSun" w:eastAsia="SimSun" w:cs="SimSun"/>
          <w:color w:val="000000"/>
          <w:sz w:val="24"/>
          <w:u w:val="single"/>
        </w:rPr>
        <w:t xml:space="preserve">            </w:t>
      </w:r>
      <w:r>
        <w:rPr>
          <w:rFonts w:ascii="SimSun" w:hAnsi="SimSun" w:eastAsia="SimSun" w:cs="SimSun"/>
          <w:color w:val="000000"/>
          <w:sz w:val="24"/>
        </w:rPr>
        <w:t xml:space="preserve">号采购文件，经仔细阅读和研究，我们决定参加投标，并承诺如下：</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愿意按照招标文件的一切要求，提供招标项目的所有内容，我们的投标报价包括但不限于完成本项目所需全部人工费、材料、机械、消耗品、管理、维护、保险、利润、税金、通讯器材、办公设备、国家规定的社会保障基金、各种税费、保险、劳保、政策性文件规定及合同包含的所有风险、责任等各项应有费用。我单位的投标报价为最终报价，除非因特殊原因并经双方协商同意，我单位不再要求追加任何费用。我单位所报价格在合同实施期间不因市场变化因素而变动，政策性条款例外。</w:t>
      </w:r>
      <w:r/>
    </w:p>
    <w:p>
      <w:pPr>
        <w:ind w:left="0" w:right="0" w:firstLine="50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2.如果我们的投标书被接受，我们将严格履行招标文件中规定的每一项要求，严格履行合同的责任和义务，保证按期、按质履行合同，完成服务的全部工作。</w:t>
      </w:r>
      <w:r/>
    </w:p>
    <w:p>
      <w:pPr>
        <w:ind w:left="0" w:right="0" w:firstLine="50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3.我们同意按招标文件中的规定，本投标书的有效期限为开标后</w:t>
      </w:r>
      <w:r>
        <w:rPr>
          <w:rFonts w:ascii="SimSun" w:hAnsi="SimSun" w:eastAsia="SimSun" w:cs="SimSun"/>
          <w:color w:val="000000"/>
          <w:sz w:val="24"/>
          <w:u w:val="single"/>
        </w:rPr>
        <w:t xml:space="preserve">   </w:t>
      </w:r>
      <w:r>
        <w:rPr>
          <w:rFonts w:ascii="SimSun" w:hAnsi="SimSun" w:eastAsia="SimSun" w:cs="SimSun"/>
          <w:color w:val="000000"/>
          <w:sz w:val="24"/>
        </w:rPr>
        <w:t xml:space="preserve">天。</w:t>
      </w:r>
      <w:r/>
    </w:p>
    <w:p>
      <w:pPr>
        <w:ind w:left="0" w:right="0" w:firstLine="50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4.我们愿意提供招标方在招标文件中要求的所有资料。也同意向贵方提供贵方可能另外要求的与其投标有关的任何证据或资料。</w:t>
      </w:r>
      <w:r/>
    </w:p>
    <w:p>
      <w:pPr>
        <w:ind w:left="0" w:right="0" w:firstLine="50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5.我们认为你们有权决定中标者，还认为你们有权接受或拒绝所有的投标者。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6.我们愿意遵守招标公告及招标文件中所列的收费标准。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7.我们承诺该项投标在开标后的全过程中保持有效，不作任何更改和变动。我们同意中标后若不履行投标文件的内容要求和各项承诺及义务的即被视为违约，其中标资格将被取消。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8.我们同意中标方若无法按约定条款履行义务等行为，招标方有权取消我们的中标资格，并可就因我方未能履约而导致采购方损失的向我方进行索赔。</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9.如果我们中标，我们愿意按前附表规定的收费标准支付中标服务费，逾期按中国人民银行公布的同期人民币贷款最高利率计付利息；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10.与本次投标有关的通讯地址：</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单位：联系人：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地址：邮政编码：</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投标单位：（单位公章）</w:t>
      </w:r>
      <w:r/>
    </w:p>
    <w:p>
      <w:pPr>
        <w:ind w:left="0" w:right="0" w:firstLine="241"/>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400"/>
        <w:spacing w:before="240" w:after="240"/>
        <w:rPr>
          <w:rFonts w:ascii="Times New Roman" w:hAnsi="Times New Roman" w:eastAsia="Times New Roman" w:cs="Times New Roman"/>
          <w:color w:val="000000"/>
          <w:sz w:val="24"/>
          <w:szCs w:val="24"/>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0"/>
        <w:spacing w:before="240" w:after="240"/>
        <w:pBdr>
          <w:top w:val="none" w:color="000000" w:sz="4" w:space="0"/>
          <w:left w:val="none" w:color="000000" w:sz="4" w:space="0"/>
          <w:bottom w:val="none" w:color="000000" w:sz="4" w:space="0"/>
          <w:right w:val="none" w:color="000000" w:sz="4" w:space="0"/>
        </w:pBdr>
      </w:pPr>
      <w:r/>
      <w:r/>
    </w:p>
    <w:p>
      <w:pPr>
        <w:ind w:left="0" w:right="0" w:firstLine="400"/>
        <w:spacing w:before="240" w:after="240"/>
        <w:pBdr>
          <w:top w:val="none" w:color="000000" w:sz="4" w:space="0"/>
          <w:left w:val="none" w:color="000000" w:sz="4" w:space="0"/>
          <w:bottom w:val="none" w:color="000000" w:sz="4" w:space="0"/>
          <w:right w:val="none" w:color="000000" w:sz="4" w:space="0"/>
        </w:pBdr>
      </w:pPr>
      <w:r/>
      <w:r/>
    </w:p>
    <w:p>
      <w:pPr>
        <w:ind w:left="0" w:right="0" w:firstLine="400"/>
        <w:spacing w:before="240" w:after="240"/>
        <w:pBdr>
          <w:top w:val="none" w:color="000000" w:sz="4" w:space="0"/>
          <w:left w:val="none" w:color="000000" w:sz="4" w:space="0"/>
          <w:bottom w:val="none" w:color="000000" w:sz="4" w:space="0"/>
          <w:right w:val="none" w:color="000000" w:sz="4" w:space="0"/>
        </w:pBdr>
      </w:pPr>
      <w:r/>
      <w:r/>
    </w:p>
    <w:p>
      <w:pPr>
        <w:ind w:left="0" w:right="0" w:firstLine="400"/>
        <w:spacing w:before="240" w:after="240"/>
        <w:pBdr>
          <w:top w:val="none" w:color="000000" w:sz="4" w:space="0"/>
          <w:left w:val="none" w:color="000000" w:sz="4" w:space="0"/>
          <w:bottom w:val="none" w:color="000000" w:sz="4" w:space="0"/>
          <w:right w:val="none" w:color="000000" w:sz="4" w:space="0"/>
        </w:pBdr>
      </w:pPr>
      <w:r/>
      <w:r/>
    </w:p>
    <w:p>
      <w:pPr>
        <w:ind w:left="0" w:right="0" w:firstLine="400"/>
        <w:spacing w:before="240" w:after="240"/>
        <w:pBdr>
          <w:top w:val="none" w:color="000000" w:sz="4" w:space="0"/>
          <w:left w:val="none" w:color="000000" w:sz="4" w:space="0"/>
          <w:bottom w:val="none" w:color="000000" w:sz="4" w:space="0"/>
          <w:right w:val="none" w:color="000000" w:sz="4" w:space="0"/>
        </w:pBdr>
      </w:pPr>
      <w:r/>
      <w:r/>
    </w:p>
    <w:p>
      <w:pPr>
        <w:ind w:left="0" w:right="0" w:firstLine="400"/>
        <w:spacing w:before="240" w:after="240"/>
        <w:pBdr>
          <w:top w:val="none" w:color="000000" w:sz="4" w:space="0"/>
          <w:left w:val="none" w:color="000000" w:sz="4" w:space="0"/>
          <w:bottom w:val="none" w:color="000000" w:sz="4" w:space="0"/>
          <w:right w:val="none" w:color="000000" w:sz="4" w:space="0"/>
        </w:pBdr>
      </w:pPr>
      <w:r/>
      <w:r/>
    </w:p>
    <w:p>
      <w:pPr>
        <w:ind w:left="0" w:right="0" w:firstLine="40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r>
      <w:r>
        <w:rPr>
          <w:rFonts w:ascii="Times New Roman" w:hAnsi="Times New Roman" w:eastAsia="Times New Roman" w:cs="Times New Roman"/>
          <w:color w:val="000000"/>
          <w:sz w:val="24"/>
          <w:highlight w:val="none"/>
        </w:rP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格式二、法定代表人授权委托书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法定代表人授权委托书</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2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本授权委托书声明：我</w:t>
      </w:r>
      <w:r>
        <w:rPr>
          <w:rFonts w:ascii="SimSun" w:hAnsi="SimSun" w:eastAsia="SimSun" w:cs="SimSun"/>
          <w:color w:val="000000"/>
          <w:sz w:val="24"/>
          <w:u w:val="single"/>
        </w:rPr>
        <w:t xml:space="preserve">  （姓名）</w:t>
      </w:r>
      <w:r>
        <w:rPr>
          <w:rFonts w:ascii="SimSun" w:hAnsi="SimSun" w:eastAsia="SimSun" w:cs="SimSun"/>
          <w:color w:val="000000"/>
          <w:sz w:val="24"/>
        </w:rPr>
        <w:t xml:space="preserve">系</w:t>
      </w:r>
      <w:r>
        <w:rPr>
          <w:rFonts w:ascii="SimSun" w:hAnsi="SimSun" w:eastAsia="SimSun" w:cs="SimSun"/>
          <w:color w:val="000000"/>
          <w:sz w:val="24"/>
          <w:u w:val="single"/>
        </w:rPr>
        <w:t xml:space="preserve">（供应商名称）</w:t>
      </w:r>
      <w:r>
        <w:rPr>
          <w:rFonts w:ascii="SimSun" w:hAnsi="SimSun" w:eastAsia="SimSun" w:cs="SimSun"/>
          <w:color w:val="000000"/>
          <w:sz w:val="24"/>
        </w:rPr>
        <w:t xml:space="preserve">的法定代表人，现授权委托</w:t>
      </w:r>
      <w:r>
        <w:rPr>
          <w:rFonts w:ascii="SimSun" w:hAnsi="SimSun" w:eastAsia="SimSun" w:cs="SimSun"/>
          <w:color w:val="000000"/>
          <w:sz w:val="24"/>
          <w:u w:val="single"/>
        </w:rPr>
        <w:t xml:space="preserve"> （姓名）</w:t>
      </w:r>
      <w:r>
        <w:rPr>
          <w:rFonts w:ascii="SimSun" w:hAnsi="SimSun" w:eastAsia="SimSun" w:cs="SimSun"/>
          <w:color w:val="000000"/>
          <w:sz w:val="24"/>
        </w:rPr>
        <w:t xml:space="preserve">为我公司授权代表（即代理人），以本公司的名义参加 </w:t>
      </w:r>
      <w:r>
        <w:rPr>
          <w:rFonts w:ascii="SimSun" w:hAnsi="SimSun" w:eastAsia="SimSun" w:cs="SimSun"/>
          <w:color w:val="000000"/>
          <w:sz w:val="24"/>
          <w:u w:val="single"/>
        </w:rPr>
        <w:t xml:space="preserve">       </w:t>
      </w:r>
      <w:r>
        <w:rPr>
          <w:rFonts w:ascii="SimSun" w:hAnsi="SimSun" w:eastAsia="SimSun" w:cs="SimSun"/>
          <w:color w:val="000000"/>
          <w:sz w:val="24"/>
        </w:rPr>
        <w:t xml:space="preserve">组织实施的编号为</w:t>
      </w:r>
      <w:r>
        <w:rPr>
          <w:rFonts w:ascii="SimSun" w:hAnsi="SimSun" w:eastAsia="SimSun" w:cs="SimSun"/>
          <w:color w:val="000000"/>
          <w:sz w:val="24"/>
          <w:u w:val="single"/>
        </w:rPr>
        <w:t xml:space="preserve">        </w:t>
      </w:r>
      <w:r>
        <w:rPr>
          <w:rFonts w:ascii="SimSun" w:hAnsi="SimSun" w:eastAsia="SimSun" w:cs="SimSun"/>
          <w:color w:val="000000"/>
          <w:sz w:val="24"/>
        </w:rPr>
        <w:t xml:space="preserve">号的投标活动。授权代表在投标活动过程中所签署的一切文件和处理与这有关的一切事务，我均予以承认。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授权代表在授权委托书有效期内签署的所有文件不因授权委托的撤销而失效，除非有撤销授权委托的书面通知，本授权委托书自投标活动开始至合同履行完毕止。</w:t>
      </w:r>
      <w:r/>
    </w:p>
    <w:p>
      <w:pPr>
        <w:ind w:left="0" w:right="0" w:firstLine="52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授权代表无转委托权。特此委托。</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投标单位：（单位公章）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代理人：（签字或盖章）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line="85" w:lineRule="atLeast"/>
        <w:rPr>
          <w:rFonts w:ascii="SimSun" w:hAnsi="SimSun" w:eastAsia="SimSun" w:cs="SimSun"/>
          <w:color w:val="000000"/>
          <w:sz w:val="26"/>
          <w:szCs w:val="26"/>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highlight w:val="none"/>
        </w:rPr>
      </w:r>
      <w:r>
        <w:rPr>
          <w:rFonts w:ascii="SimSun" w:hAnsi="SimSun" w:eastAsia="SimSun" w:cs="SimSun"/>
          <w:color w:val="000000"/>
          <w:sz w:val="26"/>
          <w:highlight w:val="none"/>
        </w:rP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格式三、开标一览表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开标一览表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采购编号：</w:t>
      </w:r>
      <w:r/>
    </w:p>
    <w:tbl>
      <w:tblPr>
        <w:tblStyle w:val="7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10"/>
        <w:gridCol w:w="4111"/>
        <w:gridCol w:w="1982"/>
        <w:gridCol w:w="1081"/>
      </w:tblGrid>
      <w:tr>
        <w:trPr>
          <w:trHeight w:val="60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1"/>
              </w:rPr>
              <w:t xml:space="preserve">投标报价（元）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1"/>
              </w:rPr>
              <w:t xml:space="preserve">服务期限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1"/>
              </w:rPr>
              <w:t xml:space="preserve">税率%</w:t>
            </w:r>
            <w:r/>
          </w:p>
        </w:tc>
      </w:tr>
      <w:tr>
        <w:trPr>
          <w:trHeight w:val="9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 </w:t>
            </w:r>
            <w:r/>
          </w:p>
        </w:tc>
      </w:tr>
      <w:tr>
        <w:trPr>
          <w:trHeight w:val="9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0" w:type="dxa"/>
            <w:vAlign w:val="center"/>
            <w:textDirection w:val="lrTb"/>
            <w:noWrap w:val="false"/>
          </w:tcPr>
          <w:p>
            <w:pPr>
              <w:ind w:left="26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1"/>
              </w:rPr>
              <w:t xml:space="preserve">投标总价（元）</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大写：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小写：</w:t>
            </w:r>
            <w:r/>
          </w:p>
        </w:tc>
      </w:tr>
      <w:tr>
        <w:trPr>
          <w:trHeight w:val="9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□中型企业   □小型企业   □微型企业   □残疾人福利性单位   □监狱企业</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投标单位：（单位公章）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570" w:right="0" w:firstLine="0"/>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570" w:right="0" w:firstLine="0"/>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570" w:right="0" w:firstLine="0"/>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570" w:right="0" w:firstLine="0"/>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570" w:right="0" w:firstLine="0"/>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570" w:right="0" w:firstLine="0"/>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570" w:right="0" w:firstLine="0"/>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570" w:right="0" w:firstLine="0"/>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570" w:right="0" w:firstLine="0"/>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570" w:right="0" w:firstLine="0"/>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格式四、分项报价表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分项报价表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tbl>
      <w:tblPr>
        <w:tblStyle w:val="7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8"/>
        <w:gridCol w:w="1874"/>
        <w:gridCol w:w="988"/>
        <w:gridCol w:w="1412"/>
        <w:gridCol w:w="1694"/>
        <w:gridCol w:w="1270"/>
        <w:gridCol w:w="1397"/>
      </w:tblGrid>
      <w:tr>
        <w:trPr>
          <w:trHeight w:val="75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占总报价比例（%）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4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4"/>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符合本国产品标准的产品成本之和占本项目提供的全部产品成本之和的比例：</w:t>
            </w:r>
            <w:r>
              <w:rPr>
                <w:rFonts w:ascii="SimSun" w:hAnsi="SimSun" w:eastAsia="SimSun" w:cs="SimSun"/>
                <w:color w:val="000000"/>
                <w:sz w:val="24"/>
                <w:u w:val="single"/>
              </w:rPr>
              <w:t xml:space="preserve">    %</w:t>
            </w:r>
            <w:r/>
          </w:p>
        </w:tc>
      </w:tr>
    </w:tbl>
    <w:p>
      <w:pPr>
        <w:ind w:left="0" w:right="0" w:firstLine="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注：本次投标报价包含代理服务费。</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投标单位：（单位公章）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4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格式五、人员配备一览表</w:t>
      </w:r>
      <w:r/>
    </w:p>
    <w:p>
      <w:pPr>
        <w:ind w:left="0" w:right="0" w:firstLine="24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（1）人员配备一览表</w:t>
      </w:r>
      <w:r/>
    </w:p>
    <w:p>
      <w:pPr>
        <w:ind w:left="0" w:right="0" w:firstLine="211"/>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bl>
      <w:tblPr>
        <w:tblStyle w:val="7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79"/>
        <w:gridCol w:w="734"/>
        <w:gridCol w:w="652"/>
        <w:gridCol w:w="652"/>
        <w:gridCol w:w="803"/>
        <w:gridCol w:w="687"/>
        <w:gridCol w:w="629"/>
        <w:gridCol w:w="803"/>
        <w:gridCol w:w="931"/>
        <w:gridCol w:w="1083"/>
        <w:gridCol w:w="1328"/>
        <w:gridCol w:w="674"/>
      </w:tblGrid>
      <w:tr>
        <w:trPr>
          <w:trHeight w:val="1086"/>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37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73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65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65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80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学历</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68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毕业院校</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62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所学专业</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80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93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专业资格证书</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08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从业年限</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32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67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tc>
      </w:tr>
      <w:tr>
        <w:trPr>
          <w:trHeight w:val="591"/>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3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7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8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8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0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2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91"/>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3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7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8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8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0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2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1"/>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3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7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8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8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0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2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投标单位：（单位公章）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4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（2）拟投入本项目的负责人简历表</w:t>
      </w:r>
      <w:r/>
    </w:p>
    <w:tbl>
      <w:tblPr>
        <w:tblStyle w:val="7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00"/>
        <w:gridCol w:w="1189"/>
        <w:gridCol w:w="808"/>
        <w:gridCol w:w="1428"/>
        <w:gridCol w:w="1181"/>
        <w:gridCol w:w="1491"/>
        <w:gridCol w:w="1481"/>
      </w:tblGrid>
      <w:tr>
        <w:trPr>
          <w:trHeight w:val="6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  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性 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出生日期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毕业院校</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5"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毕业时间</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left="45"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w:t>
            </w:r>
            <w:r/>
          </w:p>
        </w:tc>
      </w:tr>
      <w:tr>
        <w:trPr>
          <w:trHeight w:val="5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从事本专业时间</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职称</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执业资格</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6"/>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8"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  要  经  历</w:t>
            </w:r>
            <w:r/>
          </w:p>
        </w:tc>
      </w:tr>
      <w:tr>
        <w:trPr>
          <w:trHeight w:val="9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   间</w:t>
            </w:r>
            <w:r/>
          </w:p>
        </w:tc>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参加过的项目名称及规模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该项目中任职</w:t>
            </w:r>
            <w:r/>
          </w:p>
        </w:tc>
      </w:tr>
      <w:tr>
        <w:trPr>
          <w:trHeight w:val="11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top"/>
            <w:textDirection w:val="lrTb"/>
            <w:noWrap w:val="false"/>
          </w:tcPr>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top"/>
            <w:textDirection w:val="lrTb"/>
            <w:noWrap w:val="false"/>
          </w:tcPr>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top"/>
            <w:textDirection w:val="lrTb"/>
            <w:noWrap w:val="false"/>
          </w:tcPr>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1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top"/>
            <w:textDirection w:val="lrTb"/>
            <w:noWrap w:val="false"/>
          </w:tcPr>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top"/>
            <w:textDirection w:val="lrTb"/>
            <w:noWrap w:val="false"/>
          </w:tcPr>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top"/>
            <w:textDirection w:val="lrTb"/>
            <w:noWrap w:val="false"/>
          </w:tcPr>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1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top"/>
            <w:textDirection w:val="lrTb"/>
            <w:noWrap w:val="false"/>
          </w:tcPr>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top"/>
            <w:textDirection w:val="lrTb"/>
            <w:noWrap w:val="false"/>
          </w:tcPr>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top"/>
            <w:textDirection w:val="lrTb"/>
            <w:noWrap w:val="false"/>
          </w:tcPr>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1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top"/>
            <w:textDirection w:val="lrTb"/>
            <w:noWrap w:val="false"/>
          </w:tcPr>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top"/>
            <w:textDirection w:val="lrTb"/>
            <w:noWrap w:val="false"/>
          </w:tcPr>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top"/>
            <w:textDirection w:val="lrTb"/>
            <w:noWrap w:val="false"/>
          </w:tcPr>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21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附件六、服务要求对照偏离表</w:t>
      </w:r>
      <w:r/>
    </w:p>
    <w:p>
      <w:pPr>
        <w:ind w:left="0" w:right="0" w:firstLine="0"/>
        <w:jc w:val="center"/>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服务要求对照偏离表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采购编号：</w:t>
      </w:r>
      <w:r/>
    </w:p>
    <w:tbl>
      <w:tblPr>
        <w:tblStyle w:val="7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03"/>
        <w:gridCol w:w="1961"/>
        <w:gridCol w:w="1766"/>
        <w:gridCol w:w="1569"/>
        <w:gridCol w:w="1853"/>
        <w:gridCol w:w="987"/>
      </w:tblGrid>
      <w:tr>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服务内容</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7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招标要求</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5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投标要求</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偏离/响应</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0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0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0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0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0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0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0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0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0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90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9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76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5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8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9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投标单位：（单位公章）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格式七、商务条款偏离表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商务条款偏离表</w:t>
      </w:r>
      <w:r/>
    </w:p>
    <w:p>
      <w:pPr>
        <w:ind w:left="0" w:right="0" w:firstLine="5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采购编号：</w:t>
      </w:r>
      <w:r/>
    </w:p>
    <w:tbl>
      <w:tblPr>
        <w:tblStyle w:val="7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3"/>
        <w:gridCol w:w="3243"/>
        <w:gridCol w:w="2154"/>
        <w:gridCol w:w="2026"/>
        <w:gridCol w:w="961"/>
      </w:tblGrid>
      <w:tr>
        <w:trPr>
          <w:trHeight w:val="46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投标单位：（单位公章）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1.投标单位提交的投标文件应在本表中将投标文件实际响应的服务、商务部分与招标文件的服务、商务部分进行逐项对应列出对比，并在“偏离说明”项下填写以下内容：优于的，填写“正偏离”；符合的，填写“无偏离”；低于的，填写“负偏离”。</w:t>
      </w:r>
      <w:r/>
    </w:p>
    <w:p>
      <w:pPr>
        <w:ind w:left="0" w:right="0" w:firstLine="8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2.若事项较多，投标单位可根据投标内容的实际情况另纸说明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格式八、类似业绩一览表</w:t>
      </w:r>
      <w:r/>
    </w:p>
    <w:p>
      <w:pPr>
        <w:ind w:left="0" w:right="0" w:firstLine="3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类似业绩一览表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采购编号：</w:t>
      </w:r>
      <w:r/>
    </w:p>
    <w:tbl>
      <w:tblPr>
        <w:tblStyle w:val="7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813"/>
        <w:gridCol w:w="2585"/>
        <w:gridCol w:w="1023"/>
        <w:gridCol w:w="1023"/>
        <w:gridCol w:w="1021"/>
      </w:tblGrid>
      <w:tr>
        <w:trPr>
          <w:trHeight w:val="39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8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5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合同金额</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3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pStyle w:val="735"/>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735"/>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投标单位：（单位公章）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735"/>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735"/>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735"/>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735"/>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735"/>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735"/>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735"/>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735"/>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spacing w:before="0" w:after="0"/>
        <w:rPr>
          <w:rFonts w:ascii="Times New Roman" w:hAnsi="Times New Roman" w:eastAsia="Times New Roman" w:cs="Times New Roma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
    </w:p>
    <w:p>
      <w:pPr>
        <w:ind w:left="0" w:right="0" w:firstLine="0"/>
        <w:spacing w:before="0" w:after="0"/>
        <w:pBdr>
          <w:top w:val="none" w:color="000000" w:sz="4" w:space="0"/>
          <w:left w:val="none" w:color="000000" w:sz="4" w:space="0"/>
          <w:bottom w:val="none" w:color="000000" w:sz="4" w:space="0"/>
          <w:right w:val="none" w:color="000000" w:sz="4" w:space="0"/>
        </w:pBdr>
      </w:pPr>
      <w:r/>
      <w:r/>
    </w:p>
    <w:p>
      <w:pPr>
        <w:ind w:left="0" w:right="0" w:firstLine="0"/>
        <w:spacing w:before="0" w:after="0"/>
        <w:pBdr>
          <w:top w:val="none" w:color="000000" w:sz="4" w:space="0"/>
          <w:left w:val="none" w:color="000000" w:sz="4" w:space="0"/>
          <w:bottom w:val="none" w:color="000000" w:sz="4" w:space="0"/>
          <w:right w:val="none" w:color="000000" w:sz="4" w:space="0"/>
        </w:pBdr>
      </w:pPr>
      <w:r/>
      <w:r/>
    </w:p>
    <w:p>
      <w:pPr>
        <w:ind w:left="0" w:right="0" w:firstLine="0"/>
        <w:spacing w:before="0" w:after="0"/>
        <w:pBdr>
          <w:top w:val="none" w:color="000000" w:sz="4" w:space="0"/>
          <w:left w:val="none" w:color="000000" w:sz="4" w:space="0"/>
          <w:bottom w:val="none" w:color="000000" w:sz="4" w:space="0"/>
          <w:right w:val="none" w:color="000000" w:sz="4" w:space="0"/>
        </w:pBdr>
      </w:pPr>
      <w:r/>
      <w:r/>
    </w:p>
    <w:p>
      <w:pPr>
        <w:ind w:left="0" w:right="0" w:firstLine="0"/>
        <w:spacing w:before="0" w:after="0"/>
        <w:pBdr>
          <w:top w:val="none" w:color="000000" w:sz="4" w:space="0"/>
          <w:left w:val="none" w:color="000000" w:sz="4" w:space="0"/>
          <w:bottom w:val="none" w:color="000000" w:sz="4" w:space="0"/>
          <w:right w:val="none" w:color="000000" w:sz="4" w:space="0"/>
        </w:pBdr>
      </w:pPr>
      <w:r/>
      <w:r/>
    </w:p>
    <w:p>
      <w:pPr>
        <w:ind w:left="0" w:right="0" w:firstLine="0"/>
        <w:spacing w:before="0" w:after="0"/>
        <w:pBdr>
          <w:top w:val="none" w:color="000000" w:sz="4" w:space="0"/>
          <w:left w:val="none" w:color="000000" w:sz="4" w:space="0"/>
          <w:bottom w:val="none" w:color="000000" w:sz="4" w:space="0"/>
          <w:right w:val="none" w:color="000000" w:sz="4" w:space="0"/>
        </w:pBdr>
      </w:pPr>
      <w:r/>
      <w:r/>
    </w:p>
    <w:p>
      <w:pPr>
        <w:ind w:left="0" w:right="0" w:firstLine="0"/>
        <w:spacing w:before="0" w:after="0"/>
        <w:pBdr>
          <w:top w:val="none" w:color="000000" w:sz="4" w:space="0"/>
          <w:left w:val="none" w:color="000000" w:sz="4" w:space="0"/>
          <w:bottom w:val="none" w:color="000000" w:sz="4" w:space="0"/>
          <w:right w:val="none" w:color="000000" w:sz="4" w:space="0"/>
        </w:pBdr>
      </w:pPr>
      <w:r/>
      <w:r/>
    </w:p>
    <w:p>
      <w:pPr>
        <w:ind w:left="0" w:right="0" w:firstLine="0"/>
        <w:spacing w:before="0" w:after="0"/>
        <w:pBdr>
          <w:top w:val="none" w:color="000000" w:sz="4" w:space="0"/>
          <w:left w:val="none" w:color="000000" w:sz="4" w:space="0"/>
          <w:bottom w:val="none" w:color="000000" w:sz="4" w:space="0"/>
          <w:right w:val="none" w:color="000000" w:sz="4" w:space="0"/>
        </w:pBdr>
      </w:pPr>
      <w:r/>
      <w:r/>
    </w:p>
    <w:p>
      <w:pPr>
        <w:ind w:left="0" w:right="0" w:firstLine="0"/>
        <w:spacing w:before="0" w:after="0"/>
        <w:pBdr>
          <w:top w:val="none" w:color="000000" w:sz="4" w:space="0"/>
          <w:left w:val="none" w:color="000000" w:sz="4" w:space="0"/>
          <w:bottom w:val="none" w:color="000000" w:sz="4" w:space="0"/>
          <w:right w:val="none" w:color="000000" w:sz="4" w:space="0"/>
        </w:pBdr>
      </w:p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highlight w:val="none"/>
        </w:rPr>
      </w:r>
      <w:r>
        <w:rPr>
          <w:rFonts w:ascii="Times New Roman" w:hAnsi="Times New Roman" w:eastAsia="Times New Roman" w:cs="Times New Roman"/>
          <w:b/>
          <w:color w:val="000000"/>
          <w:sz w:val="24"/>
          <w:highlight w:val="none"/>
        </w:rP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格式九、资格证明文件</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（1）关于资格文件的声明函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关于资格文件的声明函</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9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6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本公司愿就由贵公司组织实施的采购编号为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号的招标活动进行投标。本公司所提交的投标文件中所有关于投标资格的文件、证明和陈述均是真实的、准确的。若与真实情况不符，本公司愿意承担由此而产生的一切后果。</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ab/>
        <w:tab/>
        <w:tab/>
      </w:r>
      <w:r/>
    </w:p>
    <w:p>
      <w:pPr>
        <w:pStyle w:val="735"/>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投标单位：（单位公章）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（2）投标人情况表</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投标人情况表</w:t>
      </w:r>
      <w:r/>
    </w:p>
    <w:tbl>
      <w:tblPr>
        <w:tblStyle w:val="7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67"/>
        <w:gridCol w:w="1788"/>
        <w:gridCol w:w="1446"/>
        <w:gridCol w:w="2049"/>
        <w:gridCol w:w="123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6"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79"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6"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79" w:type="dxa"/>
            <w:vAlign w:val="top"/>
            <w:textDirection w:val="lrTb"/>
            <w:noWrap w:val="false"/>
          </w:tcPr>
          <w:p>
            <w:pPr>
              <w:ind w:left="0" w:right="0" w:firstLine="216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5"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6"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7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6"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79"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2025年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6"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79"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6"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79"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自有面积平方米</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承租面积平方米</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近三年来完成或正在履行的重大合同情况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最近2年内在经营过程中受到何种奖励或处分</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（包括财政、工商、税务、物价、技监部门稽查情况和结果）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最近3年内有无因售假、售劣或是其他原因被消费者投诉或起诉的情况及说明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（包括解决方式和结果）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（3）供应商与其他单位存在控股、管理关系情况表</w:t>
      </w:r>
      <w:r/>
    </w:p>
    <w:p>
      <w:pPr>
        <w:ind w:left="0" w:right="0" w:firstLine="0"/>
        <w:jc w:val="center"/>
        <w:spacing w:before="100" w:after="1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供应商与其他单位存在控股、管理关系情况表</w:t>
      </w:r>
      <w:r/>
    </w:p>
    <w:tbl>
      <w:tblPr>
        <w:tblStyle w:val="7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09"/>
        <w:gridCol w:w="3946"/>
      </w:tblGrid>
      <w:tr>
        <w:trPr>
          <w:trHeight w:val="6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供应商与其他单位存在控股、管理关系的单位名称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控股、管理关系情况说明</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bl>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注：投标单位应当按实填写所有与之有控股、管理关系的情况。</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（4）中小企业声明函</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中小企业声明函（工程、服务）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 </w:t>
      </w:r>
      <w:r>
        <w:rPr>
          <w:rFonts w:ascii="SimSun" w:hAnsi="SimSun" w:eastAsia="SimSun" w:cs="SimSun"/>
          <w:color w:val="000000"/>
          <w:sz w:val="24"/>
        </w:rPr>
        <w:t xml:space="preserve">号）的规定，本公司（联合体）参加</w:t>
      </w:r>
      <w:r>
        <w:rPr>
          <w:rFonts w:ascii="SimSun" w:hAnsi="SimSun" w:eastAsia="SimSun" w:cs="SimSun"/>
          <w:color w:val="000000"/>
          <w:sz w:val="24"/>
          <w:u w:val="single"/>
        </w:rPr>
        <w:t xml:space="preserve">            （单位名称）</w:t>
      </w:r>
      <w:r>
        <w:rPr>
          <w:rFonts w:ascii="SimSun" w:hAnsi="SimSun" w:eastAsia="SimSun" w:cs="SimSun"/>
          <w:color w:val="000000"/>
          <w:sz w:val="24"/>
        </w:rPr>
        <w:t xml:space="preserve">的 </w:t>
      </w:r>
      <w:r>
        <w:rPr>
          <w:rFonts w:ascii="SimSun" w:hAnsi="SimSun" w:eastAsia="SimSun" w:cs="SimSun"/>
          <w:color w:val="000000"/>
          <w:sz w:val="24"/>
          <w:u w:val="single"/>
        </w:rPr>
        <w:t xml:space="preserve">                    （项目名称）</w:t>
      </w:r>
      <w:r>
        <w:rPr>
          <w:rFonts w:ascii="SimSun" w:hAnsi="SimSun" w:eastAsia="SimSun" w:cs="SimSun"/>
          <w:color w:val="000000"/>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1. </w:t>
      </w: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其他未列明行业</w:t>
      </w:r>
      <w:r>
        <w:rPr>
          <w:rFonts w:ascii="SimSun" w:hAnsi="SimSun" w:eastAsia="SimSun" w:cs="SimSun"/>
          <w:color w:val="000000"/>
          <w:sz w:val="24"/>
        </w:rPr>
        <w:t xml:space="preserve">；承建（承接）企业为  </w:t>
      </w:r>
      <w:r>
        <w:rPr>
          <w:rFonts w:ascii="SimSun" w:hAnsi="SimSun" w:eastAsia="SimSun" w:cs="SimSun"/>
          <w:color w:val="000000"/>
          <w:sz w:val="24"/>
          <w:u w:val="single"/>
        </w:rPr>
        <w:t xml:space="preserve">                                      （企业名称）</w:t>
      </w:r>
      <w:r>
        <w:rPr>
          <w:rFonts w:ascii="SimSun" w:hAnsi="SimSun" w:eastAsia="SimSun" w:cs="SimSun"/>
          <w:color w:val="000000"/>
          <w:sz w:val="24"/>
        </w:rPr>
        <w:t xml:space="preserve">，从业人员人，营业收入为万元，资产总额为万元，属于</w:t>
      </w:r>
      <w:r>
        <w:rPr>
          <w:rFonts w:ascii="SimSun" w:hAnsi="SimSun" w:eastAsia="SimSun" w:cs="SimSun"/>
          <w:color w:val="000000"/>
          <w:sz w:val="24"/>
          <w:u w:val="single"/>
        </w:rPr>
        <w:t xml:space="preserve">（中型企业、小型企业、微型企业，三者选一填写）</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48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48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1.提供的中小企业声明函须加盖有公章的彩色扫描件上传至电子投标文件中（如属于）。否则不可享受相应扶持政策。</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2.如供应商认定本企业为小型或微型企业，则需根据“工信部联企业〔2011〕300号”通知中的《中小企业划型标准规定》填报“中小企业声明函”。</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3.从业人员、营业收入、资产总额填报上一年度数据，无上一年度数据的新成立企业可不填报。</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4.中小企业划分标准详见“工信部联企业〔2011〕300号通知中的《中小企业划型标准规定》”。</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5.《中小企业声明函》中所填的行业应与本采购标的对应的中小企业划分标准所属行业一致，不一致的不可享受相应政策优惠。</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6.如未对（中型企业、小型企业、微型企业）进行勾选，视同非小微企业，不可享受相应扶持政策。</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7.中标单位为中小微企业的，《中小企业声明函》将随中标结果同时公告。</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8.未尽事宜按照《苏州市政府采购促进中小企业发展实施意见》执行。</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9.若供应商提供的“中小企业声明函”内容不实的，属于提供虚假材料谋取中标、成交，依照《中华人民共和国政府采购法》等国家有关规定追究相应责任。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（5）残疾人福利性单位声明函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残疾人福利性单位声明函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本单位对上述声明的真实性负责。如有虚假，将依法承担相应责任。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单位名称（盖章）：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24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注：提供的残疾人福利性单位声明函须加盖有公章的彩色扫描件上传至电子投标文件中（如属于）。否则不可享受相应扶持政策。</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格式十、关于符合本国产品标准的声明函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关于符合本国产品标准的声明函</w:t>
      </w:r>
      <w:r/>
    </w:p>
    <w:p>
      <w:pPr>
        <w:ind w:left="0" w:right="0" w:firstLine="420"/>
        <w:spacing w:before="15" w:after="15"/>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在中国境内完成。</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jc w:val="right"/>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公司（单位）名称（加盖CA电子公章）：         </w:t>
      </w:r>
      <w:r/>
    </w:p>
    <w:p>
      <w:pPr>
        <w:ind w:left="0" w:right="0" w:firstLine="0"/>
        <w:jc w:val="cente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      年   月   日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_________________</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1.产品如有型号，请在“产品名称”栏一并填写。</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2.生产厂名与厂址应与生产厂营业执照载明的相关信息保持一致。</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4.该产品的关键组件要求实施前，“关键组件”栏可不填，下同。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5.该产品的关键工序要求实施前，“关键工序”栏可不填，下同。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6.《声明函》中标注“</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”的地方无需填写。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733"/>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pStyle w:val="733"/>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8"/>
        </w:rPr>
        <w:t xml:space="preserve"> </w:t>
      </w:r>
      <w:r/>
    </w:p>
    <w:p>
      <w:pPr>
        <w:ind w:left="0" w:right="0" w:firstLine="96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8"/>
        </w:rPr>
        <w:t xml:space="preserve"> </w:t>
      </w:r>
      <w:r/>
    </w:p>
    <w:p>
      <w:pPr>
        <w:ind w:left="0" w:right="0" w:firstLine="96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8"/>
        </w:rPr>
        <w:t xml:space="preserve"> </w:t>
      </w:r>
      <w:r/>
    </w:p>
    <w:p>
      <w:pPr>
        <w:pStyle w:val="733"/>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highlight w:val="none"/>
        </w:rPr>
      </w:r>
      <w:r>
        <w:rPr>
          <w:rFonts w:ascii="SimHei" w:hAnsi="SimHei" w:eastAsia="SimHei" w:cs="SimHei"/>
          <w:b/>
          <w:color w:val="000000"/>
          <w:sz w:val="48"/>
          <w:highlight w:val="none"/>
        </w:rPr>
      </w:r>
    </w:p>
    <w:p>
      <w:pPr>
        <w:pStyle w:val="733"/>
        <w:ind w:left="0" w:right="0" w:firstLine="0"/>
        <w:jc w:val="center"/>
        <w:spacing w:before="120" w:after="120" w:line="85" w:lineRule="atLeast"/>
        <w:rPr>
          <w:rFonts w:ascii="SimHei" w:hAnsi="SimHei" w:eastAsia="SimHei" w:cs="SimHei"/>
          <w:b/>
          <w:bCs/>
          <w:color w:val="000000"/>
          <w:sz w:val="48"/>
          <w:szCs w:val="48"/>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highlight w:val="none"/>
        </w:rPr>
      </w:r>
      <w:r>
        <w:rPr>
          <w:rFonts w:ascii="SimHei" w:hAnsi="SimHei" w:eastAsia="SimHei" w:cs="SimHei"/>
          <w:b/>
          <w:color w:val="000000"/>
          <w:sz w:val="48"/>
          <w:highlight w:val="none"/>
        </w:rPr>
      </w:r>
    </w:p>
    <w:p>
      <w:pPr>
        <w:pStyle w:val="733"/>
        <w:ind w:left="0" w:right="0" w:firstLine="0"/>
        <w:jc w:val="center"/>
        <w:spacing w:before="120" w:after="120" w:line="85" w:lineRule="atLeast"/>
        <w:rPr>
          <w:rFonts w:ascii="SimHei" w:hAnsi="SimHei" w:eastAsia="SimHei" w:cs="SimHei"/>
          <w:b/>
          <w:bCs/>
          <w:color w:val="000000"/>
          <w:sz w:val="48"/>
          <w:szCs w:val="48"/>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highlight w:val="none"/>
        </w:rPr>
      </w:r>
      <w:r>
        <w:rPr>
          <w:rFonts w:ascii="SimHei" w:hAnsi="SimHei" w:eastAsia="SimHei" w:cs="SimHei"/>
          <w:b/>
          <w:color w:val="000000"/>
          <w:sz w:val="48"/>
          <w:highlight w:val="none"/>
        </w:rPr>
      </w:r>
    </w:p>
    <w:p>
      <w:pPr>
        <w:pStyle w:val="733"/>
        <w:ind w:left="0" w:right="0" w:firstLine="0"/>
        <w:jc w:val="center"/>
        <w:spacing w:before="120" w:after="120" w:line="85" w:lineRule="atLeast"/>
        <w:rPr>
          <w:rFonts w:ascii="SimHei" w:hAnsi="SimHei" w:eastAsia="SimHei" w:cs="SimHei"/>
          <w:b/>
          <w:bCs/>
          <w:color w:val="000000"/>
          <w:sz w:val="48"/>
          <w:szCs w:val="48"/>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highlight w:val="none"/>
        </w:rPr>
      </w:r>
      <w:r>
        <w:rPr>
          <w:rFonts w:ascii="SimHei" w:hAnsi="SimHei" w:eastAsia="SimHei" w:cs="SimHei"/>
          <w:b/>
          <w:color w:val="000000"/>
          <w:sz w:val="48"/>
          <w:highlight w:val="none"/>
        </w:rPr>
      </w:r>
    </w:p>
    <w:p>
      <w:pPr>
        <w:pStyle w:val="733"/>
        <w:ind w:left="0" w:right="0" w:firstLine="0"/>
        <w:jc w:val="center"/>
        <w:spacing w:before="120" w:after="120" w:line="85" w:lineRule="atLeast"/>
        <w:rPr>
          <w:rFonts w:ascii="SimHei" w:hAnsi="SimHei" w:eastAsia="SimHei" w:cs="SimHei"/>
          <w:b/>
          <w:bCs/>
          <w:color w:val="000000"/>
          <w:sz w:val="48"/>
          <w:szCs w:val="48"/>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highlight w:val="none"/>
        </w:rPr>
      </w:r>
      <w:r>
        <w:rPr>
          <w:rFonts w:ascii="SimHei" w:hAnsi="SimHei" w:eastAsia="SimHei" w:cs="SimHei"/>
          <w:b/>
          <w:color w:val="000000"/>
          <w:sz w:val="48"/>
          <w:highlight w:val="none"/>
        </w:rPr>
      </w:r>
    </w:p>
    <w:p>
      <w:pPr>
        <w:pStyle w:val="733"/>
        <w:ind w:left="0" w:right="0" w:firstLine="0"/>
        <w:jc w:val="center"/>
        <w:spacing w:before="120" w:after="120" w:line="85" w:lineRule="atLeast"/>
        <w:rPr>
          <w:rFonts w:ascii="SimHei" w:hAnsi="SimHei" w:eastAsia="SimHei" w:cs="SimHei"/>
          <w:b/>
          <w:bCs/>
          <w:color w:val="000000"/>
          <w:sz w:val="48"/>
          <w:szCs w:val="48"/>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highlight w:val="none"/>
        </w:rPr>
      </w:r>
      <w:r>
        <w:rPr>
          <w:rFonts w:ascii="SimHei" w:hAnsi="SimHei" w:eastAsia="SimHei" w:cs="SimHei"/>
          <w:b/>
          <w:color w:val="000000"/>
          <w:sz w:val="48"/>
          <w:highlight w:val="none"/>
        </w:rPr>
      </w:r>
    </w:p>
    <w:p>
      <w:pPr>
        <w:pStyle w:val="733"/>
        <w:ind w:left="0" w:right="0" w:firstLine="0"/>
        <w:jc w:val="center"/>
        <w:spacing w:before="120" w:after="120" w:line="85" w:lineRule="atLeast"/>
        <w:rPr>
          <w:rFonts w:ascii="SimHei" w:hAnsi="SimHei" w:eastAsia="SimHei" w:cs="SimHei"/>
          <w:b/>
          <w:bCs/>
          <w:color w:val="000000"/>
          <w:sz w:val="48"/>
          <w:szCs w:val="48"/>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第四章 招标书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江苏京苏项目管理咨询有限公司作为招标代理机构，受苏州工业园区唯亭街道办事处的委托，就其所需的阳澄湖半岛治安联防队技防监控维护项目进行国内公开招标。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一、采购编号</w:t>
      </w:r>
      <w:r>
        <w:rPr>
          <w:rFonts w:ascii="SimSun" w:hAnsi="SimSun" w:eastAsia="SimSun" w:cs="SimSun"/>
          <w:color w:val="000000"/>
          <w:sz w:val="24"/>
        </w:rPr>
        <w:t xml:space="preserve">：JSZC-320591-PMJS-G2026-0017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二、招标项目：</w:t>
      </w:r>
      <w:r>
        <w:rPr>
          <w:rFonts w:ascii="SimSun" w:hAnsi="SimSun" w:eastAsia="SimSun" w:cs="SimSun"/>
          <w:color w:val="000000"/>
          <w:sz w:val="24"/>
        </w:rPr>
        <w:t xml:space="preserve">阳澄湖半岛治安联防队技防监控维护项目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三、采购预算：</w:t>
      </w:r>
      <w:r>
        <w:rPr>
          <w:rFonts w:ascii="SimSun" w:hAnsi="SimSun" w:eastAsia="SimSun" w:cs="SimSun"/>
          <w:color w:val="000000"/>
          <w:sz w:val="24"/>
        </w:rPr>
        <w:t xml:space="preserve">人民币壹佰陆拾伍万元整（¥：1650000.00元）（含代理费）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四、采购要求：</w:t>
      </w:r>
      <w:r/>
    </w:p>
    <w:p>
      <w:pPr>
        <w:ind w:left="0" w:right="0" w:firstLine="46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4"/>
        </w:rPr>
        <w:t xml:space="preserve">（一）</w:t>
      </w:r>
      <w:r>
        <w:rPr>
          <w:rFonts w:ascii="SimSun" w:hAnsi="SimSun" w:eastAsia="SimSun" w:cs="SimSun"/>
          <w:b/>
          <w:color w:val="000000"/>
          <w:sz w:val="24"/>
        </w:rPr>
        <w:t xml:space="preserve">项目概述：</w:t>
      </w:r>
      <w:r>
        <w:rPr>
          <w:rFonts w:ascii="SimSun" w:hAnsi="SimSun" w:eastAsia="SimSun" w:cs="SimSun"/>
          <w:color w:val="000000"/>
          <w:sz w:val="24"/>
        </w:rPr>
        <w:t xml:space="preserve">技防监控维护主要是对唯亭街道东区辖区内主要道路、重点场所、要害部位和标志性建筑周边安装超级卡口、人像卡口及监控摄像机的维护和保养。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4"/>
        </w:rPr>
        <w:t xml:space="preserve">（二）</w:t>
      </w:r>
      <w:r>
        <w:rPr>
          <w:rFonts w:ascii="SimSun" w:hAnsi="SimSun" w:eastAsia="SimSun" w:cs="SimSun"/>
          <w:b/>
          <w:color w:val="000000"/>
          <w:sz w:val="24"/>
        </w:rPr>
        <w:t xml:space="preserve">维保设备简要说明：</w:t>
      </w:r>
      <w:r>
        <w:rPr>
          <w:rFonts w:ascii="SimSun" w:hAnsi="SimSun" w:eastAsia="SimSun" w:cs="SimSun"/>
          <w:color w:val="000000"/>
          <w:sz w:val="24"/>
        </w:rPr>
        <w:t xml:space="preserve">视频监控252套；人像卡口87套；车辆超级卡口52套，以及监控设施涉及的线路及机房设备的维保。道路前端系统设备的维修保养、监控中心设备及软件系统的维护维修升级优化服务、数据库管理与维护、机房设备网络传输维护等，包括日常维护、定期维护、技术支持维护。</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（三）维保设备清单及技术要求:</w:t>
      </w:r>
      <w:r/>
    </w:p>
    <w:tbl>
      <w:tblPr>
        <w:tblStyle w:val="7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4"/>
        <w:gridCol w:w="2713"/>
        <w:gridCol w:w="1141"/>
        <w:gridCol w:w="2570"/>
        <w:gridCol w:w="768"/>
        <w:gridCol w:w="816"/>
        <w:gridCol w:w="703"/>
      </w:tblGrid>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维保设备名称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规格/型号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工程量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备注</w:t>
            </w:r>
            <w:r/>
          </w:p>
        </w:tc>
      </w:tr>
      <w:tr>
        <w:trPr>
          <w:trHeight w:val="410"/>
        </w:trPr>
        <w:tc>
          <w:tcPr>
            <w:gridSpan w:val="2"/>
            <w:shd w:val="clear" w:color="fce4d6" w:fill="fce4d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一、前端监控</w:t>
            </w:r>
            <w:r/>
          </w:p>
        </w:tc>
        <w:tc>
          <w:tcPr>
            <w:shd w:val="clear" w:color="fce4d6" w:fill="fce4d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shd w:val="clear" w:color="fce4d6" w:fill="fce4d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shd w:val="clear" w:color="fce4d6" w:fill="fce4d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shd w:val="clear" w:color="fce4d6" w:fill="fce4d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shd w:val="clear" w:color="fce4d6" w:fill="fce4d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6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室外一体化高清高速激光智能球型摄像机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海康威视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MCU-29ZP-Z</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400万黑光级智能护罩一体化枪型摄像机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海康威视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DS-2CD7127EGA-IZ</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室外高清球形摄像机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海康威视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海康 DS-2DF8223IW-A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室外高清球形摄像机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海康威视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DS-2CD2T26DWD-I5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红外高清球型摄像机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海康威视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DS-2CD7627FWD/F-LZ</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200万红外高速智能球机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海康威视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DS-2CD7A49FJN3-XSZ/JM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6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 万像素网络高清高速智能球机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海康威视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DS-2CD7A542FJN-XSZ</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6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激光200万激光红外网络高清高速智能球机500米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海康威视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DS-2DF7230I5-A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6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800万180°全景一体式网络高清智能球机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海康威视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DS-2DP0818Z-D</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红外高清球型摄像机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海康威视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iDS-GPZ2288W-I/SWO</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6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高清（400万像素）全彩定焦枪型网络摄像机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大华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DH-IPC-HFW5493K-HFD</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室外高清枪形摄像机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海康威视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iDS-2CD9525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室外高清枪形摄像机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海康威视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DS-2CD2826FWD</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室外高清红外枪形摄像机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海康威视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DS-2DF72FT-6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室外高清枪形摄像机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海康威视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DS-2DF8225I3H-N2K</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室外高清枪形摄像机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海康威视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DS-2SK8C226IMAX-JN/AR/EPC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室外高清枪形摄像机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海康威视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DS-2CD4026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室外高清枪形摄像机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海康威视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DS-2CD5026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室外高清枪形摄像机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海康威视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DS-2CD5027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室外高清枪形摄像机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海康威视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DS-2CD6233F</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6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400万黑光级智能护罩一体化枪型摄像机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海康威视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DS-2CD7048FWD/E2-XZ</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6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400万星光级人脸识别网络摄像机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海康威视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iDS-2PT91UYTX-D/S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室外高清枪形摄像机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海康威视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iDS-2SK8144MX-D</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室外高清枪形摄像机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海康威视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iDS-2SK8144MXR-DGA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室外高清枪形摄像机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海康威视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DS-2CD7647HWD-XZS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室外高清枪形摄像机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海康威视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DS-2CD864FWD-E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6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200万智慧监控智能交通摄像机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海康威视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HIC6622HX22-5CIR-U</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半球型网络摄像机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海康威视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iDS-2CD9796-CEFMS/50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半球型网络摄像机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海康威视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iDS-2CD9029-FSK</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200万智慧监控智能交通摄像机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海康威视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iDS-TCM200-TH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补光灯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国产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数字光端机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新创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TCV1101ST/R</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数字光端机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恒信和安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DDT-D-T/R0101DSF 1路视频+1路RS485控制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光纤收发器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恒信和安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避雷器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雷迅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SV3/220 三合一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摄像机立杆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国产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整体热镀锌/喷塑/高度：6米  横臂长度：长度1-6米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摄像机立杆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国产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整体热镀锌/喷塑/高度：5米  横臂长度：长度0.5-2米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摄像机立杆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国产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整体热镀锌/喷塑/高度：4米  横臂长度：长度0.5-2米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控制箱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国产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不锈钢、散热、防雨、通风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光纤尾纤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新海宜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户外光接熔接包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国产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视频电缆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七星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SYV-75-5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信号线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七星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RVVP2*1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电源线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七星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RVV2*1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17428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网线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明鑫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超五类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穿线管(PE)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国产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18545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立杆基础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国产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定制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整体窨井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定制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公安专用字样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道路监控管线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国产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管线维护/巡检/不含设备维修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gridSpan w:val="2"/>
            <w:shd w:val="clear" w:color="fce4d6" w:fill="fce4d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二、监控中心设备</w:t>
            </w:r>
            <w:r/>
          </w:p>
        </w:tc>
        <w:tc>
          <w:tcPr>
            <w:shd w:val="clear" w:color="fce4d6" w:fill="fce4d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shd w:val="clear" w:color="fce4d6" w:fill="fce4d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shd w:val="clear" w:color="fce4d6" w:fill="fce4d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shd w:val="clear" w:color="fce4d6" w:fill="fce4d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shd w:val="clear" w:color="fce4d6" w:fill="fce4d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视频综合平台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海康威视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DS-D10-S10-A DS-iVMSE-B10-MGR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流媒体网关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海康威视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DS-B12-S02-B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流媒体转发板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海康威视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DS-iVMSE-B10-VTD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高清解码器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海康威视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DS-6532D-B10E、8路高清输出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码集线器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国产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MWE485-H8 机架式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码集线器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国产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8in1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硬盘录像机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海康威视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DS-9008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硬盘录像机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海康威视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DS-8008HF</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硬盘录像机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海康威视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DS-9016HF-ST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硬盘录像机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海康威视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DS-9108HF-S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硬盘录像机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海康威视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DS-9116HF-S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硬盘录像机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海康威视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DS-9664N-XT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硬盘录像机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海康威视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DS-8608SNL-SP</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硬盘录像机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海康威视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DS-8532N-I8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存储阵列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海康威视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服务器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联想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ThinkServer RD640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服务器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联想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ThinkServer RQ940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服务器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HP</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DL580G7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服务器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DELL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PowerEdge  R410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服务器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DELL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T130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科达视频监控平台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科达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V2.0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流媒体网关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科达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防火墙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网御星云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power V 6000-F2340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核心交换机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华为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华为S9312总装机箱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849"/>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华为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华为 交流电源--40degC-65degC-90V-290V-53.5/15A-输入176V以下半载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华为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S9312主控处理单元A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63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华为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华为 48端口百兆/千兆以太网电接口板(EA,RJ45)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63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华为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华为24端口百兆/千兆以太网光接口板(SA,SFP)</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63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华为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华为2端口万兆以太网光接口板(SA,SFP)</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华为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华为S9306总装机箱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829"/>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华为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华为 交流电源--40degC-65degC-90V-290V-53.5/15A-输入176V以下半载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61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华为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S9306主控处理单元A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7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华为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华为 48端口百兆/千兆以太网电接口板(EA,RJ45)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7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华为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华为24端口百兆/千兆以太网光接口板(SA,SFP)</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H3C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S5024E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交换机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华为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S5700-10P-LI-AC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交换机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华为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S5700-26X-S1-12S-AC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交换机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华为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S5700-28P-LI-AC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交换机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思科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SF1024-24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交换机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思科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Sa200-26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交换机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华为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S5700 series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交换机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华为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S3700 series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交换机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H3C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ER3200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交换机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H3C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S3100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交换机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H3C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S1626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工业交换机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恒信和安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24光百兆2光千兆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电话程控交换机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科达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光端机箱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新创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4U</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光端机箱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恒信和安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4U</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机柜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19英寸800mm*800mm*2000mm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门禁系统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国产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一卡通门禁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电源防雷箱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国产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PDU</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CLEVER</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AUE2220W1-08AHZNHB 8位带防雷模块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个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空调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海尔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KFR-72LW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空调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格力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KFR-120LW/E(12568L)A1-N2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UPS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山特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20KV.4小时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bl>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（四）监控系统维保要求：</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1、服务目标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保障本项目维护范围内系统及设备的正常运行，要求对设备进行定期的预防性维护，做好系统运行的调优工作，及时发现系统存在的潜在隐患；当设备发生故障时，确保采购单位系统设备设施能得到及时维护。同时，中标单位可通过建立运维管理平台对维保服务进行统一管理，实现系统故障接收、人车调配、数据记录、统计分析、故障研判等功能，以提高维保效率。</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2、服务内容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（1）在维保过程中，如有前端监控设备出现无画面、画面模糊、雪花等故障且无法修复的情况下，需更换前端设备，更换的设备性能、参数不得低于原产品，更换的数量不超过监控点总数量的5%。</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（2）针对各监控室机房，硬盘录像机与硬盘故障损坏的，要及时更换，保障监控存储正常，不低于30天存储量。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单位保证在苏州本地常驻服务机构对驻场技术人员可以提供长期的技术服务支持。中标单位需派出不少于1名技术人员对监控中心的维保设备进行日常巡检，及时发现并迅速排除设备故障，保障系统的正常运行。中标单位另外派出不少于2人的技术人员和不少于1辆专业车辆对监控系统外场进行维保服务，并配备必要的维修装备。</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（4）中标单位对维保范围内所有设备进行定期巡检服务，及时发现设备的损坏或系统的功能异常。</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（5）中标单位对维保范围内所有设备进行必要的定期保养服务。</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（6）中标单位负责监控平台软件的功能维护及软件版本升级。</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中标单位对采购单位的重大事件和重大活动进行技术支持和现场保障服务。（如一年一度的“两会”保障、会议或群体性活动保障等需要配合主办方和公安部门做好相关工作，如保障活动现场监控点的正常运行、故障修复、调取录像等，保障活动的顺利进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具体要求如下：</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1）保障任务所涉及到监控点位的前端及中心端，须根据规模分别安排一定数量的专业工程技术人员进行保障，同时配备技术人员在采购单位或组委会指定地点进行24小时值班，随时响应。</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所有技术人员须做到实时响应、随时排除故障，并配合采购单位或组委会完成交办的其他紧急任务。同时必须保障所涉点位视频监控图像100%的完好率，并做好增加临时点位、点位移位、摄像机角度调整等工作的施工准备。</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3）所有的保障任务涉及的费用包含在本次报价中。</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3、维修时限要求</w:t>
      </w:r>
      <w:r/>
    </w:p>
    <w:p>
      <w:pPr>
        <w:ind w:left="0" w:right="0" w:firstLine="480"/>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当设备及其承载的系统发生故障，中标单位需2小时内响应（即在接到采购单位的维修要求后，做出具体的维修安排），同时需满足下列要求：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（1）故障导致监控平台不能正常运行中标单位应在4小时内恢复系统；</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（2）外场设备故障中标单位应在8小时内恢复；</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（3）故障不影响平台系统运行则中标单位应在24小时内恢复系统；</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（4）特殊原因导致的故障，如停电原因、道路施工、点位迁移、不可抗力（含极端天气）等因素向采购单位报备的，则对中标单位响应时间从特殊原因解除后开始计算；</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（5）中标单位应承担因操作失误而造成故障扩大、数据损坏等的赔偿和安全责任；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（6）每次维修必须进行详细记录并经使用方确认，每月向采购单位报送维修报表。</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4、日常巡检和保养要求</w:t>
      </w:r>
      <w:r/>
    </w:p>
    <w:p>
      <w:pPr>
        <w:ind w:left="0" w:right="0" w:firstLine="480"/>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（1）定期对维保范围内设备的网络、硬件设备、软件系统、存储数据进行巡检、保养；</w:t>
      </w:r>
      <w:r/>
    </w:p>
    <w:p>
      <w:pPr>
        <w:ind w:left="0" w:right="0" w:firstLine="480"/>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（2）定期对所有外场设备进行巡检、保养；</w:t>
      </w:r>
      <w:r/>
    </w:p>
    <w:p>
      <w:pPr>
        <w:ind w:left="0" w:right="0" w:firstLine="480"/>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（3）定期对所有外场设备的金属部件进行防锈保养；</w:t>
      </w:r>
      <w:r/>
    </w:p>
    <w:p>
      <w:pPr>
        <w:ind w:left="0" w:right="0" w:firstLine="480"/>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（4）每次巡检、保养必须进行详细记录并经使用方确认，每月向采购单位报送巡检、保养报表；每周报修完毕的点位须报采购单位签字确认；</w:t>
      </w:r>
      <w:r/>
    </w:p>
    <w:p>
      <w:pPr>
        <w:ind w:left="0" w:right="0" w:firstLine="480"/>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（5）平时按需进行球机清洁，对于蚊虫较多的球机点位需增加清洁次数，在重大活动和重要节日前，对所有摄像机清洁一次；</w:t>
      </w:r>
      <w:r/>
    </w:p>
    <w:p>
      <w:pPr>
        <w:ind w:left="0" w:right="0" w:firstLine="480"/>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（6）为了保证维保工作按时按质完成，采购人制定考核制度，对维保工作未达标的情况予以扣除相应比例的维保费，具体考核内容如下：</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考核内容</w:t>
      </w:r>
      <w:r/>
    </w:p>
    <w:tbl>
      <w:tblPr>
        <w:tblStyle w:val="7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02"/>
        <w:gridCol w:w="4875"/>
        <w:gridCol w:w="1973"/>
      </w:tblGrid>
      <w:tr>
        <w:trPr>
          <w:trHeight w:val="340"/>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2202" w:type="dxa"/>
            <w:vAlign w:val="center"/>
            <w:textDirection w:val="lrTb"/>
            <w:noWrap w:val="false"/>
          </w:tcPr>
          <w:p>
            <w:pPr>
              <w:ind w:left="0" w:right="0" w:firstLine="0"/>
              <w:jc w:val="center"/>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4875" w:type="dxa"/>
            <w:vAlign w:val="center"/>
            <w:textDirection w:val="lrTb"/>
            <w:noWrap w:val="false"/>
          </w:tcPr>
          <w:p>
            <w:pPr>
              <w:ind w:left="0" w:right="0" w:firstLine="0"/>
              <w:jc w:val="center"/>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973" w:type="dxa"/>
            <w:vAlign w:val="center"/>
            <w:textDirection w:val="lrTb"/>
            <w:noWrap w:val="false"/>
          </w:tcPr>
          <w:p>
            <w:pPr>
              <w:ind w:left="0" w:right="0" w:firstLine="0"/>
              <w:jc w:val="center"/>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考核分</w:t>
            </w:r>
            <w:r/>
          </w:p>
        </w:tc>
      </w:tr>
      <w:tr>
        <w:trPr>
          <w:trHeight w:val="34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2202" w:type="dxa"/>
            <w:vAlign w:val="center"/>
            <w:vMerge w:val="restart"/>
            <w:textDirection w:val="lrTb"/>
            <w:noWrap w:val="false"/>
          </w:tcPr>
          <w:p>
            <w:pPr>
              <w:ind w:left="0" w:right="0" w:firstLine="0"/>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基础管理（25分）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75" w:type="dxa"/>
            <w:vAlign w:val="top"/>
            <w:textDirection w:val="lrTb"/>
            <w:noWrap w:val="false"/>
          </w:tcPr>
          <w:p>
            <w:pPr>
              <w:ind w:left="0" w:right="0" w:firstLine="0"/>
              <w:spacing w:before="126"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1"/>
              </w:rPr>
              <w:t xml:space="preserve">工作计划管理</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973" w:type="dxa"/>
            <w:vAlign w:val="center"/>
            <w:textDirection w:val="lrTb"/>
            <w:noWrap w:val="false"/>
          </w:tcPr>
          <w:p>
            <w:pPr>
              <w:ind w:left="0" w:right="0" w:firstLine="0"/>
              <w:jc w:val="center"/>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r>
      <w:tr>
        <w:trPr>
          <w:trHeight w:val="340"/>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75" w:type="dxa"/>
            <w:vAlign w:val="top"/>
            <w:textDirection w:val="lrTb"/>
            <w:noWrap w:val="false"/>
          </w:tcPr>
          <w:p>
            <w:pPr>
              <w:ind w:left="0" w:right="0" w:firstLine="0"/>
              <w:spacing w:before="128"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规章制度执行管理</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973" w:type="dxa"/>
            <w:vAlign w:val="center"/>
            <w:textDirection w:val="lrTb"/>
            <w:noWrap w:val="false"/>
          </w:tcPr>
          <w:p>
            <w:pPr>
              <w:ind w:left="0" w:right="0" w:firstLine="0"/>
              <w:jc w:val="center"/>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r>
      <w:tr>
        <w:trPr>
          <w:trHeight w:val="340"/>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75" w:type="dxa"/>
            <w:vAlign w:val="top"/>
            <w:textDirection w:val="lrTb"/>
            <w:noWrap w:val="false"/>
          </w:tcPr>
          <w:p>
            <w:pPr>
              <w:ind w:left="0" w:right="0" w:firstLine="0"/>
              <w:spacing w:before="132"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故障维修、巡检、保养记录</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973" w:type="dxa"/>
            <w:vAlign w:val="center"/>
            <w:textDirection w:val="lrTb"/>
            <w:noWrap w:val="false"/>
          </w:tcPr>
          <w:p>
            <w:pPr>
              <w:ind w:left="0" w:right="0" w:firstLine="0"/>
              <w:jc w:val="center"/>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r>
      <w:tr>
        <w:trPr>
          <w:trHeight w:val="340"/>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75" w:type="dxa"/>
            <w:vAlign w:val="top"/>
            <w:textDirection w:val="lrTb"/>
            <w:noWrap w:val="false"/>
          </w:tcPr>
          <w:p>
            <w:pPr>
              <w:ind w:left="0" w:right="0" w:firstLine="0"/>
              <w:spacing w:before="133"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月维护报表</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973" w:type="dxa"/>
            <w:vAlign w:val="center"/>
            <w:textDirection w:val="lrTb"/>
            <w:noWrap w:val="false"/>
          </w:tcPr>
          <w:p>
            <w:pPr>
              <w:ind w:left="0" w:right="0" w:firstLine="0"/>
              <w:jc w:val="center"/>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r>
      <w:tr>
        <w:trPr>
          <w:trHeight w:val="34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2202" w:type="dxa"/>
            <w:vAlign w:val="center"/>
            <w:vMerge w:val="restart"/>
            <w:textDirection w:val="lrTb"/>
            <w:noWrap w:val="false"/>
          </w:tcPr>
          <w:p>
            <w:pPr>
              <w:ind w:left="0" w:right="0" w:firstLine="0"/>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质量管理（70分）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75" w:type="dxa"/>
            <w:vAlign w:val="top"/>
            <w:textDirection w:val="lrTb"/>
            <w:noWrap w:val="false"/>
          </w:tcPr>
          <w:p>
            <w:pPr>
              <w:ind w:left="0" w:right="0" w:firstLine="0"/>
              <w:spacing w:before="135"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日常维护</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973" w:type="dxa"/>
            <w:vAlign w:val="center"/>
            <w:textDirection w:val="lrTb"/>
            <w:noWrap w:val="false"/>
          </w:tcPr>
          <w:p>
            <w:pPr>
              <w:ind w:left="0" w:right="0" w:firstLine="0"/>
              <w:jc w:val="center"/>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r>
      <w:tr>
        <w:trPr>
          <w:trHeight w:val="340"/>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75" w:type="dxa"/>
            <w:vAlign w:val="top"/>
            <w:textDirection w:val="lrTb"/>
            <w:noWrap w:val="false"/>
          </w:tcPr>
          <w:p>
            <w:pPr>
              <w:ind w:left="0" w:right="0" w:firstLine="0"/>
              <w:spacing w:before="136"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1"/>
              </w:rPr>
              <w:t xml:space="preserve">定期巡检、保养</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973" w:type="dxa"/>
            <w:vAlign w:val="center"/>
            <w:textDirection w:val="lrTb"/>
            <w:noWrap w:val="false"/>
          </w:tcPr>
          <w:p>
            <w:pPr>
              <w:ind w:left="0" w:right="0" w:firstLine="0"/>
              <w:jc w:val="center"/>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r>
      <w:tr>
        <w:trPr>
          <w:trHeight w:val="340"/>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75" w:type="dxa"/>
            <w:vAlign w:val="top"/>
            <w:textDirection w:val="lrTb"/>
            <w:noWrap w:val="false"/>
          </w:tcPr>
          <w:p>
            <w:pPr>
              <w:ind w:left="0" w:right="0" w:firstLine="0"/>
              <w:spacing w:before="14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故障修复</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973" w:type="dxa"/>
            <w:vAlign w:val="center"/>
            <w:textDirection w:val="lrTb"/>
            <w:noWrap w:val="false"/>
          </w:tcPr>
          <w:p>
            <w:pPr>
              <w:ind w:left="0" w:right="0" w:firstLine="0"/>
              <w:jc w:val="center"/>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r>
      <w:tr>
        <w:trPr>
          <w:trHeight w:val="340"/>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75" w:type="dxa"/>
            <w:vAlign w:val="top"/>
            <w:textDirection w:val="lrTb"/>
            <w:noWrap w:val="false"/>
          </w:tcPr>
          <w:p>
            <w:pPr>
              <w:ind w:left="0" w:right="0" w:firstLine="0"/>
              <w:spacing w:before="141"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1"/>
              </w:rPr>
              <w:t xml:space="preserve">故障响应速度</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973" w:type="dxa"/>
            <w:vAlign w:val="center"/>
            <w:textDirection w:val="lrTb"/>
            <w:noWrap w:val="false"/>
          </w:tcPr>
          <w:p>
            <w:pPr>
              <w:ind w:left="0" w:right="0" w:firstLine="0"/>
              <w:jc w:val="center"/>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r>
      <w:tr>
        <w:trPr>
          <w:trHeight w:val="340"/>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75" w:type="dxa"/>
            <w:vAlign w:val="top"/>
            <w:textDirection w:val="lrTb"/>
            <w:noWrap w:val="false"/>
          </w:tcPr>
          <w:p>
            <w:pPr>
              <w:ind w:left="0" w:right="0" w:firstLine="0"/>
              <w:spacing w:before="142"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硬件系统完好率</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973" w:type="dxa"/>
            <w:vAlign w:val="center"/>
            <w:textDirection w:val="lrTb"/>
            <w:noWrap w:val="false"/>
          </w:tcPr>
          <w:p>
            <w:pPr>
              <w:ind w:left="0" w:right="0" w:firstLine="0"/>
              <w:jc w:val="center"/>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r>
      <w:tr>
        <w:trPr>
          <w:trHeight w:val="340"/>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75" w:type="dxa"/>
            <w:vAlign w:val="top"/>
            <w:textDirection w:val="lrTb"/>
            <w:noWrap w:val="false"/>
          </w:tcPr>
          <w:p>
            <w:pPr>
              <w:ind w:left="0" w:right="0" w:firstLine="0"/>
              <w:spacing w:before="143"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软件系统完好率</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973" w:type="dxa"/>
            <w:vAlign w:val="center"/>
            <w:textDirection w:val="lrTb"/>
            <w:noWrap w:val="false"/>
          </w:tcPr>
          <w:p>
            <w:pPr>
              <w:ind w:left="0" w:right="0" w:firstLine="0"/>
              <w:jc w:val="center"/>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r>
      <w:tr>
        <w:trPr>
          <w:trHeight w:val="340"/>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75" w:type="dxa"/>
            <w:vAlign w:val="top"/>
            <w:textDirection w:val="lrTb"/>
            <w:noWrap w:val="false"/>
          </w:tcPr>
          <w:p>
            <w:pPr>
              <w:ind w:left="0" w:right="0" w:firstLine="0"/>
              <w:spacing w:before="147"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1"/>
              </w:rPr>
              <w:t xml:space="preserve">对重大事件、活动的现场保障</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973" w:type="dxa"/>
            <w:vAlign w:val="center"/>
            <w:textDirection w:val="lrTb"/>
            <w:noWrap w:val="false"/>
          </w:tcPr>
          <w:p>
            <w:pPr>
              <w:ind w:left="0" w:right="0" w:firstLine="0"/>
              <w:jc w:val="center"/>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r>
      <w:tr>
        <w:trPr>
          <w:trHeight w:val="340"/>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75" w:type="dxa"/>
            <w:vAlign w:val="top"/>
            <w:textDirection w:val="lrTb"/>
            <w:noWrap w:val="false"/>
          </w:tcPr>
          <w:p>
            <w:pPr>
              <w:ind w:left="0" w:right="0" w:firstLine="0"/>
              <w:spacing w:before="147"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备品备件充足且完好</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973" w:type="dxa"/>
            <w:vAlign w:val="center"/>
            <w:textDirection w:val="lrTb"/>
            <w:noWrap w:val="false"/>
          </w:tcPr>
          <w:p>
            <w:pPr>
              <w:ind w:left="0" w:right="0" w:firstLine="0"/>
              <w:jc w:val="center"/>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r>
      <w:tr>
        <w:trPr>
          <w:trHeight w:val="34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2202" w:type="dxa"/>
            <w:vAlign w:val="center"/>
            <w:textDirection w:val="lrTb"/>
            <w:noWrap w:val="false"/>
          </w:tcPr>
          <w:p>
            <w:pPr>
              <w:ind w:left="0" w:right="0" w:firstLine="0"/>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人员管理（5分）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75" w:type="dxa"/>
            <w:vAlign w:val="top"/>
            <w:textDirection w:val="lrTb"/>
            <w:noWrap w:val="false"/>
          </w:tcPr>
          <w:p>
            <w:pPr>
              <w:ind w:left="0" w:right="0" w:firstLine="0"/>
              <w:spacing w:before="147"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1"/>
              </w:rPr>
              <w:t xml:space="preserve">服务质量</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973" w:type="dxa"/>
            <w:vAlign w:val="center"/>
            <w:textDirection w:val="lrTb"/>
            <w:noWrap w:val="false"/>
          </w:tcPr>
          <w:p>
            <w:pPr>
              <w:ind w:left="0" w:right="0" w:firstLine="0"/>
              <w:jc w:val="center"/>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r>
      <w:tr>
        <w:trPr>
          <w:trHeight w:val="340"/>
        </w:trPr>
        <w:tc>
          <w:tcPr>
            <w:gridSpan w:val="3"/>
            <w:tcBorders>
              <w:top w:val="single" w:color="000000" w:sz="8" w:space="0"/>
              <w:left w:val="single" w:color="000000" w:sz="12" w:space="0"/>
              <w:bottom w:val="single" w:color="000000" w:sz="8" w:space="0"/>
              <w:right w:val="single" w:color="000000" w:sz="12" w:space="0"/>
            </w:tcBorders>
            <w:tcMar>
              <w:left w:w="108" w:type="dxa"/>
              <w:top w:w="0" w:type="dxa"/>
              <w:right w:w="108" w:type="dxa"/>
              <w:bottom w:w="0" w:type="dxa"/>
            </w:tcMar>
            <w:tcW w:w="905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加分项</w:t>
            </w:r>
            <w:r/>
          </w:p>
        </w:tc>
      </w:tr>
      <w:tr>
        <w:trPr>
          <w:trHeight w:val="34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22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软件系统无故障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75" w:type="dxa"/>
            <w:vAlign w:val="top"/>
            <w:textDirection w:val="lrTb"/>
            <w:noWrap w:val="false"/>
          </w:tcPr>
          <w:p>
            <w:pPr>
              <w:ind w:left="108" w:right="0" w:firstLine="0"/>
              <w:spacing w:before="36"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系统平台、相关软件系统无故障</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9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r>
      <w:tr>
        <w:trPr>
          <w:trHeight w:val="34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22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有效投诉为0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75" w:type="dxa"/>
            <w:vAlign w:val="top"/>
            <w:textDirection w:val="lrTb"/>
            <w:noWrap w:val="false"/>
          </w:tcPr>
          <w:p>
            <w:pPr>
              <w:ind w:left="103" w:right="99" w:firstLine="0"/>
              <w:spacing w:before="31"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对监控运维期间的问题能够及时处理，且有效投</w:t>
            </w:r>
            <w:r>
              <w:rPr>
                <w:rFonts w:ascii="SimSun" w:hAnsi="SimSun" w:eastAsia="SimSun" w:cs="SimSun"/>
                <w:color w:val="000000"/>
                <w:spacing w:val="3"/>
                <w:sz w:val="21"/>
              </w:rPr>
              <w:t xml:space="preserve">诉为</w:t>
            </w:r>
            <w:r>
              <w:rPr>
                <w:rFonts w:ascii="SimSun" w:hAnsi="SimSun" w:eastAsia="SimSun" w:cs="SimSun"/>
                <w:color w:val="000000"/>
                <w:spacing w:val="-35"/>
                <w:sz w:val="21"/>
              </w:rPr>
              <w:t xml:space="preserve"> </w:t>
            </w:r>
            <w:r>
              <w:rPr>
                <w:rFonts w:ascii="SimSun" w:hAnsi="SimSun" w:eastAsia="SimSun" w:cs="SimSun"/>
                <w:color w:val="000000"/>
                <w:spacing w:val="3"/>
                <w:sz w:val="21"/>
              </w:rPr>
              <w:t xml:space="preserve">0</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9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r>
      <w:tr>
        <w:trPr>
          <w:trHeight w:val="34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22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配合甲方完成维稳处突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75" w:type="dxa"/>
            <w:vAlign w:val="top"/>
            <w:textDirection w:val="lrTb"/>
            <w:noWrap w:val="false"/>
          </w:tcPr>
          <w:p>
            <w:pPr>
              <w:ind w:left="109" w:right="99" w:hanging="3"/>
              <w:spacing w:before="4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参与、配合甲方维稳处突事件处置，能按时、高</w:t>
            </w:r>
            <w:r>
              <w:rPr>
                <w:rFonts w:ascii="SimSun" w:hAnsi="SimSun" w:eastAsia="SimSun" w:cs="SimSun"/>
                <w:color w:val="000000"/>
                <w:spacing w:val="7"/>
                <w:sz w:val="21"/>
              </w:rPr>
              <w:t xml:space="preserve">效圆满完成</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9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r>
      <w:tr>
        <w:trPr>
          <w:trHeight w:val="340"/>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22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配合甲方完成大型保障任务</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4875" w:type="dxa"/>
            <w:vAlign w:val="top"/>
            <w:textDirection w:val="lrTb"/>
            <w:noWrap w:val="false"/>
          </w:tcPr>
          <w:p>
            <w:pPr>
              <w:ind w:left="113" w:right="109" w:hanging="7"/>
              <w:spacing w:before="4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9"/>
                <w:sz w:val="21"/>
              </w:rPr>
              <w:t xml:space="preserve">参与、配合甲方大型保障任务处置，能按时、高效圆满完成</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9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1）考评结果≥90分，实际付款金额=应付金额*100%；</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2）90分＞考评结果≥80分，实际付款金额=应付金额*90%；</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3）80分＞考评结果≥70分，实际付款金额=应付金额*70%；</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4）70分＞考评结果≥60分，实际付款金额=应付金额*50%；</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5）考评结果＜60分，采购单位有权拒绝付款。</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5、备品备件</w:t>
      </w:r>
      <w:r/>
    </w:p>
    <w:p>
      <w:pPr>
        <w:ind w:left="0" w:right="0" w:firstLine="480"/>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中标单位需准备一定数量的备品备件来保证维修的及时进行，若在故障维修中用备品备件顶替原设备运行，则换下的故障设备应在最短时间内送修后作为备品备件，其中所发生的一切费用由中标单位承担。</w:t>
      </w:r>
      <w:r/>
    </w:p>
    <w:p>
      <w:pPr>
        <w:ind w:left="0" w:right="0" w:firstLine="482"/>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6、维护具体内容</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中标单位可结合维护任务及要求，做好以下运维工作。</w:t>
      </w:r>
      <w:r/>
    </w:p>
    <w:p>
      <w:pPr>
        <w:ind w:left="0" w:right="0" w:firstLine="48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（1）前端监控系统</w:t>
      </w:r>
      <w:r/>
    </w:p>
    <w:tbl>
      <w:tblPr>
        <w:tblStyle w:val="7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05"/>
        <w:gridCol w:w="4241"/>
        <w:gridCol w:w="2464"/>
        <w:gridCol w:w="1043"/>
      </w:tblGrid>
      <w:tr>
        <w:trPr>
          <w:trHeight w:val="340"/>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16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设备名称</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42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检查与保养事项</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4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标准</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34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605" w:type="dxa"/>
            <w:vAlign w:val="center"/>
            <w:textDirection w:val="lrTb"/>
            <w:noWrap w:val="false"/>
          </w:tcPr>
          <w:p>
            <w:pPr>
              <w:ind w:left="0" w:right="0" w:firstLine="0"/>
              <w:jc w:val="center"/>
              <w:spacing w:before="0" w:after="0" w:line="85" w:lineRule="atLeast"/>
              <w:tabs>
                <w:tab w:val="left" w:pos="420" w:leader="none"/>
              </w:tabs>
              <w:pBdr>
                <w:top w:val="none" w:color="000000" w:sz="4" w:space="0"/>
                <w:left w:val="none" w:color="000000" w:sz="4" w:space="0"/>
                <w:bottom w:val="single" w:color="000000" w:sz="6" w:space="0"/>
                <w:right w:val="none" w:color="000000" w:sz="4" w:space="0"/>
              </w:pBdr>
            </w:pPr>
            <w:r>
              <w:rPr>
                <w:rFonts w:ascii="SimSun" w:hAnsi="SimSun" w:eastAsia="SimSun" w:cs="SimSun"/>
                <w:color w:val="000000"/>
                <w:sz w:val="24"/>
              </w:rPr>
              <w:t xml:space="preserve">摄像机、</w:t>
            </w:r>
            <w:r/>
          </w:p>
          <w:p>
            <w:pPr>
              <w:ind w:left="0" w:right="0" w:firstLine="0"/>
              <w:jc w:val="center"/>
              <w:spacing w:before="0" w:after="0" w:line="85" w:lineRule="atLeast"/>
              <w:tabs>
                <w:tab w:val="left" w:pos="420" w:leader="none"/>
              </w:tabs>
              <w:pBdr>
                <w:top w:val="none" w:color="000000" w:sz="4" w:space="0"/>
                <w:left w:val="none" w:color="000000" w:sz="4" w:space="0"/>
                <w:bottom w:val="single" w:color="000000" w:sz="6" w:space="0"/>
                <w:right w:val="none" w:color="000000" w:sz="4" w:space="0"/>
              </w:pBdr>
            </w:pPr>
            <w:r>
              <w:rPr>
                <w:rFonts w:ascii="SimSun" w:hAnsi="SimSun" w:eastAsia="SimSun" w:cs="SimSun"/>
                <w:color w:val="000000"/>
                <w:sz w:val="24"/>
              </w:rPr>
              <w:t xml:space="preserve">抓拍设备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4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工作电压及测量、光学清洁、信号传输电缆完好性及连接状态检查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清洁无灰尘、连接正常</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4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605" w:type="dxa"/>
            <w:vAlign w:val="center"/>
            <w:textDirection w:val="lrTb"/>
            <w:noWrap w:val="false"/>
          </w:tcPr>
          <w:p>
            <w:pPr>
              <w:ind w:left="0" w:right="0" w:firstLine="0"/>
              <w:jc w:val="center"/>
              <w:spacing w:before="0" w:after="0" w:line="85" w:lineRule="atLeast"/>
              <w:tabs>
                <w:tab w:val="left" w:pos="420" w:leader="none"/>
              </w:tabs>
              <w:pBdr>
                <w:top w:val="none" w:color="000000" w:sz="4" w:space="0"/>
                <w:left w:val="none" w:color="000000" w:sz="4" w:space="0"/>
                <w:bottom w:val="single" w:color="000000" w:sz="6" w:space="0"/>
                <w:right w:val="none" w:color="000000" w:sz="4" w:space="0"/>
              </w:pBdr>
            </w:pPr>
            <w:r>
              <w:rPr>
                <w:rFonts w:ascii="SimSun" w:hAnsi="SimSun" w:eastAsia="SimSun" w:cs="SimSun"/>
                <w:color w:val="000000"/>
                <w:sz w:val="24"/>
              </w:rPr>
              <w:t xml:space="preserve">补光灯、</w:t>
            </w:r>
            <w:r/>
          </w:p>
          <w:p>
            <w:pPr>
              <w:ind w:left="0" w:right="0" w:firstLine="0"/>
              <w:jc w:val="center"/>
              <w:spacing w:before="0" w:after="0" w:line="85" w:lineRule="atLeast"/>
              <w:tabs>
                <w:tab w:val="left" w:pos="420" w:leader="none"/>
              </w:tabs>
              <w:pBdr>
                <w:top w:val="none" w:color="000000" w:sz="4" w:space="0"/>
                <w:left w:val="none" w:color="000000" w:sz="4" w:space="0"/>
                <w:bottom w:val="single" w:color="000000" w:sz="6" w:space="0"/>
                <w:right w:val="none" w:color="000000" w:sz="4" w:space="0"/>
              </w:pBdr>
            </w:pPr>
            <w:r>
              <w:rPr>
                <w:rFonts w:ascii="SimSun" w:hAnsi="SimSun" w:eastAsia="SimSun" w:cs="SimSun"/>
                <w:color w:val="000000"/>
                <w:sz w:val="24"/>
              </w:rPr>
              <w:t xml:space="preserve">闪光灯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4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灯光亮度检查、时控光控开关检查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亮度合理、控制正常</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4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605" w:type="dxa"/>
            <w:vAlign w:val="center"/>
            <w:textDirection w:val="lrTb"/>
            <w:noWrap w:val="false"/>
          </w:tcPr>
          <w:p>
            <w:pPr>
              <w:ind w:left="0" w:right="0" w:firstLine="0"/>
              <w:jc w:val="center"/>
              <w:spacing w:before="0" w:after="0" w:line="85" w:lineRule="atLeast"/>
              <w:tabs>
                <w:tab w:val="left" w:pos="420" w:leader="none"/>
              </w:tabs>
              <w:pBdr>
                <w:top w:val="none" w:color="000000" w:sz="4" w:space="0"/>
                <w:left w:val="none" w:color="000000" w:sz="4" w:space="0"/>
                <w:bottom w:val="single" w:color="000000" w:sz="6" w:space="0"/>
                <w:right w:val="none" w:color="000000" w:sz="4" w:space="0"/>
              </w:pBdr>
            </w:pPr>
            <w:r>
              <w:rPr>
                <w:rFonts w:ascii="SimSun" w:hAnsi="SimSun" w:eastAsia="SimSun" w:cs="SimSun"/>
                <w:color w:val="000000"/>
                <w:sz w:val="24"/>
              </w:rPr>
              <w:t xml:space="preserve">配套设施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4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杆件、设备箱等外观是否洁净、设备环境温度、温度检查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清洁、环境达标</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4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605" w:type="dxa"/>
            <w:vAlign w:val="center"/>
            <w:textDirection w:val="lrTb"/>
            <w:noWrap w:val="false"/>
          </w:tcPr>
          <w:p>
            <w:pPr>
              <w:ind w:left="0" w:right="0" w:firstLine="0"/>
              <w:jc w:val="center"/>
              <w:spacing w:before="0" w:after="0" w:line="85" w:lineRule="atLeast"/>
              <w:tabs>
                <w:tab w:val="left" w:pos="420" w:leader="none"/>
              </w:tabs>
              <w:pBdr>
                <w:top w:val="none" w:color="000000" w:sz="4" w:space="0"/>
                <w:left w:val="none" w:color="000000" w:sz="4" w:space="0"/>
                <w:bottom w:val="single" w:color="000000" w:sz="6" w:space="0"/>
                <w:right w:val="none" w:color="000000" w:sz="4" w:space="0"/>
              </w:pBdr>
            </w:pPr>
            <w:r>
              <w:rPr>
                <w:rFonts w:ascii="SimSun" w:hAnsi="SimSun" w:eastAsia="SimSun" w:cs="SimSun"/>
                <w:color w:val="000000"/>
                <w:sz w:val="24"/>
              </w:rPr>
              <w:t xml:space="preserve">传输设备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4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工作状态、信号传输状态、连接状态检查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传输正常、外观整洁</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40"/>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1605" w:type="dxa"/>
            <w:vAlign w:val="center"/>
            <w:textDirection w:val="lrTb"/>
            <w:noWrap w:val="false"/>
          </w:tcPr>
          <w:p>
            <w:pPr>
              <w:ind w:left="0" w:right="0" w:firstLine="0"/>
              <w:jc w:val="center"/>
              <w:spacing w:before="0" w:after="0" w:line="85" w:lineRule="atLeast"/>
              <w:tabs>
                <w:tab w:val="left" w:pos="420" w:leader="none"/>
              </w:tabs>
              <w:pBdr>
                <w:top w:val="none" w:color="000000" w:sz="4" w:space="0"/>
                <w:left w:val="none" w:color="000000" w:sz="4" w:space="0"/>
                <w:bottom w:val="single" w:color="000000" w:sz="6" w:space="0"/>
                <w:right w:val="none" w:color="000000" w:sz="4" w:space="0"/>
              </w:pBdr>
            </w:pPr>
            <w:r>
              <w:rPr>
                <w:rFonts w:ascii="SimSun" w:hAnsi="SimSun" w:eastAsia="SimSun" w:cs="SimSun"/>
                <w:color w:val="000000"/>
                <w:sz w:val="24"/>
              </w:rPr>
              <w:t xml:space="preserve">取电管路</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424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电源电压电流检查、管线管路、手井检查</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4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电源供应稳定、管路无损坏</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2"/>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（2）中心端服务器、图形工作站、存储设备</w:t>
      </w:r>
      <w:r/>
    </w:p>
    <w:tbl>
      <w:tblPr>
        <w:tblStyle w:val="7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45"/>
        <w:gridCol w:w="1327"/>
        <w:gridCol w:w="120"/>
        <w:gridCol w:w="3454"/>
        <w:gridCol w:w="1639"/>
        <w:gridCol w:w="1369"/>
      </w:tblGrid>
      <w:tr>
        <w:trPr>
          <w:trHeight w:val="283"/>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设备名称</w:t>
            </w:r>
            <w:r/>
          </w:p>
        </w:tc>
        <w:tc>
          <w:tcPr>
            <w:gridSpan w:val="3"/>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49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检查与保养事项</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标准</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283"/>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44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服务器 </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0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周围环境：确认周围温度、湿度、尘埃、油雾等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数值显示完好</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7" w:type="dxa"/>
            <w:vAlign w:val="center"/>
            <w:vMerge w:val="restart"/>
            <w:textDirection w:val="lrTb"/>
            <w:noWrap w:val="false"/>
          </w:tcPr>
          <w:p>
            <w:pPr>
              <w:ind w:left="0" w:right="0" w:firstLine="0"/>
              <w:jc w:val="center"/>
              <w:spacing w:before="0" w:after="0" w:line="85" w:lineRule="atLeast"/>
              <w:tabs>
                <w:tab w:val="left" w:pos="420" w:leader="none"/>
              </w:tabs>
              <w:pBdr>
                <w:top w:val="none" w:color="000000" w:sz="4" w:space="0"/>
                <w:left w:val="none" w:color="000000" w:sz="4" w:space="0"/>
                <w:bottom w:val="single" w:color="000000" w:sz="6" w:space="0"/>
                <w:right w:val="none" w:color="000000" w:sz="4" w:space="0"/>
              </w:pBdr>
            </w:pPr>
            <w:r>
              <w:rPr>
                <w:rFonts w:ascii="SimSun" w:hAnsi="SimSun" w:eastAsia="SimSun" w:cs="SimSun"/>
                <w:color w:val="000000"/>
                <w:sz w:val="24"/>
              </w:rPr>
              <w:t xml:space="preserve">硬件</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电源风扇、通风过滤网、CPU风扇检查维护</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无抖动，杂音</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vMerge w:val="continue"/>
            <w:textDirection w:val="lrTb"/>
            <w:noWrap w:val="false"/>
          </w:tcPr>
          <w:p>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键盘、鼠标检查保养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完好，无抖动</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vMerge w:val="continue"/>
            <w:textDirection w:val="lrTb"/>
            <w:noWrap w:val="false"/>
          </w:tcPr>
          <w:p>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内部各部件连接状况检查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完好无破损</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vMerge w:val="continue"/>
            <w:textDirection w:val="lrTb"/>
            <w:noWrap w:val="false"/>
          </w:tcPr>
          <w:p>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内外部清洁保养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清洁无灰尘</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vMerge w:val="continue"/>
            <w:textDirection w:val="lrTb"/>
            <w:noWrap w:val="false"/>
          </w:tcPr>
          <w:p>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服务器与其他设备、网络等连接状况检查，接线及连接端子紧固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牢固，无破损</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7"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系统安全性检查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数值显示正常</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vMerge w:val="continue"/>
            <w:textDirection w:val="lrTb"/>
            <w:noWrap w:val="false"/>
          </w:tcPr>
          <w:p>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系统配置检查及系统版本</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工作正常</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vMerge w:val="continue"/>
            <w:textDirection w:val="lrTb"/>
            <w:noWrap w:val="false"/>
          </w:tcPr>
          <w:p>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系统补丁程序管理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排除隐患</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vMerge w:val="continue"/>
            <w:textDirection w:val="lrTb"/>
            <w:noWrap w:val="false"/>
          </w:tcPr>
          <w:p>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系统硬盘碎片整理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速度恢复正常</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vMerge w:val="continue"/>
            <w:textDirection w:val="lrTb"/>
            <w:noWrap w:val="false"/>
          </w:tcPr>
          <w:p>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系统备份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数据正确</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vMerge w:val="continue"/>
            <w:textDirection w:val="lrTb"/>
            <w:noWrap w:val="false"/>
          </w:tcPr>
          <w:p>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运行日志备份检查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数据正确</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vMerge w:val="continue"/>
            <w:textDirection w:val="lrTb"/>
            <w:noWrap w:val="false"/>
          </w:tcPr>
          <w:p>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CPU、内存使用情况、响应时间、并发用户数以及特定应用系统资源占用检查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完好</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7"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数据库</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数据库表记录检查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数值显示完好</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vMerge w:val="continue"/>
            <w:textDirection w:val="lrTb"/>
            <w:noWrap w:val="false"/>
          </w:tcPr>
          <w:p>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数据库碎片整理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速度恢复正常</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vMerge w:val="continue"/>
            <w:textDirection w:val="lrTb"/>
            <w:noWrap w:val="false"/>
          </w:tcPr>
          <w:p>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数据库备份与恢复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数据正确</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vMerge w:val="continue"/>
            <w:textDirection w:val="lrTb"/>
            <w:noWrap w:val="false"/>
          </w:tcPr>
          <w:p>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数据库系统安全与性能评估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正常运行</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7" w:type="dxa"/>
            <w:vAlign w:val="center"/>
            <w:vMerge w:val="restart"/>
            <w:textDirection w:val="lrTb"/>
            <w:noWrap w:val="false"/>
          </w:tcPr>
          <w:p>
            <w:pPr>
              <w:ind w:left="0" w:right="0" w:firstLine="0"/>
              <w:jc w:val="center"/>
              <w:spacing w:before="0" w:after="0" w:line="85" w:lineRule="atLeast"/>
              <w:tabs>
                <w:tab w:val="left" w:pos="420" w:leader="none"/>
              </w:tabs>
              <w:pBdr>
                <w:top w:val="none" w:color="000000" w:sz="4" w:space="0"/>
                <w:left w:val="none" w:color="000000" w:sz="4" w:space="0"/>
                <w:bottom w:val="single" w:color="000000" w:sz="6" w:space="0"/>
                <w:right w:val="none" w:color="000000" w:sz="4" w:space="0"/>
              </w:pBdr>
            </w:pPr>
            <w:r>
              <w:rPr>
                <w:rFonts w:ascii="SimSun" w:hAnsi="SimSun" w:eastAsia="SimSun" w:cs="SimSun"/>
                <w:color w:val="000000"/>
                <w:sz w:val="24"/>
              </w:rPr>
              <w:t xml:space="preserve">应用</w:t>
            </w:r>
            <w:r/>
          </w:p>
          <w:p>
            <w:pPr>
              <w:ind w:left="0" w:right="0" w:firstLine="0"/>
              <w:jc w:val="center"/>
              <w:spacing w:before="0" w:after="0" w:line="85" w:lineRule="atLeast"/>
              <w:tabs>
                <w:tab w:val="left" w:pos="420" w:leader="none"/>
              </w:tabs>
              <w:pBdr>
                <w:top w:val="none" w:color="000000" w:sz="4" w:space="0"/>
                <w:left w:val="none" w:color="000000" w:sz="4" w:space="0"/>
                <w:bottom w:val="single" w:color="000000" w:sz="6" w:space="0"/>
                <w:right w:val="none" w:color="000000" w:sz="4" w:space="0"/>
              </w:pBdr>
            </w:pPr>
            <w:r>
              <w:rPr>
                <w:rFonts w:ascii="SimSun" w:hAnsi="SimSun" w:eastAsia="SimSun" w:cs="SimSun"/>
                <w:color w:val="000000"/>
                <w:sz w:val="24"/>
              </w:rPr>
              <w:t xml:space="preserve">程序</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应用程序源码版本检查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数值显示完好</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vMerge w:val="continue"/>
            <w:textDirection w:val="lrTb"/>
            <w:noWrap w:val="false"/>
          </w:tcPr>
          <w:p>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应用程序源码备份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数值显示完好</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vMerge w:val="continue"/>
            <w:textDirection w:val="lrTb"/>
            <w:noWrap w:val="false"/>
          </w:tcPr>
          <w:p>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查看应用程序运行故障记录</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数值显示完好</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vMerge w:val="continue"/>
            <w:textDirection w:val="lrTb"/>
            <w:noWrap w:val="false"/>
          </w:tcPr>
          <w:p>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应用程序运行日志备份和清理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420"/>
              <w:jc w:val="both"/>
              <w:spacing w:before="0" w:after="0" w:line="85" w:lineRule="atLeast"/>
              <w:tabs>
                <w:tab w:val="left" w:pos="420" w:leader="none"/>
              </w:tabs>
              <w:pBdr>
                <w:top w:val="none" w:color="000000" w:sz="4" w:space="0"/>
                <w:left w:val="none" w:color="000000" w:sz="4" w:space="0"/>
                <w:bottom w:val="single" w:color="000000" w:sz="6" w:space="0"/>
                <w:right w:val="none" w:color="000000" w:sz="4" w:space="0"/>
              </w:pBdr>
            </w:pPr>
            <w:r>
              <w:rPr>
                <w:rFonts w:ascii="SimSun" w:hAnsi="SimSun" w:eastAsia="SimSun" w:cs="SimSun"/>
                <w:color w:val="000000"/>
                <w:sz w:val="24"/>
              </w:rPr>
              <w:t xml:space="preserve">运行正常</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420"/>
              <w:jc w:val="center"/>
              <w:spacing w:before="0" w:after="0" w:line="85" w:lineRule="atLeast"/>
              <w:tabs>
                <w:tab w:val="left" w:pos="420" w:leader="none"/>
              </w:tabs>
              <w:pBdr>
                <w:top w:val="none" w:color="000000" w:sz="4" w:space="0"/>
                <w:left w:val="none" w:color="000000" w:sz="4" w:space="0"/>
                <w:bottom w:val="single" w:color="000000" w:sz="6"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vMerge w:val="continue"/>
            <w:textDirection w:val="lrTb"/>
            <w:noWrap w:val="false"/>
          </w:tcPr>
          <w:p>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应用软件性能评估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420"/>
              <w:jc w:val="both"/>
              <w:spacing w:before="0" w:after="0" w:line="85" w:lineRule="atLeast"/>
              <w:tabs>
                <w:tab w:val="left" w:pos="420" w:leader="none"/>
              </w:tabs>
              <w:pBdr>
                <w:top w:val="none" w:color="000000" w:sz="4" w:space="0"/>
                <w:left w:val="none" w:color="000000" w:sz="4" w:space="0"/>
                <w:bottom w:val="single" w:color="000000" w:sz="6" w:space="0"/>
                <w:right w:val="none" w:color="000000" w:sz="4" w:space="0"/>
              </w:pBdr>
            </w:pPr>
            <w:r>
              <w:rPr>
                <w:rFonts w:ascii="SimSun" w:hAnsi="SimSun" w:eastAsia="SimSun" w:cs="SimSun"/>
                <w:color w:val="000000"/>
                <w:sz w:val="24"/>
              </w:rPr>
              <w:t xml:space="preserve">功能正常</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420"/>
              <w:jc w:val="center"/>
              <w:spacing w:before="0" w:after="0" w:line="85" w:lineRule="atLeast"/>
              <w:tabs>
                <w:tab w:val="left" w:pos="420" w:leader="none"/>
              </w:tabs>
              <w:pBdr>
                <w:top w:val="none" w:color="000000" w:sz="4" w:space="0"/>
                <w:left w:val="none" w:color="000000" w:sz="4" w:space="0"/>
                <w:bottom w:val="single" w:color="000000" w:sz="6"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0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热备功能切换测试</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数据正确/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测试报告</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44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存储设备</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0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周围环境：确认周围温度、湿度、尘埃、油雾等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无灰尘</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0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电源风扇、通风过滤网检查维护</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牢固，无破损</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0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磁盘碎片整理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数值显示完好</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0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内外部清洁保养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完好</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0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与服务器连接状况检查，接线及连接端子紧固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牢固，无破损</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44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图形工作站</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0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周围环境：确认周围温度、湿度、尘埃、油雾等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清洁无灰尘</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7" w:type="dxa"/>
            <w:vAlign w:val="center"/>
            <w:vMerge w:val="restart"/>
            <w:textDirection w:val="lrTb"/>
            <w:noWrap w:val="false"/>
          </w:tcPr>
          <w:p>
            <w:pPr>
              <w:ind w:left="0" w:right="0" w:firstLine="0"/>
              <w:jc w:val="center"/>
              <w:spacing w:before="0" w:after="0" w:line="85" w:lineRule="atLeast"/>
              <w:tabs>
                <w:tab w:val="left" w:pos="420" w:leader="none"/>
              </w:tabs>
              <w:pBdr>
                <w:top w:val="none" w:color="000000" w:sz="4" w:space="0"/>
                <w:left w:val="none" w:color="000000" w:sz="4" w:space="0"/>
                <w:bottom w:val="single" w:color="000000" w:sz="6" w:space="0"/>
                <w:right w:val="none" w:color="000000" w:sz="4" w:space="0"/>
              </w:pBdr>
            </w:pPr>
            <w:r>
              <w:rPr>
                <w:rFonts w:ascii="SimSun" w:hAnsi="SimSun" w:eastAsia="SimSun" w:cs="SimSun"/>
                <w:color w:val="000000"/>
                <w:sz w:val="24"/>
              </w:rPr>
              <w:t xml:space="preserve">硬件</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电源风扇、通风过滤网、CPU风扇检查维护</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清洁无灰尘</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vMerge w:val="continue"/>
            <w:textDirection w:val="lrTb"/>
            <w:noWrap w:val="false"/>
          </w:tcPr>
          <w:p>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CRT、键盘、鼠标检查保养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85" w:lineRule="atLeast"/>
              <w:tabs>
                <w:tab w:val="left" w:pos="420" w:leader="none"/>
              </w:tabs>
              <w:pBdr>
                <w:top w:val="none" w:color="000000" w:sz="4" w:space="0"/>
                <w:left w:val="none" w:color="000000" w:sz="4" w:space="0"/>
                <w:bottom w:val="single" w:color="000000" w:sz="6" w:space="0"/>
                <w:right w:val="none" w:color="000000" w:sz="4" w:space="0"/>
              </w:pBdr>
            </w:pPr>
            <w:r>
              <w:rPr>
                <w:rFonts w:ascii="SimSun" w:hAnsi="SimSun" w:eastAsia="SimSun" w:cs="SimSun"/>
                <w:color w:val="000000"/>
                <w:sz w:val="24"/>
              </w:rPr>
              <w:t xml:space="preserve">清洁无灰尘</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420"/>
              <w:jc w:val="center"/>
              <w:spacing w:before="0" w:after="0" w:line="85" w:lineRule="atLeast"/>
              <w:tabs>
                <w:tab w:val="left" w:pos="420" w:leader="none"/>
              </w:tabs>
              <w:pBdr>
                <w:top w:val="none" w:color="000000" w:sz="4" w:space="0"/>
                <w:left w:val="none" w:color="000000" w:sz="4" w:space="0"/>
                <w:bottom w:val="single" w:color="000000" w:sz="6"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vMerge w:val="continue"/>
            <w:textDirection w:val="lrTb"/>
            <w:noWrap w:val="false"/>
          </w:tcPr>
          <w:p>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与网络连接状态检查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牢固，无破损</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7"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系统安全性检查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数值显示完好</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vMerge w:val="continue"/>
            <w:textDirection w:val="lrTb"/>
            <w:noWrap w:val="false"/>
          </w:tcPr>
          <w:p>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系统配置检查及系统版本</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数值显示完好</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vMerge w:val="continue"/>
            <w:textDirection w:val="lrTb"/>
            <w:noWrap w:val="false"/>
          </w:tcPr>
          <w:p>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系统补丁程序管理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数值显示完好</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vMerge w:val="continue"/>
            <w:textDirection w:val="lrTb"/>
            <w:noWrap w:val="false"/>
          </w:tcPr>
          <w:p>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系统硬盘碎片整理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速度恢复正常</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vMerge w:val="continue"/>
            <w:textDirection w:val="lrTb"/>
            <w:noWrap w:val="false"/>
          </w:tcPr>
          <w:p>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系统备份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数值显示完好</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7"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监控软件</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运行日志备份和清理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正常运行</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vMerge w:val="continue"/>
            <w:textDirection w:val="lrTb"/>
            <w:noWrap w:val="false"/>
          </w:tcPr>
          <w:p>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配置参数检查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正常运行</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vMerge w:val="continue"/>
            <w:textDirection w:val="lrTb"/>
            <w:noWrap w:val="false"/>
          </w:tcPr>
          <w:p>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画面维护检查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正常</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网络传输</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01" w:type="dxa"/>
            <w:vAlign w:val="center"/>
            <w:textDirection w:val="lrTb"/>
            <w:noWrap w:val="false"/>
          </w:tcPr>
          <w:p>
            <w:pPr>
              <w:ind w:left="0" w:right="0" w:firstLine="420"/>
              <w:jc w:val="center"/>
              <w:spacing w:before="0" w:after="0" w:line="85" w:lineRule="atLeast"/>
              <w:tabs>
                <w:tab w:val="left" w:pos="420" w:leader="none"/>
              </w:tabs>
              <w:pBdr>
                <w:top w:val="none" w:color="000000" w:sz="4" w:space="0"/>
                <w:left w:val="none" w:color="000000" w:sz="4" w:space="0"/>
                <w:bottom w:val="single" w:color="000000" w:sz="6" w:space="0"/>
                <w:right w:val="none" w:color="000000" w:sz="4" w:space="0"/>
              </w:pBdr>
            </w:pPr>
            <w:r>
              <w:rPr>
                <w:rFonts w:ascii="SimSun" w:hAnsi="SimSun" w:eastAsia="SimSun" w:cs="SimSun"/>
                <w:color w:val="000000"/>
                <w:sz w:val="24"/>
              </w:rPr>
              <w:t xml:space="preserve">运行状态及连接状况检查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数值显示完好</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44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UPS不间断</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输入输出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电源线连接检查并紧固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牢固，无破损</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gridSpan w:val="2"/>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电压及波形测量、谐波分析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数值显示完好</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功能试验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蓄电池放电、放电试验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功能正常/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测试报告</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gridSpan w:val="2"/>
            <w:vMerge w:val="continue"/>
            <w:textDirection w:val="lrTb"/>
            <w:noWrap w:val="false"/>
          </w:tcPr>
          <w:p>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34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逆变转自动旁路、自动旁路转手动旁路及恢复试验</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正常切换/</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测试报告</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2"/>
        <w:spacing w:before="12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（3）网络系统</w:t>
      </w:r>
      <w:r/>
    </w:p>
    <w:tbl>
      <w:tblPr>
        <w:tblStyle w:val="7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04"/>
        <w:gridCol w:w="1555"/>
        <w:gridCol w:w="3016"/>
        <w:gridCol w:w="1884"/>
        <w:gridCol w:w="1295"/>
      </w:tblGrid>
      <w:tr>
        <w:trPr>
          <w:trHeight w:val="578"/>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16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设备名称</w:t>
            </w:r>
            <w:r/>
          </w:p>
        </w:tc>
        <w:tc>
          <w:tcPr>
            <w:gridSpan w:val="2"/>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45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检查与保养事项</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标准</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283"/>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604"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网管服务器</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7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周围环境：确认周围温度、湿度、尘埃、油雾等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清洁无灰尘</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29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vMerge w:val="restart"/>
            <w:textDirection w:val="lrTb"/>
            <w:noWrap w:val="false"/>
          </w:tcPr>
          <w:p>
            <w:pPr>
              <w:ind w:left="0" w:right="0" w:firstLine="420"/>
              <w:jc w:val="both"/>
              <w:spacing w:before="0" w:after="0" w:line="85" w:lineRule="atLeast"/>
              <w:tabs>
                <w:tab w:val="left" w:pos="420" w:leader="none"/>
              </w:tabs>
              <w:pBdr>
                <w:top w:val="none" w:color="000000" w:sz="4" w:space="0"/>
                <w:left w:val="none" w:color="000000" w:sz="4" w:space="0"/>
                <w:bottom w:val="single" w:color="000000" w:sz="6" w:space="0"/>
                <w:right w:val="none" w:color="000000" w:sz="4" w:space="0"/>
              </w:pBdr>
            </w:pPr>
            <w:r>
              <w:rPr>
                <w:rFonts w:ascii="SimSun" w:hAnsi="SimSun" w:eastAsia="SimSun" w:cs="SimSun"/>
                <w:color w:val="000000"/>
                <w:sz w:val="24"/>
              </w:rPr>
              <w:t xml:space="preserve">硬件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1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电源风扇、通风过滤网、CPU风扇检查维护</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正常清洁</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29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1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键盘、鼠标检查保养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清洁无灰尘</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29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系统软件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1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系统安全性检查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数值显示完好</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29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1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系统配置检查及系统版本</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数值显示完好</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29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1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系统补丁程序管理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数值显示完好</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29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1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系统硬盘碎片整理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速度恢复正常</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29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93"/>
        </w:trPr>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1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系统备份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数值显示完好</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29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3"/>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网管软件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1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检查网络状态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正常运行</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29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604"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交换机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硬件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1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周围环境：确认周围温度、湿度、尘埃、油雾等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清洁无灰尘</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29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8"/>
        </w:trPr>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1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运行灯状态检查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正常状态</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29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8"/>
        </w:trPr>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1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电源风扇检查维护</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正常</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29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8"/>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1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系统参数检查备份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数值显示完好</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29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8"/>
        </w:trPr>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1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VLAN管理参数检查备份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数值显示完好</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29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8"/>
        </w:trPr>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1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端口参数检查备份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数值显示完好</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29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8"/>
        </w:trPr>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1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冗余配置管理参数检查备份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数值显示完好</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29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16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光缆、双绞线</w:t>
            </w:r>
            <w:r/>
          </w:p>
        </w:tc>
        <w:tc>
          <w:tcPr>
            <w:gridSpan w:val="2"/>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4571" w:type="dxa"/>
            <w:vAlign w:val="center"/>
            <w:textDirection w:val="lrTb"/>
            <w:noWrap w:val="false"/>
          </w:tcPr>
          <w:p>
            <w:pPr>
              <w:ind w:left="0" w:right="0" w:firstLine="420"/>
              <w:jc w:val="center"/>
              <w:spacing w:before="0" w:after="0" w:line="85" w:lineRule="atLeast"/>
              <w:tabs>
                <w:tab w:val="left" w:pos="420" w:leader="none"/>
              </w:tabs>
              <w:pBdr>
                <w:top w:val="none" w:color="000000" w:sz="4" w:space="0"/>
                <w:left w:val="none" w:color="000000" w:sz="4" w:space="0"/>
                <w:bottom w:val="single" w:color="000000" w:sz="6" w:space="0"/>
                <w:right w:val="none" w:color="000000" w:sz="4" w:space="0"/>
              </w:pBdr>
            </w:pPr>
            <w:r>
              <w:rPr>
                <w:rFonts w:ascii="SimSun" w:hAnsi="SimSun" w:eastAsia="SimSun" w:cs="SimSun"/>
                <w:color w:val="000000"/>
                <w:sz w:val="24"/>
              </w:rPr>
              <w:t xml:space="preserve">通讯性能测试</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正常通讯/</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测试报告</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29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504"/>
        <w:spacing w:before="12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（4）显示系统</w:t>
      </w:r>
      <w:r/>
    </w:p>
    <w:tbl>
      <w:tblPr>
        <w:tblStyle w:val="7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13"/>
        <w:gridCol w:w="3792"/>
        <w:gridCol w:w="2054"/>
        <w:gridCol w:w="1295"/>
      </w:tblGrid>
      <w:tr>
        <w:trPr>
          <w:trHeight w:val="638"/>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2213" w:type="dxa"/>
            <w:vAlign w:val="center"/>
            <w:textDirection w:val="lrTb"/>
            <w:noWrap w:val="false"/>
          </w:tcPr>
          <w:p>
            <w:pPr>
              <w:ind w:left="0" w:right="0" w:firstLine="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设备名称</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37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检查与保养事项</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0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标准</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283"/>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22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显示单元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9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作为常规使用性维护，连接状态、工作状态、清洁保养、环境温湿度检测等检查；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正常</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29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3"/>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22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图像处理器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9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功能完整性测试</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数值显示完好</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29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93"/>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22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显示管理软件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9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功能完整性测试</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数值显示完好</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29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2213" w:type="dxa"/>
            <w:vAlign w:val="center"/>
            <w:vMerge w:val="restart"/>
            <w:textDirection w:val="lrTb"/>
            <w:noWrap w:val="false"/>
          </w:tcPr>
          <w:p>
            <w:pPr>
              <w:ind w:left="0" w:right="0" w:firstLine="420"/>
              <w:jc w:val="both"/>
              <w:spacing w:before="0" w:after="0" w:line="85" w:lineRule="atLeast"/>
              <w:tabs>
                <w:tab w:val="left" w:pos="420" w:leader="none"/>
              </w:tabs>
              <w:pBdr>
                <w:top w:val="none" w:color="000000" w:sz="4" w:space="0"/>
                <w:left w:val="none" w:color="000000" w:sz="4" w:space="0"/>
                <w:bottom w:val="single" w:color="000000" w:sz="6" w:space="0"/>
                <w:right w:val="none" w:color="000000" w:sz="4" w:space="0"/>
              </w:pBdr>
            </w:pPr>
            <w:r>
              <w:rPr>
                <w:rFonts w:ascii="SimSun" w:hAnsi="SimSun" w:eastAsia="SimSun" w:cs="SimSun"/>
                <w:color w:val="000000"/>
                <w:sz w:val="24"/>
              </w:rPr>
              <w:t xml:space="preserve">其他设备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9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作为常规使用性维护，连接状态、工作状态、清洁保养、环境温湿度检测等检查；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完好，清洁</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29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8"/>
        </w:trPr>
        <w:tc>
          <w:tcPr>
            <w:vMerge w:val="continue"/>
            <w:textDirection w:val="lrTb"/>
            <w:noWrap w:val="false"/>
          </w:tcPr>
          <w:p>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379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功能完整性测试</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0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数值显示完好</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29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504"/>
        <w:spacing w:before="12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（5）中心应用平台</w:t>
      </w:r>
      <w:r/>
    </w:p>
    <w:tbl>
      <w:tblPr>
        <w:tblStyle w:val="7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13"/>
        <w:gridCol w:w="3792"/>
        <w:gridCol w:w="2320"/>
        <w:gridCol w:w="1029"/>
      </w:tblGrid>
      <w:tr>
        <w:trPr>
          <w:trHeight w:val="578"/>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2213" w:type="dxa"/>
            <w:vAlign w:val="center"/>
            <w:textDirection w:val="lrTb"/>
            <w:noWrap w:val="false"/>
          </w:tcPr>
          <w:p>
            <w:pPr>
              <w:ind w:left="0" w:right="0" w:firstLine="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模块名称</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37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检查与保养事项</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3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标准</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0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22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应用管理服务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9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视频应用、电子地图、查询中心、布控中心、统计中心、人脸应用、车辆应用、探针应用、视频解析、案件研判、运维应用等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功能正常</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02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22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数据库服务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9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系统内所有资源信息，组织信息，关系信息，日志信息，操作信息，运维信息，结构化信息进行数据存储备份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数据库运行正常</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02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22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视频应用服务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9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流媒体服务、管理服务、接入服务、存储管理、大屏管理服务、视频联网服务、报警管理服务、卡口分析服务、人脸比对服务、对外接口服务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各服务功能运行正常</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02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22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应用功能模块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9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视频应用、电子地图、查询中心、布控功能、统计功能、人脸应用、车辆应用、视频解析应用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各应用功能运行正常</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02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22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配置管理模块</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379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用户管理、日志管理、组织管理、卡口管理、人脸管理、结构化分析管理、报警管理、帮助中心等</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3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配置管理功能正常</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02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2"/>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7、维保中信息安全保障要求</w:t>
      </w:r>
      <w:r/>
    </w:p>
    <w:p>
      <w:pPr>
        <w:ind w:left="0" w:right="0" w:firstLine="480"/>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（1）整体运维服务体系遵循信息技术服务运行维护标准，通过对系统及基础设施的高效、高安全维护来保障整个系统的稳定运行；</w:t>
      </w:r>
      <w:r/>
    </w:p>
    <w:p>
      <w:pPr>
        <w:ind w:left="0" w:right="0" w:firstLine="480"/>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（2）为了维护工作的平稳过渡，要求安排对现有设施设备较为熟悉的人员进入维护团队。服务人员应保持相对稳定，如有人员变更，应及时通知采购方；</w:t>
      </w:r>
      <w:r/>
    </w:p>
    <w:p>
      <w:pPr>
        <w:ind w:left="0" w:right="0" w:firstLine="480"/>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严格遵循保密协议，凡涉及客户的应用系统、数据、机型配置、IP地址、软件配置等信息不得向第三方泄露，维护过程中如需涉及客户系统的数据信息，必须先通过客户方认可，维护工作的数据信息（无论是打印或介质上的数据信息）不得带离客户工作现场；</w:t>
      </w:r>
      <w:r/>
    </w:p>
    <w:p>
      <w:pPr>
        <w:ind w:left="0" w:right="0" w:firstLine="480"/>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（4）中标单位在进行维保活动时，在未经采购方允许的情况下，需要保证采购方核心网络不间断运行，不得影响采购方相关人员业务系统的正常运行；</w:t>
      </w:r>
      <w:r/>
    </w:p>
    <w:p>
      <w:pPr>
        <w:ind w:left="0" w:right="0" w:firstLine="480"/>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（5）中标单位在进行维保活动时，涉及派出所专网操作时，未经授权不得使用U盘、移动硬盘等移动存储介质，不得违反禁止“一机两用”管理规定，否则，产生的严重后果，由中标单位自行负责。</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五、综合说明及其他：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1、投标单位所提供的服务至少能够达到以上要求，同时明确详细的服务方案。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2、供应商必须承诺采购文件中提出的全部要求，如果其中某些条款不响应时，应在文件中逐条列出，未列出的视同响应。</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3、供应商应对所投项目的全部内容进行报价，只投其中部分内容者，其投标文件将被拒绝；采购方不接受可选择性的报价方案。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4、中标后，本项目服务人员在服务期间原则上不允许更换，如确实需要更换的，必须至少提前一个月跟采购人报备，更换后的人员同样须在本单位缴纳社保，否则采购人有权终止合同。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5、本次招标报价为最终报价，投标文件中的报价</w:t>
      </w:r>
      <w:r>
        <w:rPr>
          <w:rFonts w:ascii="SimSun" w:hAnsi="SimSun" w:eastAsia="SimSun" w:cs="SimSun"/>
          <w:color w:val="000000"/>
          <w:sz w:val="24"/>
          <w:highlight w:val="white"/>
        </w:rPr>
        <w:t xml:space="preserve">包括合同期内日常维修、维护、保养、更换、人工费用、招标代理费、税费等所需全部费用；包含设备故障已无法维修或维修意义不大需更换设备的服务费用、设备费用。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6、本次采购活动不接受联合报价及分包、转包。</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7、采购单位除支付本次采购项目的成交金额外不再承担其他任何费用。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8、维保期间采购单位有权不定期进行安全检查，发现重大安全隐患，经采购单位发布3次以上整改通知的，采购单位有权终止合同，如果造成损失的可以向维保单位索赔。</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9、本项目服务人员按照国家劳动法规定的工作时间安排员工工作。中标单位在投标报价时应将在服务期限内最低工资标准和社保缴费标准进行调整的情况考虑在内，采购单位不再为此承担任何费用和责任。相关服务人员与采购单位无任何劳动人事关系，用工事宜由中标单位负责。</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10、采购单位与维护人员不发生任何劳动和雇佣关系，人员由中标单位自行管理，中标单位和维保人员应遵守安全操作规章制度，若发生人身伤害等工伤事故，由中标单位自负，与采购单位无关。</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11、各中标单位需根据采购单位的作息时间合理安排人员工作时间及实施方案，中标单位必须确保有专人及时到场。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中标单位提供的所有服务内容都应符合已颁布的现行中华人民共和国认可的（部颁、行业）标准和国际标准化组织以及等效或更优的其他国家的权威性标准和规范的有关条文。如果这些标准内容有矛盾时，应按最高标准的条款执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13、中标单位应遵守安全生产的有关管理规定，严格按照安全标准组织运营，采取必要的安全防护措施，消除隐患。由于中标单位管理或安全措施不到位造成周边环境破坏或事故的责任和因此发生的费用，由中标单位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14、中标单位必须严格按照国家法律法规相关规定，进行各项工作安排，杜绝安全事故发生（包括：人员安排、工作安排以及合法用工等）。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知识产权：供应商应能保证所提供服务涉及到的知识产权是合法取得，并享有完整的知识产权，不会因为需方的使用而被责令停止使用、追偿或要求赔偿损失，如出现此情况，一切经济和法律责任均由供应商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15.1中标单位因完成本项目而产生的知识产权属采购人所有，未经采购人书面同意，无论是否被采购人所采用，中标单位不得以任何方式向任何第三方提供也不得用于本项目以外的用途。</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15.2采购人提供的所有资料文件，成交供应商负有保密义务，未经采购人书面同意，不得以任何方式向任何第三方提供。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中标单位确认其设计中所使用的字体、图片、音乐等设计元素已获得权利方授权，不侵犯第三人合法权益，如因乙方使用的设计元素侵犯他人知识产权的行为而引起的索赔或诉讼，乙方应承担全部责任，并保障甲方免于承担由此造成的一切损害和损失。</w:t>
      </w:r>
      <w:r/>
    </w:p>
    <w:p>
      <w:pPr>
        <w:ind w:left="0" w:right="0" w:firstLine="480"/>
        <w:spacing w:before="240" w:after="240" w:line="85" w:lineRule="atLeast"/>
        <w:tabs>
          <w:tab w:val="left" w:pos="46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16、服务期限：三年，自2026年7月11日至2029年7月10日</w:t>
      </w:r>
      <w:r>
        <w:rPr>
          <w:rFonts w:ascii="Segoe UI" w:hAnsi="Segoe UI" w:eastAsia="Segoe UI" w:cs="Segoe UI"/>
          <w:color w:val="000000"/>
          <w:sz w:val="24"/>
          <w:highlight w:val="white"/>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17、服务地点：采购单位指定地点。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18、付款方式：详见合同主要条款。</w:t>
      </w:r>
      <w:r/>
    </w:p>
    <w:p>
      <w:pPr>
        <w:ind w:left="0" w:right="0" w:firstLine="46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19、投标单位具有质量管理、环境管理、信息安全管理、培训管理体系内控制度</w:t>
      </w:r>
      <w:r>
        <w:rPr>
          <w:rFonts w:ascii="SimSun" w:hAnsi="SimSun" w:eastAsia="SimSun" w:cs="SimSun"/>
          <w:color w:val="000000"/>
          <w:spacing w:val="-7"/>
          <w:sz w:val="24"/>
        </w:rPr>
        <w:t xml:space="preserve">。</w:t>
      </w:r>
      <w:r/>
    </w:p>
    <w:p>
      <w:pPr>
        <w:ind w:left="5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20、验收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20.1中标单位应按照采购文件的要求提供合格的服务，提供服务均为按国家规格条例的合格正规服务、符合设计规范要求。</w:t>
      </w:r>
      <w:r/>
    </w:p>
    <w:p>
      <w:pPr>
        <w:ind w:left="0" w:right="0" w:firstLine="46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20.2验收标准：完全符合现行国家规范及要求，以验收通过为准。</w:t>
      </w:r>
      <w:r/>
    </w:p>
    <w:p>
      <w:pPr>
        <w:ind w:left="0" w:right="0" w:firstLine="46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20.3按照《江苏省政府采购履约验收管理办法》，由采购单位及相关人员组成验收小组进行验收。</w:t>
      </w:r>
      <w:r/>
    </w:p>
    <w:p>
      <w:pPr>
        <w:numPr>
          <w:ilvl w:val="0"/>
          <w:numId w:val="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若中标单位在服务期间，违反下列规定将被解除服务合同，并扣除剩余待支付费用。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21.1故障报修逾期不维修</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合同约定抢修时效（如2/4/8小时到场），多次超时、多次故障拖延，甲方发书面整改通知逾期不改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21.2设备在线/完好率不达标</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监控摄像头、NVR主机、存储设备在线率、完好率低于约定（常见≥95%/98%），整改后仍不达标。</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21.3维保履约资料缺失</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拒不提交月度巡检记录、维保报告，催告15日内仍不交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 人员、转包违规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擅自转包维保业务、更换维保工程师未经甲方确认、维保人员无证上岗，甲方立即解约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21.5配件造假、以次充好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更换备件为假冒伪劣产品，甲方无条件解约并追回已付维保款、索赔损失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21.6维保失职造成安全事故/行政处罚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因乙方维保缺位导致监控大面积瘫痪，发生失窃、安全事故的。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22、中标单位工作人员在岗履行职责期间（包括上下班途中），发生自身的人身伤害、伤亡，均由中标单位负责处理并承担经济和道义上的责任，采购单位不承担任何责任。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中标单位需严格按采购单位规定的时间完成项目的全部工作内容，如在实施的过程中出现错误、误差，需负责及时更正直至采购单位确认，并经主管部门验收合格，中标单位在项目进行过程中产生的任何安全、损坏等责任事故一律由中标单位自行承担。如遇突发情况，中标单位需协助采购单位完成需要中标单位配合的服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24、凡涉及采购文件的补充说明和修改，均以苏州政府采购网发布的内容为准。</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733"/>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pStyle w:val="733"/>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pStyle w:val="733"/>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pStyle w:val="733"/>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pStyle w:val="733"/>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pStyle w:val="733"/>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pStyle w:val="733"/>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第五章 合同主要条款</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24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阳澄湖半岛治安联防队技防监控维护</w:t>
      </w:r>
      <w:r/>
    </w:p>
    <w:p>
      <w:pPr>
        <w:ind w:left="0" w:right="0" w:firstLine="24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采购人（全称）：（以下简称甲方）</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供应商（全称）：（以下简称乙方）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根据《中华人民共和国民法典》有关规定，为明确采购人（甲方）和供应商（乙方）在购销过程中的权利、义务和经济责任，经双方友好协商，甲乙双方就</w:t>
      </w:r>
      <w:r>
        <w:rPr>
          <w:rFonts w:ascii="SimSun" w:hAnsi="SimSun" w:eastAsia="SimSun" w:cs="SimSun"/>
          <w:color w:val="000000"/>
          <w:sz w:val="24"/>
          <w:u w:val="single"/>
        </w:rPr>
        <w:t xml:space="preserve">阳澄湖半岛治安联防队技防监控维护项目</w:t>
      </w:r>
      <w:r>
        <w:rPr>
          <w:rFonts w:ascii="SimSun" w:hAnsi="SimSun" w:eastAsia="SimSun" w:cs="SimSun"/>
          <w:color w:val="000000"/>
          <w:sz w:val="24"/>
        </w:rPr>
        <w:t xml:space="preserve">事宜，签订本合同书。</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一、合同的标的物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1、乙方负责完成甲方的</w:t>
      </w:r>
      <w:r>
        <w:rPr>
          <w:rFonts w:ascii="SimSun" w:hAnsi="SimSun" w:eastAsia="SimSun" w:cs="SimSun"/>
          <w:color w:val="000000"/>
          <w:sz w:val="24"/>
          <w:u w:val="single"/>
        </w:rPr>
        <w:t xml:space="preserve"> 阳澄湖半岛治安联防队技防监控维护</w:t>
      </w:r>
      <w:r>
        <w:rPr>
          <w:rFonts w:ascii="SimSun" w:hAnsi="SimSun" w:eastAsia="SimSun" w:cs="SimSun"/>
          <w:color w:val="000000"/>
          <w:sz w:val="24"/>
        </w:rPr>
        <w:t xml:space="preserve">服务工作。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2、服务期限：三年，自2026年7月11日至2029年7月10日。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3、维保项目情况：</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（1）项目概述：技防监控维护主要是对唯亭街道东区辖区内主要道路、重点场所、要害部位和标志性建筑周边安装超级卡口、人像卡口及监控摄像机的维护和保养。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维保设备简要说明：视频监控252套；人像卡口87套；车辆超级卡口52套，以及监控设施涉及的线路及机房设备的维保。道路前端系统设备的维修保养、监控中心设备及软件系统的维护维修升级优化服务、数据库管理与维护、机房设备网络传输维护等，包括日常维护、定期维护、技术支持维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4、下列文件为本合同不可分割部分：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①中标通知书；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②招标文件；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③乙方中标的投标书；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④乙方在招投标过程中所作的其它承诺、声明、书面澄清等。</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二、合同价款与支付</w:t>
      </w:r>
      <w:r/>
    </w:p>
    <w:p>
      <w:pPr>
        <w:ind w:left="0" w:right="0" w:firstLine="48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1、合同总价为</w:t>
      </w:r>
      <w:r>
        <w:rPr>
          <w:rFonts w:ascii="SimSun" w:hAnsi="SimSun" w:eastAsia="SimSun" w:cs="SimSun"/>
          <w:color w:val="000000"/>
          <w:sz w:val="24"/>
        </w:rPr>
        <w:t xml:space="preserve">人民币：大写</w:t>
      </w:r>
      <w:r>
        <w:rPr>
          <w:rFonts w:ascii="SimSun" w:hAnsi="SimSun" w:eastAsia="SimSun" w:cs="SimSun"/>
          <w:color w:val="000000"/>
          <w:sz w:val="24"/>
          <w:u w:val="single"/>
        </w:rPr>
        <w:t xml:space="preserve">（）</w:t>
      </w:r>
      <w:r>
        <w:rPr>
          <w:rFonts w:ascii="SimSun" w:hAnsi="SimSun" w:eastAsia="SimSun" w:cs="SimSun"/>
          <w:color w:val="000000"/>
          <w:sz w:val="24"/>
        </w:rPr>
        <w:t xml:space="preserve">，小写</w:t>
      </w:r>
      <w:r>
        <w:rPr>
          <w:rFonts w:ascii="SimSun" w:hAnsi="SimSun" w:eastAsia="SimSun" w:cs="SimSun"/>
          <w:color w:val="000000"/>
          <w:sz w:val="24"/>
          <w:u w:val="single"/>
        </w:rPr>
        <w:t xml:space="preserve">（）</w:t>
      </w:r>
      <w:r>
        <w:rPr>
          <w:rFonts w:ascii="SimSun" w:hAnsi="SimSun" w:eastAsia="SimSun" w:cs="SimSun"/>
          <w:color w:val="000000"/>
          <w:sz w:val="24"/>
        </w:rPr>
        <w:t xml:space="preserve">。上述金额包括但不限于合同期内日常维修、维护、保养、更换、人工费用、招标代理费用、税费等所需全部费用；包含设备故障已无法维修或维修意义不大需更换设备的服务费用、设备费用。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2、付款方式：</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2.1维保费用：维保费用按季度支付，每季度由甲方对乙方进行考核评分，按考评结果支付费用。具体考核办法如下：</w:t>
      </w:r>
      <w:r/>
    </w:p>
    <w:p>
      <w:pPr>
        <w:ind w:left="4598" w:right="0" w:firstLine="0"/>
        <w:spacing w:before="6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highlight w:val="none"/>
        </w:rPr>
        <w:t xml:space="preserve"> </w:t>
      </w:r>
      <w:r/>
    </w:p>
    <w:p>
      <w:pPr>
        <w:ind w:left="4598" w:right="0" w:firstLine="0"/>
        <w:spacing w:before="6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考核内容</w:t>
      </w:r>
      <w:r/>
    </w:p>
    <w:tbl>
      <w:tblPr>
        <w:tblStyle w:val="7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85"/>
        <w:gridCol w:w="4840"/>
        <w:gridCol w:w="1529"/>
      </w:tblGrid>
      <w:tr>
        <w:trPr>
          <w:trHeight w:val="530"/>
        </w:trPr>
        <w:tc>
          <w:tcPr>
            <w:tcBorders>
              <w:top w:val="single" w:color="000000" w:sz="10" w:space="0"/>
              <w:left w:val="single" w:color="000000" w:sz="10" w:space="0"/>
              <w:bottom w:val="single" w:color="000000" w:sz="8" w:space="0"/>
              <w:right w:val="single" w:color="000000" w:sz="8" w:space="0"/>
            </w:tcBorders>
            <w:tcMar>
              <w:left w:w="0" w:type="dxa"/>
              <w:top w:w="0" w:type="dxa"/>
              <w:right w:w="0" w:type="dxa"/>
              <w:bottom w:w="0" w:type="dxa"/>
            </w:tcMar>
            <w:tcW w:w="2985" w:type="dxa"/>
            <w:vAlign w:val="top"/>
            <w:textDirection w:val="lrTb"/>
            <w:noWrap w:val="false"/>
          </w:tcPr>
          <w:p>
            <w:pPr>
              <w:ind w:left="891" w:right="0" w:firstLine="0"/>
              <w:spacing w:before="134"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项目</w:t>
            </w:r>
            <w:r/>
          </w:p>
        </w:tc>
        <w:tc>
          <w:tcPr>
            <w:tcBorders>
              <w:top w:val="single" w:color="000000" w:sz="10" w:space="0"/>
              <w:left w:val="single" w:color="000000" w:sz="8" w:space="0"/>
              <w:bottom w:val="single" w:color="000000" w:sz="8" w:space="0"/>
              <w:right w:val="single" w:color="000000" w:sz="8" w:space="0"/>
            </w:tcBorders>
            <w:tcMar>
              <w:left w:w="0" w:type="dxa"/>
              <w:top w:w="0" w:type="dxa"/>
              <w:right w:w="0" w:type="dxa"/>
              <w:bottom w:w="0" w:type="dxa"/>
            </w:tcMar>
            <w:tcW w:w="4840" w:type="dxa"/>
            <w:vAlign w:val="top"/>
            <w:textDirection w:val="lrTb"/>
            <w:noWrap w:val="false"/>
          </w:tcPr>
          <w:p>
            <w:pPr>
              <w:ind w:left="2083" w:right="0" w:firstLine="0"/>
              <w:spacing w:before="133"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内容</w:t>
            </w:r>
            <w:r/>
          </w:p>
        </w:tc>
        <w:tc>
          <w:tcPr>
            <w:tcBorders>
              <w:top w:val="single" w:color="000000" w:sz="10" w:space="0"/>
              <w:left w:val="single" w:color="000000" w:sz="8" w:space="0"/>
              <w:bottom w:val="single" w:color="000000" w:sz="8" w:space="0"/>
              <w:right w:val="single" w:color="000000" w:sz="10" w:space="0"/>
            </w:tcBorders>
            <w:tcMar>
              <w:left w:w="0" w:type="dxa"/>
              <w:top w:w="0" w:type="dxa"/>
              <w:right w:w="0" w:type="dxa"/>
              <w:bottom w:w="0" w:type="dxa"/>
            </w:tcMar>
            <w:tcW w:w="1529" w:type="dxa"/>
            <w:vAlign w:val="top"/>
            <w:textDirection w:val="lrTb"/>
            <w:noWrap w:val="false"/>
          </w:tcPr>
          <w:p>
            <w:pPr>
              <w:ind w:left="846" w:right="0" w:firstLine="0"/>
              <w:spacing w:before="133"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考核分</w:t>
            </w:r>
            <w:r/>
          </w:p>
        </w:tc>
      </w:tr>
      <w:tr>
        <w:trPr>
          <w:trHeight w:val="503"/>
        </w:trPr>
        <w:tc>
          <w:tcPr>
            <w:tcBorders>
              <w:top w:val="none" w:color="000000" w:sz="4" w:space="0"/>
              <w:left w:val="single" w:color="000000" w:sz="10" w:space="0"/>
              <w:bottom w:val="none" w:color="000000" w:sz="4" w:space="0"/>
              <w:right w:val="single" w:color="000000" w:sz="8" w:space="0"/>
            </w:tcBorders>
            <w:tcMar>
              <w:left w:w="0" w:type="dxa"/>
              <w:top w:w="0" w:type="dxa"/>
              <w:right w:w="0" w:type="dxa"/>
              <w:bottom w:w="0" w:type="dxa"/>
            </w:tcMar>
            <w:tcW w:w="2985" w:type="dxa"/>
            <w:vAlign w:val="top"/>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06" w:right="0" w:firstLine="0"/>
              <w:spacing w:before="65"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基础管理（25</w:t>
            </w:r>
            <w:r>
              <w:rPr>
                <w:rFonts w:ascii="SimSun" w:hAnsi="SimSun" w:eastAsia="SimSun" w:cs="SimSun"/>
                <w:color w:val="000000"/>
                <w:spacing w:val="-35"/>
                <w:sz w:val="21"/>
              </w:rPr>
              <w:t xml:space="preserve"> </w:t>
            </w:r>
            <w:r>
              <w:rPr>
                <w:rFonts w:ascii="SimSun" w:hAnsi="SimSun" w:eastAsia="SimSun" w:cs="SimSun"/>
                <w:color w:val="000000"/>
                <w:spacing w:val="5"/>
                <w:sz w:val="21"/>
              </w:rPr>
              <w:t xml:space="preserve">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40" w:type="dxa"/>
            <w:vAlign w:val="top"/>
            <w:textDirection w:val="lrTb"/>
            <w:noWrap w:val="false"/>
          </w:tcPr>
          <w:p>
            <w:pPr>
              <w:ind w:left="0" w:right="0" w:firstLine="0"/>
              <w:spacing w:before="126"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1"/>
              </w:rPr>
              <w:t xml:space="preserve">工作计划管理</w:t>
            </w:r>
            <w:r/>
          </w:p>
        </w:tc>
        <w:tc>
          <w:tcPr>
            <w:tcBorders>
              <w:top w:val="none" w:color="000000" w:sz="4" w:space="0"/>
              <w:left w:val="single" w:color="000000" w:sz="8" w:space="0"/>
              <w:bottom w:val="single" w:color="000000" w:sz="8" w:space="0"/>
              <w:right w:val="single" w:color="000000" w:sz="10" w:space="0"/>
            </w:tcBorders>
            <w:tcMar>
              <w:left w:w="0" w:type="dxa"/>
              <w:top w:w="0" w:type="dxa"/>
              <w:right w:w="0" w:type="dxa"/>
              <w:bottom w:w="0" w:type="dxa"/>
            </w:tcMar>
            <w:tcW w:w="1529" w:type="dxa"/>
            <w:vAlign w:val="top"/>
            <w:textDirection w:val="lrTb"/>
            <w:noWrap w:val="false"/>
          </w:tcPr>
          <w:p>
            <w:pPr>
              <w:ind w:left="983" w:right="0" w:firstLine="0"/>
              <w:spacing w:before="127"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5</w:t>
            </w:r>
            <w:r>
              <w:rPr>
                <w:rFonts w:ascii="SimSun" w:hAnsi="SimSun" w:eastAsia="SimSun" w:cs="SimSun"/>
                <w:color w:val="000000"/>
                <w:spacing w:val="-38"/>
                <w:sz w:val="21"/>
              </w:rPr>
              <w:t xml:space="preserve"> </w:t>
            </w:r>
            <w:r>
              <w:rPr>
                <w:rFonts w:ascii="SimSun" w:hAnsi="SimSun" w:eastAsia="SimSun" w:cs="SimSun"/>
                <w:color w:val="000000"/>
                <w:spacing w:val="-4"/>
                <w:sz w:val="21"/>
              </w:rPr>
              <w:t xml:space="preserve">分</w:t>
            </w:r>
            <w:r/>
          </w:p>
        </w:tc>
      </w:tr>
      <w:tr>
        <w:trPr>
          <w:trHeight w:val="50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40" w:type="dxa"/>
            <w:vAlign w:val="top"/>
            <w:textDirection w:val="lrTb"/>
            <w:noWrap w:val="false"/>
          </w:tcPr>
          <w:p>
            <w:pPr>
              <w:ind w:left="0" w:right="0" w:firstLine="0"/>
              <w:spacing w:before="128"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规章制度执行管理</w:t>
            </w:r>
            <w:r/>
          </w:p>
        </w:tc>
        <w:tc>
          <w:tcPr>
            <w:tcBorders>
              <w:top w:val="none" w:color="000000" w:sz="4" w:space="0"/>
              <w:left w:val="single" w:color="000000" w:sz="8" w:space="0"/>
              <w:bottom w:val="single" w:color="000000" w:sz="8" w:space="0"/>
              <w:right w:val="single" w:color="000000" w:sz="10" w:space="0"/>
            </w:tcBorders>
            <w:tcMar>
              <w:left w:w="0" w:type="dxa"/>
              <w:top w:w="0" w:type="dxa"/>
              <w:right w:w="0" w:type="dxa"/>
              <w:bottom w:w="0" w:type="dxa"/>
            </w:tcMar>
            <w:tcW w:w="1529" w:type="dxa"/>
            <w:vAlign w:val="top"/>
            <w:textDirection w:val="lrTb"/>
            <w:noWrap w:val="false"/>
          </w:tcPr>
          <w:p>
            <w:pPr>
              <w:ind w:left="983" w:right="0" w:firstLine="0"/>
              <w:spacing w:before="129"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5</w:t>
            </w:r>
            <w:r>
              <w:rPr>
                <w:rFonts w:ascii="SimSun" w:hAnsi="SimSun" w:eastAsia="SimSun" w:cs="SimSun"/>
                <w:color w:val="000000"/>
                <w:spacing w:val="-38"/>
                <w:sz w:val="21"/>
              </w:rPr>
              <w:t xml:space="preserve"> </w:t>
            </w:r>
            <w:r>
              <w:rPr>
                <w:rFonts w:ascii="SimSun" w:hAnsi="SimSun" w:eastAsia="SimSun" w:cs="SimSun"/>
                <w:color w:val="000000"/>
                <w:spacing w:val="-4"/>
                <w:sz w:val="21"/>
              </w:rPr>
              <w:t xml:space="preserve">分</w:t>
            </w:r>
            <w:r/>
          </w:p>
        </w:tc>
      </w:tr>
      <w:tr>
        <w:trPr>
          <w:trHeight w:val="50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40" w:type="dxa"/>
            <w:vAlign w:val="top"/>
            <w:textDirection w:val="lrTb"/>
            <w:noWrap w:val="false"/>
          </w:tcPr>
          <w:p>
            <w:pPr>
              <w:ind w:left="0" w:right="0" w:firstLine="0"/>
              <w:spacing w:before="132"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故障维修、巡检、保养记录</w:t>
            </w:r>
            <w:r/>
          </w:p>
        </w:tc>
        <w:tc>
          <w:tcPr>
            <w:tcBorders>
              <w:top w:val="none" w:color="000000" w:sz="4" w:space="0"/>
              <w:left w:val="single" w:color="000000" w:sz="8" w:space="0"/>
              <w:bottom w:val="single" w:color="000000" w:sz="8" w:space="0"/>
              <w:right w:val="single" w:color="000000" w:sz="10" w:space="0"/>
            </w:tcBorders>
            <w:tcMar>
              <w:left w:w="0" w:type="dxa"/>
              <w:top w:w="0" w:type="dxa"/>
              <w:right w:w="0" w:type="dxa"/>
              <w:bottom w:w="0" w:type="dxa"/>
            </w:tcMar>
            <w:tcW w:w="1529" w:type="dxa"/>
            <w:vAlign w:val="top"/>
            <w:textDirection w:val="lrTb"/>
            <w:noWrap w:val="false"/>
          </w:tcPr>
          <w:p>
            <w:pPr>
              <w:ind w:left="941" w:right="0" w:firstLine="0"/>
              <w:spacing w:before="132"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10</w:t>
            </w:r>
            <w:r>
              <w:rPr>
                <w:rFonts w:ascii="SimSun" w:hAnsi="SimSun" w:eastAsia="SimSun" w:cs="SimSun"/>
                <w:color w:val="000000"/>
                <w:spacing w:val="-35"/>
                <w:sz w:val="21"/>
              </w:rPr>
              <w:t xml:space="preserve"> </w:t>
            </w:r>
            <w:r>
              <w:rPr>
                <w:rFonts w:ascii="SimSun" w:hAnsi="SimSun" w:eastAsia="SimSun" w:cs="SimSun"/>
                <w:color w:val="000000"/>
                <w:spacing w:val="-5"/>
                <w:sz w:val="21"/>
              </w:rPr>
              <w:t xml:space="preserve">分</w:t>
            </w:r>
            <w:r/>
          </w:p>
        </w:tc>
      </w:tr>
      <w:tr>
        <w:trPr>
          <w:trHeight w:val="509"/>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40" w:type="dxa"/>
            <w:vAlign w:val="top"/>
            <w:textDirection w:val="lrTb"/>
            <w:noWrap w:val="false"/>
          </w:tcPr>
          <w:p>
            <w:pPr>
              <w:ind w:left="0" w:right="0" w:firstLine="0"/>
              <w:spacing w:before="133"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月维护报表</w:t>
            </w:r>
            <w:r/>
          </w:p>
        </w:tc>
        <w:tc>
          <w:tcPr>
            <w:tcBorders>
              <w:top w:val="none" w:color="000000" w:sz="4" w:space="0"/>
              <w:left w:val="single" w:color="000000" w:sz="8" w:space="0"/>
              <w:bottom w:val="single" w:color="000000" w:sz="8" w:space="0"/>
              <w:right w:val="single" w:color="000000" w:sz="10" w:space="0"/>
            </w:tcBorders>
            <w:tcMar>
              <w:left w:w="0" w:type="dxa"/>
              <w:top w:w="0" w:type="dxa"/>
              <w:right w:w="0" w:type="dxa"/>
              <w:bottom w:w="0" w:type="dxa"/>
            </w:tcMar>
            <w:tcW w:w="1529" w:type="dxa"/>
            <w:vAlign w:val="top"/>
            <w:textDirection w:val="lrTb"/>
            <w:noWrap w:val="false"/>
          </w:tcPr>
          <w:p>
            <w:pPr>
              <w:ind w:left="983" w:right="0" w:firstLine="0"/>
              <w:spacing w:before="134"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5</w:t>
            </w:r>
            <w:r>
              <w:rPr>
                <w:rFonts w:ascii="SimSun" w:hAnsi="SimSun" w:eastAsia="SimSun" w:cs="SimSun"/>
                <w:color w:val="000000"/>
                <w:spacing w:val="-38"/>
                <w:sz w:val="21"/>
              </w:rPr>
              <w:t xml:space="preserve"> </w:t>
            </w:r>
            <w:r>
              <w:rPr>
                <w:rFonts w:ascii="SimSun" w:hAnsi="SimSun" w:eastAsia="SimSun" w:cs="SimSun"/>
                <w:color w:val="000000"/>
                <w:spacing w:val="-4"/>
                <w:sz w:val="21"/>
              </w:rPr>
              <w:t xml:space="preserve">分</w:t>
            </w:r>
            <w:r/>
          </w:p>
        </w:tc>
      </w:tr>
      <w:tr>
        <w:trPr>
          <w:trHeight w:val="510"/>
        </w:trPr>
        <w:tc>
          <w:tcPr>
            <w:tcBorders>
              <w:top w:val="none" w:color="000000" w:sz="4" w:space="0"/>
              <w:left w:val="single" w:color="000000" w:sz="10" w:space="0"/>
              <w:bottom w:val="none" w:color="000000" w:sz="4" w:space="0"/>
              <w:right w:val="single" w:color="000000" w:sz="8" w:space="0"/>
            </w:tcBorders>
            <w:tcMar>
              <w:left w:w="0" w:type="dxa"/>
              <w:top w:w="0" w:type="dxa"/>
              <w:right w:w="0" w:type="dxa"/>
              <w:bottom w:w="0" w:type="dxa"/>
            </w:tcMar>
            <w:tcW w:w="2985" w:type="dxa"/>
            <w:vAlign w:val="top"/>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06" w:right="0" w:firstLine="0"/>
              <w:spacing w:before="65"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质量管理（70</w:t>
            </w:r>
            <w:r>
              <w:rPr>
                <w:rFonts w:ascii="SimSun" w:hAnsi="SimSun" w:eastAsia="SimSun" w:cs="SimSun"/>
                <w:color w:val="000000"/>
                <w:spacing w:val="-36"/>
                <w:sz w:val="21"/>
              </w:rPr>
              <w:t xml:space="preserve"> </w:t>
            </w:r>
            <w:r>
              <w:rPr>
                <w:rFonts w:ascii="SimSun" w:hAnsi="SimSun" w:eastAsia="SimSun" w:cs="SimSun"/>
                <w:color w:val="000000"/>
                <w:spacing w:val="5"/>
                <w:sz w:val="21"/>
              </w:rPr>
              <w:t xml:space="preserve">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40" w:type="dxa"/>
            <w:vAlign w:val="top"/>
            <w:textDirection w:val="lrTb"/>
            <w:noWrap w:val="false"/>
          </w:tcPr>
          <w:p>
            <w:pPr>
              <w:ind w:left="0" w:right="0" w:firstLine="0"/>
              <w:spacing w:before="135"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日常维护</w:t>
            </w:r>
            <w:r/>
          </w:p>
        </w:tc>
        <w:tc>
          <w:tcPr>
            <w:tcBorders>
              <w:top w:val="none" w:color="000000" w:sz="4" w:space="0"/>
              <w:left w:val="single" w:color="000000" w:sz="8" w:space="0"/>
              <w:bottom w:val="single" w:color="000000" w:sz="8" w:space="0"/>
              <w:right w:val="single" w:color="000000" w:sz="10" w:space="0"/>
            </w:tcBorders>
            <w:tcMar>
              <w:left w:w="0" w:type="dxa"/>
              <w:top w:w="0" w:type="dxa"/>
              <w:right w:w="0" w:type="dxa"/>
              <w:bottom w:w="0" w:type="dxa"/>
            </w:tcMar>
            <w:tcW w:w="1529" w:type="dxa"/>
            <w:vAlign w:val="top"/>
            <w:textDirection w:val="lrTb"/>
            <w:noWrap w:val="false"/>
          </w:tcPr>
          <w:p>
            <w:pPr>
              <w:ind w:left="941" w:right="0" w:firstLine="0"/>
              <w:spacing w:before="135"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10</w:t>
            </w:r>
            <w:r>
              <w:rPr>
                <w:rFonts w:ascii="SimSun" w:hAnsi="SimSun" w:eastAsia="SimSun" w:cs="SimSun"/>
                <w:color w:val="000000"/>
                <w:spacing w:val="-35"/>
                <w:sz w:val="21"/>
              </w:rPr>
              <w:t xml:space="preserve"> </w:t>
            </w:r>
            <w:r>
              <w:rPr>
                <w:rFonts w:ascii="SimSun" w:hAnsi="SimSun" w:eastAsia="SimSun" w:cs="SimSun"/>
                <w:color w:val="000000"/>
                <w:spacing w:val="-5"/>
                <w:sz w:val="21"/>
              </w:rPr>
              <w:t xml:space="preserve">分</w:t>
            </w:r>
            <w:r/>
          </w:p>
        </w:tc>
      </w:tr>
      <w:tr>
        <w:trPr>
          <w:trHeight w:val="51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40" w:type="dxa"/>
            <w:vAlign w:val="top"/>
            <w:textDirection w:val="lrTb"/>
            <w:noWrap w:val="false"/>
          </w:tcPr>
          <w:p>
            <w:pPr>
              <w:ind w:left="0" w:right="0" w:firstLine="0"/>
              <w:spacing w:before="136"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1"/>
              </w:rPr>
              <w:t xml:space="preserve">定期巡检、保养</w:t>
            </w:r>
            <w:r/>
          </w:p>
        </w:tc>
        <w:tc>
          <w:tcPr>
            <w:tcBorders>
              <w:top w:val="none" w:color="000000" w:sz="4" w:space="0"/>
              <w:left w:val="single" w:color="000000" w:sz="8" w:space="0"/>
              <w:bottom w:val="single" w:color="000000" w:sz="8" w:space="0"/>
              <w:right w:val="single" w:color="000000" w:sz="10" w:space="0"/>
            </w:tcBorders>
            <w:tcMar>
              <w:left w:w="0" w:type="dxa"/>
              <w:top w:w="0" w:type="dxa"/>
              <w:right w:w="0" w:type="dxa"/>
              <w:bottom w:w="0" w:type="dxa"/>
            </w:tcMar>
            <w:tcW w:w="1529" w:type="dxa"/>
            <w:vAlign w:val="top"/>
            <w:textDirection w:val="lrTb"/>
            <w:noWrap w:val="false"/>
          </w:tcPr>
          <w:p>
            <w:pPr>
              <w:ind w:left="941" w:right="0" w:firstLine="0"/>
              <w:spacing w:before="137"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10</w:t>
            </w:r>
            <w:r>
              <w:rPr>
                <w:rFonts w:ascii="SimSun" w:hAnsi="SimSun" w:eastAsia="SimSun" w:cs="SimSun"/>
                <w:color w:val="000000"/>
                <w:spacing w:val="-35"/>
                <w:sz w:val="21"/>
              </w:rPr>
              <w:t xml:space="preserve"> </w:t>
            </w:r>
            <w:r>
              <w:rPr>
                <w:rFonts w:ascii="SimSun" w:hAnsi="SimSun" w:eastAsia="SimSun" w:cs="SimSun"/>
                <w:color w:val="000000"/>
                <w:spacing w:val="-5"/>
                <w:sz w:val="21"/>
              </w:rPr>
              <w:t xml:space="preserve">分</w:t>
            </w:r>
            <w:r/>
          </w:p>
        </w:tc>
      </w:tr>
      <w:tr>
        <w:trPr>
          <w:trHeight w:val="51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40" w:type="dxa"/>
            <w:vAlign w:val="top"/>
            <w:textDirection w:val="lrTb"/>
            <w:noWrap w:val="false"/>
          </w:tcPr>
          <w:p>
            <w:pPr>
              <w:ind w:left="0" w:right="0" w:firstLine="0"/>
              <w:spacing w:before="1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故障修复</w:t>
            </w:r>
            <w:r/>
          </w:p>
        </w:tc>
        <w:tc>
          <w:tcPr>
            <w:tcBorders>
              <w:top w:val="none" w:color="000000" w:sz="4" w:space="0"/>
              <w:left w:val="single" w:color="000000" w:sz="8" w:space="0"/>
              <w:bottom w:val="single" w:color="000000" w:sz="8" w:space="0"/>
              <w:right w:val="single" w:color="000000" w:sz="10" w:space="0"/>
            </w:tcBorders>
            <w:tcMar>
              <w:left w:w="0" w:type="dxa"/>
              <w:top w:w="0" w:type="dxa"/>
              <w:right w:w="0" w:type="dxa"/>
              <w:bottom w:w="0" w:type="dxa"/>
            </w:tcMar>
            <w:tcW w:w="1529" w:type="dxa"/>
            <w:vAlign w:val="top"/>
            <w:textDirection w:val="lrTb"/>
            <w:noWrap w:val="false"/>
          </w:tcPr>
          <w:p>
            <w:pPr>
              <w:ind w:left="941" w:right="0" w:firstLine="0"/>
              <w:spacing w:before="1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10</w:t>
            </w:r>
            <w:r>
              <w:rPr>
                <w:rFonts w:ascii="SimSun" w:hAnsi="SimSun" w:eastAsia="SimSun" w:cs="SimSun"/>
                <w:color w:val="000000"/>
                <w:spacing w:val="-35"/>
                <w:sz w:val="21"/>
              </w:rPr>
              <w:t xml:space="preserve"> </w:t>
            </w:r>
            <w:r>
              <w:rPr>
                <w:rFonts w:ascii="SimSun" w:hAnsi="SimSun" w:eastAsia="SimSun" w:cs="SimSun"/>
                <w:color w:val="000000"/>
                <w:spacing w:val="-5"/>
                <w:sz w:val="21"/>
              </w:rPr>
              <w:t xml:space="preserve">分</w:t>
            </w:r>
            <w:r/>
          </w:p>
        </w:tc>
      </w:tr>
      <w:tr>
        <w:trPr>
          <w:trHeight w:val="51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40" w:type="dxa"/>
            <w:vAlign w:val="top"/>
            <w:textDirection w:val="lrTb"/>
            <w:noWrap w:val="false"/>
          </w:tcPr>
          <w:p>
            <w:pPr>
              <w:ind w:left="0" w:right="0" w:firstLine="0"/>
              <w:spacing w:before="141"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1"/>
              </w:rPr>
              <w:t xml:space="preserve">故障响应速度</w:t>
            </w:r>
            <w:r/>
          </w:p>
        </w:tc>
        <w:tc>
          <w:tcPr>
            <w:tcBorders>
              <w:top w:val="none" w:color="000000" w:sz="4" w:space="0"/>
              <w:left w:val="single" w:color="000000" w:sz="8" w:space="0"/>
              <w:bottom w:val="single" w:color="000000" w:sz="8" w:space="0"/>
              <w:right w:val="single" w:color="000000" w:sz="10" w:space="0"/>
            </w:tcBorders>
            <w:tcMar>
              <w:left w:w="0" w:type="dxa"/>
              <w:top w:w="0" w:type="dxa"/>
              <w:right w:w="0" w:type="dxa"/>
              <w:bottom w:w="0" w:type="dxa"/>
            </w:tcMar>
            <w:tcW w:w="1529" w:type="dxa"/>
            <w:vAlign w:val="top"/>
            <w:textDirection w:val="lrTb"/>
            <w:noWrap w:val="false"/>
          </w:tcPr>
          <w:p>
            <w:pPr>
              <w:ind w:left="941" w:right="0" w:firstLine="0"/>
              <w:spacing w:before="142"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10</w:t>
            </w:r>
            <w:r>
              <w:rPr>
                <w:rFonts w:ascii="SimSun" w:hAnsi="SimSun" w:eastAsia="SimSun" w:cs="SimSun"/>
                <w:color w:val="000000"/>
                <w:spacing w:val="-35"/>
                <w:sz w:val="21"/>
              </w:rPr>
              <w:t xml:space="preserve"> </w:t>
            </w:r>
            <w:r>
              <w:rPr>
                <w:rFonts w:ascii="SimSun" w:hAnsi="SimSun" w:eastAsia="SimSun" w:cs="SimSun"/>
                <w:color w:val="000000"/>
                <w:spacing w:val="-5"/>
                <w:sz w:val="21"/>
              </w:rPr>
              <w:t xml:space="preserve">分</w:t>
            </w:r>
            <w:r/>
          </w:p>
        </w:tc>
      </w:tr>
      <w:tr>
        <w:trPr>
          <w:trHeight w:val="51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40" w:type="dxa"/>
            <w:vAlign w:val="top"/>
            <w:textDirection w:val="lrTb"/>
            <w:noWrap w:val="false"/>
          </w:tcPr>
          <w:p>
            <w:pPr>
              <w:ind w:left="0" w:right="0" w:firstLine="0"/>
              <w:spacing w:before="142"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硬件系统完好率</w:t>
            </w:r>
            <w:r/>
          </w:p>
        </w:tc>
        <w:tc>
          <w:tcPr>
            <w:tcBorders>
              <w:top w:val="none" w:color="000000" w:sz="4" w:space="0"/>
              <w:left w:val="single" w:color="000000" w:sz="8" w:space="0"/>
              <w:bottom w:val="single" w:color="000000" w:sz="8" w:space="0"/>
              <w:right w:val="single" w:color="000000" w:sz="10" w:space="0"/>
            </w:tcBorders>
            <w:tcMar>
              <w:left w:w="0" w:type="dxa"/>
              <w:top w:w="0" w:type="dxa"/>
              <w:right w:w="0" w:type="dxa"/>
              <w:bottom w:w="0" w:type="dxa"/>
            </w:tcMar>
            <w:tcW w:w="1529" w:type="dxa"/>
            <w:vAlign w:val="top"/>
            <w:textDirection w:val="lrTb"/>
            <w:noWrap w:val="false"/>
          </w:tcPr>
          <w:p>
            <w:pPr>
              <w:ind w:left="941" w:right="0" w:firstLine="0"/>
              <w:spacing w:before="143"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10</w:t>
            </w:r>
            <w:r>
              <w:rPr>
                <w:rFonts w:ascii="SimSun" w:hAnsi="SimSun" w:eastAsia="SimSun" w:cs="SimSun"/>
                <w:color w:val="000000"/>
                <w:spacing w:val="-35"/>
                <w:sz w:val="21"/>
              </w:rPr>
              <w:t xml:space="preserve"> </w:t>
            </w:r>
            <w:r>
              <w:rPr>
                <w:rFonts w:ascii="SimSun" w:hAnsi="SimSun" w:eastAsia="SimSun" w:cs="SimSun"/>
                <w:color w:val="000000"/>
                <w:spacing w:val="-5"/>
                <w:sz w:val="21"/>
              </w:rPr>
              <w:t xml:space="preserve">分</w:t>
            </w:r>
            <w:r/>
          </w:p>
        </w:tc>
      </w:tr>
      <w:tr>
        <w:trPr>
          <w:trHeight w:val="51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40" w:type="dxa"/>
            <w:vAlign w:val="top"/>
            <w:textDirection w:val="lrTb"/>
            <w:noWrap w:val="false"/>
          </w:tcPr>
          <w:p>
            <w:pPr>
              <w:ind w:left="0" w:right="0" w:firstLine="0"/>
              <w:spacing w:before="143"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软件系统完好率</w:t>
            </w:r>
            <w:r/>
          </w:p>
        </w:tc>
        <w:tc>
          <w:tcPr>
            <w:tcBorders>
              <w:top w:val="none" w:color="000000" w:sz="4" w:space="0"/>
              <w:left w:val="single" w:color="000000" w:sz="8" w:space="0"/>
              <w:bottom w:val="single" w:color="000000" w:sz="8" w:space="0"/>
              <w:right w:val="single" w:color="000000" w:sz="10" w:space="0"/>
            </w:tcBorders>
            <w:tcMar>
              <w:left w:w="0" w:type="dxa"/>
              <w:top w:w="0" w:type="dxa"/>
              <w:right w:w="0" w:type="dxa"/>
              <w:bottom w:w="0" w:type="dxa"/>
            </w:tcMar>
            <w:tcW w:w="1529" w:type="dxa"/>
            <w:vAlign w:val="top"/>
            <w:textDirection w:val="lrTb"/>
            <w:noWrap w:val="false"/>
          </w:tcPr>
          <w:p>
            <w:pPr>
              <w:ind w:left="941" w:right="0" w:firstLine="0"/>
              <w:spacing w:before="144"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10</w:t>
            </w:r>
            <w:r>
              <w:rPr>
                <w:rFonts w:ascii="SimSun" w:hAnsi="SimSun" w:eastAsia="SimSun" w:cs="SimSun"/>
                <w:color w:val="000000"/>
                <w:spacing w:val="-35"/>
                <w:sz w:val="21"/>
              </w:rPr>
              <w:t xml:space="preserve"> </w:t>
            </w:r>
            <w:r>
              <w:rPr>
                <w:rFonts w:ascii="SimSun" w:hAnsi="SimSun" w:eastAsia="SimSun" w:cs="SimSun"/>
                <w:color w:val="000000"/>
                <w:spacing w:val="-5"/>
                <w:sz w:val="21"/>
              </w:rPr>
              <w:t xml:space="preserve">分</w:t>
            </w:r>
            <w:r/>
          </w:p>
        </w:tc>
      </w:tr>
      <w:tr>
        <w:trPr>
          <w:trHeight w:val="521"/>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40" w:type="dxa"/>
            <w:vAlign w:val="top"/>
            <w:textDirection w:val="lrTb"/>
            <w:noWrap w:val="false"/>
          </w:tcPr>
          <w:p>
            <w:pPr>
              <w:ind w:left="0" w:right="0" w:firstLine="0"/>
              <w:spacing w:before="147"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1"/>
              </w:rPr>
              <w:t xml:space="preserve">对重大事件、活动的现场保障</w:t>
            </w:r>
            <w:r/>
          </w:p>
        </w:tc>
        <w:tc>
          <w:tcPr>
            <w:tcBorders>
              <w:top w:val="none" w:color="000000" w:sz="4" w:space="0"/>
              <w:left w:val="single" w:color="000000" w:sz="8" w:space="0"/>
              <w:bottom w:val="single" w:color="000000" w:sz="8" w:space="0"/>
              <w:right w:val="single" w:color="000000" w:sz="10" w:space="0"/>
            </w:tcBorders>
            <w:tcMar>
              <w:left w:w="0" w:type="dxa"/>
              <w:top w:w="0" w:type="dxa"/>
              <w:right w:w="0" w:type="dxa"/>
              <w:bottom w:w="0" w:type="dxa"/>
            </w:tcMar>
            <w:tcW w:w="1529" w:type="dxa"/>
            <w:vAlign w:val="top"/>
            <w:textDirection w:val="lrTb"/>
            <w:noWrap w:val="false"/>
          </w:tcPr>
          <w:p>
            <w:pPr>
              <w:ind w:left="983" w:right="0" w:firstLine="0"/>
              <w:spacing w:before="147"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5</w:t>
            </w:r>
            <w:r>
              <w:rPr>
                <w:rFonts w:ascii="SimSun" w:hAnsi="SimSun" w:eastAsia="SimSun" w:cs="SimSun"/>
                <w:color w:val="000000"/>
                <w:spacing w:val="-38"/>
                <w:sz w:val="21"/>
              </w:rPr>
              <w:t xml:space="preserve"> </w:t>
            </w:r>
            <w:r>
              <w:rPr>
                <w:rFonts w:ascii="SimSun" w:hAnsi="SimSun" w:eastAsia="SimSun" w:cs="SimSun"/>
                <w:color w:val="000000"/>
                <w:spacing w:val="-4"/>
                <w:sz w:val="21"/>
              </w:rPr>
              <w:t xml:space="preserve">分</w:t>
            </w:r>
            <w:r/>
          </w:p>
        </w:tc>
      </w:tr>
      <w:tr>
        <w:trPr>
          <w:trHeight w:val="52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40" w:type="dxa"/>
            <w:vAlign w:val="top"/>
            <w:textDirection w:val="lrTb"/>
            <w:noWrap w:val="false"/>
          </w:tcPr>
          <w:p>
            <w:pPr>
              <w:ind w:left="0" w:right="0" w:firstLine="0"/>
              <w:spacing w:before="147"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备品备件充足且完好</w:t>
            </w:r>
            <w:r/>
          </w:p>
        </w:tc>
        <w:tc>
          <w:tcPr>
            <w:tcBorders>
              <w:top w:val="none" w:color="000000" w:sz="4" w:space="0"/>
              <w:left w:val="single" w:color="000000" w:sz="8" w:space="0"/>
              <w:bottom w:val="single" w:color="000000" w:sz="8" w:space="0"/>
              <w:right w:val="single" w:color="000000" w:sz="10" w:space="0"/>
            </w:tcBorders>
            <w:tcMar>
              <w:left w:w="0" w:type="dxa"/>
              <w:top w:w="0" w:type="dxa"/>
              <w:right w:w="0" w:type="dxa"/>
              <w:bottom w:w="0" w:type="dxa"/>
            </w:tcMar>
            <w:tcW w:w="1529" w:type="dxa"/>
            <w:vAlign w:val="top"/>
            <w:textDirection w:val="lrTb"/>
            <w:noWrap w:val="false"/>
          </w:tcPr>
          <w:p>
            <w:pPr>
              <w:ind w:left="983" w:right="0" w:firstLine="0"/>
              <w:spacing w:before="148"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5</w:t>
            </w:r>
            <w:r>
              <w:rPr>
                <w:rFonts w:ascii="SimSun" w:hAnsi="SimSun" w:eastAsia="SimSun" w:cs="SimSun"/>
                <w:color w:val="000000"/>
                <w:spacing w:val="-38"/>
                <w:sz w:val="21"/>
              </w:rPr>
              <w:t xml:space="preserve"> </w:t>
            </w:r>
            <w:r>
              <w:rPr>
                <w:rFonts w:ascii="SimSun" w:hAnsi="SimSun" w:eastAsia="SimSun" w:cs="SimSun"/>
                <w:color w:val="000000"/>
                <w:spacing w:val="-4"/>
                <w:sz w:val="21"/>
              </w:rPr>
              <w:t xml:space="preserve">分</w:t>
            </w:r>
            <w:r/>
          </w:p>
        </w:tc>
      </w:tr>
      <w:tr>
        <w:trPr>
          <w:trHeight w:val="522"/>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2985" w:type="dxa"/>
            <w:vAlign w:val="top"/>
            <w:textDirection w:val="lrTb"/>
            <w:noWrap w:val="false"/>
          </w:tcPr>
          <w:p>
            <w:pPr>
              <w:ind w:left="107" w:right="0" w:firstLine="0"/>
              <w:spacing w:before="147"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人员管理（5</w:t>
            </w:r>
            <w:r>
              <w:rPr>
                <w:rFonts w:ascii="SimSun" w:hAnsi="SimSun" w:eastAsia="SimSun" w:cs="SimSun"/>
                <w:color w:val="000000"/>
                <w:spacing w:val="-35"/>
                <w:sz w:val="21"/>
              </w:rPr>
              <w:t xml:space="preserve"> </w:t>
            </w:r>
            <w:r>
              <w:rPr>
                <w:rFonts w:ascii="SimSun" w:hAnsi="SimSun" w:eastAsia="SimSun" w:cs="SimSun"/>
                <w:color w:val="000000"/>
                <w:spacing w:val="5"/>
                <w:sz w:val="21"/>
              </w:rPr>
              <w:t xml:space="preserve">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40" w:type="dxa"/>
            <w:vAlign w:val="top"/>
            <w:textDirection w:val="lrTb"/>
            <w:noWrap w:val="false"/>
          </w:tcPr>
          <w:p>
            <w:pPr>
              <w:ind w:left="0" w:right="0" w:firstLine="0"/>
              <w:spacing w:before="147"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1"/>
              </w:rPr>
              <w:t xml:space="preserve">服务质量</w:t>
            </w:r>
            <w:r/>
          </w:p>
        </w:tc>
        <w:tc>
          <w:tcPr>
            <w:tcBorders>
              <w:top w:val="none" w:color="000000" w:sz="4" w:space="0"/>
              <w:left w:val="single" w:color="000000" w:sz="8" w:space="0"/>
              <w:bottom w:val="single" w:color="000000" w:sz="8" w:space="0"/>
              <w:right w:val="single" w:color="000000" w:sz="10" w:space="0"/>
            </w:tcBorders>
            <w:tcMar>
              <w:left w:w="0" w:type="dxa"/>
              <w:top w:w="0" w:type="dxa"/>
              <w:right w:w="0" w:type="dxa"/>
              <w:bottom w:w="0" w:type="dxa"/>
            </w:tcMar>
            <w:tcW w:w="1529" w:type="dxa"/>
            <w:vAlign w:val="top"/>
            <w:textDirection w:val="lrTb"/>
            <w:noWrap w:val="false"/>
          </w:tcPr>
          <w:p>
            <w:pPr>
              <w:ind w:left="983" w:right="0" w:firstLine="0"/>
              <w:spacing w:before="148"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5</w:t>
            </w:r>
            <w:r>
              <w:rPr>
                <w:rFonts w:ascii="SimSun" w:hAnsi="SimSun" w:eastAsia="SimSun" w:cs="SimSun"/>
                <w:color w:val="000000"/>
                <w:spacing w:val="-38"/>
                <w:sz w:val="21"/>
              </w:rPr>
              <w:t xml:space="preserve"> </w:t>
            </w:r>
            <w:r>
              <w:rPr>
                <w:rFonts w:ascii="SimSun" w:hAnsi="SimSun" w:eastAsia="SimSun" w:cs="SimSun"/>
                <w:color w:val="000000"/>
                <w:spacing w:val="-4"/>
                <w:sz w:val="21"/>
              </w:rPr>
              <w:t xml:space="preserve">分</w:t>
            </w:r>
            <w:r/>
          </w:p>
        </w:tc>
      </w:tr>
      <w:tr>
        <w:trPr>
          <w:trHeight w:val="433"/>
        </w:trPr>
        <w:tc>
          <w:tcPr>
            <w:gridSpan w:val="3"/>
            <w:tcBorders>
              <w:top w:val="none" w:color="000000" w:sz="4" w:space="0"/>
              <w:left w:val="single" w:color="000000" w:sz="10" w:space="0"/>
              <w:bottom w:val="single" w:color="000000" w:sz="10" w:space="0"/>
              <w:right w:val="single" w:color="000000" w:sz="10" w:space="0"/>
            </w:tcBorders>
            <w:tcMar>
              <w:left w:w="0" w:type="dxa"/>
              <w:top w:w="0" w:type="dxa"/>
              <w:right w:w="0" w:type="dxa"/>
              <w:bottom w:w="0" w:type="dxa"/>
            </w:tcMar>
            <w:tcW w:w="9354" w:type="dxa"/>
            <w:vAlign w:val="top"/>
            <w:textDirection w:val="lrTb"/>
            <w:noWrap w:val="false"/>
          </w:tcPr>
          <w:p>
            <w:pPr>
              <w:ind w:left="106" w:right="0" w:firstLine="0"/>
              <w:spacing w:before="51"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加分项</w:t>
            </w:r>
            <w:r/>
          </w:p>
        </w:tc>
      </w:tr>
      <w:tr>
        <w:trPr>
          <w:trHeight w:val="443"/>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2985" w:type="dxa"/>
            <w:vAlign w:val="top"/>
            <w:textDirection w:val="lrTb"/>
            <w:noWrap w:val="false"/>
          </w:tcPr>
          <w:p>
            <w:pPr>
              <w:ind w:left="108" w:right="0" w:firstLine="0"/>
              <w:spacing w:before="36"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软件系统无故障</w:t>
            </w:r>
            <w:r/>
          </w:p>
        </w:tc>
        <w:tc>
          <w:tcPr>
            <w:tcBorders>
              <w:top w:val="single" w:color="000000" w:sz="10" w:space="0"/>
              <w:left w:val="single" w:color="000000" w:sz="8" w:space="0"/>
              <w:bottom w:val="single" w:color="000000" w:sz="8" w:space="0"/>
              <w:right w:val="single" w:color="000000" w:sz="8" w:space="0"/>
            </w:tcBorders>
            <w:tcMar>
              <w:left w:w="0" w:type="dxa"/>
              <w:top w:w="0" w:type="dxa"/>
              <w:right w:w="0" w:type="dxa"/>
              <w:bottom w:w="0" w:type="dxa"/>
            </w:tcMar>
            <w:tcW w:w="4840" w:type="dxa"/>
            <w:vAlign w:val="top"/>
            <w:textDirection w:val="lrTb"/>
            <w:noWrap w:val="false"/>
          </w:tcPr>
          <w:p>
            <w:pPr>
              <w:ind w:left="108" w:right="0" w:firstLine="0"/>
              <w:spacing w:before="36"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系统平台、相关软件系统无故障</w:t>
            </w:r>
            <w:r/>
          </w:p>
        </w:tc>
        <w:tc>
          <w:tcPr>
            <w:tcBorders>
              <w:top w:val="single" w:color="000000" w:sz="10" w:space="0"/>
              <w:left w:val="single" w:color="000000" w:sz="8" w:space="0"/>
              <w:bottom w:val="single" w:color="000000" w:sz="8" w:space="0"/>
              <w:right w:val="single" w:color="000000" w:sz="10" w:space="0"/>
            </w:tcBorders>
            <w:tcMar>
              <w:left w:w="0" w:type="dxa"/>
              <w:top w:w="0" w:type="dxa"/>
              <w:right w:w="0" w:type="dxa"/>
              <w:bottom w:w="0" w:type="dxa"/>
            </w:tcMar>
            <w:tcW w:w="1529" w:type="dxa"/>
            <w:vAlign w:val="top"/>
            <w:textDirection w:val="lrTb"/>
            <w:noWrap w:val="false"/>
          </w:tcPr>
          <w:p>
            <w:pPr>
              <w:ind w:left="983" w:right="0" w:firstLine="0"/>
              <w:spacing w:before="36"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5</w:t>
            </w:r>
            <w:r>
              <w:rPr>
                <w:rFonts w:ascii="SimSun" w:hAnsi="SimSun" w:eastAsia="SimSun" w:cs="SimSun"/>
                <w:color w:val="000000"/>
                <w:spacing w:val="-38"/>
                <w:sz w:val="21"/>
              </w:rPr>
              <w:t xml:space="preserve"> </w:t>
            </w:r>
            <w:r>
              <w:rPr>
                <w:rFonts w:ascii="SimSun" w:hAnsi="SimSun" w:eastAsia="SimSun" w:cs="SimSun"/>
                <w:color w:val="000000"/>
                <w:spacing w:val="-4"/>
                <w:sz w:val="21"/>
              </w:rPr>
              <w:t xml:space="preserve">分</w:t>
            </w:r>
            <w:r/>
          </w:p>
        </w:tc>
      </w:tr>
      <w:tr>
        <w:trPr>
          <w:trHeight w:val="791"/>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2985" w:type="dxa"/>
            <w:vAlign w:val="top"/>
            <w:textDirection w:val="lrTb"/>
            <w:noWrap w:val="false"/>
          </w:tcPr>
          <w:p>
            <w:pPr>
              <w:ind w:left="106" w:right="0" w:firstLine="0"/>
              <w:spacing w:before="236"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有效投诉为</w:t>
            </w:r>
            <w:r>
              <w:rPr>
                <w:rFonts w:ascii="SimSun" w:hAnsi="SimSun" w:eastAsia="SimSun" w:cs="SimSun"/>
                <w:color w:val="000000"/>
                <w:spacing w:val="-35"/>
                <w:sz w:val="21"/>
              </w:rPr>
              <w:t xml:space="preserve"> </w:t>
            </w:r>
            <w:r>
              <w:rPr>
                <w:rFonts w:ascii="SimSun" w:hAnsi="SimSun" w:eastAsia="SimSun" w:cs="SimSun"/>
                <w:color w:val="000000"/>
                <w:spacing w:val="6"/>
                <w:sz w:val="21"/>
              </w:rPr>
              <w:t xml:space="preserve">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40" w:type="dxa"/>
            <w:vAlign w:val="top"/>
            <w:textDirection w:val="lrTb"/>
            <w:noWrap w:val="false"/>
          </w:tcPr>
          <w:p>
            <w:pPr>
              <w:ind w:left="103" w:right="99" w:firstLine="0"/>
              <w:spacing w:before="31"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对监控运维期间的问题能够及时处理，且有效投</w:t>
            </w:r>
            <w:r>
              <w:rPr>
                <w:rFonts w:ascii="SimSun" w:hAnsi="SimSun" w:eastAsia="SimSun" w:cs="SimSun"/>
                <w:color w:val="000000"/>
                <w:spacing w:val="3"/>
                <w:sz w:val="21"/>
              </w:rPr>
              <w:t xml:space="preserve">诉为</w:t>
            </w:r>
            <w:r>
              <w:rPr>
                <w:rFonts w:ascii="SimSun" w:hAnsi="SimSun" w:eastAsia="SimSun" w:cs="SimSun"/>
                <w:color w:val="000000"/>
                <w:spacing w:val="-35"/>
                <w:sz w:val="21"/>
              </w:rPr>
              <w:t xml:space="preserve"> </w:t>
            </w:r>
            <w:r>
              <w:rPr>
                <w:rFonts w:ascii="SimSun" w:hAnsi="SimSun" w:eastAsia="SimSun" w:cs="SimSun"/>
                <w:color w:val="000000"/>
                <w:spacing w:val="3"/>
                <w:sz w:val="21"/>
              </w:rPr>
              <w:t xml:space="preserve">0</w:t>
            </w:r>
            <w:r/>
          </w:p>
        </w:tc>
        <w:tc>
          <w:tcPr>
            <w:tcBorders>
              <w:top w:val="none" w:color="000000" w:sz="4" w:space="0"/>
              <w:left w:val="single" w:color="000000" w:sz="8" w:space="0"/>
              <w:bottom w:val="single" w:color="000000" w:sz="8" w:space="0"/>
              <w:right w:val="single" w:color="000000" w:sz="10" w:space="0"/>
            </w:tcBorders>
            <w:tcMar>
              <w:left w:w="0" w:type="dxa"/>
              <w:top w:w="0" w:type="dxa"/>
              <w:right w:w="0" w:type="dxa"/>
              <w:bottom w:w="0" w:type="dxa"/>
            </w:tcMar>
            <w:tcW w:w="1529" w:type="dxa"/>
            <w:vAlign w:val="top"/>
            <w:textDirection w:val="lrTb"/>
            <w:noWrap w:val="false"/>
          </w:tcPr>
          <w:p>
            <w:pPr>
              <w:ind w:left="983" w:right="0" w:firstLine="0"/>
              <w:spacing w:before="236"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5</w:t>
            </w:r>
            <w:r>
              <w:rPr>
                <w:rFonts w:ascii="SimSun" w:hAnsi="SimSun" w:eastAsia="SimSun" w:cs="SimSun"/>
                <w:color w:val="000000"/>
                <w:spacing w:val="-38"/>
                <w:sz w:val="21"/>
              </w:rPr>
              <w:t xml:space="preserve"> </w:t>
            </w:r>
            <w:r>
              <w:rPr>
                <w:rFonts w:ascii="SimSun" w:hAnsi="SimSun" w:eastAsia="SimSun" w:cs="SimSun"/>
                <w:color w:val="000000"/>
                <w:spacing w:val="-4"/>
                <w:sz w:val="21"/>
              </w:rPr>
              <w:t xml:space="preserve">分</w:t>
            </w:r>
            <w:r/>
          </w:p>
        </w:tc>
      </w:tr>
      <w:tr>
        <w:trPr>
          <w:trHeight w:val="79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2985" w:type="dxa"/>
            <w:vAlign w:val="top"/>
            <w:textDirection w:val="lrTb"/>
            <w:noWrap w:val="false"/>
          </w:tcPr>
          <w:p>
            <w:pPr>
              <w:ind w:left="113" w:right="109" w:hanging="7"/>
              <w:spacing w:before="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9"/>
                <w:sz w:val="21"/>
              </w:rPr>
              <w:t xml:space="preserve">配合甲方完成维稳处</w:t>
            </w:r>
            <w:r>
              <w:rPr>
                <w:rFonts w:ascii="SimSun" w:hAnsi="SimSun" w:eastAsia="SimSun" w:cs="SimSun"/>
                <w:color w:val="000000"/>
                <w:sz w:val="21"/>
              </w:rPr>
              <w:t xml:space="preserve">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40" w:type="dxa"/>
            <w:vAlign w:val="top"/>
            <w:textDirection w:val="lrTb"/>
            <w:noWrap w:val="false"/>
          </w:tcPr>
          <w:p>
            <w:pPr>
              <w:ind w:left="109" w:right="99" w:hanging="3"/>
              <w:spacing w:before="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参与、配合甲方维稳处突事件处置，能按时、高</w:t>
            </w:r>
            <w:r>
              <w:rPr>
                <w:rFonts w:ascii="SimSun" w:hAnsi="SimSun" w:eastAsia="SimSun" w:cs="SimSun"/>
                <w:color w:val="000000"/>
                <w:spacing w:val="7"/>
                <w:sz w:val="21"/>
              </w:rPr>
              <w:t xml:space="preserve">效圆满完成</w:t>
            </w:r>
            <w:r/>
          </w:p>
        </w:tc>
        <w:tc>
          <w:tcPr>
            <w:tcBorders>
              <w:top w:val="none" w:color="000000" w:sz="4" w:space="0"/>
              <w:left w:val="single" w:color="000000" w:sz="8" w:space="0"/>
              <w:bottom w:val="single" w:color="000000" w:sz="8" w:space="0"/>
              <w:right w:val="single" w:color="000000" w:sz="10" w:space="0"/>
            </w:tcBorders>
            <w:tcMar>
              <w:left w:w="0" w:type="dxa"/>
              <w:top w:w="0" w:type="dxa"/>
              <w:right w:w="0" w:type="dxa"/>
              <w:bottom w:w="0" w:type="dxa"/>
            </w:tcMar>
            <w:tcW w:w="1529" w:type="dxa"/>
            <w:vAlign w:val="top"/>
            <w:textDirection w:val="lrTb"/>
            <w:noWrap w:val="false"/>
          </w:tcPr>
          <w:p>
            <w:pPr>
              <w:ind w:left="983" w:right="0" w:firstLine="0"/>
              <w:spacing w:before="244"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5</w:t>
            </w:r>
            <w:r>
              <w:rPr>
                <w:rFonts w:ascii="SimSun" w:hAnsi="SimSun" w:eastAsia="SimSun" w:cs="SimSun"/>
                <w:color w:val="000000"/>
                <w:spacing w:val="-38"/>
                <w:sz w:val="21"/>
              </w:rPr>
              <w:t xml:space="preserve"> </w:t>
            </w:r>
            <w:r>
              <w:rPr>
                <w:rFonts w:ascii="SimSun" w:hAnsi="SimSun" w:eastAsia="SimSun" w:cs="SimSun"/>
                <w:color w:val="000000"/>
                <w:spacing w:val="-4"/>
                <w:sz w:val="21"/>
              </w:rPr>
              <w:t xml:space="preserve">分</w:t>
            </w:r>
            <w:r/>
          </w:p>
        </w:tc>
      </w:tr>
      <w:tr>
        <w:trPr>
          <w:trHeight w:val="653"/>
        </w:trPr>
        <w:tc>
          <w:tcPr>
            <w:tcBorders>
              <w:top w:val="none" w:color="000000" w:sz="4" w:space="0"/>
              <w:left w:val="single" w:color="000000" w:sz="10" w:space="0"/>
              <w:bottom w:val="single" w:color="000000" w:sz="10" w:space="0"/>
              <w:right w:val="single" w:color="000000" w:sz="8" w:space="0"/>
            </w:tcBorders>
            <w:tcMar>
              <w:left w:w="0" w:type="dxa"/>
              <w:top w:w="0" w:type="dxa"/>
              <w:right w:w="0" w:type="dxa"/>
              <w:bottom w:w="0" w:type="dxa"/>
            </w:tcMar>
            <w:tcW w:w="2985" w:type="dxa"/>
            <w:vAlign w:val="top"/>
            <w:textDirection w:val="lrTb"/>
            <w:noWrap w:val="false"/>
          </w:tcPr>
          <w:p>
            <w:pPr>
              <w:ind w:left="113" w:right="109" w:hanging="7"/>
              <w:spacing w:before="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9"/>
                <w:sz w:val="21"/>
              </w:rPr>
              <w:t xml:space="preserve">配合甲方完成大型保障任务</w:t>
            </w:r>
            <w:r/>
          </w:p>
        </w:tc>
        <w:tc>
          <w:tcPr>
            <w:tcBorders>
              <w:top w:val="none" w:color="000000" w:sz="4" w:space="0"/>
              <w:left w:val="single" w:color="000000" w:sz="8" w:space="0"/>
              <w:bottom w:val="single" w:color="000000" w:sz="10" w:space="0"/>
              <w:right w:val="single" w:color="000000" w:sz="8" w:space="0"/>
            </w:tcBorders>
            <w:tcMar>
              <w:left w:w="0" w:type="dxa"/>
              <w:top w:w="0" w:type="dxa"/>
              <w:right w:w="0" w:type="dxa"/>
              <w:bottom w:w="0" w:type="dxa"/>
            </w:tcMar>
            <w:tcW w:w="4840" w:type="dxa"/>
            <w:vAlign w:val="top"/>
            <w:textDirection w:val="lrTb"/>
            <w:noWrap w:val="false"/>
          </w:tcPr>
          <w:p>
            <w:pPr>
              <w:ind w:left="113" w:right="109" w:hanging="7"/>
              <w:spacing w:before="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9"/>
                <w:sz w:val="21"/>
              </w:rPr>
              <w:t xml:space="preserve">参与、配合甲方大型保障任务处置，能按时、高效圆满完成</w:t>
            </w:r>
            <w:r/>
          </w:p>
        </w:tc>
        <w:tc>
          <w:tcPr>
            <w:tcBorders>
              <w:top w:val="none" w:color="000000" w:sz="4" w:space="0"/>
              <w:left w:val="single" w:color="000000" w:sz="8" w:space="0"/>
              <w:bottom w:val="single" w:color="000000" w:sz="10" w:space="0"/>
              <w:right w:val="single" w:color="000000" w:sz="10" w:space="0"/>
            </w:tcBorders>
            <w:tcMar>
              <w:left w:w="0" w:type="dxa"/>
              <w:top w:w="0" w:type="dxa"/>
              <w:right w:w="0" w:type="dxa"/>
              <w:bottom w:w="0" w:type="dxa"/>
            </w:tcMar>
            <w:tcW w:w="1529" w:type="dxa"/>
            <w:vAlign w:val="top"/>
            <w:textDirection w:val="lrTb"/>
            <w:noWrap w:val="false"/>
          </w:tcPr>
          <w:p>
            <w:pPr>
              <w:ind w:left="983" w:right="0" w:firstLine="0"/>
              <w:spacing w:before="251"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5</w:t>
            </w:r>
            <w:r>
              <w:rPr>
                <w:rFonts w:ascii="SimSun" w:hAnsi="SimSun" w:eastAsia="SimSun" w:cs="SimSun"/>
                <w:color w:val="000000"/>
                <w:spacing w:val="-38"/>
                <w:sz w:val="21"/>
              </w:rPr>
              <w:t xml:space="preserve"> </w:t>
            </w:r>
            <w:r>
              <w:rPr>
                <w:rFonts w:ascii="SimSun" w:hAnsi="SimSun" w:eastAsia="SimSun" w:cs="SimSun"/>
                <w:color w:val="000000"/>
                <w:spacing w:val="-4"/>
                <w:sz w:val="21"/>
              </w:rPr>
              <w:t xml:space="preserve">分</w:t>
            </w:r>
            <w:r/>
          </w:p>
        </w:tc>
      </w:tr>
    </w:tbl>
    <w:p>
      <w:pPr>
        <w:ind w:left="554" w:right="0" w:firstLine="0"/>
        <w:spacing w:before="221"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1）考评结果≥90 分，实际付款金额=应付金额*100%</w:t>
      </w:r>
      <w:r/>
    </w:p>
    <w:p>
      <w:pPr>
        <w:ind w:left="554" w:right="0" w:firstLine="0"/>
        <w:spacing w:before="221"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2）90 分＞考评结果≥80 分，实际付款金额=应付金额*90%</w:t>
      </w:r>
      <w:r/>
    </w:p>
    <w:p>
      <w:pPr>
        <w:ind w:left="554" w:right="0" w:firstLine="0"/>
        <w:spacing w:before="221"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3）80 分＞考评结果≥70 分，实际付款金额=应付金额*70%</w:t>
      </w:r>
      <w:r/>
    </w:p>
    <w:p>
      <w:pPr>
        <w:ind w:left="554" w:right="0" w:firstLine="0"/>
        <w:spacing w:before="221"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4）70 分＞考评结果≥60 分，</w:t>
      </w:r>
      <w:r>
        <w:rPr>
          <w:rFonts w:ascii="SimSun" w:hAnsi="SimSun" w:eastAsia="SimSun" w:cs="SimSun"/>
          <w:color w:val="000000"/>
          <w:spacing w:val="7"/>
          <w:sz w:val="21"/>
        </w:rPr>
        <w:t xml:space="preserve">实际付款金额=应付金额*50%</w:t>
      </w:r>
      <w:r/>
    </w:p>
    <w:p>
      <w:pPr>
        <w:ind w:left="554" w:right="0" w:firstLine="0"/>
        <w:spacing w:before="221"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5）考评结果＜60</w:t>
      </w:r>
      <w:r>
        <w:rPr>
          <w:rFonts w:ascii="SimSun" w:hAnsi="SimSun" w:eastAsia="SimSun" w:cs="SimSun"/>
          <w:color w:val="000000"/>
          <w:spacing w:val="-33"/>
          <w:sz w:val="21"/>
        </w:rPr>
        <w:t xml:space="preserve"> </w:t>
      </w:r>
      <w:r>
        <w:rPr>
          <w:rFonts w:ascii="SimSun" w:hAnsi="SimSun" w:eastAsia="SimSun" w:cs="SimSun"/>
          <w:color w:val="000000"/>
          <w:spacing w:val="5"/>
          <w:sz w:val="21"/>
        </w:rPr>
        <w:t xml:space="preserve">分，</w:t>
      </w:r>
      <w:r>
        <w:rPr>
          <w:rFonts w:ascii="SimSun" w:hAnsi="SimSun" w:eastAsia="SimSun" w:cs="SimSun"/>
          <w:color w:val="000000"/>
          <w:spacing w:val="-56"/>
          <w:sz w:val="21"/>
        </w:rPr>
        <w:t xml:space="preserve"> </w:t>
      </w:r>
      <w:r>
        <w:rPr>
          <w:rFonts w:ascii="SimSun" w:hAnsi="SimSun" w:eastAsia="SimSun" w:cs="SimSun"/>
          <w:color w:val="000000"/>
          <w:spacing w:val="5"/>
          <w:sz w:val="21"/>
        </w:rPr>
        <w:t xml:space="preserve">甲方有权拒绝付款。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2.2乙方要求付款应提供以下资料：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（1）合格的发票。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（2）政府采购履约验收书。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（3）其他（若有）。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2.3根据现行税法对甲方征收的与本合同有关的一切税费均由甲方承担；根据现行税法对乙方征收的与本合同有关的一切税费均由乙方承担。</w:t>
      </w:r>
      <w:r/>
    </w:p>
    <w:p>
      <w:pPr>
        <w:ind w:left="0" w:right="0" w:firstLine="48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2.4支付方式：银行转账、银行汇票或转账支票，具体支付方式甲方有权根据财务安排自主选择。以招标人实际支付方式为准。付款前，乙方须先向甲方提供确认数量的核准凭证，以甲方具体要求为准。</w:t>
        <w:tab/>
      </w:r>
      <w:r/>
    </w:p>
    <w:p>
      <w:pPr>
        <w:ind w:left="0" w:right="0" w:firstLine="48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2.5乙方数字人民币信息：</w:t>
      </w:r>
      <w:r/>
    </w:p>
    <w:p>
      <w:pPr>
        <w:ind w:left="0" w:right="0" w:firstLine="48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账户名：</w:t>
      </w:r>
      <w:r/>
    </w:p>
    <w:p>
      <w:pPr>
        <w:ind w:left="0" w:right="0" w:firstLine="48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p>
      <w:pPr>
        <w:ind w:left="0" w:right="0" w:firstLine="48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数字人民币账号（数币钱包ID）：</w:t>
      </w:r>
      <w:r/>
    </w:p>
    <w:p>
      <w:pPr>
        <w:ind w:left="0" w:right="0" w:firstLine="48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2.6乙方银行账户信息：</w:t>
      </w:r>
      <w:r/>
    </w:p>
    <w:p>
      <w:pPr>
        <w:ind w:left="0" w:right="0" w:firstLine="48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账户名：</w:t>
      </w:r>
      <w:r/>
    </w:p>
    <w:p>
      <w:pPr>
        <w:ind w:left="0" w:right="0" w:firstLine="48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p>
      <w:pPr>
        <w:ind w:left="0" w:right="0" w:firstLine="48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银行账号：</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三、甲方的权利和义务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1、甲方负责协调技防监控维护地点的配合工作。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2、甲方指派专人对乙方的的工作进行监督检查，发现质量问题及时要求乙方整改。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3、甲方有权要求乙方遵守甲方的各项管理制度，乙方各项违章行为需承担违约责任。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4、及时支付合同款。</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四、乙方的权利和义务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1、乙方在合同签订后应及时完成阳澄湖半岛治安联防队技防监控维护项目。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2、乙方必须按甲方的要求进行服务，严格按甲方的指令执行。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3、提供满足阳澄湖半岛治安联防队技防监控维护项目要求的人员、设备和材料，并做好日常工作管理。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4、确保人员及现场的安全，承担由于乙方作业造成事故的一切责任和损失。</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5、若乙方服务行为受到行政处罚，所产生的一切后果由乙方自行承担。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6、若乙方的服务行为导致甲方受到行政处罚，由此给甲方造成的一切经济损失由乙方承担（包括但不限于罚款、赔偿金、律师费、诉讼费、声誉损失恢复费用等）。</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五、质量与验收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1、乙方应按照招标文件的要求提供合格的服务，提供服务均为按国家规格条例的合格正规服务、符合设计规范要求。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2、验收标准：完全符合现行国家规范及要求，以验收通过为准。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应能保证所提供服务涉及的知识产权是合法取得，并享有完整的知识产权，不会因为需方的使用而被责令停止使用、追偿或要求赔偿损失，如出现此情况，一切经济和法律责任均由供方承担。供方提供的所有服务必须质量符合国际或国家通用标准，如出现质量问题，供应商负责修缮，发生的费用由供应商负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4、甲方制定考核机制对乙方进行考核</w:t>
      </w:r>
      <w:r>
        <w:rPr>
          <w:rFonts w:ascii="SimSun" w:hAnsi="SimSun" w:eastAsia="SimSun" w:cs="SimSun"/>
          <w:b/>
          <w:color w:val="000000"/>
          <w:sz w:val="24"/>
        </w:rPr>
        <w:t xml:space="preserve">。</w:t>
      </w:r>
      <w:r/>
    </w:p>
    <w:p>
      <w:pPr>
        <w:ind w:left="0" w:right="-159"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5、本合同验收适用《江苏省政府采购履约验收管理办法》及《关于进一步加强履约验收管理的通知》。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6、履约验收主体：由采购人组织人员进行验收。</w:t>
      </w:r>
      <w:r/>
    </w:p>
    <w:p>
      <w:pPr>
        <w:ind w:left="0" w:right="-159"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履约验收时间：甲方将定期（每季度）和不定期地按照预先设定的标准（包括但不限于人员资质、工作经验、服务时间等）抽查乙方实际投入服务人员情况，抽查方式包括但不限于现场检查、电话访谈和服务记录审核。如若发现乙方未经甲方同意，实际人员安排与响应承诺存在不符，甲方有权解除合同，并依据违约条款约定内容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8、履约验收方式：根据采购文件及投标文件要求由甲方到场，并按本采购文件及相关法律、法规及行业规定进行验收。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9、履约验收程序及内容：根据采购文件的有关要求、相关考核标准及相关法律、法规及行业规定。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10、履约验收标准：严格按照本合同约定对每一项技术、服务、安全标准的履约情况进行确认，验收结束后，出具验收结果，列明各分项标准的验收情况，由验收双方共同签署。</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11、甲方在验收过程中，应当于双方约定的检验期间内将服务质量等不符合约定的情况及处理方式以书面方式通知乙方。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12、如果甲方在验收期满后既不出具验收合格证明又未提出书面异议的视为乙方所提供服务符合合同规定。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13、乙方应在收到甲方书面异议后七个日历天内负责处理问题并书面回复甲方，否则将视为默认甲方提出的异议和处理意见。</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六、合同生效及其它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1、合同经甲乙双方代表签字、加盖公章（或合同章）后即生效。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2、合同在执行过程中，乙方方案需经甲方确认后，按方案执行。出现的未尽事宜，经双方在不违背本合同和招标文件的原则下协商解决，协商结果以书面形式盖章记录在案。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一方如需要提前终止本合同，应提前30日向对方书面提出终止合同请求，对方书面同意后视为双方合同终止。但若乙方发生根本性违约（包括但不限于连续两个季度考核结果低于60分、未经甲方同意擅自将合同义务转让、发生重大安全事故等），甲方有权立即单方面书面通知乙方解除合同，无需征得乙方同意，乙方应在收到通知后7日内完成交接。 除前述情形外，经双方协商一致，可以解除合同。</w:t>
      </w:r>
      <w:r/>
    </w:p>
    <w:p>
      <w:pPr>
        <w:ind w:left="0" w:right="0" w:firstLine="48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经双方协商一致同意，在本合同签订后，若因乙方办理“园采贷”信用融资的需要，本合同第二条第2.5、2.6款中约定的收款账号可做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七、违约责任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1、如果乙方未能按照协议规定的时间或维保时效完成全部维护服务项目，则乙方应向甲方支付违约金（违约金为300元/天）。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2、甲方应按协议约定的时间和数额向乙方支付服务款。如不按协议支付，则甲方应向乙方支付该违约金（违约金为150元/天）。</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八、不可抗力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1、因不可抗力不能履行合同的，根据不可抗力的影响，部分或者全部免除责任。但合同一方延迟履行后发生不可抗力的，不能免除责任。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2、合同一方因不可抗力不能履行合同的，应当及时通知对方，以减轻可能给对方造成的损失，并应当在合理期限内提供证明。</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九、合同的解除和转让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1、甲方和乙方协商一致，可以解除合同。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2、有下列情形之一，合同一方可以解除合同。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因不可抗力致使不能实现合同目的，未受不可抗力影响的一方有权解除合同。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因合同一方违约导致合同不能履行，另一方有权解除合同。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3、有权解除合同的一方，应当在违约事实或不可抗力发生之后三十天内书面通知对方以主张解除合同，合同在书面通知到达对方时解除。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4、合同的部分和全部权利义务都不得转让。</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十、争议的解决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甲乙双方因合同发生争议，应在招标机构的主持下进行调解，协商不成，任何一方可以向甲方所在地人民法院起诉。</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十一、附则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1、合同份数：本合同一式肆份，甲方、乙方各执壹份，政府采购监督管理部门壹份，采购代理机构壹份。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2、本合同文件使用中文书写、解释和说明。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3、本合同履行过程中产生的纪要、协议以及中标通知书、投标文件和招标文件为本合同的附件，与合同具有同等效力。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4、未尽事宜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本合同未尽事宜应按照《中华人民共和国民法典》之规定解释。</w:t>
      </w:r>
      <w:r/>
    </w:p>
    <w:p>
      <w:pPr>
        <w:ind w:left="57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甲方签章：乙方签章：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法定代表人或代理人：法定代表人或代理人：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               年月日 </w:t>
        <w:br w:type="page" w:clear="all"/>
      </w:r>
      <w:r/>
    </w:p>
    <w:p>
      <w:pPr>
        <w:pStyle w:val="733"/>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
    </w:p>
    <w:p>
      <w:pPr>
        <w:pStyle w:val="733"/>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r>
      <w:r/>
    </w:p>
    <w:p>
      <w:pPr>
        <w:pStyle w:val="733"/>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pStyle w:val="733"/>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pStyle w:val="733"/>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pStyle w:val="733"/>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第六章 评分标准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p>
    <w:p>
      <w:pPr>
        <w:ind w:left="0" w:right="0" w:firstLine="420"/>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p>
    <w:p>
      <w:pPr>
        <w:ind w:left="0" w:right="0" w:firstLine="420"/>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p>
    <w:p>
      <w:pPr>
        <w:ind w:left="0" w:right="0" w:firstLine="420"/>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p>
    <w:p>
      <w:pPr>
        <w:ind w:left="0" w:right="0" w:firstLine="420"/>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p>
    <w:p>
      <w:pPr>
        <w:ind w:left="0" w:right="0" w:firstLine="420"/>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p>
    <w:p>
      <w:pPr>
        <w:ind w:left="0" w:right="0" w:firstLine="420"/>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p>
    <w:p>
      <w:pPr>
        <w:ind w:left="0" w:right="0" w:firstLine="420"/>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p>
    <w:p>
      <w:pPr>
        <w:ind w:left="0" w:right="0" w:firstLine="420"/>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p>
    <w:p>
      <w:pPr>
        <w:ind w:left="0" w:right="0" w:firstLine="420"/>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p>
    <w:p>
      <w:pPr>
        <w:ind w:left="0" w:right="0" w:firstLine="420"/>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p>
    <w:p>
      <w:pPr>
        <w:ind w:left="0" w:right="0" w:firstLine="420"/>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p>
    <w:p>
      <w:pPr>
        <w:ind w:left="0" w:right="0" w:firstLine="420"/>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p>
    <w:p>
      <w:pPr>
        <w:ind w:left="0" w:right="0" w:firstLine="420"/>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p>
    <w:p>
      <w:pPr>
        <w:ind w:left="0" w:right="0" w:firstLine="420"/>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p>
    <w:p>
      <w:pPr>
        <w:ind w:left="0" w:right="0" w:firstLine="420"/>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p>
    <w:p>
      <w:pPr>
        <w:ind w:left="0" w:right="0" w:firstLine="420"/>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p>
    <w:p>
      <w:pPr>
        <w:ind w:left="0" w:right="0" w:firstLine="420"/>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p>
    <w:p>
      <w:pPr>
        <w:ind w:left="0" w:right="0" w:firstLine="420"/>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评标办法：</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1、评标采用综合评分法，即指投标文件满足采购文件全部实质性要求，且按照评审因素的量化指标评审得分最高的供应商为排名第一的中标候选人的评审方法。</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2、评标小组各成员独立对每个进入打分程序的有效投标供应商的投标文件技术和资质部分以打分的形式进行评审和评价。</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评委的评分(除价格分外)进行统计汇总，直接算术平均，计算出每个投标单位的得分，加上价格得分即为每个投标单位的综合得分。评审结果按评审后得分由高到低顺序排列。得分相同的，按投标报价由低到高顺序排列。得分且投标报价相同的并列。投标文件满足采购文件全部实质性要求，且按照前述综合评审得分由高到低的排序选择前三名供应商作为中标候选人。如选取中标候选人时出现评审得分相同，且投标报价也相同的并列情况的，则由采购人组织以抽签方式确定优先选取顺序。</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4、评审小组根据采购人的授权，按照中标候选人的顺序在中标候选人中直接确定中标单位。</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(一）价格分（30分）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第一步：投标报价低于或等于采购预算的，为有效投标报价；超采购预算为无效投标报价。无效投标报价的投标文件不进行评审，也不得中标。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第二步：在所有有效投标报价中满足招标文件要求，且评审价格最低的评审报价为评标基准价，其价格分为30分，其他投标单位的价格分按照下列公式计算（计算结果四舍五入保留两位小数）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投标报价得分＝（评标基准价/投标报价）×30×100％</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（二）技术方案：（30 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1、对本次维保涉及项目的理解和分析（5分）</w:t>
      </w:r>
      <w:r/>
    </w:p>
    <w:p>
      <w:pPr>
        <w:ind w:left="106" w:right="55" w:firstLine="4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投标人可通过勘察，提出对本次维保涉及项目的理解和分析， 包括针对本维保项目系统拓扑架构、视频传输方式、与派出所、分局各级平台(高清监控、人像抓拍等)功能及联网对接情况等的熟悉程度的分析比较。理解全面，分析透彻得 5分；理解具有可行性，有分析得 3 分；理解分析差的得 1分；未提供不得分。</w:t>
      </w:r>
      <w:r/>
    </w:p>
    <w:p>
      <w:pPr>
        <w:ind w:left="532"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2、巡检方案：（5分）</w:t>
      </w:r>
      <w:r/>
    </w:p>
    <w:p>
      <w:pPr>
        <w:ind w:left="106" w:right="55" w:firstLine="4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但不限于定期巡检服务内容、巡检频次、巡检维护台账、巡检专用工具和专用车辆、依托于数字运维系统等相关内容。方案内容完整详细、针对性适用性较强的得5分；方案内容较完整、针对性适用性一般的得3分；方案内容基本完整、针对性适用性较差的得1分；未提供的不得分。</w:t>
      </w:r>
      <w:r/>
    </w:p>
    <w:p>
      <w:pPr>
        <w:ind w:left="106" w:right="55" w:firstLine="4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3、应急事件处理方案(5分)</w:t>
      </w:r>
      <w:r/>
    </w:p>
    <w:p>
      <w:pPr>
        <w:ind w:left="106" w:right="55" w:firstLine="4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事件处理方案内容描述详细全面、切合实际、可操作性强的得5分；内容描述较详细、符合实际、可操作性较强的得3分；内容描述简略、可操作性差的得1分；内容明显与本项目内容无关或基本不具备可行性不得分。</w:t>
      </w:r>
      <w:r/>
    </w:p>
    <w:p>
      <w:pPr>
        <w:ind w:left="106" w:right="55" w:firstLine="4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color w:val="000000"/>
          <w:sz w:val="24"/>
          <w:u w:val="none"/>
        </w:rPr>
        <w:t xml:space="preserve">维护</w:t>
      </w:r>
      <w:r>
        <w:rPr>
          <w:rFonts w:ascii="SimSun" w:hAnsi="SimSun" w:eastAsia="SimSun" w:cs="SimSun"/>
          <w:color w:val="000000"/>
          <w:sz w:val="24"/>
        </w:rPr>
        <w:t xml:space="preserve">服务框架：（5分）</w:t>
      </w:r>
      <w:r/>
    </w:p>
    <w:p>
      <w:pPr>
        <w:ind w:left="106" w:right="55" w:firstLine="4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为保障本项目顺利实施的维护服务框架流程图，包括但不限于运维服务中的用户方、设备厂商、维护服务方的闭环故障处理服务流程，用户的报修流程、事故分析、故障确认、一般事故、较大事故与重大事故的处理流程、事故处理后的归档、用户建议维护服务动态调整等的描述和说明。方案内容完整详细、针对性适用性较强的得5分；方案内容较完整、针对性适用性一般的得3分；方案内容基本完整、针对性适用性较差的得1分；未提供的不得分。</w:t>
      </w:r>
      <w:r/>
    </w:p>
    <w:p>
      <w:pPr>
        <w:ind w:left="106" w:right="55" w:firstLine="4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5、针对本项目提出的管理制度：（5分）</w:t>
      </w:r>
      <w:r/>
    </w:p>
    <w:p>
      <w:pPr>
        <w:ind w:left="106" w:right="55" w:firstLine="4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但不限于针对本项目的管理规范、业务管理制度、安全和文明服务措施、保密管理制度等内容。方案内容完整详细、针对性适用性较强的得5分；方案内容较完整、针对性适用性一般的得3分；方案内容基本完整、针对性适用性较差的得1分；未提供的不得分。</w:t>
      </w:r>
      <w:r/>
    </w:p>
    <w:p>
      <w:pPr>
        <w:ind w:left="106" w:right="55" w:firstLine="4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6、视频设备及专用网络安全管理服务措施：（5分）</w:t>
      </w:r>
      <w:r/>
    </w:p>
    <w:p>
      <w:pPr>
        <w:ind w:left="106" w:right="55" w:firstLine="4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采购单位办公场所的特殊性，对专网内设备及网络的安全性需严格管理，防止因人为管理的疏漏及设备安全等级的低下引起网络安全问题，投标单位需提供相关的安全管理服务措施。安全管理服务措施全面有效的得5分；安全管理服务措施较全面且有效的得3分；安全管理服务措施描述基本全面、有效性较差的得1分；未提供的不得分。</w:t>
      </w:r>
      <w:r/>
    </w:p>
    <w:p>
      <w:pPr>
        <w:ind w:left="0" w:right="55"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（三）项目人员配备（26分）</w:t>
      </w:r>
      <w:r/>
    </w:p>
    <w:p>
      <w:pPr>
        <w:ind w:left="106" w:right="55" w:firstLine="4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1、项目经理（6 分）</w:t>
      </w:r>
      <w:r/>
    </w:p>
    <w:p>
      <w:pPr>
        <w:ind w:left="106" w:right="55" w:firstLine="4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具有信息系统项目管理师证书、系统规划与管理师证书、信息系统业务安全服务工程师（高级）、CISAW信息安全保障人员（应急服务）、通信专业技术人员职业水平证书（终端与业务专业）和IT服务项目经理，每提供一个证书的得1分，最高得6分。</w:t>
      </w:r>
      <w:r/>
    </w:p>
    <w:p>
      <w:pPr>
        <w:ind w:left="106" w:right="55" w:firstLine="4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2、项目技术负责人（6 分）</w:t>
      </w:r>
      <w:r/>
    </w:p>
    <w:p>
      <w:pPr>
        <w:ind w:left="106" w:right="55" w:firstLine="4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信息系统项目管理师、ITSS信息技术应用创新服务工程师、ITSS-IT服务工程师、系统集成项目管理工程师（高级）、CISP（注册信息安全专业人员）和电子信息工程高级及以上工程师，每提供一个证书的得1分，最高得6分。（项目技术负责人与项目经理、现场负责人不为同一人）</w:t>
      </w:r>
      <w:r/>
    </w:p>
    <w:p>
      <w:pPr>
        <w:ind w:left="106" w:right="55" w:firstLine="4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3、现场负责人具有高压或者低压电工证、IT运维工程师证书、CISAW信息安全保障人员（安全运维）证书，每提供一个证书的得2分，最高得6分。（项目技术负责人与项目经理、现场负责人不为同一人）</w:t>
      </w:r>
      <w:r/>
    </w:p>
    <w:p>
      <w:pPr>
        <w:ind w:left="106" w:right="55" w:firstLine="4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4、项目团队人员(除项目经理、项目技术负责人外)（8 分）</w:t>
      </w:r>
      <w:r/>
    </w:p>
    <w:p>
      <w:pPr>
        <w:ind w:left="106" w:right="55" w:firstLine="4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（1）具有IT服务工程师（ITSS）认证证书的，每提供一个证书得2分，最高得4分；</w:t>
      </w:r>
      <w:r/>
    </w:p>
    <w:p>
      <w:pPr>
        <w:ind w:left="106" w:right="55" w:firstLine="4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（2）具有注册信息安全专业人员（CISP）认证证书或CISAW信息安全保障人员（安全运维）认证证书的，每提供一个证书的得2分，最高得4分；</w:t>
      </w:r>
      <w:r/>
    </w:p>
    <w:p>
      <w:pPr>
        <w:ind w:left="106" w:right="55" w:firstLine="4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注：投标文件中须提供1-3项相关人员证书复印件及投标单位为其缴纳的最近一期社保证明复印件（相关社保部门盖章），未按要求提供或未提供不得分，同一人员提供一个证书，不重复得分。</w:t>
      </w:r>
      <w:r/>
    </w:p>
    <w:p>
      <w:pPr>
        <w:ind w:left="0" w:right="55"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（四）响应单位综合能力及经验（14分）</w:t>
      </w:r>
      <w:r/>
    </w:p>
    <w:p>
      <w:pPr>
        <w:ind w:left="109" w:right="39"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具有有效的ISO9001质量管理体系认证证书、ISO27001信息安全管理体系认证证书、ISO20000信息技术服务管理体系认证证书、ISO14001环境管理体系认证证书、ISO45001职业健康安全管理体系认证证书的，每提供一项得1分，本项最高5分【投标文件内提供有效证书扫描件及国家认监委网站（全国认证认可信息公共服务平台）查询截图（查询日期需在招标公告之日后），否则不得分】。</w:t>
      </w:r>
      <w:r/>
    </w:p>
    <w:p>
      <w:pPr>
        <w:ind w:left="109" w:right="39"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2、投标人具有ITSS信息技术服务标准符合性证书（智能运维）的得2分；本项最高2分（投标文件内提供上述证书的扫描件，未提供的不得分）；</w:t>
      </w:r>
      <w:r/>
    </w:p>
    <w:p>
      <w:pPr>
        <w:ind w:left="109" w:right="39"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3、投标人具有信息系统建设和服务能力评估证书，CS5等级得2分；CS5等级以下的得1分（投标文件中提供相应证书扫描件，不提供不得分）；</w:t>
      </w:r>
      <w:r/>
    </w:p>
    <w:p>
      <w:pPr>
        <w:ind w:left="109" w:right="39" w:firstLine="4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4、投标人自2022年1 月1 日（以合同签署日期为准）以来独立完成类似项目业绩，每提供1个得1分，本项最高得5分（投标文件内提供合同扫描件，未提供或提供不全的不得分）。</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1、以上评分标准中的得分要素，均须由投标单位在投标文件中提供相应的证明资料，否则视为其不具备该条得分条件。</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2、报价超过采购预算的将不进入综合评审程序，也不得中标。</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3、付款方式、服务期如有负偏离的不得成交。</w:t>
      </w:r>
      <w:r/>
    </w:p>
    <w:p>
      <w:pPr>
        <w:ind w:left="502"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4、所有扫描件必须字迹清晰可见，字迹不清晰不得分。扫描件：指原件或者复印件的复制件，包括扫描、照片等。</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（全文完）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r/>
      <w:r/>
    </w:p>
    <w:sectPr>
      <w:headerReference w:type="default" r:id="rId9"/>
      <w:footerReference w:type="default" r:id="rId10"/>
      <w:footnotePr/>
      <w:endnotePr/>
      <w:type w:val="nextPage"/>
      <w:pgSz w:w="11906" w:h="16838" w:orient="portrait"/>
      <w:pgMar w:top="1134" w:right="1366" w:bottom="1134" w:left="1417"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FangSong">
    <w:panose1 w:val="02010609060101010101"/>
  </w:font>
  <w:font w:name="SimHei">
    <w:panose1 w:val="02010609060101010101"/>
  </w:font>
  <w:font w:name="KaiTi">
    <w:panose1 w:val="02010609060101010101"/>
  </w:font>
  <w:font w:name="Symbol">
    <w:panose1 w:val="05050102010706020507"/>
  </w:font>
  <w:font w:name="Wingdings">
    <w:panose1 w:val="05000000000000000000"/>
  </w:font>
  <w:font w:name="Cambria">
    <w:panose1 w:val="02040503050406030204"/>
  </w:font>
  <w:font w:name="Calibri">
    <w:panose1 w:val="020F0502020204030204"/>
  </w:font>
  <w:font w:name="Courier New">
    <w:panose1 w:val="02070309020205020404"/>
  </w:font>
  <w:font w:name="方正仿宋简体">
    <w:panose1 w:val="020B0503020202020204"/>
  </w:font>
  <w:font w:name="Tahoma">
    <w:panose1 w:val="020B0604030504040204"/>
  </w:font>
  <w:font w:name="楷体_GB2312">
    <w:panose1 w:val="02010609060101010101"/>
  </w:font>
  <w:font w:name="仿宋_GB2312">
    <w:panose1 w:val="02010609060101010101"/>
  </w:font>
  <w:font w:name="黑体">
    <w:panose1 w:val="02010609060101010101"/>
  </w:font>
  <w:font w:name="Arial Unicode MS">
    <w:panose1 w:val="020B0604020202020204"/>
  </w:font>
  <w:font w:name="Arial">
    <w:panose1 w:val="020B0604020202020204"/>
  </w:font>
  <w:font w:name="创艺简仿宋">
    <w:panose1 w:val="020B0503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bevel/>
                      </a:ln>
                    </wps:spPr>
                    <wps:txbx>
                      <w:txbxContent>
                        <w:p>
                          <w:pPr>
                            <w:pStyle w:val="758"/>
                          </w:pPr>
                          <w:r>
                            <w:fldChar w:fldCharType="begin"/>
                          </w:r>
                          <w:r>
                            <w:instrText xml:space="preserve"> PAGE  \* MERGEFORMAT </w:instrText>
                          </w:r>
                          <w:r>
                            <w:fldChar w:fldCharType="separate"/>
                          </w:r>
                          <w:r>
                            <w:t xml:space="preserve">72</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758"/>
                    </w:pPr>
                    <w:r>
                      <w:fldChar w:fldCharType="begin"/>
                    </w:r>
                    <w:r>
                      <w:instrText xml:space="preserve"> PAGE  \* MERGEFORMAT </w:instrText>
                    </w:r>
                    <w:r>
                      <w:fldChar w:fldCharType="separate"/>
                    </w:r>
                    <w:r>
                      <w:t xml:space="preserve">72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ind w:left="412"/>
      <w:spacing w:before="16" w:line="191" w:lineRule="auto"/>
      <w:rPr>
        <w:rFonts w:ascii="宋体" w:hAnsi="宋体" w:cs="宋体"/>
        <w:bCs/>
        <w:sz w:val="18"/>
        <w:szCs w:val="18"/>
      </w:rPr>
    </w:pPr>
    <w:r>
      <w:rPr>
        <w:rFonts w:hint="eastAsia" w:ascii="宋体" w:hAnsi="宋体" w:cs="宋体"/>
        <w:bCs/>
        <w:sz w:val="18"/>
        <w:szCs w:val="18"/>
      </w:rPr>
      <w:t xml:space="preserve">江苏京苏项目管理咨询有限公司</w:t>
    </w:r>
    <w:r>
      <w:rPr>
        <w:rFonts w:ascii="宋体" w:hAnsi="宋体" w:cs="宋体"/>
        <w:bCs/>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257810</wp:posOffset>
              </wp:positionH>
              <wp:positionV relativeFrom="paragraph">
                <wp:posOffset>117475</wp:posOffset>
              </wp:positionV>
              <wp:extent cx="5542280" cy="508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5542280" cy="5080"/>
                      </a:xfrm>
                      <a:custGeom>
                        <a:avLst/>
                        <a:gdLst>
                          <a:gd name="gd0" fmla="val 65536"/>
                          <a:gd name="gd1" fmla="val 0"/>
                          <a:gd name="gd2" fmla="val 3"/>
                          <a:gd name="gd3" fmla="val 8727"/>
                          <a:gd name="gd4" fmla="val 3"/>
                          <a:gd name="gd5" fmla="*/ w 0 8727"/>
                          <a:gd name="gd6" fmla="*/ h 0 8"/>
                          <a:gd name="gd7" fmla="*/ w 8727 8727"/>
                          <a:gd name="gd8" fmla="*/ h 8 8"/>
                        </a:gdLst>
                        <a:ahLst/>
                        <a:cxnLst/>
                        <a:rect l="gd5" t="gd6" r="gd7" b="gd8"/>
                        <a:pathLst>
                          <a:path w="8727" h="8" fill="norm" stroke="1" extrusionOk="0">
                            <a:moveTo>
                              <a:pt x="gd1" y="gd2"/>
                            </a:moveTo>
                            <a:lnTo>
                              <a:pt x="gd3" y="gd4"/>
                            </a:lnTo>
                          </a:path>
                          <a:path w="8727" h="8" fill="norm" stroke="1" extrusionOk="0"/>
                        </a:pathLst>
                      </a:custGeom>
                      <a:noFill/>
                      <a:ln>
                        <a:solidFill>
                          <a:srgbClr val="000000"/>
                        </a:solidFill>
                        <a:bevel/>
                      </a:ln>
                    </wps:spPr>
                    <wps:bodyPr rot="0">
                      <a:prstTxWarp prst="textNoShape">
                        <a:avLst/>
                      </a:prstTxWarp>
                      <a:noAutofit/>
                    </wps:bodyPr>
                  </wps:wsp>
                </a:graphicData>
              </a:graphic>
            </wp:anchor>
          </w:drawing>
        </mc:Choice>
        <mc:Fallback>
          <w:pict>
            <v:shape id="shape 0" o:spid="_x0000_s0" style="position:absolute;z-index:251661312;o:allowoverlap:true;o:allowincell:true;mso-position-horizontal-relative:text;margin-left:20.3pt;mso-position-horizontal:absolute;mso-position-vertical-relative:text;margin-top:9.2pt;mso-position-vertical:absolute;width:436.4pt;height:0.4pt;mso-wrap-distance-left:9.0pt;mso-wrap-distance-top:0.0pt;mso-wrap-distance-right:9.0pt;mso-wrap-distance-bottom:0.0pt;visibility:visible;" path="m0,37500l100000,37500ee" coordsize="100000,100000" filled="f" strokecolor="#000000">
              <v:path textboxrect="0,0,100000,100000"/>
            </v:shape>
          </w:pict>
        </mc:Fallback>
      </mc:AlternateContent>
    </w:r>
    <w:r>
      <w:rPr>
        <w:rFonts w:hint="eastAsia" w:ascii="宋体" w:hAnsi="宋体" w:cs="宋体"/>
        <w:bCs/>
        <w:sz w:val="18"/>
        <w:szCs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
      <w:pStyle w:val="968"/>
      <w:isLgl w:val="false"/>
      <w:suff w:val="tab"/>
      <w:lvlText w:val="%1"/>
      <w:lvlJc w:val="left"/>
      <w:pPr>
        <w:ind w:left="961" w:hanging="360"/>
        <w:tabs>
          <w:tab w:val="left" w:pos="961" w:leader="none"/>
        </w:tabs>
      </w:pPr>
    </w:lvl>
    <w:lvl w:ilvl="1">
      <w:start w:val="1"/>
      <w:numFmt w:val="lowerLetter"/>
      <w:isLgl w:val="false"/>
      <w:suff w:val="tab"/>
      <w:lvlText w:val="%2)"/>
      <w:lvlJc w:val="left"/>
      <w:pPr>
        <w:ind w:left="1441" w:hanging="420"/>
        <w:tabs>
          <w:tab w:val="left" w:pos="1441" w:leader="none"/>
        </w:tabs>
      </w:pPr>
    </w:lvl>
    <w:lvl w:ilvl="2">
      <w:start w:val="1"/>
      <w:numFmt w:val="lowerRoman"/>
      <w:isLgl w:val="false"/>
      <w:suff w:val="tab"/>
      <w:lvlText w:val="%3."/>
      <w:lvlJc w:val="right"/>
      <w:pPr>
        <w:ind w:left="1861" w:hanging="420"/>
        <w:tabs>
          <w:tab w:val="left" w:pos="1861" w:leader="none"/>
        </w:tabs>
      </w:pPr>
    </w:lvl>
    <w:lvl w:ilvl="3">
      <w:start w:val="1"/>
      <w:numFmt w:val="decimal"/>
      <w:isLgl w:val="false"/>
      <w:suff w:val="tab"/>
      <w:lvlText w:val="%4."/>
      <w:lvlJc w:val="left"/>
      <w:pPr>
        <w:ind w:left="2281" w:hanging="420"/>
        <w:tabs>
          <w:tab w:val="left" w:pos="2281" w:leader="none"/>
        </w:tabs>
      </w:pPr>
    </w:lvl>
    <w:lvl w:ilvl="4">
      <w:start w:val="1"/>
      <w:numFmt w:val="lowerLetter"/>
      <w:isLgl w:val="false"/>
      <w:suff w:val="tab"/>
      <w:lvlText w:val="%5)"/>
      <w:lvlJc w:val="left"/>
      <w:pPr>
        <w:ind w:left="2701" w:hanging="420"/>
        <w:tabs>
          <w:tab w:val="left" w:pos="2701" w:leader="none"/>
        </w:tabs>
      </w:pPr>
    </w:lvl>
    <w:lvl w:ilvl="5">
      <w:start w:val="1"/>
      <w:numFmt w:val="lowerRoman"/>
      <w:isLgl w:val="false"/>
      <w:suff w:val="tab"/>
      <w:lvlText w:val="%6."/>
      <w:lvlJc w:val="right"/>
      <w:pPr>
        <w:ind w:left="3121" w:hanging="420"/>
        <w:tabs>
          <w:tab w:val="left" w:pos="3121" w:leader="none"/>
        </w:tabs>
      </w:pPr>
    </w:lvl>
    <w:lvl w:ilvl="6">
      <w:start w:val="1"/>
      <w:numFmt w:val="decimal"/>
      <w:isLgl w:val="false"/>
      <w:suff w:val="tab"/>
      <w:lvlText w:val="%7."/>
      <w:lvlJc w:val="left"/>
      <w:pPr>
        <w:ind w:left="3541" w:hanging="420"/>
        <w:tabs>
          <w:tab w:val="left" w:pos="3541" w:leader="none"/>
        </w:tabs>
      </w:pPr>
    </w:lvl>
    <w:lvl w:ilvl="7">
      <w:start w:val="1"/>
      <w:numFmt w:val="lowerLetter"/>
      <w:isLgl w:val="false"/>
      <w:suff w:val="tab"/>
      <w:lvlText w:val="%8)"/>
      <w:lvlJc w:val="left"/>
      <w:pPr>
        <w:ind w:left="3961" w:hanging="420"/>
        <w:tabs>
          <w:tab w:val="left" w:pos="3961" w:leader="none"/>
        </w:tabs>
      </w:pPr>
    </w:lvl>
    <w:lvl w:ilvl="8">
      <w:start w:val="1"/>
      <w:numFmt w:val="lowerRoman"/>
      <w:isLgl w:val="false"/>
      <w:suff w:val="tab"/>
      <w:lvlText w:val="%9."/>
      <w:lvlJc w:val="right"/>
      <w:pPr>
        <w:ind w:left="4381" w:hanging="420"/>
        <w:tabs>
          <w:tab w:val="left" w:pos="4381" w:leader="none"/>
        </w:tabs>
      </w:pPr>
    </w:lvl>
  </w:abstractNum>
  <w:abstractNum w:abstractNumId="2">
    <w:multiLevelType w:val="hybridMultilevel"/>
    <w:lvl w:ilvl="0">
      <w:start w:val="2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name w:val="Heading 7"/>
    <w:basedOn w:val="732"/>
    <w:next w:val="732"/>
    <w:link w:val="802"/>
    <w:uiPriority w:val="9"/>
    <w:unhideWhenUsed/>
    <w:qFormat/>
    <w:pPr>
      <w:keepLines/>
      <w:keepNext/>
      <w:spacing w:before="320" w:after="200"/>
      <w:outlineLvl w:val="6"/>
    </w:pPr>
    <w:rPr>
      <w:rFonts w:ascii="Arial" w:hAnsi="Arial" w:eastAsia="Arial" w:cs="Arial"/>
      <w:b/>
      <w:bCs/>
      <w:i/>
      <w:iCs/>
      <w:sz w:val="22"/>
      <w:szCs w:val="22"/>
    </w:rPr>
  </w:style>
  <w:style w:type="paragraph" w:styleId="699">
    <w:name w:val="Heading 8"/>
    <w:basedOn w:val="732"/>
    <w:next w:val="732"/>
    <w:link w:val="804"/>
    <w:uiPriority w:val="9"/>
    <w:unhideWhenUsed/>
    <w:qFormat/>
    <w:pPr>
      <w:keepLines/>
      <w:keepNext/>
      <w:spacing w:before="320" w:after="200"/>
      <w:outlineLvl w:val="7"/>
    </w:pPr>
    <w:rPr>
      <w:rFonts w:ascii="Arial" w:hAnsi="Arial" w:eastAsia="Arial" w:cs="Arial"/>
      <w:i/>
      <w:iCs/>
      <w:sz w:val="22"/>
      <w:szCs w:val="22"/>
    </w:rPr>
  </w:style>
  <w:style w:type="paragraph" w:styleId="700">
    <w:name w:val="Heading 9"/>
    <w:basedOn w:val="732"/>
    <w:next w:val="732"/>
    <w:link w:val="806"/>
    <w:uiPriority w:val="9"/>
    <w:unhideWhenUsed/>
    <w:qFormat/>
    <w:pPr>
      <w:keepLines/>
      <w:keepNext/>
      <w:spacing w:before="320" w:after="200"/>
      <w:outlineLvl w:val="8"/>
    </w:pPr>
    <w:rPr>
      <w:rFonts w:ascii="Arial" w:hAnsi="Arial" w:eastAsia="Arial" w:cs="Arial"/>
      <w:i/>
      <w:iCs/>
      <w:sz w:val="21"/>
      <w:szCs w:val="21"/>
    </w:rPr>
  </w:style>
  <w:style w:type="paragraph" w:styleId="701">
    <w:name w:val="No Spacing"/>
    <w:uiPriority w:val="1"/>
    <w:qFormat/>
    <w:pPr>
      <w:spacing w:before="0" w:after="0" w:line="240" w:lineRule="auto"/>
    </w:pPr>
  </w:style>
  <w:style w:type="character" w:styleId="702">
    <w:name w:val="Title Char"/>
    <w:basedOn w:val="739"/>
    <w:link w:val="772"/>
    <w:uiPriority w:val="10"/>
    <w:rPr>
      <w:sz w:val="48"/>
      <w:szCs w:val="48"/>
    </w:rPr>
  </w:style>
  <w:style w:type="character" w:styleId="703">
    <w:name w:val="Subtitle Char"/>
    <w:basedOn w:val="739"/>
    <w:link w:val="762"/>
    <w:uiPriority w:val="11"/>
    <w:rPr>
      <w:sz w:val="24"/>
      <w:szCs w:val="24"/>
    </w:rPr>
  </w:style>
  <w:style w:type="paragraph" w:styleId="704">
    <w:name w:val="Quote"/>
    <w:basedOn w:val="732"/>
    <w:next w:val="732"/>
    <w:link w:val="705"/>
    <w:uiPriority w:val="29"/>
    <w:qFormat/>
    <w:pPr>
      <w:ind w:left="720" w:right="720"/>
    </w:pPr>
    <w:rPr>
      <w:i/>
    </w:rPr>
  </w:style>
  <w:style w:type="character" w:styleId="705">
    <w:name w:val="Quote Char"/>
    <w:link w:val="704"/>
    <w:uiPriority w:val="29"/>
    <w:rPr>
      <w:i/>
    </w:rPr>
  </w:style>
  <w:style w:type="paragraph" w:styleId="706">
    <w:name w:val="Intense Quote"/>
    <w:basedOn w:val="732"/>
    <w:next w:val="732"/>
    <w:link w:val="7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7">
    <w:name w:val="Intense Quote Char"/>
    <w:link w:val="706"/>
    <w:uiPriority w:val="30"/>
    <w:rPr>
      <w:i/>
    </w:rPr>
  </w:style>
  <w:style w:type="paragraph" w:styleId="708">
    <w:name w:val="Caption"/>
    <w:basedOn w:val="732"/>
    <w:next w:val="732"/>
    <w:uiPriority w:val="35"/>
    <w:semiHidden/>
    <w:unhideWhenUsed/>
    <w:qFormat/>
    <w:pPr>
      <w:spacing w:line="276" w:lineRule="auto"/>
    </w:pPr>
    <w:rPr>
      <w:b/>
      <w:bCs/>
      <w:color w:val="4f81bd" w:themeColor="accent1"/>
      <w:sz w:val="18"/>
      <w:szCs w:val="18"/>
    </w:rPr>
  </w:style>
  <w:style w:type="table" w:styleId="709">
    <w:name w:val="Plain Table 1"/>
    <w:basedOn w:val="7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2"/>
    <w:basedOn w:val="74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3"/>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2">
    <w:name w:val="Plain Table 4"/>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3">
    <w:name w:val="Plain Table 5"/>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4">
    <w:name w:val="Grid Table 1 Light"/>
    <w:basedOn w:val="74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5">
    <w:name w:val="Grid Table 2"/>
    <w:basedOn w:val="7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6">
    <w:name w:val="Grid Table 3"/>
    <w:basedOn w:val="7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4"/>
    <w:basedOn w:val="74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8">
    <w:name w:val="Grid Table 5 Dark"/>
    <w:basedOn w:val="7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9">
    <w:name w:val="Grid Table 6 Colorful"/>
    <w:basedOn w:val="74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0">
    <w:name w:val="Grid Table 7 Colorful"/>
    <w:basedOn w:val="74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1">
    <w:name w:val="List Table 1 Light"/>
    <w:basedOn w:val="74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2">
    <w:name w:val="List Table 2"/>
    <w:basedOn w:val="74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3">
    <w:name w:val="List Table 3"/>
    <w:basedOn w:val="7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4">
    <w:name w:val="List Table 4"/>
    <w:basedOn w:val="7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5">
    <w:name w:val="List Table 5 Dark"/>
    <w:basedOn w:val="74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6">
    <w:name w:val="List Table 6 Colorful"/>
    <w:basedOn w:val="74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7">
    <w:name w:val="List Table 7 Colorful"/>
    <w:basedOn w:val="74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8">
    <w:name w:val="Footnote Text Char"/>
    <w:link w:val="763"/>
    <w:uiPriority w:val="99"/>
    <w:rPr>
      <w:sz w:val="18"/>
    </w:rPr>
  </w:style>
  <w:style w:type="character" w:styleId="729">
    <w:name w:val="Endnote Text Char"/>
    <w:link w:val="756"/>
    <w:uiPriority w:val="99"/>
    <w:rPr>
      <w:sz w:val="20"/>
    </w:rPr>
  </w:style>
  <w:style w:type="paragraph" w:styleId="730">
    <w:name w:val="TOC Heading"/>
    <w:uiPriority w:val="39"/>
    <w:unhideWhenUsed/>
  </w:style>
  <w:style w:type="paragraph" w:styleId="731">
    <w:name w:val="table of figures"/>
    <w:basedOn w:val="732"/>
    <w:next w:val="732"/>
    <w:uiPriority w:val="99"/>
    <w:unhideWhenUsed/>
    <w:pPr>
      <w:spacing w:after="0" w:afterAutospacing="0"/>
    </w:pPr>
  </w:style>
  <w:style w:type="paragraph" w:styleId="732" w:default="1">
    <w:name w:val="Normal"/>
    <w:next w:val="741"/>
    <w:uiPriority w:val="0"/>
    <w:qFormat/>
    <w:rPr>
      <w:rFonts w:ascii="Times New Roman" w:hAnsi="Times New Roman" w:eastAsia="宋体" w:cs="Times New Roman"/>
      <w:lang w:val="en-US" w:eastAsia="zh-CN" w:bidi="ar-SA"/>
    </w:rPr>
  </w:style>
  <w:style w:type="paragraph" w:styleId="733">
    <w:name w:val="Heading 1"/>
    <w:basedOn w:val="732"/>
    <w:next w:val="732"/>
    <w:link w:val="979"/>
    <w:uiPriority w:val="0"/>
    <w:qFormat/>
    <w:pPr>
      <w:keepLines/>
      <w:keepNext/>
      <w:spacing w:before="340" w:after="330" w:line="578" w:lineRule="auto"/>
      <w:outlineLvl w:val="0"/>
    </w:pPr>
    <w:rPr>
      <w:b/>
      <w:sz w:val="44"/>
    </w:rPr>
  </w:style>
  <w:style w:type="paragraph" w:styleId="734">
    <w:name w:val="Heading 2"/>
    <w:basedOn w:val="732"/>
    <w:next w:val="732"/>
    <w:uiPriority w:val="0"/>
    <w:qFormat/>
    <w:pPr>
      <w:keepLines/>
      <w:keepNext/>
      <w:outlineLvl w:val="1"/>
    </w:pPr>
    <w:rPr>
      <w:rFonts w:ascii="宋体" w:hAnsi="宋体"/>
      <w:b/>
    </w:rPr>
  </w:style>
  <w:style w:type="paragraph" w:styleId="735">
    <w:name w:val="Heading 3"/>
    <w:basedOn w:val="732"/>
    <w:next w:val="732"/>
    <w:uiPriority w:val="0"/>
    <w:qFormat/>
    <w:pPr>
      <w:keepLines/>
      <w:keepNext/>
      <w:outlineLvl w:val="2"/>
    </w:pPr>
    <w:rPr>
      <w:b/>
    </w:rPr>
  </w:style>
  <w:style w:type="paragraph" w:styleId="736">
    <w:name w:val="Heading 4"/>
    <w:basedOn w:val="732"/>
    <w:next w:val="732"/>
    <w:uiPriority w:val="0"/>
    <w:qFormat/>
    <w:pPr>
      <w:keepLines/>
      <w:keepNext/>
      <w:spacing w:before="280" w:after="290" w:line="376" w:lineRule="auto"/>
      <w:outlineLvl w:val="3"/>
    </w:pPr>
    <w:rPr>
      <w:rFonts w:ascii="Arial" w:hAnsi="Arial" w:eastAsia="黑体"/>
      <w:b/>
      <w:bCs/>
      <w:sz w:val="28"/>
      <w:szCs w:val="28"/>
    </w:rPr>
  </w:style>
  <w:style w:type="paragraph" w:styleId="737">
    <w:name w:val="Heading 5"/>
    <w:basedOn w:val="732"/>
    <w:next w:val="732"/>
    <w:uiPriority w:val="0"/>
    <w:qFormat/>
    <w:pPr>
      <w:keepLines/>
      <w:keepNext/>
      <w:spacing w:before="280" w:after="290" w:line="376" w:lineRule="auto"/>
      <w:outlineLvl w:val="4"/>
    </w:pPr>
    <w:rPr>
      <w:rFonts w:eastAsia="楷体_GB2312"/>
      <w:b/>
      <w:bCs/>
      <w:sz w:val="28"/>
      <w:szCs w:val="28"/>
    </w:rPr>
  </w:style>
  <w:style w:type="paragraph" w:styleId="738">
    <w:name w:val="Heading 6"/>
    <w:basedOn w:val="732"/>
    <w:next w:val="732"/>
    <w:uiPriority w:val="0"/>
    <w:qFormat/>
    <w:pPr>
      <w:keepLines/>
      <w:keepNext/>
      <w:spacing w:before="240" w:after="64" w:line="320" w:lineRule="auto"/>
      <w:outlineLvl w:val="5"/>
    </w:pPr>
    <w:rPr>
      <w:rFonts w:ascii="Arial" w:hAnsi="Arial" w:eastAsia="黑体"/>
      <w:b/>
      <w:bCs/>
      <w:sz w:val="24"/>
      <w:szCs w:val="24"/>
    </w:rPr>
  </w:style>
  <w:style w:type="character" w:styleId="739" w:default="1">
    <w:name w:val="Default Paragraph Font"/>
    <w:uiPriority w:val="1"/>
    <w:semiHidden/>
    <w:unhideWhenUsed/>
  </w:style>
  <w:style w:type="table" w:styleId="740" w:default="1">
    <w:name w:val="Normal Table"/>
    <w:uiPriority w:val="99"/>
    <w:semiHidden/>
    <w:unhideWhenUsed/>
    <w:qFormat/>
    <w:tblPr>
      <w:tblCellMar>
        <w:left w:w="108" w:type="dxa"/>
        <w:top w:w="0" w:type="dxa"/>
        <w:right w:w="108" w:type="dxa"/>
        <w:bottom w:w="0" w:type="dxa"/>
      </w:tblCellMar>
    </w:tblPr>
  </w:style>
  <w:style w:type="paragraph" w:styleId="741" w:customStyle="1">
    <w:name w:val="正文文本缩进11"/>
    <w:basedOn w:val="732"/>
    <w:next w:val="742"/>
    <w:uiPriority w:val="0"/>
    <w:qFormat/>
    <w:pPr>
      <w:ind w:firstLine="420"/>
      <w:spacing w:line="360" w:lineRule="exact"/>
    </w:pPr>
    <w:rPr>
      <w:sz w:val="24"/>
    </w:rPr>
  </w:style>
  <w:style w:type="paragraph" w:styleId="742" w:customStyle="1">
    <w:name w:val="目录 51"/>
    <w:next w:val="732"/>
    <w:uiPriority w:val="0"/>
    <w:qFormat/>
    <w:pPr>
      <w:ind w:left="1275"/>
      <w:jc w:val="both"/>
    </w:pPr>
    <w:rPr>
      <w:rFonts w:ascii="Times New Roman" w:hAnsi="Times New Roman" w:eastAsia="宋体" w:cs="Times New Roman"/>
      <w:sz w:val="21"/>
      <w:lang w:val="en-US" w:eastAsia="zh-CN" w:bidi="ar-SA"/>
    </w:rPr>
  </w:style>
  <w:style w:type="paragraph" w:styleId="743">
    <w:name w:val="toc 7"/>
    <w:next w:val="732"/>
    <w:uiPriority w:val="39"/>
    <w:unhideWhenUsed/>
    <w:qFormat/>
    <w:pPr>
      <w:ind w:left="1701"/>
      <w:spacing w:after="57"/>
    </w:pPr>
    <w:rPr>
      <w:rFonts w:ascii="Times New Roman" w:hAnsi="Times New Roman" w:eastAsia="宋体" w:cs="Times New Roman"/>
      <w:lang w:val="en-US" w:eastAsia="zh-CN" w:bidi="ar-SA"/>
    </w:rPr>
  </w:style>
  <w:style w:type="paragraph" w:styleId="744">
    <w:name w:val="Normal Indent"/>
    <w:basedOn w:val="732"/>
    <w:next w:val="732"/>
    <w:uiPriority w:val="99"/>
    <w:unhideWhenUsed/>
    <w:qFormat/>
    <w:pPr>
      <w:ind w:firstLine="420"/>
    </w:pPr>
  </w:style>
  <w:style w:type="paragraph" w:styleId="745">
    <w:name w:val="Document Map"/>
    <w:basedOn w:val="732"/>
    <w:uiPriority w:val="0"/>
    <w:qFormat/>
    <w:pPr>
      <w:shd w:val="clear" w:color="000080" w:fill="000080"/>
    </w:pPr>
  </w:style>
  <w:style w:type="paragraph" w:styleId="746">
    <w:name w:val="annotation text"/>
    <w:basedOn w:val="732"/>
    <w:link w:val="958"/>
    <w:uiPriority w:val="0"/>
    <w:semiHidden/>
    <w:qFormat/>
    <w:rPr>
      <w:rFonts w:eastAsia="楷体_GB2312"/>
      <w:sz w:val="26"/>
    </w:rPr>
  </w:style>
  <w:style w:type="paragraph" w:styleId="747">
    <w:name w:val="Body Text"/>
    <w:basedOn w:val="732"/>
    <w:next w:val="732"/>
    <w:uiPriority w:val="0"/>
    <w:qFormat/>
    <w:pPr>
      <w:spacing w:line="400" w:lineRule="exact"/>
    </w:pPr>
    <w:rPr>
      <w:rFonts w:ascii="楷体_GB2312"/>
      <w:sz w:val="28"/>
    </w:rPr>
  </w:style>
  <w:style w:type="paragraph" w:styleId="748">
    <w:name w:val="Body Text Indent"/>
    <w:basedOn w:val="732"/>
    <w:next w:val="732"/>
    <w:link w:val="955"/>
    <w:uiPriority w:val="0"/>
    <w:qFormat/>
    <w:pPr>
      <w:ind w:left="570"/>
      <w:spacing w:line="520" w:lineRule="exact"/>
    </w:pPr>
    <w:rPr>
      <w:rFonts w:ascii="方正仿宋简体" w:hAnsi="创艺简仿宋" w:eastAsia="方正仿宋简体"/>
      <w:sz w:val="24"/>
    </w:rPr>
  </w:style>
  <w:style w:type="paragraph" w:styleId="749">
    <w:name w:val="Block Text"/>
    <w:basedOn w:val="732"/>
    <w:uiPriority w:val="0"/>
    <w:qFormat/>
    <w:pPr>
      <w:ind w:left="1440" w:right="700"/>
    </w:pPr>
  </w:style>
  <w:style w:type="paragraph" w:styleId="750">
    <w:name w:val="toc 5"/>
    <w:next w:val="732"/>
    <w:uiPriority w:val="39"/>
    <w:unhideWhenUsed/>
    <w:qFormat/>
    <w:pPr>
      <w:ind w:left="1134"/>
      <w:spacing w:after="57"/>
    </w:pPr>
    <w:rPr>
      <w:rFonts w:ascii="Times New Roman" w:hAnsi="Times New Roman" w:eastAsia="宋体" w:cs="Times New Roman"/>
      <w:lang w:val="en-US" w:eastAsia="zh-CN" w:bidi="ar-SA"/>
    </w:rPr>
  </w:style>
  <w:style w:type="paragraph" w:styleId="751">
    <w:name w:val="toc 3"/>
    <w:basedOn w:val="732"/>
    <w:next w:val="732"/>
    <w:uiPriority w:val="0"/>
    <w:qFormat/>
    <w:pPr>
      <w:ind w:left="840"/>
    </w:pPr>
  </w:style>
  <w:style w:type="paragraph" w:styleId="752">
    <w:name w:val="Plain Text"/>
    <w:basedOn w:val="732"/>
    <w:link w:val="951"/>
    <w:uiPriority w:val="0"/>
    <w:qFormat/>
    <w:rPr>
      <w:rFonts w:ascii="宋体" w:hAnsi="Courier New" w:eastAsia="楷体_GB2312"/>
      <w:sz w:val="26"/>
    </w:rPr>
  </w:style>
  <w:style w:type="paragraph" w:styleId="753">
    <w:name w:val="toc 8"/>
    <w:next w:val="732"/>
    <w:uiPriority w:val="39"/>
    <w:unhideWhenUsed/>
    <w:qFormat/>
    <w:pPr>
      <w:ind w:left="1984"/>
      <w:spacing w:after="57"/>
    </w:pPr>
    <w:rPr>
      <w:rFonts w:ascii="Times New Roman" w:hAnsi="Times New Roman" w:eastAsia="宋体" w:cs="Times New Roman"/>
      <w:lang w:val="en-US" w:eastAsia="zh-CN" w:bidi="ar-SA"/>
    </w:rPr>
  </w:style>
  <w:style w:type="paragraph" w:styleId="754">
    <w:name w:val="Date"/>
    <w:basedOn w:val="732"/>
    <w:next w:val="732"/>
    <w:link w:val="956"/>
    <w:uiPriority w:val="0"/>
    <w:qFormat/>
    <w:rPr>
      <w:rFonts w:ascii="宋体" w:hAnsi="宋体" w:eastAsia="楷体_GB2312"/>
      <w:sz w:val="24"/>
    </w:rPr>
  </w:style>
  <w:style w:type="paragraph" w:styleId="755">
    <w:name w:val="Body Text Indent 2"/>
    <w:basedOn w:val="732"/>
    <w:uiPriority w:val="0"/>
    <w:qFormat/>
    <w:pPr>
      <w:ind w:firstLine="502"/>
      <w:spacing w:line="360" w:lineRule="auto"/>
      <w:tabs>
        <w:tab w:val="left" w:pos="0" w:leader="none"/>
      </w:tabs>
    </w:pPr>
    <w:rPr>
      <w:rFonts w:ascii="宋体"/>
      <w:b/>
      <w:bCs/>
      <w:sz w:val="24"/>
    </w:rPr>
  </w:style>
  <w:style w:type="paragraph" w:styleId="756">
    <w:name w:val="endnote text"/>
    <w:link w:val="947"/>
    <w:uiPriority w:val="99"/>
    <w:unhideWhenUsed/>
    <w:qFormat/>
    <w:rPr>
      <w:rFonts w:ascii="Times New Roman" w:hAnsi="Times New Roman" w:eastAsia="宋体" w:cs="Times New Roman"/>
      <w:lang w:val="en-US" w:eastAsia="zh-CN" w:bidi="ar-SA"/>
    </w:rPr>
  </w:style>
  <w:style w:type="paragraph" w:styleId="757">
    <w:name w:val="Balloon Text"/>
    <w:basedOn w:val="732"/>
    <w:uiPriority w:val="0"/>
    <w:qFormat/>
    <w:rPr>
      <w:sz w:val="18"/>
      <w:szCs w:val="18"/>
    </w:rPr>
  </w:style>
  <w:style w:type="paragraph" w:styleId="758">
    <w:name w:val="Footer"/>
    <w:basedOn w:val="732"/>
    <w:link w:val="954"/>
    <w:uiPriority w:val="0"/>
    <w:qFormat/>
    <w:pPr>
      <w:tabs>
        <w:tab w:val="center" w:pos="4153" w:leader="none"/>
        <w:tab w:val="right" w:pos="8306" w:leader="none"/>
      </w:tabs>
    </w:pPr>
    <w:rPr>
      <w:rFonts w:eastAsia="楷体_GB2312"/>
      <w:sz w:val="18"/>
    </w:rPr>
  </w:style>
  <w:style w:type="paragraph" w:styleId="759">
    <w:name w:val="Header"/>
    <w:basedOn w:val="732"/>
    <w:uiPriority w:val="0"/>
    <w:qFormat/>
    <w:pPr>
      <w:jc w:val="center"/>
      <w:tabs>
        <w:tab w:val="center" w:pos="4153" w:leader="none"/>
        <w:tab w:val="right" w:pos="8306" w:leader="none"/>
      </w:tabs>
      <w:pBdr>
        <w:bottom w:val="single" w:color="000000" w:sz="6" w:space="1"/>
      </w:pBdr>
    </w:pPr>
    <w:rPr>
      <w:sz w:val="18"/>
    </w:rPr>
  </w:style>
  <w:style w:type="paragraph" w:styleId="760">
    <w:name w:val="toc 1"/>
    <w:basedOn w:val="732"/>
    <w:next w:val="732"/>
    <w:uiPriority w:val="0"/>
    <w:qFormat/>
    <w:rPr>
      <w:sz w:val="24"/>
    </w:rPr>
  </w:style>
  <w:style w:type="paragraph" w:styleId="761">
    <w:name w:val="toc 4"/>
    <w:next w:val="732"/>
    <w:uiPriority w:val="39"/>
    <w:unhideWhenUsed/>
    <w:qFormat/>
    <w:pPr>
      <w:ind w:left="850"/>
      <w:spacing w:after="57"/>
    </w:pPr>
    <w:rPr>
      <w:rFonts w:ascii="Times New Roman" w:hAnsi="Times New Roman" w:eastAsia="宋体" w:cs="Times New Roman"/>
      <w:lang w:val="en-US" w:eastAsia="zh-CN" w:bidi="ar-SA"/>
    </w:rPr>
  </w:style>
  <w:style w:type="paragraph" w:styleId="762">
    <w:name w:val="Subtitle"/>
    <w:link w:val="810"/>
    <w:uiPriority w:val="11"/>
    <w:qFormat/>
    <w:pPr>
      <w:spacing w:before="200" w:after="200"/>
    </w:pPr>
    <w:rPr>
      <w:rFonts w:ascii="Times New Roman" w:hAnsi="Times New Roman" w:eastAsia="宋体" w:cs="Times New Roman"/>
      <w:sz w:val="24"/>
      <w:szCs w:val="24"/>
      <w:lang w:val="en-US" w:eastAsia="zh-CN" w:bidi="ar-SA"/>
    </w:rPr>
  </w:style>
  <w:style w:type="paragraph" w:styleId="763">
    <w:name w:val="footnote text"/>
    <w:link w:val="946"/>
    <w:uiPriority w:val="99"/>
    <w:unhideWhenUsed/>
    <w:qFormat/>
    <w:pPr>
      <w:spacing w:after="40"/>
    </w:pPr>
    <w:rPr>
      <w:rFonts w:ascii="Times New Roman" w:hAnsi="Times New Roman" w:eastAsia="宋体" w:cs="Times New Roman"/>
      <w:sz w:val="18"/>
      <w:lang w:val="en-US" w:eastAsia="zh-CN" w:bidi="ar-SA"/>
    </w:rPr>
  </w:style>
  <w:style w:type="paragraph" w:styleId="764">
    <w:name w:val="toc 6"/>
    <w:next w:val="732"/>
    <w:uiPriority w:val="39"/>
    <w:unhideWhenUsed/>
    <w:qFormat/>
    <w:pPr>
      <w:ind w:left="1417"/>
      <w:spacing w:after="57"/>
    </w:pPr>
    <w:rPr>
      <w:rFonts w:ascii="Times New Roman" w:hAnsi="Times New Roman" w:eastAsia="宋体" w:cs="Times New Roman"/>
      <w:lang w:val="en-US" w:eastAsia="zh-CN" w:bidi="ar-SA"/>
    </w:rPr>
  </w:style>
  <w:style w:type="paragraph" w:styleId="765">
    <w:name w:val="Body Text Indent 3"/>
    <w:basedOn w:val="732"/>
    <w:uiPriority w:val="0"/>
    <w:qFormat/>
    <w:pPr>
      <w:ind w:firstLine="617"/>
      <w:spacing w:line="360" w:lineRule="auto"/>
    </w:pPr>
    <w:rPr>
      <w:sz w:val="24"/>
      <w:szCs w:val="24"/>
    </w:rPr>
  </w:style>
  <w:style w:type="paragraph" w:styleId="766">
    <w:name w:val="index 7"/>
    <w:basedOn w:val="732"/>
    <w:next w:val="732"/>
    <w:uiPriority w:val="0"/>
    <w:semiHidden/>
    <w:qFormat/>
    <w:pPr>
      <w:ind w:left="2520"/>
    </w:pPr>
    <w:rPr>
      <w:sz w:val="28"/>
    </w:rPr>
  </w:style>
  <w:style w:type="paragraph" w:styleId="767">
    <w:name w:val="toc 2"/>
    <w:next w:val="732"/>
    <w:uiPriority w:val="39"/>
    <w:unhideWhenUsed/>
    <w:qFormat/>
    <w:pPr>
      <w:ind w:left="283"/>
      <w:spacing w:after="57"/>
    </w:pPr>
    <w:rPr>
      <w:rFonts w:ascii="Times New Roman" w:hAnsi="Times New Roman" w:eastAsia="宋体" w:cs="Times New Roman"/>
      <w:lang w:val="en-US" w:eastAsia="zh-CN" w:bidi="ar-SA"/>
    </w:rPr>
  </w:style>
  <w:style w:type="paragraph" w:styleId="768">
    <w:name w:val="toc 9"/>
    <w:next w:val="732"/>
    <w:uiPriority w:val="39"/>
    <w:unhideWhenUsed/>
    <w:qFormat/>
    <w:pPr>
      <w:ind w:left="2268"/>
      <w:spacing w:after="57"/>
    </w:pPr>
    <w:rPr>
      <w:rFonts w:ascii="Times New Roman" w:hAnsi="Times New Roman" w:eastAsia="宋体" w:cs="Times New Roman"/>
      <w:lang w:val="en-US" w:eastAsia="zh-CN" w:bidi="ar-SA"/>
    </w:rPr>
  </w:style>
  <w:style w:type="paragraph" w:styleId="769">
    <w:name w:val="HTML Preformatted"/>
    <w:basedOn w:val="732"/>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rPr>
  </w:style>
  <w:style w:type="paragraph" w:styleId="770">
    <w:name w:val="Normal (Web)"/>
    <w:basedOn w:val="732"/>
    <w:uiPriority w:val="0"/>
    <w:qFormat/>
    <w:pPr>
      <w:spacing w:before="100" w:beforeAutospacing="1" w:after="100" w:afterAutospacing="1"/>
    </w:pPr>
    <w:rPr>
      <w:rFonts w:ascii="宋体" w:hAnsi="宋体"/>
      <w:sz w:val="24"/>
      <w:szCs w:val="24"/>
    </w:rPr>
  </w:style>
  <w:style w:type="paragraph" w:styleId="771">
    <w:name w:val="index 1"/>
    <w:basedOn w:val="732"/>
    <w:next w:val="732"/>
    <w:uiPriority w:val="0"/>
    <w:qFormat/>
  </w:style>
  <w:style w:type="paragraph" w:styleId="772">
    <w:name w:val="Title"/>
    <w:link w:val="809"/>
    <w:uiPriority w:val="10"/>
    <w:qFormat/>
    <w:pPr>
      <w:contextualSpacing/>
      <w:spacing w:before="300" w:after="200"/>
    </w:pPr>
    <w:rPr>
      <w:rFonts w:ascii="Times New Roman" w:hAnsi="Times New Roman" w:eastAsia="宋体" w:cs="Times New Roman"/>
      <w:sz w:val="48"/>
      <w:szCs w:val="48"/>
      <w:lang w:val="en-US" w:eastAsia="zh-CN" w:bidi="ar-SA"/>
    </w:rPr>
  </w:style>
  <w:style w:type="paragraph" w:styleId="773">
    <w:name w:val="annotation subject"/>
    <w:basedOn w:val="746"/>
    <w:next w:val="746"/>
    <w:uiPriority w:val="0"/>
    <w:semiHidden/>
    <w:qFormat/>
    <w:rPr>
      <w:b/>
      <w:bCs/>
    </w:rPr>
  </w:style>
  <w:style w:type="paragraph" w:styleId="774">
    <w:name w:val="Body Text First Indent 2"/>
    <w:basedOn w:val="748"/>
    <w:uiPriority w:val="99"/>
    <w:unhideWhenUsed/>
    <w:qFormat/>
    <w:pPr>
      <w:ind w:firstLine="420"/>
    </w:pPr>
  </w:style>
  <w:style w:type="table" w:styleId="775">
    <w:name w:val="Table Grid"/>
    <w:basedOn w:val="74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6">
    <w:name w:val="Strong"/>
    <w:basedOn w:val="739"/>
    <w:uiPriority w:val="22"/>
    <w:qFormat/>
    <w:rPr>
      <w:b/>
    </w:rPr>
  </w:style>
  <w:style w:type="character" w:styleId="777">
    <w:name w:val="endnote reference"/>
    <w:uiPriority w:val="99"/>
    <w:unhideWhenUsed/>
    <w:qFormat/>
    <w:rPr>
      <w:vertAlign w:val="superscript"/>
    </w:rPr>
  </w:style>
  <w:style w:type="character" w:styleId="778">
    <w:name w:val="page number"/>
    <w:basedOn w:val="739"/>
    <w:uiPriority w:val="0"/>
    <w:qFormat/>
  </w:style>
  <w:style w:type="character" w:styleId="779">
    <w:name w:val="FollowedHyperlink"/>
    <w:basedOn w:val="739"/>
    <w:uiPriority w:val="99"/>
    <w:semiHidden/>
    <w:unhideWhenUsed/>
    <w:qFormat/>
    <w:rPr>
      <w:color w:val="333333"/>
      <w:u w:val="none"/>
    </w:rPr>
  </w:style>
  <w:style w:type="character" w:styleId="780">
    <w:name w:val="Emphasis"/>
    <w:basedOn w:val="739"/>
    <w:uiPriority w:val="20"/>
    <w:qFormat/>
  </w:style>
  <w:style w:type="character" w:styleId="781">
    <w:name w:val="Hyperlink"/>
    <w:uiPriority w:val="0"/>
    <w:qFormat/>
    <w:rPr>
      <w:color w:val="0000ff"/>
      <w:u w:val="single"/>
    </w:rPr>
  </w:style>
  <w:style w:type="character" w:styleId="782">
    <w:name w:val="annotation reference"/>
    <w:uiPriority w:val="99"/>
    <w:qFormat/>
    <w:rPr>
      <w:sz w:val="21"/>
      <w:szCs w:val="21"/>
    </w:rPr>
  </w:style>
  <w:style w:type="character" w:styleId="783">
    <w:name w:val="footnote reference"/>
    <w:uiPriority w:val="99"/>
    <w:unhideWhenUsed/>
    <w:qFormat/>
    <w:rPr>
      <w:vertAlign w:val="superscript"/>
    </w:rPr>
  </w:style>
  <w:style w:type="paragraph" w:styleId="784" w:customStyle="1">
    <w:name w:val="正文文本缩进1"/>
    <w:basedOn w:val="732"/>
    <w:next w:val="732"/>
    <w:uiPriority w:val="99"/>
    <w:unhideWhenUsed/>
    <w:qFormat/>
    <w:pPr>
      <w:ind w:firstLine="570"/>
    </w:pPr>
    <w:rPr>
      <w:rFonts w:ascii="宋体"/>
      <w:sz w:val="28"/>
    </w:rPr>
  </w:style>
  <w:style w:type="paragraph" w:styleId="785" w:customStyle="1">
    <w:name w:val="正文首行缩进 211"/>
    <w:basedOn w:val="741"/>
    <w:uiPriority w:val="0"/>
    <w:qFormat/>
    <w:pPr>
      <w:ind w:left="420"/>
      <w:spacing w:after="120" w:line="240" w:lineRule="auto"/>
    </w:pPr>
    <w:rPr>
      <w:sz w:val="21"/>
    </w:rPr>
  </w:style>
  <w:style w:type="paragraph" w:styleId="786" w:customStyle="1">
    <w:name w:val="寄信人地址1"/>
    <w:basedOn w:val="732"/>
    <w:uiPriority w:val="0"/>
    <w:qFormat/>
    <w:rPr>
      <w:rFonts w:ascii="Arial" w:hAnsi="Arial"/>
    </w:rPr>
  </w:style>
  <w:style w:type="paragraph" w:styleId="787" w:customStyle="1">
    <w:name w:val="正文1"/>
    <w:next w:val="732"/>
    <w:uiPriority w:val="0"/>
    <w:qFormat/>
    <w:pPr>
      <w:ind w:firstLine="200"/>
      <w:jc w:val="both"/>
      <w:spacing w:line="360" w:lineRule="auto"/>
      <w:widowControl w:val="off"/>
    </w:pPr>
    <w:rPr>
      <w:rFonts w:ascii="Calibri" w:hAnsi="Calibri" w:eastAsia="仿宋_GB2312" w:cs="Times New Roman"/>
      <w:sz w:val="24"/>
      <w:szCs w:val="22"/>
      <w:lang w:val="en-US" w:eastAsia="zh-CN" w:bidi="ar-SA"/>
    </w:rPr>
  </w:style>
  <w:style w:type="paragraph" w:styleId="788" w:customStyle="1">
    <w:name w:val="首行缩进"/>
    <w:basedOn w:val="732"/>
    <w:uiPriority w:val="0"/>
    <w:qFormat/>
    <w:pPr>
      <w:ind w:firstLine="480"/>
    </w:pPr>
    <w:rPr>
      <w:lang w:val="zh-CN"/>
    </w:rPr>
  </w:style>
  <w:style w:type="paragraph" w:styleId="789" w:customStyle="1">
    <w:name w:val="标题 11"/>
    <w:link w:val="790"/>
    <w:uiPriority w:val="9"/>
    <w:qFormat/>
    <w:pPr>
      <w:keepLines/>
      <w:keepNext/>
      <w:spacing w:before="480" w:after="200"/>
      <w:outlineLvl w:val="0"/>
    </w:pPr>
    <w:rPr>
      <w:rFonts w:ascii="Arial" w:hAnsi="Arial" w:eastAsia="Arial" w:cs="Times New Roman"/>
      <w:sz w:val="40"/>
      <w:szCs w:val="40"/>
      <w:lang w:val="en-US" w:eastAsia="zh-CN" w:bidi="ar-SA"/>
    </w:rPr>
  </w:style>
  <w:style w:type="character" w:styleId="790" w:customStyle="1">
    <w:name w:val="Heading 1 Char"/>
    <w:link w:val="789"/>
    <w:uiPriority w:val="9"/>
    <w:qFormat/>
    <w:rPr>
      <w:rFonts w:ascii="Arial" w:hAnsi="Arial" w:eastAsia="Arial"/>
      <w:sz w:val="40"/>
      <w:szCs w:val="40"/>
      <w:lang w:bidi="ar-SA"/>
    </w:rPr>
  </w:style>
  <w:style w:type="paragraph" w:styleId="791" w:customStyle="1">
    <w:name w:val="标题 21"/>
    <w:link w:val="792"/>
    <w:uiPriority w:val="9"/>
    <w:unhideWhenUsed/>
    <w:qFormat/>
    <w:pPr>
      <w:keepLines/>
      <w:keepNext/>
      <w:spacing w:before="360" w:after="200"/>
      <w:outlineLvl w:val="1"/>
    </w:pPr>
    <w:rPr>
      <w:rFonts w:ascii="Arial" w:hAnsi="Arial" w:eastAsia="Arial" w:cs="Times New Roman"/>
      <w:sz w:val="34"/>
      <w:lang w:val="en-US" w:eastAsia="zh-CN" w:bidi="ar-SA"/>
    </w:rPr>
  </w:style>
  <w:style w:type="character" w:styleId="792" w:customStyle="1">
    <w:name w:val="Heading 2 Char"/>
    <w:link w:val="791"/>
    <w:uiPriority w:val="9"/>
    <w:qFormat/>
    <w:rPr>
      <w:rFonts w:ascii="Arial" w:hAnsi="Arial" w:eastAsia="Arial"/>
      <w:sz w:val="34"/>
      <w:lang w:bidi="ar-SA"/>
    </w:rPr>
  </w:style>
  <w:style w:type="paragraph" w:styleId="793" w:customStyle="1">
    <w:name w:val="标题 31"/>
    <w:link w:val="794"/>
    <w:uiPriority w:val="9"/>
    <w:unhideWhenUsed/>
    <w:qFormat/>
    <w:pPr>
      <w:keepLines/>
      <w:keepNext/>
      <w:spacing w:before="320" w:after="200"/>
      <w:outlineLvl w:val="2"/>
    </w:pPr>
    <w:rPr>
      <w:rFonts w:ascii="Arial" w:hAnsi="Arial" w:eastAsia="Arial" w:cs="Times New Roman"/>
      <w:sz w:val="30"/>
      <w:szCs w:val="30"/>
      <w:lang w:val="en-US" w:eastAsia="zh-CN" w:bidi="ar-SA"/>
    </w:rPr>
  </w:style>
  <w:style w:type="character" w:styleId="794" w:customStyle="1">
    <w:name w:val="Heading 3 Char"/>
    <w:link w:val="793"/>
    <w:uiPriority w:val="9"/>
    <w:qFormat/>
    <w:rPr>
      <w:rFonts w:ascii="Arial" w:hAnsi="Arial" w:eastAsia="Arial"/>
      <w:sz w:val="30"/>
      <w:szCs w:val="30"/>
      <w:lang w:bidi="ar-SA"/>
    </w:rPr>
  </w:style>
  <w:style w:type="paragraph" w:styleId="795" w:customStyle="1">
    <w:name w:val="标题 41"/>
    <w:link w:val="796"/>
    <w:uiPriority w:val="9"/>
    <w:unhideWhenUsed/>
    <w:qFormat/>
    <w:pPr>
      <w:keepLines/>
      <w:keepNext/>
      <w:spacing w:before="320" w:after="200"/>
      <w:outlineLvl w:val="3"/>
    </w:pPr>
    <w:rPr>
      <w:rFonts w:ascii="Arial" w:hAnsi="Arial" w:eastAsia="Arial" w:cs="Times New Roman"/>
      <w:b/>
      <w:bCs/>
      <w:sz w:val="26"/>
      <w:szCs w:val="26"/>
      <w:lang w:val="en-US" w:eastAsia="zh-CN" w:bidi="ar-SA"/>
    </w:rPr>
  </w:style>
  <w:style w:type="character" w:styleId="796" w:customStyle="1">
    <w:name w:val="Heading 4 Char"/>
    <w:link w:val="795"/>
    <w:uiPriority w:val="9"/>
    <w:qFormat/>
    <w:rPr>
      <w:rFonts w:ascii="Arial" w:hAnsi="Arial" w:eastAsia="Arial"/>
      <w:b/>
      <w:bCs/>
      <w:sz w:val="26"/>
      <w:szCs w:val="26"/>
      <w:lang w:bidi="ar-SA"/>
    </w:rPr>
  </w:style>
  <w:style w:type="paragraph" w:styleId="797" w:customStyle="1">
    <w:name w:val="标题 51"/>
    <w:link w:val="798"/>
    <w:uiPriority w:val="9"/>
    <w:unhideWhenUsed/>
    <w:qFormat/>
    <w:pPr>
      <w:keepLines/>
      <w:keepNext/>
      <w:spacing w:before="320" w:after="200"/>
      <w:outlineLvl w:val="4"/>
    </w:pPr>
    <w:rPr>
      <w:rFonts w:ascii="Arial" w:hAnsi="Arial" w:eastAsia="Arial" w:cs="Times New Roman"/>
      <w:b/>
      <w:bCs/>
      <w:sz w:val="24"/>
      <w:szCs w:val="24"/>
      <w:lang w:val="en-US" w:eastAsia="zh-CN" w:bidi="ar-SA"/>
    </w:rPr>
  </w:style>
  <w:style w:type="character" w:styleId="798" w:customStyle="1">
    <w:name w:val="Heading 5 Char"/>
    <w:link w:val="797"/>
    <w:uiPriority w:val="9"/>
    <w:qFormat/>
    <w:rPr>
      <w:rFonts w:ascii="Arial" w:hAnsi="Arial" w:eastAsia="Arial"/>
      <w:b/>
      <w:bCs/>
      <w:sz w:val="24"/>
      <w:szCs w:val="24"/>
      <w:lang w:bidi="ar-SA"/>
    </w:rPr>
  </w:style>
  <w:style w:type="paragraph" w:styleId="799" w:customStyle="1">
    <w:name w:val="标题 61"/>
    <w:link w:val="800"/>
    <w:uiPriority w:val="9"/>
    <w:unhideWhenUsed/>
    <w:qFormat/>
    <w:pPr>
      <w:keepLines/>
      <w:keepNext/>
      <w:spacing w:before="320" w:after="200"/>
      <w:outlineLvl w:val="5"/>
    </w:pPr>
    <w:rPr>
      <w:rFonts w:ascii="Arial" w:hAnsi="Arial" w:eastAsia="Arial" w:cs="Times New Roman"/>
      <w:b/>
      <w:bCs/>
      <w:sz w:val="22"/>
      <w:szCs w:val="22"/>
      <w:lang w:val="en-US" w:eastAsia="zh-CN" w:bidi="ar-SA"/>
    </w:rPr>
  </w:style>
  <w:style w:type="character" w:styleId="800" w:customStyle="1">
    <w:name w:val="Heading 6 Char"/>
    <w:link w:val="799"/>
    <w:uiPriority w:val="9"/>
    <w:qFormat/>
    <w:rPr>
      <w:rFonts w:ascii="Arial" w:hAnsi="Arial" w:eastAsia="Arial"/>
      <w:b/>
      <w:bCs/>
      <w:sz w:val="22"/>
      <w:szCs w:val="22"/>
      <w:lang w:bidi="ar-SA"/>
    </w:rPr>
  </w:style>
  <w:style w:type="paragraph" w:styleId="801" w:customStyle="1">
    <w:name w:val="标题 71"/>
    <w:link w:val="802"/>
    <w:uiPriority w:val="9"/>
    <w:unhideWhenUsed/>
    <w:qFormat/>
    <w:pPr>
      <w:keepLines/>
      <w:keepNext/>
      <w:spacing w:before="320" w:after="200"/>
      <w:outlineLvl w:val="6"/>
    </w:pPr>
    <w:rPr>
      <w:rFonts w:ascii="Arial" w:hAnsi="Arial" w:eastAsia="Arial" w:cs="Times New Roman"/>
      <w:b/>
      <w:bCs/>
      <w:i/>
      <w:iCs/>
      <w:sz w:val="22"/>
      <w:szCs w:val="22"/>
      <w:lang w:val="en-US" w:eastAsia="zh-CN" w:bidi="ar-SA"/>
    </w:rPr>
  </w:style>
  <w:style w:type="character" w:styleId="802" w:customStyle="1">
    <w:name w:val="Heading 7 Char"/>
    <w:link w:val="801"/>
    <w:uiPriority w:val="9"/>
    <w:qFormat/>
    <w:rPr>
      <w:rFonts w:ascii="Arial" w:hAnsi="Arial" w:eastAsia="Arial"/>
      <w:b/>
      <w:bCs/>
      <w:i/>
      <w:iCs/>
      <w:sz w:val="22"/>
      <w:szCs w:val="22"/>
      <w:lang w:bidi="ar-SA"/>
    </w:rPr>
  </w:style>
  <w:style w:type="paragraph" w:styleId="803" w:customStyle="1">
    <w:name w:val="标题 81"/>
    <w:link w:val="804"/>
    <w:uiPriority w:val="9"/>
    <w:unhideWhenUsed/>
    <w:qFormat/>
    <w:pPr>
      <w:keepLines/>
      <w:keepNext/>
      <w:spacing w:before="320" w:after="200"/>
      <w:outlineLvl w:val="7"/>
    </w:pPr>
    <w:rPr>
      <w:rFonts w:ascii="Arial" w:hAnsi="Arial" w:eastAsia="Arial" w:cs="Times New Roman"/>
      <w:i/>
      <w:iCs/>
      <w:sz w:val="22"/>
      <w:szCs w:val="22"/>
      <w:lang w:val="en-US" w:eastAsia="zh-CN" w:bidi="ar-SA"/>
    </w:rPr>
  </w:style>
  <w:style w:type="character" w:styleId="804" w:customStyle="1">
    <w:name w:val="Heading 8 Char"/>
    <w:link w:val="803"/>
    <w:uiPriority w:val="9"/>
    <w:qFormat/>
    <w:rPr>
      <w:rFonts w:ascii="Arial" w:hAnsi="Arial" w:eastAsia="Arial"/>
      <w:i/>
      <w:iCs/>
      <w:sz w:val="22"/>
      <w:szCs w:val="22"/>
      <w:lang w:bidi="ar-SA"/>
    </w:rPr>
  </w:style>
  <w:style w:type="paragraph" w:styleId="805" w:customStyle="1">
    <w:name w:val="标题 91"/>
    <w:link w:val="806"/>
    <w:uiPriority w:val="9"/>
    <w:unhideWhenUsed/>
    <w:qFormat/>
    <w:pPr>
      <w:keepLines/>
      <w:keepNext/>
      <w:spacing w:before="320" w:after="200"/>
      <w:outlineLvl w:val="8"/>
    </w:pPr>
    <w:rPr>
      <w:rFonts w:ascii="Arial" w:hAnsi="Arial" w:eastAsia="Arial" w:cs="Times New Roman"/>
      <w:i/>
      <w:iCs/>
      <w:sz w:val="21"/>
      <w:szCs w:val="21"/>
      <w:lang w:val="en-US" w:eastAsia="zh-CN" w:bidi="ar-SA"/>
    </w:rPr>
  </w:style>
  <w:style w:type="character" w:styleId="806" w:customStyle="1">
    <w:name w:val="Heading 9 Char"/>
    <w:link w:val="805"/>
    <w:uiPriority w:val="9"/>
    <w:qFormat/>
    <w:rPr>
      <w:rFonts w:ascii="Arial" w:hAnsi="Arial" w:eastAsia="Arial"/>
      <w:i/>
      <w:iCs/>
      <w:sz w:val="21"/>
      <w:szCs w:val="21"/>
      <w:lang w:bidi="ar-SA"/>
    </w:rPr>
  </w:style>
  <w:style w:type="paragraph" w:styleId="807" w:customStyle="1">
    <w:name w:val="列表段落1"/>
    <w:basedOn w:val="732"/>
    <w:uiPriority w:val="0"/>
    <w:qFormat/>
    <w:pPr>
      <w:ind w:firstLine="420"/>
    </w:pPr>
  </w:style>
  <w:style w:type="paragraph" w:styleId="808" w:customStyle="1">
    <w:name w:val="无间隔1"/>
    <w:uiPriority w:val="1"/>
    <w:qFormat/>
    <w:rPr>
      <w:rFonts w:ascii="Times New Roman" w:hAnsi="Times New Roman" w:eastAsia="宋体" w:cs="Times New Roman"/>
      <w:lang w:val="en-US" w:eastAsia="zh-CN" w:bidi="ar-SA"/>
    </w:rPr>
  </w:style>
  <w:style w:type="character" w:styleId="809" w:customStyle="1">
    <w:name w:val="标题 Char"/>
    <w:link w:val="772"/>
    <w:uiPriority w:val="10"/>
    <w:qFormat/>
    <w:rPr>
      <w:sz w:val="48"/>
      <w:szCs w:val="48"/>
      <w:lang w:bidi="ar-SA"/>
    </w:rPr>
  </w:style>
  <w:style w:type="character" w:styleId="810" w:customStyle="1">
    <w:name w:val="副标题 Char"/>
    <w:link w:val="762"/>
    <w:uiPriority w:val="11"/>
    <w:qFormat/>
    <w:rPr>
      <w:sz w:val="24"/>
      <w:szCs w:val="24"/>
      <w:lang w:bidi="ar-SA"/>
    </w:rPr>
  </w:style>
  <w:style w:type="paragraph" w:styleId="811" w:customStyle="1">
    <w:name w:val="引用1"/>
    <w:link w:val="812"/>
    <w:uiPriority w:val="29"/>
    <w:qFormat/>
    <w:pPr>
      <w:ind w:left="720" w:right="720"/>
    </w:pPr>
    <w:rPr>
      <w:rFonts w:ascii="Times New Roman" w:hAnsi="Times New Roman" w:eastAsia="宋体" w:cs="Times New Roman"/>
      <w:i/>
      <w:lang w:val="en-US" w:eastAsia="zh-CN" w:bidi="ar-SA"/>
    </w:rPr>
  </w:style>
  <w:style w:type="character" w:styleId="812" w:customStyle="1">
    <w:name w:val="引用 Char"/>
    <w:link w:val="811"/>
    <w:uiPriority w:val="29"/>
    <w:qFormat/>
    <w:rPr>
      <w:i/>
      <w:lang w:val="en-US" w:eastAsia="zh-CN" w:bidi="ar-SA"/>
    </w:rPr>
  </w:style>
  <w:style w:type="paragraph" w:styleId="813" w:customStyle="1">
    <w:name w:val="明显引用1"/>
    <w:link w:val="814"/>
    <w:uiPriority w:val="30"/>
    <w:qFormat/>
    <w:pPr>
      <w:ind w:left="720" w:right="720"/>
      <w:shd w:val="clear" w:color="f2f2f2"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814" w:customStyle="1">
    <w:name w:val="明显引用 Char"/>
    <w:link w:val="813"/>
    <w:uiPriority w:val="30"/>
    <w:qFormat/>
    <w:rPr>
      <w:i/>
      <w:shd w:val="clear" w:color="f2f2f2" w:fill="f2f2f2"/>
      <w:lang w:val="en-US" w:eastAsia="zh-CN" w:bidi="ar-SA"/>
    </w:rPr>
  </w:style>
  <w:style w:type="paragraph" w:styleId="815" w:customStyle="1">
    <w:name w:val="页眉1"/>
    <w:link w:val="816"/>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character" w:styleId="816" w:customStyle="1">
    <w:name w:val="Header Char"/>
    <w:link w:val="815"/>
    <w:uiPriority w:val="99"/>
    <w:qFormat/>
    <w:rPr>
      <w:lang w:val="en-US" w:eastAsia="zh-CN" w:bidi="ar-SA"/>
    </w:rPr>
  </w:style>
  <w:style w:type="paragraph" w:styleId="817" w:customStyle="1">
    <w:name w:val="页脚1"/>
    <w:link w:val="820"/>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character" w:styleId="818" w:customStyle="1">
    <w:name w:val="Footer Char"/>
    <w:uiPriority w:val="99"/>
    <w:qFormat/>
  </w:style>
  <w:style w:type="paragraph" w:styleId="819" w:customStyle="1">
    <w:name w:val="题注1"/>
    <w:uiPriority w:val="35"/>
    <w:unhideWhenUsed/>
    <w:qFormat/>
    <w:pPr>
      <w:spacing w:line="276" w:lineRule="auto"/>
    </w:pPr>
    <w:rPr>
      <w:rFonts w:ascii="Times New Roman" w:hAnsi="Times New Roman" w:eastAsia="宋体" w:cs="Times New Roman"/>
      <w:b/>
      <w:bCs/>
      <w:color w:val="4f81bd"/>
      <w:sz w:val="18"/>
      <w:szCs w:val="18"/>
      <w:lang w:val="en-US" w:eastAsia="zh-CN" w:bidi="ar-SA"/>
    </w:rPr>
  </w:style>
  <w:style w:type="character" w:styleId="820" w:customStyle="1">
    <w:name w:val="Caption Char"/>
    <w:link w:val="817"/>
    <w:uiPriority w:val="99"/>
    <w:qFormat/>
    <w:rPr>
      <w:lang w:val="en-US" w:eastAsia="zh-CN" w:bidi="ar-SA"/>
    </w:rPr>
  </w:style>
  <w:style w:type="table" w:styleId="82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2"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3"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24" w:customStyle="1">
    <w:name w:val="无格式表格 31"/>
    <w:uiPriority w:val="99"/>
    <w:qFormat/>
    <w:tblPr>
      <w:tblCellMar>
        <w:left w:w="0" w:type="dxa"/>
        <w:top w:w="0" w:type="dxa"/>
        <w:right w:w="0" w:type="dxa"/>
        <w:bottom w:w="0" w:type="dxa"/>
      </w:tblCellMar>
    </w:tblPr>
  </w:style>
  <w:style w:type="table" w:styleId="825" w:customStyle="1">
    <w:name w:val="无格式表格 41"/>
    <w:uiPriority w:val="99"/>
    <w:qFormat/>
    <w:tblPr>
      <w:tblCellMar>
        <w:left w:w="0" w:type="dxa"/>
        <w:top w:w="0" w:type="dxa"/>
        <w:right w:w="0" w:type="dxa"/>
        <w:bottom w:w="0" w:type="dxa"/>
      </w:tblCellMar>
    </w:tblPr>
  </w:style>
  <w:style w:type="table" w:styleId="826" w:customStyle="1">
    <w:name w:val="无格式表格 51"/>
    <w:uiPriority w:val="99"/>
    <w:qFormat/>
    <w:tblPr>
      <w:tblCellMar>
        <w:left w:w="0" w:type="dxa"/>
        <w:top w:w="0" w:type="dxa"/>
        <w:right w:w="0" w:type="dxa"/>
        <w:bottom w:w="0" w:type="dxa"/>
      </w:tblCellMar>
    </w:tblPr>
  </w:style>
  <w:style w:type="table" w:styleId="827"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2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2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3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3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3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3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34"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3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1"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4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8"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4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5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5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5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5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5"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2"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6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9"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7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6" w:customStyle="1">
    <w:name w:val="清单表 1 浅色1"/>
    <w:uiPriority w:val="99"/>
    <w:qFormat/>
    <w:tblPr>
      <w:tblCellMar>
        <w:left w:w="0" w:type="dxa"/>
        <w:top w:w="0" w:type="dxa"/>
        <w:right w:w="0" w:type="dxa"/>
        <w:bottom w:w="0" w:type="dxa"/>
      </w:tblCellMar>
    </w:tblPr>
  </w:style>
  <w:style w:type="table" w:styleId="877" w:customStyle="1">
    <w:name w:val="List Table 1 Light - Accent 1"/>
    <w:uiPriority w:val="99"/>
    <w:qFormat/>
    <w:tblPr>
      <w:tblCellMar>
        <w:left w:w="0" w:type="dxa"/>
        <w:top w:w="0" w:type="dxa"/>
        <w:right w:w="0" w:type="dxa"/>
        <w:bottom w:w="0" w:type="dxa"/>
      </w:tblCellMar>
    </w:tblPr>
  </w:style>
  <w:style w:type="table" w:styleId="878" w:customStyle="1">
    <w:name w:val="List Table 1 Light - Accent 2"/>
    <w:uiPriority w:val="99"/>
    <w:qFormat/>
    <w:tblPr>
      <w:tblCellMar>
        <w:left w:w="0" w:type="dxa"/>
        <w:top w:w="0" w:type="dxa"/>
        <w:right w:w="0" w:type="dxa"/>
        <w:bottom w:w="0" w:type="dxa"/>
      </w:tblCellMar>
    </w:tblPr>
  </w:style>
  <w:style w:type="table" w:styleId="879" w:customStyle="1">
    <w:name w:val="List Table 1 Light - Accent 3"/>
    <w:uiPriority w:val="99"/>
    <w:qFormat/>
    <w:tblPr>
      <w:tblCellMar>
        <w:left w:w="0" w:type="dxa"/>
        <w:top w:w="0" w:type="dxa"/>
        <w:right w:w="0" w:type="dxa"/>
        <w:bottom w:w="0" w:type="dxa"/>
      </w:tblCellMar>
    </w:tblPr>
  </w:style>
  <w:style w:type="table" w:styleId="880" w:customStyle="1">
    <w:name w:val="List Table 1 Light - Accent 4"/>
    <w:uiPriority w:val="99"/>
    <w:qFormat/>
    <w:tblPr>
      <w:tblCellMar>
        <w:left w:w="0" w:type="dxa"/>
        <w:top w:w="0" w:type="dxa"/>
        <w:right w:w="0" w:type="dxa"/>
        <w:bottom w:w="0" w:type="dxa"/>
      </w:tblCellMar>
    </w:tblPr>
  </w:style>
  <w:style w:type="table" w:styleId="881" w:customStyle="1">
    <w:name w:val="List Table 1 Light - Accent 5"/>
    <w:uiPriority w:val="99"/>
    <w:qFormat/>
    <w:tblPr>
      <w:tblCellMar>
        <w:left w:w="0" w:type="dxa"/>
        <w:top w:w="0" w:type="dxa"/>
        <w:right w:w="0" w:type="dxa"/>
        <w:bottom w:w="0" w:type="dxa"/>
      </w:tblCellMar>
    </w:tblPr>
  </w:style>
  <w:style w:type="table" w:styleId="882" w:customStyle="1">
    <w:name w:val="List Table 1 Light - Accent 6"/>
    <w:uiPriority w:val="99"/>
    <w:qFormat/>
    <w:tblPr>
      <w:tblCellMar>
        <w:left w:w="0" w:type="dxa"/>
        <w:top w:w="0" w:type="dxa"/>
        <w:right w:w="0" w:type="dxa"/>
        <w:bottom w:w="0" w:type="dxa"/>
      </w:tblCellMar>
    </w:tblPr>
  </w:style>
  <w:style w:type="table" w:styleId="883"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8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8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8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8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8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8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90"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9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9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9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9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9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9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97"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9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9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0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0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0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0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04"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0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0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0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0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0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1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11"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1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1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1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1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1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1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18"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1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2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2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2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2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2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25" w:customStyle="1">
    <w:name w:val="Lined - Accent"/>
    <w:uiPriority w:val="99"/>
    <w:qFormat/>
    <w:rPr>
      <w:color w:val="404040"/>
    </w:rPr>
    <w:tblPr>
      <w:tblCellMar>
        <w:left w:w="0" w:type="dxa"/>
        <w:top w:w="0" w:type="dxa"/>
        <w:right w:w="0" w:type="dxa"/>
        <w:bottom w:w="0" w:type="dxa"/>
      </w:tblCellMar>
    </w:tblPr>
  </w:style>
  <w:style w:type="table" w:styleId="926" w:customStyle="1">
    <w:name w:val="Lined - Accent 1"/>
    <w:uiPriority w:val="99"/>
    <w:qFormat/>
    <w:rPr>
      <w:color w:val="404040"/>
    </w:rPr>
    <w:tblPr>
      <w:tblCellMar>
        <w:left w:w="0" w:type="dxa"/>
        <w:top w:w="0" w:type="dxa"/>
        <w:right w:w="0" w:type="dxa"/>
        <w:bottom w:w="0" w:type="dxa"/>
      </w:tblCellMar>
    </w:tblPr>
  </w:style>
  <w:style w:type="table" w:styleId="927" w:customStyle="1">
    <w:name w:val="Lined - Accent 2"/>
    <w:uiPriority w:val="99"/>
    <w:qFormat/>
    <w:rPr>
      <w:color w:val="404040"/>
    </w:rPr>
    <w:tblPr>
      <w:tblCellMar>
        <w:left w:w="0" w:type="dxa"/>
        <w:top w:w="0" w:type="dxa"/>
        <w:right w:w="0" w:type="dxa"/>
        <w:bottom w:w="0" w:type="dxa"/>
      </w:tblCellMar>
    </w:tblPr>
  </w:style>
  <w:style w:type="table" w:styleId="928" w:customStyle="1">
    <w:name w:val="Lined - Accent 3"/>
    <w:uiPriority w:val="99"/>
    <w:qFormat/>
    <w:rPr>
      <w:color w:val="404040"/>
    </w:rPr>
    <w:tblPr>
      <w:tblCellMar>
        <w:left w:w="0" w:type="dxa"/>
        <w:top w:w="0" w:type="dxa"/>
        <w:right w:w="0" w:type="dxa"/>
        <w:bottom w:w="0" w:type="dxa"/>
      </w:tblCellMar>
    </w:tblPr>
  </w:style>
  <w:style w:type="table" w:styleId="929" w:customStyle="1">
    <w:name w:val="Lined - Accent 4"/>
    <w:uiPriority w:val="99"/>
    <w:qFormat/>
    <w:rPr>
      <w:color w:val="404040"/>
    </w:rPr>
    <w:tblPr>
      <w:tblCellMar>
        <w:left w:w="0" w:type="dxa"/>
        <w:top w:w="0" w:type="dxa"/>
        <w:right w:w="0" w:type="dxa"/>
        <w:bottom w:w="0" w:type="dxa"/>
      </w:tblCellMar>
    </w:tblPr>
  </w:style>
  <w:style w:type="table" w:styleId="930" w:customStyle="1">
    <w:name w:val="Lined - Accent 5"/>
    <w:uiPriority w:val="99"/>
    <w:qFormat/>
    <w:rPr>
      <w:color w:val="404040"/>
    </w:rPr>
    <w:tblPr>
      <w:tblCellMar>
        <w:left w:w="0" w:type="dxa"/>
        <w:top w:w="0" w:type="dxa"/>
        <w:right w:w="0" w:type="dxa"/>
        <w:bottom w:w="0" w:type="dxa"/>
      </w:tblCellMar>
    </w:tblPr>
  </w:style>
  <w:style w:type="table" w:styleId="931" w:customStyle="1">
    <w:name w:val="Lined - Accent 6"/>
    <w:uiPriority w:val="99"/>
    <w:qFormat/>
    <w:rPr>
      <w:color w:val="404040"/>
    </w:rPr>
    <w:tblPr>
      <w:tblCellMar>
        <w:left w:w="0" w:type="dxa"/>
        <w:top w:w="0" w:type="dxa"/>
        <w:right w:w="0" w:type="dxa"/>
        <w:bottom w:w="0" w:type="dxa"/>
      </w:tblCellMar>
    </w:tblPr>
  </w:style>
  <w:style w:type="table" w:styleId="93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3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3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3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3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3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3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3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4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4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4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4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4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4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46" w:customStyle="1">
    <w:name w:val="脚注文本 Char"/>
    <w:link w:val="763"/>
    <w:uiPriority w:val="99"/>
    <w:semiHidden/>
    <w:qFormat/>
    <w:rPr>
      <w:sz w:val="18"/>
      <w:lang w:bidi="ar-SA"/>
    </w:rPr>
  </w:style>
  <w:style w:type="character" w:styleId="947" w:customStyle="1">
    <w:name w:val="尾注文本 Char"/>
    <w:link w:val="756"/>
    <w:uiPriority w:val="99"/>
    <w:semiHidden/>
    <w:qFormat/>
    <w:rPr>
      <w:lang w:val="en-US" w:eastAsia="zh-CN" w:bidi="ar-SA"/>
    </w:rPr>
  </w:style>
  <w:style w:type="paragraph" w:styleId="948" w:customStyle="1">
    <w:name w:val="TOC 标题1"/>
    <w:basedOn w:val="733"/>
    <w:next w:val="732"/>
    <w:uiPriority w:val="0"/>
    <w:qFormat/>
    <w:pPr>
      <w:spacing w:before="480" w:after="0" w:line="276" w:lineRule="auto"/>
      <w:outlineLvl w:val="9"/>
    </w:pPr>
    <w:rPr>
      <w:rFonts w:ascii="Cambria" w:hAnsi="Cambria"/>
      <w:bCs/>
      <w:color w:val="365f91"/>
      <w:sz w:val="28"/>
      <w:szCs w:val="28"/>
    </w:rPr>
  </w:style>
  <w:style w:type="character" w:styleId="949" w:customStyle="1">
    <w:name w:val="Plain Text Char Char"/>
    <w:uiPriority w:val="0"/>
    <w:qFormat/>
    <w:rPr>
      <w:rFonts w:ascii="宋体" w:hAnsi="Courier New" w:eastAsia="楷体_GB2312"/>
      <w:sz w:val="26"/>
      <w:lang w:val="en-US" w:eastAsia="zh-CN" w:bidi="ar-SA"/>
    </w:rPr>
  </w:style>
  <w:style w:type="character" w:styleId="950" w:customStyle="1">
    <w:name w:val="s2"/>
    <w:basedOn w:val="739"/>
    <w:uiPriority w:val="0"/>
    <w:qFormat/>
  </w:style>
  <w:style w:type="character" w:styleId="951" w:customStyle="1">
    <w:name w:val="纯文本 Char"/>
    <w:link w:val="752"/>
    <w:uiPriority w:val="0"/>
    <w:qFormat/>
    <w:rPr>
      <w:rFonts w:ascii="宋体" w:hAnsi="Courier New" w:eastAsia="楷体_GB2312"/>
      <w:sz w:val="26"/>
      <w:lang w:val="en-US" w:eastAsia="zh-CN" w:bidi="ar-SA"/>
    </w:rPr>
  </w:style>
  <w:style w:type="character" w:styleId="952" w:customStyle="1">
    <w:name w:val="正文缩进 Char"/>
    <w:link w:val="953"/>
    <w:uiPriority w:val="0"/>
    <w:qFormat/>
    <w:rPr>
      <w:rFonts w:eastAsia="楷体_GB2312"/>
      <w:sz w:val="24"/>
      <w:lang w:val="en-US" w:eastAsia="zh-CN" w:bidi="ar-SA"/>
    </w:rPr>
  </w:style>
  <w:style w:type="paragraph" w:styleId="953" w:customStyle="1">
    <w:name w:val="正文缩进1"/>
    <w:basedOn w:val="732"/>
    <w:link w:val="952"/>
    <w:uiPriority w:val="0"/>
    <w:qFormat/>
    <w:pPr>
      <w:ind w:firstLine="420"/>
    </w:pPr>
    <w:rPr>
      <w:rFonts w:eastAsia="楷体_GB2312"/>
      <w:sz w:val="24"/>
    </w:rPr>
  </w:style>
  <w:style w:type="character" w:styleId="954" w:customStyle="1">
    <w:name w:val="页脚 Char"/>
    <w:link w:val="758"/>
    <w:uiPriority w:val="0"/>
    <w:qFormat/>
    <w:rPr>
      <w:rFonts w:eastAsia="楷体_GB2312"/>
      <w:sz w:val="18"/>
    </w:rPr>
  </w:style>
  <w:style w:type="character" w:styleId="955" w:customStyle="1">
    <w:name w:val="正文文本缩进 Char"/>
    <w:link w:val="748"/>
    <w:uiPriority w:val="0"/>
    <w:qFormat/>
    <w:rPr>
      <w:rFonts w:ascii="方正仿宋简体" w:hAnsi="创艺简仿宋" w:eastAsia="方正仿宋简体"/>
      <w:sz w:val="24"/>
    </w:rPr>
  </w:style>
  <w:style w:type="character" w:styleId="956" w:customStyle="1">
    <w:name w:val="日期 Char"/>
    <w:link w:val="754"/>
    <w:uiPriority w:val="0"/>
    <w:qFormat/>
    <w:rPr>
      <w:rFonts w:ascii="宋体" w:hAnsi="宋体" w:eastAsia="楷体_GB2312"/>
      <w:sz w:val="24"/>
    </w:rPr>
  </w:style>
  <w:style w:type="character" w:styleId="957" w:customStyle="1">
    <w:name w:val="普通文字 Char Char"/>
    <w:uiPriority w:val="0"/>
    <w:qFormat/>
    <w:rPr>
      <w:rFonts w:ascii="宋体" w:hAnsi="Courier New" w:eastAsia="楷体_GB2312"/>
      <w:sz w:val="26"/>
      <w:lang w:val="en-US" w:eastAsia="zh-CN" w:bidi="ar-SA"/>
    </w:rPr>
  </w:style>
  <w:style w:type="character" w:styleId="958" w:customStyle="1">
    <w:name w:val="批注文字 Char"/>
    <w:link w:val="746"/>
    <w:uiPriority w:val="0"/>
    <w:semiHidden/>
    <w:qFormat/>
    <w:rPr>
      <w:rFonts w:eastAsia="楷体_GB2312"/>
      <w:sz w:val="26"/>
    </w:rPr>
  </w:style>
  <w:style w:type="paragraph" w:styleId="959" w:customStyle="1">
    <w:name w:val="样式2"/>
    <w:basedOn w:val="760"/>
    <w:uiPriority w:val="0"/>
    <w:qFormat/>
    <w:pPr>
      <w:jc w:val="both"/>
      <w:tabs>
        <w:tab w:val="right" w:pos="9026" w:leader="dot"/>
      </w:tabs>
    </w:pPr>
    <w:rPr>
      <w:rFonts w:ascii="宋体" w:hAnsi="宋体"/>
      <w:b/>
      <w:bCs/>
      <w:sz w:val="30"/>
    </w:rPr>
  </w:style>
  <w:style w:type="paragraph" w:styleId="960" w:customStyle="1">
    <w:name w:val="p2"/>
    <w:basedOn w:val="732"/>
    <w:uiPriority w:val="0"/>
    <w:qFormat/>
    <w:pPr>
      <w:spacing w:before="100" w:beforeAutospacing="1" w:after="100" w:afterAutospacing="1"/>
    </w:pPr>
    <w:rPr>
      <w:rFonts w:ascii="宋体" w:hAnsi="宋体"/>
      <w:sz w:val="24"/>
      <w:szCs w:val="24"/>
    </w:rPr>
  </w:style>
  <w:style w:type="paragraph" w:styleId="961" w:customStyle="1">
    <w:name w:val="Plain Text1"/>
    <w:basedOn w:val="732"/>
    <w:uiPriority w:val="0"/>
    <w:qFormat/>
    <w:rPr>
      <w:rFonts w:ascii="宋体" w:hAnsi="Courier New"/>
      <w:sz w:val="28"/>
    </w:rPr>
  </w:style>
  <w:style w:type="paragraph" w:styleId="962" w:customStyle="1">
    <w:name w:val="_Style 12"/>
    <w:basedOn w:val="745"/>
    <w:uiPriority w:val="0"/>
    <w:qFormat/>
    <w:pPr>
      <w:spacing w:line="360" w:lineRule="auto"/>
    </w:pPr>
    <w:rPr>
      <w:sz w:val="21"/>
      <w:szCs w:val="24"/>
    </w:rPr>
  </w:style>
  <w:style w:type="paragraph" w:styleId="963" w:customStyle="1">
    <w:name w:val="Char1"/>
    <w:basedOn w:val="732"/>
    <w:uiPriority w:val="0"/>
    <w:qFormat/>
    <w:rPr>
      <w:rFonts w:ascii="Tahoma" w:hAnsi="Tahoma"/>
      <w:sz w:val="24"/>
    </w:rPr>
  </w:style>
  <w:style w:type="paragraph" w:styleId="964" w:customStyle="1">
    <w:name w:val="Char"/>
    <w:basedOn w:val="732"/>
    <w:uiPriority w:val="0"/>
    <w:qFormat/>
    <w:rPr>
      <w:sz w:val="21"/>
      <w:szCs w:val="24"/>
    </w:rPr>
  </w:style>
  <w:style w:type="paragraph" w:styleId="965" w:customStyle="1">
    <w:name w:val="纯文本1"/>
    <w:basedOn w:val="732"/>
    <w:uiPriority w:val="0"/>
    <w:qFormat/>
    <w:rPr>
      <w:rFonts w:ascii="宋体" w:hAnsi="Courier New"/>
      <w:sz w:val="24"/>
      <w:szCs w:val="24"/>
    </w:rPr>
  </w:style>
  <w:style w:type="paragraph" w:styleId="966" w:customStyle="1">
    <w:name w:val="正文 A"/>
    <w:uiPriority w:val="0"/>
    <w:qFormat/>
    <w:pPr>
      <w:jc w:val="both"/>
      <w:widowControl w:val="off"/>
      <w:framePr w:wrap="around" w:vAnchor="margin" w:hAnchor="text" w:y="1"/>
    </w:pPr>
    <w:rPr>
      <w:rFonts w:ascii="Times New Roman" w:hAnsi="Arial Unicode MS" w:eastAsia="Times New Roman" w:cs="Times New Roman"/>
      <w:color w:val="000000"/>
      <w:sz w:val="21"/>
      <w:szCs w:val="21"/>
      <w:lang w:val="en-US" w:eastAsia="zh-CN" w:bidi="ar-SA"/>
    </w:rPr>
  </w:style>
  <w:style w:type="paragraph" w:styleId="967" w:customStyle="1">
    <w:name w:val="font7"/>
    <w:basedOn w:val="732"/>
    <w:uiPriority w:val="0"/>
    <w:qFormat/>
    <w:pPr>
      <w:spacing w:before="100" w:beforeAutospacing="1" w:after="100" w:afterAutospacing="1"/>
    </w:pPr>
  </w:style>
  <w:style w:type="paragraph" w:styleId="968" w:customStyle="1">
    <w:name w:val="Char Char Char"/>
    <w:basedOn w:val="732"/>
    <w:uiPriority w:val="0"/>
    <w:qFormat/>
    <w:pPr>
      <w:numPr>
        <w:ilvl w:val="0"/>
        <w:numId w:val="1"/>
      </w:numPr>
      <w:tabs>
        <w:tab w:val="left" w:pos="840" w:leader="none"/>
      </w:tabs>
    </w:pPr>
  </w:style>
  <w:style w:type="paragraph" w:styleId="969" w:customStyle="1">
    <w:name w:val="Char2"/>
    <w:basedOn w:val="732"/>
    <w:uiPriority w:val="0"/>
    <w:qFormat/>
    <w:rPr>
      <w:rFonts w:ascii="Tahoma" w:hAnsi="Tahoma"/>
      <w:sz w:val="24"/>
    </w:rPr>
  </w:style>
  <w:style w:type="paragraph" w:styleId="970" w:customStyle="1">
    <w:name w:val="默认段落字体 Para Char Char Char Char Char Char Char"/>
    <w:basedOn w:val="732"/>
    <w:uiPriority w:val="0"/>
    <w:qFormat/>
    <w:rPr>
      <w:sz w:val="21"/>
      <w:szCs w:val="24"/>
    </w:rPr>
  </w:style>
  <w:style w:type="paragraph" w:styleId="971" w:customStyle="1">
    <w:name w:val="样式1"/>
    <w:basedOn w:val="760"/>
    <w:uiPriority w:val="0"/>
    <w:qFormat/>
    <w:pPr>
      <w:jc w:val="both"/>
      <w:tabs>
        <w:tab w:val="right" w:pos="9026" w:leader="dot"/>
      </w:tabs>
    </w:pPr>
    <w:rPr>
      <w:rFonts w:ascii="宋体" w:hAnsi="宋体"/>
      <w:b/>
      <w:bCs/>
      <w:sz w:val="30"/>
    </w:rPr>
  </w:style>
  <w:style w:type="paragraph" w:styleId="972" w:customStyle="1">
    <w:name w:val="hidinshow"/>
    <w:basedOn w:val="732"/>
    <w:uiPriority w:val="0"/>
    <w:qFormat/>
    <w:pPr>
      <w:spacing w:before="100" w:beforeAutospacing="1" w:after="100" w:afterAutospacing="1"/>
    </w:pPr>
    <w:rPr>
      <w:rFonts w:ascii="宋体" w:hAnsi="宋体"/>
      <w:sz w:val="24"/>
      <w:szCs w:val="24"/>
    </w:rPr>
  </w:style>
  <w:style w:type="character" w:styleId="973" w:customStyle="1">
    <w:name w:val="正文缩进 Char1"/>
    <w:uiPriority w:val="0"/>
    <w:qFormat/>
    <w:rPr>
      <w:rFonts w:ascii="Times New Roman" w:hAnsi="Times New Roman" w:eastAsia="楷体_GB2312"/>
      <w:sz w:val="24"/>
      <w:szCs w:val="20"/>
    </w:rPr>
  </w:style>
  <w:style w:type="paragraph" w:styleId="974" w:customStyle="1">
    <w:name w:val="修订1"/>
    <w:hidden/>
    <w:uiPriority w:val="99"/>
    <w:semiHidden/>
    <w:qFormat/>
    <w:rPr>
      <w:rFonts w:ascii="Times New Roman" w:hAnsi="Times New Roman" w:eastAsia="宋体" w:cs="Times New Roman"/>
      <w:lang w:val="en-US" w:eastAsia="zh-CN" w:bidi="ar-SA"/>
    </w:rPr>
  </w:style>
  <w:style w:type="table" w:styleId="975" w:customStyle="1">
    <w:name w:val="Table Normal"/>
    <w:uiPriority w:val="0"/>
    <w:unhideWhenUsed/>
    <w:qFormat/>
    <w:tblPr>
      <w:tblCellMar>
        <w:left w:w="0" w:type="dxa"/>
        <w:top w:w="0" w:type="dxa"/>
        <w:right w:w="0" w:type="dxa"/>
        <w:bottom w:w="0" w:type="dxa"/>
      </w:tblCellMar>
    </w:tblPr>
  </w:style>
  <w:style w:type="paragraph" w:styleId="976" w:customStyle="1">
    <w:name w:val="纯文本2"/>
    <w:basedOn w:val="732"/>
    <w:uiPriority w:val="0"/>
    <w:qFormat/>
    <w:rPr>
      <w:rFonts w:ascii="宋体" w:hAnsi="Courier New" w:eastAsia="楷体_GB2312"/>
      <w:sz w:val="28"/>
    </w:rPr>
  </w:style>
  <w:style w:type="paragraph" w:styleId="977" w:customStyle="1">
    <w:name w:val="纯文本21"/>
    <w:basedOn w:val="732"/>
    <w:uiPriority w:val="0"/>
    <w:qFormat/>
    <w:rPr>
      <w:rFonts w:ascii="宋体" w:hAnsi="Courier New"/>
      <w:sz w:val="28"/>
    </w:rPr>
  </w:style>
  <w:style w:type="paragraph" w:styleId="978" w:customStyle="1">
    <w:name w:val="纯文本3"/>
    <w:basedOn w:val="732"/>
    <w:uiPriority w:val="0"/>
    <w:qFormat/>
    <w:rPr>
      <w:rFonts w:ascii="宋体" w:hAnsi="Courier New"/>
      <w:sz w:val="28"/>
    </w:rPr>
  </w:style>
  <w:style w:type="character" w:styleId="979" w:customStyle="1">
    <w:name w:val="标题 1 Char"/>
    <w:link w:val="733"/>
    <w:uiPriority w:val="0"/>
    <w:qFormat/>
    <w:rPr>
      <w:b/>
      <w:sz w:val="44"/>
    </w:rPr>
  </w:style>
  <w:style w:type="paragraph" w:styleId="980" w:customStyle="1">
    <w:name w:val="Default"/>
    <w:next w:val="732"/>
    <w:uiPriority w:val="99"/>
    <w:unhideWhenUsed/>
    <w:qFormat/>
    <w:pPr>
      <w:widowControl w:val="off"/>
    </w:pPr>
    <w:rPr>
      <w:rFonts w:ascii="宋体" w:hAnsi="宋体" w:eastAsia="宋体" w:cs="Times New Roman"/>
      <w:color w:val="000000"/>
      <w:sz w:val="24"/>
      <w:szCs w:val="24"/>
      <w:lang w:val="en-US" w:eastAsia="zh-CN" w:bidi="ar-SA"/>
    </w:rPr>
  </w:style>
  <w:style w:type="paragraph" w:styleId="981" w:customStyle="1">
    <w:name w:val="段"/>
    <w:next w:val="732"/>
    <w:uiPriority w:val="0"/>
    <w:qFormat/>
    <w:pPr>
      <w:ind w:firstLine="200"/>
      <w:jc w:val="both"/>
    </w:pPr>
    <w:rPr>
      <w:rFonts w:ascii="宋体" w:hAnsi="Times New Roman" w:eastAsia="宋体" w:cs="Times New Roman"/>
      <w:sz w:val="21"/>
      <w:lang w:val="en-US" w:eastAsia="zh-CN" w:bidi="ar-SA"/>
    </w:rPr>
  </w:style>
  <w:style w:type="paragraph" w:styleId="982" w:customStyle="1">
    <w:name w:val="_正文段落"/>
    <w:basedOn w:val="732"/>
    <w:uiPriority w:val="0"/>
    <w:qFormat/>
    <w:pPr>
      <w:ind w:firstLine="480"/>
      <w:spacing w:line="360" w:lineRule="auto"/>
    </w:pPr>
    <w:rPr>
      <w:rFonts w:ascii="宋体" w:hAnsi="宋体"/>
      <w:sz w:val="24"/>
      <w:szCs w:val="24"/>
    </w:rPr>
  </w:style>
  <w:style w:type="paragraph" w:styleId="983" w:customStyle="1">
    <w:name w:val="纯文本4"/>
    <w:basedOn w:val="732"/>
    <w:uiPriority w:val="0"/>
    <w:qFormat/>
    <w:rPr>
      <w:rFonts w:ascii="宋体" w:hAnsi="Courier New" w:eastAsia="楷体_GB2312"/>
      <w:sz w:val="28"/>
    </w:rPr>
  </w:style>
  <w:style w:type="paragraph" w:styleId="984" w:customStyle="1">
    <w:name w:val="文档结构图1"/>
    <w:basedOn w:val="732"/>
    <w:uiPriority w:val="99"/>
    <w:qFormat/>
    <w:pPr>
      <w:shd w:val="clear" w:color="auto" w:fill="000080"/>
    </w:pPr>
  </w:style>
  <w:style w:type="paragraph" w:styleId="985" w:customStyle="1">
    <w:name w:val="Table Text"/>
    <w:basedOn w:val="732"/>
    <w:uiPriority w:val="0"/>
    <w:semiHidden/>
    <w:qFormat/>
    <w:rPr>
      <w:rFonts w:ascii="宋体" w:hAnsi="宋体" w:cs="宋体"/>
    </w:rPr>
  </w:style>
  <w:style w:type="paragraph" w:styleId="986" w:customStyle="1">
    <w:name w:val="msolistparagraph"/>
    <w:basedOn w:val="732"/>
    <w:uiPriority w:val="0"/>
    <w:qFormat/>
    <w:pPr>
      <w:ind w:firstLine="420"/>
      <w:jc w:val="both"/>
      <w:widowControl w:val="off"/>
    </w:pPr>
    <w:rPr>
      <w:rFonts w:ascii="Calibri" w:hAnsi="Calibri"/>
      <w:sz w:val="21"/>
      <w:szCs w:val="22"/>
    </w:rPr>
  </w:style>
  <w:style w:type="character" w:styleId="987" w:customStyle="1">
    <w:name w:val="NormalCharacter"/>
    <w:uiPriority w:val="0"/>
    <w:semiHidden/>
    <w:qFormat/>
  </w:style>
  <w:style w:type="paragraph" w:styleId="988" w:customStyle="1">
    <w:name w:val="_Style 5"/>
    <w:basedOn w:val="732"/>
    <w:uiPriority w:val="34"/>
    <w:qFormat/>
    <w:pPr>
      <w:ind w:firstLine="420"/>
    </w:pPr>
    <w:rPr>
      <w:sz w:val="24"/>
    </w:rPr>
  </w:style>
  <w:style w:type="paragraph" w:styleId="989">
    <w:name w:val="List Paragraph"/>
    <w:basedOn w:val="732"/>
    <w:uiPriority w:val="34"/>
    <w:qFormat/>
    <w:pPr>
      <w:ind w:firstLine="420"/>
    </w:pPr>
    <w:rPr>
      <w:sz w:val="21"/>
      <w:szCs w:val="24"/>
    </w:rPr>
  </w:style>
  <w:style w:type="numbering" w:styleId="9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3103"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3879"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9316"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5170"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8987"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0006"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9939"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4286af19-c2de-4d9c-875e-865e31364c10</errorID>
      <errorWord>招标（采购）</errorWord>
      <group>L1_AI</group>
      <groupName>深度校对</groupName>
      <ability>L2_AI_Grammar</ability>
      <abilityName>语法纠错</abilityName>
      <candidateList>
        <item>招标</item>
      </candidateList>
      <explain/>
      <paraID>5B3AD1DB</paraID>
      <start>39</start>
      <end>45</end>
      <status>unmodified</status>
      <modifiedWord/>
      <trackRevisions>false</trackRevisions>
    </reviewItem>
    <reviewItem>
      <errorID>64246483-9e2e-4777-b167-2d71d808c8f1</errorID>
      <errorWord>。</errorWord>
      <group>L1_AI</group>
      <groupName>深度校对</groupName>
      <ability>L2_AI_Punc</ability>
      <abilityName>标点纠错</abilityName>
      <candidateList>
        <item>，</item>
      </candidateList>
      <explain/>
      <paraID>34A00248</paraID>
      <start>51</start>
      <end>52</end>
      <status>unmodified</status>
      <modifiedWord/>
      <trackRevisions>false</trackRevisions>
    </reviewItem>
    <reviewItem>
      <errorID>eca409db-5992-4f9b-9c5b-832dc3a8d1a7</errorID>
      <errorWord>：</errorWord>
      <group>L1_Punc</group>
      <groupName>标点问题</groupName>
      <ability>L2_Punc</ability>
      <abilityName>标点符号检查</abilityName>
      <candidateList/>
      <explain/>
      <paraID>25DFEB8F</paraID>
      <start>44</start>
      <end>45</end>
      <status>unmodified</status>
      <modifiedWord/>
      <trackRevisions>false</trackRevisions>
    </reviewItem>
    <reviewItem>
      <errorID>70fdb0b0-e81d-46fc-a2b9-b93db5d9f7c7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EE4960</paraID>
      <start>51</start>
      <end>52</end>
      <status>unmodified</status>
      <modifiedWord/>
      <trackRevisions>false</trackRevisions>
    </reviewItem>
    <reviewItem>
      <errorID>3ca02b16-6ff8-4ee5-a9e6-8f778cd80be7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6D6B2C37</paraID>
      <start>50</start>
      <end>51</end>
      <status>unmodified</status>
      <modifiedWord/>
      <trackRevisions>false</trackRevisions>
    </reviewItem>
    <reviewItem>
      <errorID>c3aa243b-f292-4281-9bf6-efca17d71c71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3EFD8564</paraID>
      <start>50</start>
      <end>51</end>
      <status>unmodified</status>
      <modifiedWord/>
      <trackRevisions>false</trackRevisions>
    </reviewItem>
    <reviewItem>
      <errorID>a8a8d144-8dc1-4353-a04e-9f4849095868</errorID>
      <errorWord>：</errorWord>
      <group>L1_Punc</group>
      <groupName>标点问题</groupName>
      <ability>L2_Punc</ability>
      <abilityName>标点符号检查</abilityName>
      <candidateList/>
      <explain/>
      <paraID>42B4EEF2</paraID>
      <start>0</start>
      <end>1</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2052"/>
    <customShpInfo spid="_x0000_s2051"/>
    <customShpInfo spid="_x0000_s2053" textRotate="1"/>
    <customShpInfo spid="_x0000_s2050"/>
    <customShpInfo spid="_x0000_s2049"/>
  </customShpExts>
</s:customData>
</file>

<file path=customXml/itemProps1.xml><?xml version="1.0" encoding="utf-8"?>
<ds:datastoreItem xmlns:ds="http://schemas.openxmlformats.org/officeDocument/2006/customXml" ds:itemID="{9D7F5961-B511-4297-9E0B-9226C0D64A0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ruyi</dc:creator>
  <cp:lastModifiedBy>顾苏芯</cp:lastModifiedBy>
  <cp:revision>43</cp:revision>
  <dcterms:created xsi:type="dcterms:W3CDTF">2023-04-06T13:23:00Z</dcterms:created>
  <dcterms:modified xsi:type="dcterms:W3CDTF">2026-06-05T08:18:47Z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63093EEC35E44CF3B56F89FA09CD583F_13</vt:lpwstr>
  </property>
  <property fmtid="{D5CDD505-2E9C-101B-9397-08002B2CF9AE}" pid="4" name="KSOTemplateDocerSaveRecord">
    <vt:lpwstr>eyJoZGlkIjoiZTljYzUxZDIxMjIyOTQ5MTdiMjczMzEzYTBjYzFjZGEiLCJ1c2VySWQiOiIyOTQ1NzYwNTUifQ==</vt:lpwstr>
  </property>
</Properties>
</file>