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ascii="Arial" w:hAnsi="Arial" w:eastAsia="宋体" w:cs="Arial"/>
          <w:b/>
          <w:sz w:val="44"/>
          <w:szCs w:val="44"/>
          <w:lang w:eastAsia="zh-CN"/>
        </w:rPr>
        <w:t xml:space="preserve">2026年品牌赛事活动项目（第一批）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hint="eastAsia" w:ascii="Arial" w:hAnsi="Arial" w:eastAsia="宋体" w:cs="Arial"/>
          <w:b/>
          <w:sz w:val="84"/>
          <w:szCs w:val="84"/>
          <w:lang w:eastAsia="zh-CN"/>
        </w:rPr>
      </w:pPr>
      <w:r>
        <w:rPr>
          <w:rFonts w:ascii="Arial" w:hAnsi="Arial" w:eastAsia="宋体" w:cs="Arial"/>
          <w:b/>
          <w:sz w:val="84"/>
          <w:szCs w:val="84"/>
        </w:rPr>
        <w:t xml:space="preserve">招标文件</w:t>
      </w:r>
      <w:r>
        <w:rPr>
          <w:rFonts w:hint="eastAsia" w:ascii="Arial" w:hAnsi="Arial" w:eastAsia="宋体" w:cs="Arial"/>
          <w:b/>
          <w:sz w:val="84"/>
          <w:szCs w:val="84"/>
          <w:lang w:eastAsia="zh-CN"/>
        </w:rPr>
        <w:t xml:space="preserve">（</w:t>
      </w:r>
      <w:r>
        <w:rPr>
          <w:rFonts w:hint="eastAsia" w:ascii="Arial" w:hAnsi="Arial" w:eastAsia="宋体" w:cs="Arial"/>
          <w:b/>
          <w:sz w:val="84"/>
          <w:szCs w:val="84"/>
          <w:lang w:val="en-US" w:eastAsia="zh-CN"/>
        </w:rPr>
        <w:t xml:space="preserve">二次</w:t>
      </w:r>
      <w:r>
        <w:rPr>
          <w:rFonts w:hint="eastAsia" w:ascii="Arial" w:hAnsi="Arial" w:eastAsia="宋体" w:cs="Arial"/>
          <w:b/>
          <w:sz w:val="84"/>
          <w:szCs w:val="84"/>
          <w:lang w:eastAsia="zh-CN"/>
        </w:rPr>
        <w:t xml:space="preserve">）</w:t>
      </w:r>
      <w:r>
        <w:rPr>
          <w:rFonts w:hint="eastAsia" w:ascii="Arial" w:hAnsi="Arial" w:eastAsia="宋体" w:cs="Arial"/>
          <w:b/>
          <w:sz w:val="84"/>
          <w:szCs w:val="84"/>
          <w:lang w:eastAsia="zh-CN"/>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bCs/>
          <w:sz w:val="32"/>
        </w:rPr>
      </w:pPr>
      <w:r>
        <w:rPr>
          <w:rFonts w:ascii="Arial" w:hAnsi="Arial" w:eastAsia="宋体" w:cs="Arial"/>
          <w:bCs/>
          <w:sz w:val="32"/>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highlight w:val="none"/>
        </w:rPr>
        <w:t xml:space="preserve">项目编号：</w:t>
      </w:r>
      <w:r>
        <w:rPr>
          <w:rFonts w:hint="eastAsia" w:ascii="Arial" w:hAnsi="Arial" w:eastAsia="宋体" w:cs="Arial"/>
          <w:b/>
          <w:sz w:val="32"/>
          <w:szCs w:val="32"/>
          <w:highlight w:val="none"/>
          <w:lang w:eastAsia="zh-CN"/>
        </w:rPr>
        <w:t xml:space="preserve">JSZC-320000-SMDY-G2026-0037</w:t>
      </w:r>
      <w:r>
        <w:rPr>
          <w:rFonts w:ascii="Arial" w:hAnsi="Arial" w:eastAsia="宋体" w:cs="Arial"/>
          <w:b/>
          <w:sz w:val="32"/>
          <w:szCs w:val="32"/>
          <w:highlight w:val="none"/>
        </w:rPr>
        <w:t xml:space="preserve">（</w:t>
      </w:r>
      <w:r>
        <w:rPr>
          <w:rFonts w:ascii="Arial" w:hAnsi="Arial" w:eastAsia="宋体" w:cs="Arial"/>
          <w:b/>
          <w:sz w:val="32"/>
          <w:szCs w:val="32"/>
          <w:highlight w:val="none"/>
          <w:lang w:eastAsia="zh-CN"/>
        </w:rPr>
        <w:t xml:space="preserve">2640SUMEC/ZWGG2051</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w:t>
      </w:r>
      <w:r>
        <w:rPr>
          <w:rFonts w:hint="eastAsia" w:ascii="Arial" w:hAnsi="Arial" w:eastAsia="宋体" w:cs="Arial"/>
          <w:b/>
          <w:sz w:val="36"/>
          <w:szCs w:val="36"/>
          <w:lang w:val="en-US" w:eastAsia="zh-CN"/>
        </w:rPr>
        <w:t xml:space="preserve">5</w:t>
      </w:r>
      <w:r>
        <w:rPr>
          <w:rFonts w:ascii="Arial" w:hAnsi="Arial" w:eastAsia="宋体" w:cs="Arial"/>
          <w:b/>
          <w:sz w:val="36"/>
          <w:szCs w:val="36"/>
        </w:rPr>
        <w:t xml:space="preserve">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_Toc4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hint="eastAsia" w:ascii="Arial" w:hAnsi="Arial" w:eastAsia="宋体" w:cs="Arial"/>
          <w:szCs w:val="28"/>
          <w:lang w:eastAsia="zh-CN"/>
        </w:rPr>
        <w:t xml:space="preserve">（</w:t>
      </w:r>
      <w:r>
        <w:rPr>
          <w:rFonts w:hint="eastAsia" w:ascii="Arial" w:hAnsi="Arial" w:eastAsia="宋体" w:cs="Arial"/>
          <w:szCs w:val="28"/>
          <w:lang w:val="en-US" w:eastAsia="zh-CN"/>
        </w:rPr>
        <w:t xml:space="preserve">二次</w:t>
      </w:r>
      <w:r>
        <w:rPr>
          <w:rFonts w:hint="eastAsia" w:ascii="Arial" w:hAnsi="Arial" w:eastAsia="宋体" w:cs="Arial"/>
          <w:szCs w:val="28"/>
          <w:lang w:eastAsia="zh-CN"/>
        </w:rPr>
        <w:t xml:space="preserve">）</w:t>
      </w:r>
      <w:r>
        <w:tab/>
      </w:r>
      <w:r>
        <w:fldChar w:fldCharType="begin"/>
      </w:r>
      <w:r>
        <w:instrText xml:space="preserve"> PAGEREF _Toc4 \h </w:instrText>
      </w:r>
      <w:r>
        <w:fldChar w:fldCharType="separate"/>
      </w:r>
      <w:r>
        <w:t xml:space="preserve">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_Toc516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_Toc516 \h </w:instrText>
      </w:r>
      <w:r>
        <w:fldChar w:fldCharType="separate"/>
      </w:r>
      <w:r>
        <w:t xml:space="preserve">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_Toc21744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_Toc21744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_Toc13077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_Toc13077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_Toc11992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_Toc11992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_Toc26664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_Toc26664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_Toc10459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_Toc10459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_Toc2445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_Toc2445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_Toc1293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_Toc1293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_Toc26619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_Toc26619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_Toc29779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_Toc29779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_Toc20367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_Toc20367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_Toc7681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_Toc7681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_Toc12138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_Toc12138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_Toc28001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_Toc28001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_Toc25496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_Toc25496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_Toc7316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_Toc7316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_Toc23275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_Toc23275 \h </w:instrText>
      </w:r>
      <w:r>
        <w:fldChar w:fldCharType="separate"/>
      </w:r>
      <w:r>
        <w:t xml:space="preserve">12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_Toc28529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_Toc28529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_Toc24812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_Toc24812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_Toc26180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_Toc26180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_Toc21520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_Toc21520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_Toc12190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_Toc12190 \h </w:instrText>
      </w:r>
      <w:r>
        <w:fldChar w:fldCharType="separate"/>
      </w:r>
      <w:r>
        <w:t xml:space="preserve">13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_Toc4816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_Toc4816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_Toc6551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_Toc6551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_Toc32348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_Toc32348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_Toc1584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_Toc1584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_Toc10234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_Toc10234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_Toc17338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_Toc17338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_Toc9813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_Toc9813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_Toc29027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_Toc29027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_Toc14918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_Toc14918 \h </w:instrText>
      </w:r>
      <w:r>
        <w:fldChar w:fldCharType="separate"/>
      </w:r>
      <w:r>
        <w:t xml:space="preserve">18</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_Toc6503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_Toc6503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_Toc26330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_Toc26330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_Toc13675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_Toc13675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_Toc32426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_Toc32426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_Toc14091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_Toc14091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_Toc30903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_Toc30903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_Toc15796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_Toc15796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_Toc12652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_Toc12652 \h </w:instrText>
      </w:r>
      <w:r>
        <w:fldChar w:fldCharType="separate"/>
      </w:r>
      <w:r>
        <w:t xml:space="preserve">20</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_Toc11305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_Toc11305 \h </w:instrText>
      </w:r>
      <w:r>
        <w:fldChar w:fldCharType="separate"/>
      </w:r>
      <w:r>
        <w:t xml:space="preserve">21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_Toc8311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_Toc8311 \h </w:instrText>
      </w:r>
      <w:r>
        <w:fldChar w:fldCharType="separate"/>
      </w:r>
      <w:r>
        <w:t xml:space="preserve">24</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_Toc32073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_Toc32073 \h </w:instrText>
      </w:r>
      <w:r>
        <w:fldChar w:fldCharType="separate"/>
      </w:r>
      <w:r>
        <w:t xml:space="preserve">30</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_Toc1691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_Toc1691 \h </w:instrText>
      </w:r>
      <w:r>
        <w:fldChar w:fldCharType="separate"/>
      </w:r>
      <w:r>
        <w:t xml:space="preserve">34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_Toc19798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_Toc19798 \h </w:instrText>
      </w:r>
      <w:r>
        <w:fldChar w:fldCharType="separate"/>
      </w:r>
      <w:r>
        <w:t xml:space="preserve">36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_Toc17735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_Toc17735 \h </w:instrText>
      </w:r>
      <w:r>
        <w:fldChar w:fldCharType="separate"/>
      </w:r>
      <w:r>
        <w:t xml:space="preserve">37</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_Toc23677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_Toc23677 \h </w:instrText>
      </w:r>
      <w:r>
        <w:fldChar w:fldCharType="separate"/>
      </w:r>
      <w:r>
        <w:t xml:space="preserve">38</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_Toc27607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_Toc27607 \h </w:instrText>
      </w:r>
      <w:r>
        <w:fldChar w:fldCharType="separate"/>
      </w:r>
      <w:r>
        <w:t xml:space="preserve">39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_Toc23074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_Toc23074 \h </w:instrText>
      </w:r>
      <w:r>
        <w:fldChar w:fldCharType="separate"/>
      </w:r>
      <w:r>
        <w:t xml:space="preserve">40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_Toc6926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_Toc6926 \h </w:instrText>
      </w:r>
      <w:r>
        <w:fldChar w:fldCharType="separate"/>
      </w:r>
      <w:r>
        <w:t xml:space="preserve">41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_Toc4493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_Toc4493 \h </w:instrText>
      </w:r>
      <w:r>
        <w:fldChar w:fldCharType="separate"/>
      </w:r>
      <w:r>
        <w:t xml:space="preserve">41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_Toc11323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_Toc11323 \h </w:instrText>
      </w:r>
      <w:r>
        <w:fldChar w:fldCharType="separate"/>
      </w:r>
      <w:r>
        <w:t xml:space="preserve">41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_Toc9186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_Toc9186 \h </w:instrText>
      </w:r>
      <w:r>
        <w:fldChar w:fldCharType="separate"/>
      </w:r>
      <w:r>
        <w:t xml:space="preserve">43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_Toc24398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_Toc24398 \h </w:instrText>
      </w:r>
      <w:r>
        <w:fldChar w:fldCharType="separate"/>
      </w:r>
      <w:r>
        <w:t xml:space="preserve">44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_Toc6549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_Toc6549 \h </w:instrText>
      </w:r>
      <w:r>
        <w:fldChar w:fldCharType="separate"/>
      </w:r>
      <w:r>
        <w:t xml:space="preserve">47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_Toc27146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_Toc27146 \h </w:instrText>
      </w:r>
      <w:r>
        <w:fldChar w:fldCharType="separate"/>
      </w:r>
      <w:r>
        <w:t xml:space="preserve">47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_Toc27645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_Toc27645 \h </w:instrText>
      </w:r>
      <w:r>
        <w:fldChar w:fldCharType="separate"/>
      </w:r>
      <w:r>
        <w:t xml:space="preserve">48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_Toc30883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_Toc30883 \h </w:instrText>
      </w:r>
      <w:r>
        <w:fldChar w:fldCharType="separate"/>
      </w:r>
      <w:r>
        <w:t xml:space="preserve">49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_Toc5603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_Toc5603 \h </w:instrText>
      </w:r>
      <w:r>
        <w:fldChar w:fldCharType="separate"/>
      </w:r>
      <w:r>
        <w:t xml:space="preserve">50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_Toc17529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_Toc17529 \h </w:instrText>
      </w:r>
      <w:r>
        <w:fldChar w:fldCharType="separate"/>
      </w:r>
      <w:r>
        <w:t xml:space="preserve">51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_Toc30181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_Toc30181 \h </w:instrText>
      </w:r>
      <w:r>
        <w:fldChar w:fldCharType="separate"/>
      </w:r>
      <w:r>
        <w:t xml:space="preserve">52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_Toc31114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_Toc31114 \h </w:instrText>
      </w:r>
      <w:r>
        <w:fldChar w:fldCharType="separate"/>
      </w:r>
      <w:r>
        <w:t xml:space="preserve">53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_Toc30863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_Toc30863 \h </w:instrText>
      </w:r>
      <w:r>
        <w:fldChar w:fldCharType="separate"/>
      </w:r>
      <w:r>
        <w:t xml:space="preserve">54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_Toc10382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_Toc10382 \h </w:instrText>
      </w:r>
      <w:r>
        <w:fldChar w:fldCharType="separate"/>
      </w:r>
      <w:r>
        <w:t xml:space="preserve">55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_Toc28823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_Toc28823 \h </w:instrText>
      </w:r>
      <w:r>
        <w:fldChar w:fldCharType="separate"/>
      </w:r>
      <w:r>
        <w:t xml:space="preserve">56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_Toc13020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_Toc13020 \h </w:instrText>
      </w:r>
      <w:r>
        <w:fldChar w:fldCharType="separate"/>
      </w:r>
      <w:r>
        <w:t xml:space="preserve">57</w:t>
      </w:r>
      <w:r>
        <w:fldChar w:fldCharType="end"/>
      </w:r>
      <w:r>
        <w:rPr>
          <w:rFonts w:ascii="Arial" w:hAnsi="Arial" w:eastAsia="宋体" w:cs="Arial"/>
          <w:bCs/>
        </w:rPr>
        <w:fldChar w:fldCharType="end"/>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Arial" w:hAnsi="Arial" w:eastAsia="宋体" w:cs="Arial"/>
          <w:b/>
          <w:sz w:val="28"/>
          <w:szCs w:val="28"/>
        </w:rPr>
      </w:r>
      <w:r/>
    </w:p>
    <w:p>
      <w:pPr>
        <w:pStyle w:val="1432"/>
        <w:jc w:val="center"/>
        <w:spacing w:line="360" w:lineRule="auto"/>
        <w:rPr>
          <w:rFonts w:hint="eastAsia" w:ascii="Arial" w:hAnsi="Arial" w:eastAsia="宋体" w:cs="Arial"/>
          <w:b/>
          <w:sz w:val="44"/>
          <w:lang w:eastAsia="zh-CN"/>
        </w:rPr>
        <w:outlineLvl w:val="0"/>
      </w:pPr>
      <w:r/>
      <w:bookmarkStart w:id="2" w:name="_Toc4"/>
      <w:r>
        <w:rPr>
          <w:rFonts w:ascii="Arial" w:hAnsi="Arial" w:eastAsia="宋体" w:cs="Arial"/>
          <w:b/>
          <w:sz w:val="28"/>
          <w:szCs w:val="28"/>
        </w:rPr>
        <w:t xml:space="preserve">第一章 投标邀请（招标公告）</w:t>
      </w:r>
      <w:bookmarkEnd w:id="0"/>
      <w:r/>
      <w:bookmarkEnd w:id="1"/>
      <w:r>
        <w:rPr>
          <w:rFonts w:hint="eastAsia" w:ascii="Arial" w:hAnsi="Arial" w:eastAsia="宋体" w:cs="Arial"/>
          <w:b/>
          <w:sz w:val="28"/>
          <w:szCs w:val="28"/>
          <w:lang w:eastAsia="zh-CN"/>
        </w:rPr>
        <w:t xml:space="preserve">（</w:t>
      </w:r>
      <w:r>
        <w:rPr>
          <w:rFonts w:hint="eastAsia" w:ascii="Arial" w:hAnsi="Arial" w:eastAsia="宋体" w:cs="Arial"/>
          <w:b/>
          <w:sz w:val="28"/>
          <w:szCs w:val="28"/>
          <w:lang w:val="en-US" w:eastAsia="zh-CN"/>
        </w:rPr>
        <w:t xml:space="preserve">二次</w:t>
      </w:r>
      <w:r>
        <w:rPr>
          <w:rFonts w:hint="eastAsia" w:ascii="Arial" w:hAnsi="Arial" w:eastAsia="宋体" w:cs="Arial"/>
          <w:b/>
          <w:sz w:val="28"/>
          <w:szCs w:val="28"/>
          <w:lang w:eastAsia="zh-CN"/>
        </w:rPr>
        <w:t xml:space="preserve">）</w:t>
      </w:r>
      <w:bookmarkEnd w:id="2"/>
      <w:r>
        <w:rPr>
          <w:rFonts w:hint="eastAsia" w:ascii="Arial" w:hAnsi="Arial" w:eastAsia="宋体" w:cs="Arial"/>
          <w:b/>
          <w:sz w:val="44"/>
          <w:lang w:eastAsia="zh-CN"/>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 xml:space="preserve">2026年品牌赛事活动项目（第一批）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6</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w:t>
      </w:r>
      <w:r>
        <w:rPr>
          <w:rFonts w:hint="eastAsia" w:ascii="Arial" w:hAnsi="Arial" w:eastAsia="宋体" w:cs="Arial"/>
          <w:bCs/>
          <w:szCs w:val="21"/>
          <w:highlight w:val="none"/>
          <w:u w:val="single"/>
          <w:lang w:val="en-US" w:eastAsia="zh-CN"/>
        </w:rPr>
        <w:t xml:space="preserve">0</w:t>
      </w:r>
      <w:r>
        <w:rPr>
          <w:rFonts w:ascii="Arial" w:hAnsi="Arial" w:eastAsia="宋体" w:cs="Arial"/>
          <w:bCs/>
          <w:szCs w:val="21"/>
          <w:highlight w:val="none"/>
          <w:u w:val="single"/>
        </w:rPr>
        <w:t xml:space="preserve">日</w:t>
      </w:r>
      <w:r>
        <w:rPr>
          <w:rFonts w:hint="eastAsia" w:ascii="Arial" w:hAnsi="Arial" w:eastAsia="宋体" w:cs="Arial"/>
          <w:bCs/>
          <w:szCs w:val="21"/>
          <w:highlight w:val="none"/>
          <w:u w:val="single"/>
          <w:lang w:val="en-US" w:eastAsia="zh-CN"/>
        </w:rPr>
        <w:t xml:space="preserve">9</w:t>
      </w:r>
      <w:r>
        <w:rPr>
          <w:rFonts w:ascii="Arial" w:hAnsi="Arial" w:eastAsia="宋体" w:cs="Arial"/>
          <w:bCs/>
          <w:szCs w:val="21"/>
          <w:highlight w:val="none"/>
          <w:u w:val="single"/>
        </w:rPr>
        <w:t xml:space="preserve">点</w:t>
      </w:r>
      <w:r>
        <w:rPr>
          <w:rFonts w:ascii="Arial" w:hAnsi="Arial" w:eastAsia="宋体" w:cs="Arial"/>
          <w:bCs/>
          <w:szCs w:val="21"/>
          <w:highlight w:val="none"/>
          <w:u w:val="single"/>
          <w:lang w:val="en-US" w:eastAsia="zh-CN"/>
        </w:rPr>
        <w:t xml:space="preserve">30分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35393621"/>
      <w:r/>
      <w:bookmarkStart w:id="4" w:name="_Toc28359079"/>
      <w:r/>
      <w:bookmarkStart w:id="5" w:name="_Toc35393790"/>
      <w:r/>
      <w:bookmarkStart w:id="6" w:name="_Toc28359002"/>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JSZC-320000-SMDY-G2026-0037</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ascii="Arial" w:hAnsi="Arial" w:eastAsia="宋体" w:cs="Arial"/>
          <w:szCs w:val="21"/>
          <w:lang w:eastAsia="zh-CN"/>
        </w:rPr>
        <w:t xml:space="preserve">2026年品牌赛事活动项目（第一批）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150</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本项目</w:t>
      </w:r>
      <w:r>
        <w:rPr>
          <w:rFonts w:ascii="Arial" w:hAnsi="Arial" w:eastAsia="宋体" w:cs="Arial"/>
          <w:szCs w:val="21"/>
          <w:lang w:val="en-US" w:eastAsia="zh-CN"/>
        </w:rPr>
        <w:t xml:space="preserve">第一批</w:t>
      </w:r>
      <w:r>
        <w:rPr>
          <w:rFonts w:ascii="Arial" w:hAnsi="Arial" w:eastAsia="宋体" w:cs="Arial"/>
          <w:szCs w:val="21"/>
        </w:rPr>
        <w:t xml:space="preserve">共采购</w:t>
      </w:r>
      <w:r>
        <w:rPr>
          <w:rFonts w:hint="eastAsia" w:ascii="Arial" w:hAnsi="Arial" w:eastAsia="宋体" w:cs="Arial"/>
          <w:szCs w:val="21"/>
          <w:lang w:val="en-US" w:eastAsia="zh-CN"/>
        </w:rPr>
        <w:t xml:space="preserve">4</w:t>
      </w:r>
      <w:r>
        <w:rPr>
          <w:rFonts w:ascii="Arial" w:hAnsi="Arial" w:eastAsia="宋体" w:cs="Arial"/>
          <w:szCs w:val="21"/>
        </w:rPr>
        <w:t xml:space="preserve">个分包。</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86"/>
        <w:gridCol w:w="1500"/>
        <w:gridCol w:w="1184"/>
      </w:tblGrid>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319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5</w:t>
            </w:r>
            <w:r>
              <w:rPr>
                <w:rFonts w:ascii="Arial" w:hAnsi="Arial" w:eastAsia="宋体" w:cs="Arial"/>
                <w:b w:val="0"/>
                <w:bCs/>
                <w:sz w:val="21"/>
                <w:szCs w:val="21"/>
              </w:rPr>
            </w:r>
            <w:r/>
          </w:p>
        </w:tc>
        <w:tc>
          <w:tcPr>
            <w:tcW w:w="3193"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最美体育”-“无与轮比”江苏省轮滑俱乐部联赛</w:t>
            </w:r>
            <w:r>
              <w:rPr>
                <w:rFonts w:ascii="Arial" w:hAnsi="Arial" w:eastAsia="宋体" w:cs="Arial"/>
                <w:sz w:val="21"/>
                <w:szCs w:val="21"/>
                <w:highlight w:val="none"/>
                <w:lang w:val="en-US" w:eastAsia="zh-CN" w:bidi="ar"/>
              </w:rPr>
            </w:r>
            <w:r/>
          </w:p>
        </w:tc>
        <w:tc>
          <w:tcPr>
            <w:tcW w:w="787"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w:t>
            </w:r>
            <w:r>
              <w:rPr>
                <w:rFonts w:ascii="Arial" w:hAnsi="Arial" w:eastAsia="宋体" w:cs="Arial"/>
                <w:i w:val="0"/>
                <w:iCs w:val="0"/>
                <w:color w:val="000000"/>
                <w:sz w:val="21"/>
                <w:szCs w:val="21"/>
                <w:u w:val="none"/>
                <w:lang w:val="en-US" w:eastAsia="zh-CN" w:bidi="ar"/>
              </w:rPr>
              <w:t xml:space="preserve">月</w:t>
            </w:r>
            <w:r>
              <w:rPr>
                <w:rFonts w:ascii="Arial" w:hAnsi="Arial" w:eastAsia="宋体" w:cs="Arial"/>
                <w:i w:val="0"/>
                <w:iCs w:val="0"/>
                <w:color w:val="000000"/>
                <w:sz w:val="21"/>
                <w:szCs w:val="21"/>
                <w:u w:val="none"/>
                <w:lang w:val="en-US" w:eastAsia="zh-CN" w:bidi="ar"/>
              </w:rPr>
              <w:t xml:space="preserve">-11月</w:t>
            </w: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7</w:t>
            </w:r>
            <w:r>
              <w:rPr>
                <w:rFonts w:ascii="Arial" w:hAnsi="Arial" w:eastAsia="宋体" w:cs="Arial"/>
                <w:b w:val="0"/>
                <w:bCs/>
                <w:sz w:val="21"/>
                <w:szCs w:val="21"/>
              </w:rPr>
            </w:r>
            <w:r/>
          </w:p>
        </w:tc>
        <w:tc>
          <w:tcPr>
            <w:tcW w:w="3193"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最美体育”-“骑乐无穷”江苏省自行车俱乐部联赛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8</w:t>
            </w:r>
            <w:r>
              <w:rPr>
                <w:rFonts w:ascii="Arial" w:hAnsi="Arial" w:eastAsia="宋体" w:cs="Arial"/>
                <w:b w:val="0"/>
                <w:bCs/>
                <w:sz w:val="21"/>
                <w:szCs w:val="21"/>
              </w:rPr>
            </w:r>
            <w:r/>
          </w:p>
        </w:tc>
        <w:tc>
          <w:tcPr>
            <w:tcW w:w="3193"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最美体育”-“奔跑江苏”乡村健身跑系列赛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55</w:t>
            </w:r>
            <w:r>
              <w:rPr>
                <w:rFonts w:ascii="Arial" w:hAnsi="Arial" w:eastAsia="宋体" w:cs="Arial"/>
                <w:b w:val="0"/>
                <w:bCs/>
                <w:sz w:val="21"/>
                <w:szCs w:val="21"/>
                <w:highlight w:val="none"/>
                <w:u w:val="none"/>
                <w:lang w:val="en-US" w:eastAsia="zh-CN"/>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11</w:t>
            </w:r>
            <w:r>
              <w:rPr>
                <w:rFonts w:ascii="Arial" w:hAnsi="Arial" w:eastAsia="宋体" w:cs="Arial"/>
                <w:b w:val="0"/>
                <w:bCs/>
                <w:sz w:val="21"/>
                <w:szCs w:val="21"/>
              </w:rPr>
            </w:r>
            <w:r/>
          </w:p>
        </w:tc>
        <w:tc>
          <w:tcPr>
            <w:tcW w:w="3193"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最美体育”-“冬梦金陵”江苏省青少年冰球（冰壶）俱乐部联赛</w:t>
            </w:r>
            <w:r>
              <w:rPr>
                <w:rFonts w:ascii="Arial" w:hAnsi="Arial" w:eastAsia="宋体" w:cs="Arial"/>
                <w:sz w:val="21"/>
                <w:szCs w:val="21"/>
                <w:highlight w:val="none"/>
                <w:lang w:val="en-US" w:eastAsia="zh-CN" w:bidi="ar"/>
              </w:rPr>
            </w:r>
            <w:r/>
          </w:p>
        </w:tc>
        <w:tc>
          <w:tcPr>
            <w:tcW w:w="787"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2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r>
    </w:tbl>
    <w:p>
      <w:pPr>
        <w:pStyle w:val="1432"/>
        <w:ind w:firstLine="211"/>
        <w:spacing w:line="460" w:lineRule="exact"/>
        <w:rPr>
          <w:rFonts w:ascii="Arial" w:hAnsi="Arial" w:eastAsia="宋体" w:cs="Arial"/>
          <w:b/>
          <w:bCs/>
          <w:szCs w:val="21"/>
          <w:lang w:val="en-US" w:eastAsia="zh-CN"/>
        </w:rPr>
      </w:pPr>
      <w:r>
        <w:rPr>
          <w:rFonts w:ascii="Arial" w:hAnsi="Arial" w:eastAsia="宋体" w:cs="Arial"/>
          <w:b/>
          <w:bCs/>
          <w:szCs w:val="21"/>
          <w:lang w:val="en-US" w:eastAsia="zh-CN"/>
        </w:rPr>
        <w:t xml:space="preserve">注：供应商可分别对</w:t>
      </w:r>
      <w:r>
        <w:rPr>
          <w:rFonts w:hint="eastAsia" w:ascii="Arial" w:hAnsi="Arial" w:eastAsia="宋体" w:cs="Arial"/>
          <w:b/>
          <w:bCs/>
          <w:szCs w:val="21"/>
          <w:lang w:val="en-US" w:eastAsia="zh-CN"/>
        </w:rPr>
        <w:t xml:space="preserve">上述</w:t>
      </w:r>
      <w:r>
        <w:rPr>
          <w:rFonts w:ascii="Arial" w:hAnsi="Arial" w:eastAsia="宋体" w:cs="Arial"/>
          <w:b/>
          <w:bCs/>
          <w:szCs w:val="21"/>
          <w:lang w:val="en-US" w:eastAsia="zh-CN"/>
        </w:rPr>
        <w:t xml:space="preserve">个分包进行投标，本项目按分包正顺序评标，以此类推。为保证服务质量，每个分包确定不同的供应商中标（兼投不兼中），故确定为前一分包的第一中标候选人的，不再继续参与其后所投分包的评审。</w:t>
      </w:r>
      <w:r>
        <w:rPr>
          <w:rFonts w:ascii="Arial" w:hAnsi="Arial" w:eastAsia="宋体" w:cs="Arial"/>
          <w:b/>
          <w:bCs/>
          <w:szCs w:val="21"/>
          <w:lang w:val="en-US" w:eastAsia="zh-CN"/>
        </w:rPr>
      </w:r>
      <w:r/>
    </w:p>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28359080"/>
      <w:r/>
      <w:bookmarkStart w:id="9" w:name="_Toc35393791"/>
      <w:r/>
      <w:bookmarkStart w:id="10" w:name="_Toc35393622"/>
      <w:r/>
      <w:bookmarkStart w:id="11" w:name="_Toc28359003"/>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04"/>
      <w:r/>
      <w:bookmarkStart w:id="13" w:name="_Toc28359081"/>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）拒绝下述投标人参加本次采购活动的情形：</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①投标人单位负责人为同一人或者存在直接控股、管理关系的不同投标人，不得参加同一合同项下的政府采购活动。</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②凡为采购项目提供整体设计、规范编制或者项目管理、监理、检测等服务的投标人，不得再参加本项目的采购活动。</w:t>
      </w:r>
      <w:r>
        <w:rPr>
          <w:rFonts w:hint="eastAsia" w:ascii="宋体" w:hAnsi="宋体" w:eastAsia="宋体" w:cs="宋体"/>
          <w:szCs w:val="21"/>
        </w:rPr>
      </w:r>
      <w:r/>
    </w:p>
    <w:p>
      <w:pPr>
        <w:pStyle w:val="1432"/>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③拒绝列入失信被执行人、重大税收违法案件当事人名单、政府采购严重违法失信行为记录名单的投标人参与政府采购活动。</w:t>
      </w:r>
      <w:r>
        <w:rPr>
          <w:rFonts w:hint="eastAsia" w:ascii="宋体" w:hAnsi="宋体" w:eastAsia="宋体" w:cs="宋体"/>
          <w:bCs/>
          <w:szCs w:val="21"/>
        </w:rPr>
        <w:t xml:space="preserve">采购代理机构在评标时</w:t>
      </w:r>
      <w:r>
        <w:rPr>
          <w:rFonts w:hint="eastAsia" w:ascii="宋体" w:hAnsi="宋体" w:eastAsia="宋体" w:cs="宋体"/>
          <w:szCs w:val="21"/>
        </w:rPr>
        <w:t xml:space="preserve">通过“信用中国”网站(www.creditchina.gov.cn)、中国政府采购网(www.ccgp.gov.cn)等渠道查询投标人在</w:t>
      </w:r>
      <w:r>
        <w:rPr>
          <w:rFonts w:hint="eastAsia" w:ascii="宋体" w:hAnsi="宋体" w:eastAsia="宋体" w:cs="宋体"/>
          <w:b/>
          <w:bCs/>
        </w:rPr>
        <w:t xml:space="preserve">递交投标文件截止之日24时前</w:t>
      </w:r>
      <w:r>
        <w:rPr>
          <w:rFonts w:hint="eastAsia" w:ascii="宋体" w:hAnsi="宋体" w:eastAsia="宋体" w:cs="宋体"/>
          <w:szCs w:val="21"/>
        </w:rPr>
        <w:t xml:space="preserve">的信用记录并保存。</w:t>
      </w:r>
      <w:bookmarkStart w:id="14" w:name="_Toc35393792"/>
      <w:r/>
      <w:bookmarkStart w:id="15" w:name="_Toc35393623"/>
      <w:r>
        <w:rPr>
          <w:rFonts w:hint="eastAsia" w:ascii="宋体" w:hAnsi="宋体" w:eastAsia="宋体" w:cs="宋体"/>
          <w:szCs w:val="21"/>
        </w:rPr>
      </w:r>
      <w:r/>
    </w:p>
    <w:p>
      <w:pPr>
        <w:pStyle w:val="1443"/>
        <w:ind w:left="0"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（2）中标后不允许转包、分包。</w:t>
      </w:r>
      <w:r>
        <w:rPr>
          <w:rFonts w:hint="eastAsia" w:ascii="宋体" w:hAnsi="宋体" w:eastAsia="宋体" w:cs="宋体"/>
          <w:sz w:val="21"/>
          <w:szCs w:val="21"/>
          <w:lang w:val="en-US" w:eastAsia="zh-CN" w:bidi="ar-SA"/>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624"/>
      <w:r/>
      <w:bookmarkStart w:id="19" w:name="_Toc35393793"/>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35393794"/>
      <w:r/>
      <w:bookmarkStart w:id="21" w:name="_Toc28359084"/>
      <w:r/>
      <w:bookmarkStart w:id="22" w:name="_Toc28359007"/>
      <w:r/>
      <w:bookmarkStart w:id="23" w:name="_Toc35393625"/>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6</w:t>
      </w:r>
      <w:r>
        <w:rPr>
          <w:rFonts w:ascii="Arial" w:hAnsi="Arial" w:eastAsia="宋体" w:cs="Arial"/>
          <w:highlight w:val="none"/>
        </w:rPr>
        <w:t xml:space="preserve">月</w:t>
      </w:r>
      <w:r>
        <w:rPr>
          <w:rFonts w:hint="eastAsia" w:ascii="Arial" w:hAnsi="Arial" w:eastAsia="宋体" w:cs="Arial"/>
          <w:highlight w:val="none"/>
          <w:lang w:val="en-US" w:eastAsia="zh-CN"/>
        </w:rPr>
        <w:t xml:space="preserve">10</w:t>
      </w:r>
      <w:r>
        <w:rPr>
          <w:rFonts w:ascii="Arial" w:hAnsi="Arial" w:eastAsia="宋体" w:cs="Arial"/>
          <w:highlight w:val="none"/>
        </w:rPr>
        <w:t xml:space="preserve">日</w:t>
      </w:r>
      <w:r>
        <w:rPr>
          <w:rFonts w:ascii="Arial" w:hAnsi="Arial" w:eastAsia="宋体" w:cs="Arial"/>
          <w:highlight w:val="none"/>
          <w:lang w:val="en-US" w:eastAsia="zh-CN"/>
        </w:rPr>
        <w:t xml:space="preserve">09</w:t>
      </w:r>
      <w:r>
        <w:rPr>
          <w:rFonts w:ascii="Arial" w:hAnsi="Arial" w:eastAsia="宋体" w:cs="Arial"/>
          <w:highlight w:val="none"/>
        </w:rPr>
        <w:t xml:space="preserve">点</w:t>
      </w:r>
      <w:r>
        <w:rPr>
          <w:rFonts w:ascii="Arial" w:hAnsi="Arial" w:eastAsia="宋体" w:cs="Arial"/>
          <w:highlight w:val="none"/>
          <w:lang w:val="en-US" w:eastAsia="zh-CN"/>
        </w:rPr>
        <w:t xml:space="preserve">3</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795"/>
      <w:r/>
      <w:bookmarkStart w:id="25" w:name="_Toc35393626"/>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28359008"/>
      <w:r/>
      <w:bookmarkStart w:id="27" w:name="_Toc35393627"/>
      <w:r/>
      <w:bookmarkStart w:id="28" w:name="_Toc28359085"/>
      <w:r/>
      <w:bookmarkStart w:id="29" w:name="_Toc35393796"/>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间：2026年</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20</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27</w:t>
      </w:r>
      <w:r>
        <w:rPr>
          <w:rFonts w:ascii="Arial" w:hAnsi="Arial" w:eastAsia="宋体" w:cs="Arial"/>
          <w:szCs w:val="21"/>
          <w:highlight w:val="none"/>
          <w:lang w:val="en-US" w:eastAsia="zh-CN"/>
        </w:rPr>
        <w:t xml:space="preserve">日，</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JSZC-320000-SMDY-G2026-0037</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10"/>
      <w:r/>
      <w:bookmarkStart w:id="33" w:name="_Toc28359087"/>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28996"/>
      <w:r/>
      <w:bookmarkStart w:id="35" w:name="_Toc519"/>
      <w:r/>
      <w:bookmarkStart w:id="36" w:name="_Toc516"/>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ascii="Arial" w:hAnsi="Arial" w:eastAsia="宋体" w:cs="Arial"/>
                <w:color w:val="000000"/>
                <w:szCs w:val="21"/>
                <w:highlight w:val="none"/>
                <w:lang w:eastAsia="zh-CN"/>
              </w:rPr>
              <w:t xml:space="preserve">2026年品牌赛事活动项目（第一批）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JSZC-320000-SMDY-G2026-0037</w:t>
            </w:r>
            <w:r>
              <w:rPr>
                <w:rFonts w:ascii="Arial" w:hAnsi="Arial" w:eastAsia="宋体" w:cs="Arial"/>
                <w:szCs w:val="21"/>
                <w:highlight w:val="none"/>
              </w:rPr>
              <w:t xml:space="preserve">（</w:t>
            </w:r>
            <w:r>
              <w:rPr>
                <w:rFonts w:ascii="Arial" w:hAnsi="Arial" w:eastAsia="宋体" w:cs="Arial"/>
                <w:szCs w:val="21"/>
                <w:highlight w:val="none"/>
                <w:lang w:eastAsia="zh-CN"/>
              </w:rPr>
              <w:t xml:space="preserve">2640SUMEC/ZWGG2051</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21744"/>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5219"/>
      <w:r/>
      <w:bookmarkStart w:id="41" w:name="_Toc3951"/>
      <w:r/>
      <w:bookmarkStart w:id="42" w:name="_Toc13077"/>
      <w:r/>
      <w:bookmarkStart w:id="43" w:name="_Toc20823276"/>
      <w:r/>
      <w:bookmarkStart w:id="44" w:name="_Toc458694821"/>
      <w:r/>
      <w:bookmarkStart w:id="45" w:name="_Toc16938520"/>
      <w:r/>
      <w:bookmarkStart w:id="46" w:name="_Toc513029204"/>
      <w:r/>
      <w:bookmarkStart w:id="47" w:name="_Toc24947"/>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10994"/>
      <w:r/>
      <w:bookmarkStart w:id="49" w:name="_Toc6911"/>
      <w:r/>
      <w:bookmarkStart w:id="50" w:name="_Toc11992"/>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26664"/>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17711"/>
      <w:r/>
      <w:bookmarkStart w:id="53" w:name="_Toc20823279"/>
      <w:r/>
      <w:bookmarkStart w:id="54" w:name="_Toc513029207"/>
      <w:r/>
      <w:bookmarkStart w:id="55" w:name="_Toc16938523"/>
      <w:r/>
      <w:bookmarkStart w:id="56" w:name="_Toc13991"/>
      <w:r/>
      <w:bookmarkStart w:id="57" w:name="_Toc4759"/>
      <w:r/>
      <w:bookmarkStart w:id="58" w:name="_Toc462564067"/>
      <w:r/>
      <w:bookmarkStart w:id="59" w:name="_Toc10459"/>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344"/>
      <w:r/>
      <w:bookmarkStart w:id="61" w:name="_Toc20613"/>
      <w:r/>
      <w:bookmarkStart w:id="62" w:name="_Toc2445"/>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16938525"/>
      <w:r/>
      <w:bookmarkStart w:id="64" w:name="_Toc513029209"/>
      <w:r/>
      <w:bookmarkStart w:id="65" w:name="_Toc15035"/>
      <w:r/>
      <w:bookmarkStart w:id="66" w:name="_Toc20823281"/>
      <w:r/>
      <w:bookmarkStart w:id="67" w:name="_Toc120614215"/>
      <w:r/>
      <w:bookmarkStart w:id="68" w:name="_Toc15606"/>
      <w:r/>
      <w:bookmarkStart w:id="69" w:name="_Toc1293"/>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31631"/>
      <w:r/>
      <w:bookmarkStart w:id="71" w:name="_Toc16938526"/>
      <w:r/>
      <w:bookmarkStart w:id="72" w:name="_Toc20823282"/>
      <w:r/>
      <w:bookmarkStart w:id="73" w:name="_Toc16370"/>
      <w:r/>
      <w:bookmarkStart w:id="74" w:name="_Toc513029210"/>
      <w:r/>
      <w:bookmarkStart w:id="75" w:name="_Toc26619"/>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4415"/>
      <w:r/>
      <w:bookmarkStart w:id="77" w:name="_Toc15040"/>
      <w:r/>
      <w:bookmarkStart w:id="78" w:name="_Toc29779"/>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26883"/>
      <w:r/>
      <w:bookmarkStart w:id="81" w:name="_Toc20367"/>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7513"/>
      <w:r/>
      <w:bookmarkStart w:id="84" w:name="_Toc7681"/>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31000"/>
      <w:r/>
      <w:bookmarkStart w:id="88" w:name="_Toc12138"/>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23063"/>
      <w:r/>
      <w:bookmarkStart w:id="91" w:name="_Toc28001"/>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32484"/>
      <w:r/>
      <w:bookmarkStart w:id="93" w:name="_Toc12595"/>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25496"/>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10832"/>
      <w:r/>
      <w:bookmarkStart w:id="97" w:name="_Toc7316"/>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18186"/>
      <w:r/>
      <w:bookmarkStart w:id="100" w:name="_Toc23275"/>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3725"/>
      <w:r/>
      <w:bookmarkStart w:id="103" w:name="_Toc28529"/>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24812"/>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21766"/>
      <w:r/>
      <w:bookmarkStart w:id="108" w:name="_Toc14747"/>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26180"/>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4422"/>
      <w:r/>
      <w:bookmarkStart w:id="111" w:name="_Toc10963"/>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21520"/>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27692"/>
      <w:r/>
      <w:bookmarkStart w:id="116" w:name="_Toc32211"/>
      <w:r/>
      <w:bookmarkStart w:id="117" w:name="_Toc3512"/>
      <w:r/>
      <w:bookmarkStart w:id="118" w:name="_Toc12190"/>
      <w:r/>
      <w:bookmarkStart w:id="119" w:name="_Toc24233"/>
      <w:r/>
      <w:bookmarkStart w:id="120" w:name="_Toc20823301"/>
      <w:r/>
      <w:bookmarkStart w:id="121" w:name="_Toc513029229"/>
      <w:r/>
      <w:bookmarkStart w:id="122" w:name="_Toc16938545"/>
      <w:r/>
      <w:bookmarkStart w:id="123" w:name="_Toc120614218"/>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4816"/>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13829"/>
      <w:r/>
      <w:bookmarkStart w:id="127" w:name="_Toc201"/>
      <w:r/>
      <w:bookmarkStart w:id="128" w:name="_Toc3679"/>
      <w:r/>
      <w:bookmarkStart w:id="129" w:name="_Toc15345"/>
      <w:r/>
      <w:bookmarkStart w:id="130" w:name="_Toc6551"/>
      <w:r/>
      <w:bookmarkStart w:id="131" w:name="OLE_LINK3"/>
      <w:r/>
      <w:bookmarkStart w:id="132" w:name="OLE_LINK7"/>
      <w:r/>
      <w:bookmarkStart w:id="133" w:name="_Toc6944"/>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29284"/>
      <w:r/>
      <w:bookmarkStart w:id="136" w:name="_Toc513029231"/>
      <w:r/>
      <w:bookmarkStart w:id="137" w:name="_Toc16938547"/>
      <w:r/>
      <w:bookmarkStart w:id="138" w:name="_Toc20823303"/>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32348"/>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862"/>
      <w:r/>
      <w:bookmarkStart w:id="141" w:name="_Toc21772"/>
      <w:r/>
      <w:bookmarkStart w:id="142" w:name="_Toc26401"/>
      <w:r/>
      <w:bookmarkStart w:id="143" w:name="_Toc1584"/>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10234"/>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17338"/>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12358"/>
      <w:r/>
      <w:bookmarkStart w:id="151" w:name="_Toc21985"/>
      <w:r/>
      <w:bookmarkStart w:id="152" w:name="_Toc2887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9813"/>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26041"/>
      <w:r/>
      <w:bookmarkStart w:id="156" w:name="_Toc30824"/>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21168"/>
      <w:r/>
      <w:bookmarkStart w:id="159" w:name="_Toc29027"/>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14918"/>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5044"/>
      <w:r/>
      <w:bookmarkStart w:id="163" w:name="_Toc6503"/>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6735"/>
      <w:r/>
      <w:bookmarkStart w:id="166" w:name="_Toc26330"/>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17252"/>
      <w:r/>
      <w:bookmarkStart w:id="169" w:name="_Toc19713"/>
      <w:r/>
      <w:bookmarkStart w:id="170" w:name="_Toc21169"/>
      <w:r/>
      <w:bookmarkStart w:id="171" w:name="_Toc32182"/>
      <w:r/>
      <w:bookmarkStart w:id="172" w:name="_Toc13675"/>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15484"/>
      <w:r/>
      <w:bookmarkStart w:id="175" w:name="_Toc28003"/>
      <w:r/>
      <w:bookmarkStart w:id="176" w:name="_Toc2049"/>
      <w:r/>
      <w:bookmarkStart w:id="177" w:name="_Toc32426"/>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1230"/>
      <w:r/>
      <w:bookmarkStart w:id="181" w:name="_Toc15509"/>
      <w:r/>
      <w:bookmarkStart w:id="182" w:name="_Toc14091"/>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30903"/>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16085"/>
      <w:r/>
      <w:bookmarkStart w:id="187" w:name="_Toc29529"/>
      <w:r/>
      <w:bookmarkStart w:id="188" w:name="_Toc4679"/>
      <w:r/>
      <w:bookmarkStart w:id="189" w:name="_Toc19917"/>
      <w:r/>
      <w:bookmarkStart w:id="190" w:name="_Toc15796"/>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189726853"/>
      <w:r/>
      <w:bookmarkEnd w:id="191"/>
      <w:r/>
      <w:bookmarkStart w:id="192" w:name="_Toc142623417"/>
      <w:r/>
      <w:bookmarkEnd w:id="192"/>
      <w:r/>
      <w:bookmarkStart w:id="193" w:name="_Toc521839351"/>
      <w:r/>
      <w:bookmarkEnd w:id="193"/>
      <w:r/>
      <w:bookmarkStart w:id="194" w:name="_Toc163629751"/>
      <w:r/>
      <w:bookmarkEnd w:id="194"/>
      <w:r/>
      <w:bookmarkStart w:id="195" w:name="_Hlk297273538"/>
      <w:r/>
      <w:bookmarkEnd w:id="195"/>
      <w:r/>
      <w:bookmarkStart w:id="196" w:name="_Toc522347554"/>
      <w:r/>
      <w:bookmarkEnd w:id="196"/>
      <w:r/>
      <w:bookmarkStart w:id="197" w:name="_Toc25032666"/>
      <w:r/>
      <w:bookmarkEnd w:id="197"/>
      <w:r/>
      <w:bookmarkStart w:id="198" w:name="_Toc12652"/>
      <w:r/>
      <w:bookmarkStart w:id="199" w:name="_Toc12622"/>
      <w:r/>
      <w:bookmarkStart w:id="200" w:name="_Toc16918"/>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11305"/>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252"/>
      <w:r/>
      <w:bookmarkStart w:id="203" w:name="_Toc17106"/>
      <w:r/>
      <w:bookmarkStart w:id="204" w:name="_Toc8311"/>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5403"/>
        <w:gridCol w:w="1476"/>
        <w:gridCol w:w="1185"/>
        <w:gridCol w:w="1082"/>
      </w:tblGrid>
      <w:tr>
        <w:trPr>
          <w:cantSplit/>
          <w:trHeight w:val="576"/>
        </w:trPr>
        <w:tc>
          <w:tcPr>
            <w:tcW w:w="346"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8"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6"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5</w:t>
            </w:r>
            <w:r>
              <w:rPr>
                <w:rFonts w:ascii="Arial" w:hAnsi="Arial" w:eastAsia="宋体" w:cs="Arial"/>
                <w:b w:val="0"/>
                <w:bCs/>
                <w:sz w:val="21"/>
                <w:szCs w:val="21"/>
              </w:rPr>
            </w:r>
            <w:r/>
          </w:p>
        </w:tc>
        <w:tc>
          <w:tcPr>
            <w:tcW w:w="2748"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最美体育”-“无与轮比”江苏省轮滑俱乐部联赛</w:t>
            </w:r>
            <w:r>
              <w:rPr>
                <w:rFonts w:ascii="Arial" w:hAnsi="Arial" w:eastAsia="宋体" w:cs="Arial"/>
                <w:sz w:val="21"/>
                <w:szCs w:val="21"/>
                <w:highlight w:val="none"/>
                <w:lang w:val="en-US" w:eastAsia="zh-CN" w:bidi="ar"/>
              </w:rPr>
            </w:r>
            <w:r/>
          </w:p>
        </w:tc>
        <w:tc>
          <w:tcPr>
            <w:tcW w:w="751"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25</w:t>
            </w:r>
            <w:r>
              <w:rPr>
                <w:rFonts w:ascii="Arial" w:hAnsi="Arial" w:eastAsia="宋体" w:cs="Arial"/>
                <w:i w:val="0"/>
                <w:iCs w:val="0"/>
                <w:color w:val="000000"/>
                <w:sz w:val="21"/>
                <w:szCs w:val="21"/>
                <w:u w:val="none"/>
                <w:lang w:val="en-US" w:eastAsia="zh-CN" w:bidi="ar"/>
              </w:rPr>
            </w:r>
            <w:r/>
          </w:p>
        </w:tc>
        <w:tc>
          <w:tcPr>
            <w:tcW w:w="550" w:type="dxa"/>
            <w:vAlign w:val="center"/>
            <w:vMerge w:val="restart"/>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150</w:t>
            </w:r>
            <w:r>
              <w:rPr>
                <w:rFonts w:ascii="Arial" w:hAnsi="Arial" w:eastAsia="宋体" w:cs="Arial"/>
                <w:i w:val="0"/>
                <w:iCs w:val="0"/>
                <w:color w:val="000000"/>
                <w:sz w:val="21"/>
                <w:szCs w:val="21"/>
                <w:u w:val="none"/>
                <w:lang w:val="en-US" w:eastAsia="zh-CN" w:bidi="ar"/>
              </w:rPr>
            </w:r>
            <w:r/>
          </w:p>
        </w:tc>
      </w:tr>
      <w:tr>
        <w:trPr>
          <w:cantSplit/>
          <w:trHeight w:val="576"/>
        </w:trPr>
        <w:tc>
          <w:tcPr>
            <w:tcW w:w="346"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7</w:t>
            </w:r>
            <w:r>
              <w:rPr>
                <w:rFonts w:ascii="Arial" w:hAnsi="Arial" w:eastAsia="宋体" w:cs="Arial"/>
                <w:b w:val="0"/>
                <w:bCs/>
                <w:sz w:val="21"/>
                <w:szCs w:val="21"/>
              </w:rPr>
            </w:r>
            <w:r/>
          </w:p>
        </w:tc>
        <w:tc>
          <w:tcPr>
            <w:tcW w:w="2748"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最美体育”-“骑乐无穷”江苏省自行车俱乐部联赛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20</w:t>
            </w:r>
            <w:r>
              <w:rPr>
                <w:rFonts w:ascii="Arial" w:hAnsi="Arial" w:eastAsia="宋体" w:cs="Arial"/>
                <w:i w:val="0"/>
                <w:iCs w:val="0"/>
                <w:color w:val="000000"/>
                <w:sz w:val="21"/>
                <w:szCs w:val="21"/>
                <w:u w:val="none"/>
                <w:lang w:val="en-US" w:eastAsia="zh-CN" w:bidi="ar"/>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6"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8</w:t>
            </w:r>
            <w:r>
              <w:rPr>
                <w:rFonts w:ascii="Arial" w:hAnsi="Arial" w:eastAsia="宋体" w:cs="Arial"/>
                <w:b w:val="0"/>
                <w:bCs/>
                <w:sz w:val="21"/>
                <w:szCs w:val="21"/>
              </w:rPr>
            </w:r>
            <w:r/>
          </w:p>
        </w:tc>
        <w:tc>
          <w:tcPr>
            <w:tcW w:w="2748"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最美体育”-“奔跑江苏”乡村健身跑系列赛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55</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r>
        <w:trPr>
          <w:cantSplit/>
          <w:trHeight w:val="576"/>
        </w:trPr>
        <w:tc>
          <w:tcPr>
            <w:tcW w:w="346"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11</w:t>
            </w:r>
            <w:r>
              <w:rPr>
                <w:rFonts w:ascii="Arial" w:hAnsi="Arial" w:eastAsia="宋体" w:cs="Arial"/>
                <w:b w:val="0"/>
                <w:bCs/>
                <w:sz w:val="21"/>
                <w:szCs w:val="21"/>
              </w:rPr>
            </w:r>
            <w:r/>
          </w:p>
        </w:tc>
        <w:tc>
          <w:tcPr>
            <w:tcW w:w="2748" w:type="dxa"/>
            <w:vAlign w:val="center"/>
            <w:textDirection w:val="lrTb"/>
            <w:noWrap w:val="false"/>
          </w:tcPr>
          <w:p>
            <w:pPr>
              <w:pStyle w:val="1432"/>
              <w:ind w:left="0" w:right="0"/>
              <w:jc w:val="left"/>
              <w:keepLines w:val="0"/>
              <w:keepNext w:val="0"/>
              <w:pageBreakBefore w:val="0"/>
              <w:spacing w:line="240" w:lineRule="auto"/>
              <w:widowControl/>
              <w:rPr>
                <w:rFonts w:ascii="Arial" w:hAnsi="Arial" w:eastAsia="宋体" w:cs="Arial"/>
                <w:sz w:val="21"/>
                <w:szCs w:val="21"/>
                <w:highlight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“魅力江苏 最美体育”-“冬梦金陵”江苏省青少年冰球（冰壶）俱乐部联赛</w:t>
            </w:r>
            <w:r>
              <w:rPr>
                <w:rFonts w:ascii="Arial" w:hAnsi="Arial" w:eastAsia="宋体" w:cs="Arial"/>
                <w:sz w:val="21"/>
                <w:szCs w:val="21"/>
                <w:highlight w:val="none"/>
                <w:lang w:val="en-US" w:eastAsia="zh-CN" w:bidi="ar"/>
              </w:rPr>
            </w:r>
            <w:r/>
          </w:p>
        </w:tc>
        <w:tc>
          <w:tcPr>
            <w:tcW w:w="751"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b w:val="0"/>
                <w:bCs/>
                <w:sz w:val="21"/>
                <w:szCs w:val="21"/>
                <w:highlight w:val="none"/>
                <w:u w:val="none"/>
                <w:lang w:val="en-US" w:eastAsia="zh-CN"/>
              </w:rPr>
              <w:suppressLineNumbers w:val="0"/>
            </w:pPr>
            <w:r>
              <w:rPr>
                <w:rFonts w:ascii="Arial" w:hAnsi="Arial" w:eastAsia="宋体" w:cs="Arial"/>
                <w:i w:val="0"/>
                <w:iCs w:val="0"/>
                <w:color w:val="000000"/>
                <w:sz w:val="21"/>
                <w:szCs w:val="21"/>
                <w:u w:val="none"/>
                <w:lang w:val="en-US" w:eastAsia="zh-CN" w:bidi="ar"/>
              </w:rPr>
              <w:t xml:space="preserve">50</w:t>
            </w:r>
            <w:r>
              <w:rPr>
                <w:rFonts w:ascii="Arial" w:hAnsi="Arial" w:eastAsia="宋体" w:cs="Arial"/>
                <w:b w:val="0"/>
                <w:bCs/>
                <w:sz w:val="21"/>
                <w:szCs w:val="21"/>
                <w:highlight w:val="none"/>
                <w:u w:val="none"/>
                <w:lang w:val="en-US" w:eastAsia="zh-CN"/>
              </w:rPr>
            </w:r>
            <w:r/>
          </w:p>
        </w:tc>
        <w:tc>
          <w:tcPr>
            <w:tcW w:w="550" w:type="dxa"/>
            <w:vAlign w:val="center"/>
            <w:vMerge w:val="continue"/>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End w:id="205"/>
      <w:r/>
      <w:bookmarkStart w:id="207" w:name="_Toc29761"/>
      <w:r/>
      <w:bookmarkStart w:id="208" w:name="_Toc9070"/>
      <w:r>
        <w:rPr>
          <w:rFonts w:ascii="Arial" w:hAnsi="Arial" w:eastAsia="宋体" w:cs="Arial"/>
          <w:b/>
          <w:bCs/>
          <w:sz w:val="21"/>
          <w:szCs w:val="21"/>
          <w:lang w:val="en-US" w:eastAsia="zh-CN"/>
        </w:rPr>
        <w:t xml:space="preserve">包5“魅力江苏 最美体育”-“无与轮比”江苏省轮滑俱乐部联赛</w:t>
      </w:r>
      <w:bookmarkEnd w:id="207"/>
      <w:r/>
      <w:bookmarkEnd w:id="208"/>
      <w:r>
        <w:rPr>
          <w:rFonts w:ascii="Arial" w:hAnsi="Arial" w:eastAsia="宋体" w:cs="Arial"/>
          <w:b/>
          <w:bCs/>
          <w:sz w:val="21"/>
          <w:szCs w:val="21"/>
          <w:lang w:val="en-US" w:eastAsia="zh-CN"/>
        </w:rPr>
      </w:r>
      <w:r/>
    </w:p>
    <w:p>
      <w:pPr>
        <w:pStyle w:val="1432"/>
        <w:ind w:left="0" w:right="0" w:firstLine="422"/>
        <w:jc w:val="left"/>
        <w:keepLines w:val="0"/>
        <w:keepNext w:val="0"/>
        <w:pageBreakBefore w:val="0"/>
        <w:spacing w:line="360" w:lineRule="auto"/>
        <w:widowControl w:val="off"/>
        <w:rPr>
          <w:rFonts w:ascii="Arial" w:hAnsi="Arial" w:eastAsia="宋体" w:cs="Arial"/>
          <w:b/>
          <w:bCs/>
          <w:color w:val="000000"/>
          <w:sz w:val="21"/>
          <w:szCs w:val="21"/>
          <w:highlight w:val="none"/>
          <w:lang w:val="en-US" w:eastAsia="zh-CN" w:bidi="ar"/>
        </w:rPr>
        <w:outlineLvl w:val="9"/>
      </w:pPr>
      <w:r>
        <w:rPr>
          <w:rFonts w:ascii="Arial" w:hAnsi="Arial" w:eastAsia="宋体" w:cs="Arial"/>
          <w:b/>
          <w:bCs/>
          <w:color w:val="000000"/>
          <w:sz w:val="21"/>
          <w:szCs w:val="21"/>
          <w:highlight w:val="none"/>
          <w:lang w:val="en-US" w:eastAsia="zh-CN" w:bidi="ar"/>
        </w:rPr>
        <w:t xml:space="preserve">（1）技术要求</w:t>
      </w:r>
      <w:r>
        <w:rPr>
          <w:rFonts w:ascii="Arial" w:hAnsi="Arial" w:eastAsia="宋体" w:cs="Arial"/>
          <w:b/>
          <w:bCs/>
          <w:color w:val="000000"/>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lang w:val="en-US" w:eastAsia="zh-CN"/>
        </w:rPr>
        <w:outlineLvl w:val="9"/>
      </w:pPr>
      <w:r>
        <w:rPr>
          <w:rFonts w:ascii="Arial" w:hAnsi="Arial" w:eastAsia="宋体" w:cs="Arial"/>
          <w:color w:val="000000"/>
          <w:sz w:val="21"/>
          <w:szCs w:val="21"/>
          <w:highlight w:val="none"/>
        </w:rPr>
        <w:t xml:space="preserve">1.1</w:t>
      </w:r>
      <w:r>
        <w:rPr>
          <w:rFonts w:ascii="Arial" w:hAnsi="Arial" w:eastAsia="宋体" w:cs="Arial"/>
          <w:color w:val="000000"/>
          <w:sz w:val="21"/>
          <w:szCs w:val="21"/>
          <w:highlight w:val="none"/>
          <w:lang w:val="en-US" w:eastAsia="zh-CN"/>
        </w:rPr>
        <w:t xml:space="preserve">赛事名称</w:t>
      </w:r>
      <w:r>
        <w:rPr>
          <w:rFonts w:ascii="Arial" w:hAnsi="Arial" w:eastAsia="宋体" w:cs="Arial"/>
          <w:color w:val="000000"/>
          <w:sz w:val="21"/>
          <w:szCs w:val="21"/>
          <w:highlight w:val="none"/>
        </w:rPr>
        <w:t xml:space="preserve">：</w:t>
      </w:r>
      <w:r>
        <w:rPr>
          <w:rFonts w:ascii="Arial" w:hAnsi="Arial" w:eastAsia="宋体" w:cs="Arial"/>
          <w:color w:val="000000"/>
          <w:sz w:val="21"/>
          <w:szCs w:val="21"/>
          <w:lang w:val="en-US" w:eastAsia="zh-CN"/>
        </w:rPr>
        <w:t xml:space="preserve">“魅力江苏 最美体育”-“无与轮比”江苏省轮滑俱乐部联赛</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1.2组织规模：3站，</w:t>
      </w:r>
      <w:r>
        <w:rPr>
          <w:rFonts w:ascii="Arial" w:hAnsi="Arial" w:eastAsia="宋体" w:cs="Arial"/>
          <w:color w:val="000000"/>
          <w:sz w:val="21"/>
          <w:szCs w:val="21"/>
          <w:highlight w:val="none"/>
          <w:lang w:val="en-US" w:eastAsia="zh-CN" w:bidi="ar"/>
        </w:rPr>
        <w:t xml:space="preserve">参与运动员不少于500人。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rPr>
        <w:outlineLvl w:val="9"/>
      </w:pPr>
      <w:r>
        <w:rPr>
          <w:rFonts w:ascii="Arial" w:hAnsi="Arial" w:eastAsia="宋体" w:cs="Arial"/>
          <w:color w:val="000000"/>
          <w:sz w:val="21"/>
          <w:szCs w:val="21"/>
          <w:highlight w:val="none"/>
        </w:rPr>
        <w:t xml:space="preserve">1.</w:t>
      </w:r>
      <w:r>
        <w:rPr>
          <w:rFonts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rPr>
        <w:t xml:space="preserve">赛事组织：</w:t>
      </w:r>
      <w:r>
        <w:rPr>
          <w:rFonts w:ascii="Arial" w:hAnsi="Arial" w:eastAsia="宋体" w:cs="Arial"/>
          <w:color w:val="000000"/>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2"/>
        <w:jc w:val="left"/>
        <w:keepLines w:val="0"/>
        <w:keepNext w:val="0"/>
        <w:pageBreakBefore w:val="0"/>
        <w:spacing w:line="360" w:lineRule="auto"/>
        <w:widowControl w:val="off"/>
        <w:rPr>
          <w:rFonts w:ascii="Arial" w:hAnsi="Arial" w:eastAsia="宋体" w:cs="Arial"/>
          <w:b/>
          <w:bCs/>
          <w:sz w:val="21"/>
          <w:szCs w:val="21"/>
          <w:highlight w:val="none"/>
        </w:rPr>
        <w:outlineLvl w:val="9"/>
      </w:pPr>
      <w:r>
        <w:rPr>
          <w:rFonts w:ascii="Arial" w:hAnsi="Arial" w:eastAsia="宋体" w:cs="Arial"/>
          <w:b/>
          <w:bCs/>
          <w:sz w:val="21"/>
          <w:szCs w:val="21"/>
          <w:highlight w:val="none"/>
        </w:rPr>
        <w:t xml:space="preserve">（2）商务要求</w:t>
      </w:r>
      <w:r>
        <w:rPr>
          <w:rFonts w:ascii="Arial" w:hAnsi="Arial" w:eastAsia="宋体" w:cs="Arial"/>
          <w:b/>
          <w:bCs/>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color w:val="000000"/>
          <w:sz w:val="21"/>
          <w:szCs w:val="21"/>
          <w:highlight w:val="none"/>
        </w:rPr>
        <w:t xml:space="preserve">★</w:t>
      </w: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本项目采购预算为25万元</w:t>
      </w:r>
      <w:r>
        <w:rPr>
          <w:rFonts w:hint="eastAsia" w:ascii="Arial" w:hAnsi="Arial" w:eastAsia="宋体" w:cs="Arial"/>
          <w:sz w:val="21"/>
          <w:szCs w:val="21"/>
          <w:highlight w:val="none"/>
          <w:lang w:eastAsia="zh-CN"/>
        </w:rPr>
        <w:t xml:space="preserve">。</w:t>
      </w:r>
      <w:r>
        <w:rPr>
          <w:rFonts w:ascii="Arial" w:hAnsi="Arial" w:eastAsia="宋体" w:cs="Arial"/>
          <w:sz w:val="21"/>
          <w:szCs w:val="21"/>
          <w:highlight w:val="none"/>
        </w:rPr>
        <w:t xml:space="preserve">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09" w:name="_Toc23592"/>
      <w:r/>
      <w:bookmarkStart w:id="210" w:name="_Toc4754"/>
      <w:r>
        <w:rPr>
          <w:rFonts w:ascii="Arial" w:hAnsi="Arial" w:eastAsia="宋体" w:cs="Arial"/>
          <w:b/>
          <w:bCs/>
          <w:sz w:val="21"/>
          <w:szCs w:val="21"/>
          <w:lang w:val="en-US" w:eastAsia="zh-CN"/>
        </w:rPr>
        <w:t xml:space="preserve">包7“魅力江苏 最美体育”-“骑乐无穷”江苏省自行车俱乐部联赛</w:t>
      </w:r>
      <w:bookmarkEnd w:id="209"/>
      <w:r/>
      <w:bookmarkEnd w:id="210"/>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最美体育”-“骑乐无穷”江苏省自行车俱乐部联赛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1.2组织规模：6站，</w:t>
      </w:r>
      <w:r>
        <w:rPr>
          <w:rFonts w:ascii="Arial" w:hAnsi="Arial" w:eastAsia="宋体" w:cs="Arial"/>
          <w:color w:val="000000"/>
          <w:sz w:val="21"/>
          <w:szCs w:val="21"/>
          <w:highlight w:val="none"/>
          <w:lang w:val="en-US" w:eastAsia="zh-CN" w:bidi="ar"/>
        </w:rPr>
        <w:t xml:space="preserve">参与运动员不少于500人。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本项目采购预算为20万元。合同生效后，在确认开赛前半个月内，采购人支付合同全款的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1" w:name="_Toc1375"/>
      <w:r/>
      <w:bookmarkStart w:id="212" w:name="_Toc22009"/>
      <w:r>
        <w:rPr>
          <w:rFonts w:ascii="Arial" w:hAnsi="Arial" w:eastAsia="宋体" w:cs="Arial"/>
          <w:b/>
          <w:bCs/>
          <w:sz w:val="21"/>
          <w:szCs w:val="21"/>
          <w:lang w:val="en-US" w:eastAsia="zh-CN"/>
        </w:rPr>
        <w:t xml:space="preserve">包8“魅力江苏 最美体育”-“奔跑江苏”乡村健身跑系列赛</w:t>
      </w:r>
      <w:bookmarkEnd w:id="211"/>
      <w:r/>
      <w:bookmarkEnd w:id="212"/>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最美体育”-“奔跑江苏”乡村健身跑系列赛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w:t>
      </w:r>
      <w:r>
        <w:rPr>
          <w:rFonts w:ascii="Arial" w:hAnsi="Arial" w:eastAsia="宋体" w:cs="Arial"/>
          <w:color w:val="000000"/>
          <w:sz w:val="21"/>
          <w:szCs w:val="21"/>
          <w:highlight w:val="none"/>
          <w:lang w:val="en-US" w:eastAsia="zh-CN"/>
        </w:rPr>
      </w:r>
      <w:r/>
    </w:p>
    <w:p>
      <w:pPr>
        <w:pStyle w:val="1443"/>
        <w:ind w:left="0" w:right="0" w:firstLine="420"/>
        <w:keepLines w:val="0"/>
        <w:keepNext w:val="0"/>
        <w:pageBreakBefore w:val="0"/>
        <w:spacing w:line="360" w:lineRule="auto"/>
        <w:widowControl w:val="off"/>
        <w:rPr>
          <w:rFonts w:ascii="Arial" w:hAnsi="Arial" w:eastAsia="宋体" w:cs="Arial"/>
          <w:color w:val="000000"/>
          <w:sz w:val="21"/>
          <w:szCs w:val="21"/>
          <w:lang w:val="en-US" w:eastAsia="zh-CN"/>
        </w:rPr>
      </w:pPr>
      <w:r>
        <w:rPr>
          <w:rFonts w:ascii="Arial" w:hAnsi="Arial" w:eastAsia="宋体" w:cs="Arial"/>
          <w:color w:val="000000"/>
          <w:sz w:val="21"/>
          <w:szCs w:val="21"/>
          <w:highlight w:val="none"/>
          <w:lang w:val="en-US" w:eastAsia="zh-CN"/>
        </w:rPr>
        <w:t xml:space="preserve">8场，线上线下相结合。线下举办6站，其中</w:t>
      </w:r>
      <w:r>
        <w:rPr>
          <w:rFonts w:ascii="Arial" w:hAnsi="Arial" w:eastAsia="宋体" w:cs="Arial"/>
          <w:color w:val="000000"/>
          <w:sz w:val="21"/>
          <w:szCs w:val="21"/>
          <w:highlight w:val="none"/>
          <w:lang w:val="en-US" w:eastAsia="zh-CN" w:bidi="ar"/>
        </w:rPr>
        <w:t xml:space="preserve">5场乡村健身跑比赛（至少在3个城市举办），总参与运动员不少于2000人；1场乡村健步走，总参与运动员不少于400人。线上举办2站，其中乡村健身跑线上赛1场，不少于10万人次参与；乡村健步走线上赛1场，不少于20万人次参与。</w:t>
      </w:r>
      <w:r>
        <w:rPr>
          <w:rFonts w:ascii="Arial" w:hAnsi="Arial" w:eastAsia="宋体" w:cs="Arial"/>
          <w:color w:val="000000"/>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本项目采购预算为55万元。合同生效后，在确认开赛前半个月内，采购人支付合同全款的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ind w:right="0"/>
        <w:jc w:val="left"/>
        <w:keepLines w:val="0"/>
        <w:keepNext w:val="0"/>
        <w:pageBreakBefore w:val="0"/>
        <w:spacing w:line="360" w:lineRule="auto"/>
        <w:widowControl w:val="off"/>
        <w:rPr>
          <w:rFonts w:ascii="Arial" w:hAnsi="Arial" w:eastAsia="宋体" w:cs="Arial"/>
          <w:b/>
          <w:bCs/>
          <w:sz w:val="21"/>
          <w:szCs w:val="21"/>
          <w:lang w:val="en-US" w:eastAsia="zh-CN"/>
        </w:rPr>
        <w:outlineLvl w:val="0"/>
      </w:pPr>
      <w:r/>
      <w:bookmarkStart w:id="213" w:name="_Toc12775"/>
      <w:r/>
      <w:bookmarkStart w:id="214" w:name="_Toc11898"/>
      <w:r>
        <w:rPr>
          <w:rFonts w:ascii="Arial" w:hAnsi="Arial" w:eastAsia="宋体" w:cs="Arial"/>
          <w:b/>
          <w:bCs/>
          <w:sz w:val="21"/>
          <w:szCs w:val="21"/>
          <w:lang w:val="en-US" w:eastAsia="zh-CN"/>
        </w:rPr>
        <w:t xml:space="preserve">包11“魅力江苏 最美体育”-“冬梦金陵”江苏省青少年冰球（冰壶）俱乐部联赛</w:t>
      </w:r>
      <w:bookmarkEnd w:id="213"/>
      <w:r/>
      <w:bookmarkEnd w:id="214"/>
      <w:r>
        <w:rPr>
          <w:rFonts w:ascii="Arial" w:hAnsi="Arial" w:eastAsia="宋体" w:cs="Arial"/>
          <w:b/>
          <w:bCs/>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
        </w:rPr>
        <w:outlineLvl w:val="9"/>
      </w:pPr>
      <w:r>
        <w:rPr>
          <w:rFonts w:ascii="Arial" w:hAnsi="Arial" w:eastAsia="宋体" w:cs="Arial"/>
          <w:sz w:val="21"/>
          <w:szCs w:val="21"/>
          <w:highlight w:val="none"/>
          <w:lang w:val="en-US" w:eastAsia="zh-CN" w:bidi="ar"/>
        </w:rPr>
        <w:t xml:space="preserve">（1）技术要求</w:t>
      </w:r>
      <w:r>
        <w:rPr>
          <w:rFonts w:ascii="Arial" w:hAnsi="Arial" w:eastAsia="宋体" w:cs="Arial"/>
          <w:sz w:val="21"/>
          <w:szCs w:val="21"/>
          <w:highlight w:val="none"/>
          <w:lang w:val="en-US" w:eastAsia="zh-CN" w:bidi="ar"/>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highlight w:val="none"/>
        </w:rPr>
        <w:t xml:space="preserve">1.1</w:t>
      </w:r>
      <w:r>
        <w:rPr>
          <w:rFonts w:ascii="Arial" w:hAnsi="Arial" w:eastAsia="宋体" w:cs="Arial"/>
          <w:sz w:val="21"/>
          <w:szCs w:val="21"/>
          <w:highlight w:val="none"/>
          <w:lang w:val="en-US" w:eastAsia="zh-CN"/>
        </w:rPr>
        <w:t xml:space="preserve">赛事名称</w:t>
      </w:r>
      <w:r>
        <w:rPr>
          <w:rFonts w:ascii="Arial" w:hAnsi="Arial" w:eastAsia="宋体" w:cs="Arial"/>
          <w:sz w:val="21"/>
          <w:szCs w:val="21"/>
          <w:highlight w:val="none"/>
        </w:rPr>
        <w:t xml:space="preserve">：</w:t>
      </w:r>
      <w:r>
        <w:rPr>
          <w:rFonts w:ascii="Arial" w:hAnsi="Arial" w:eastAsia="宋体" w:cs="Arial"/>
          <w:sz w:val="21"/>
          <w:szCs w:val="21"/>
          <w:lang w:val="en-US" w:eastAsia="zh-CN"/>
        </w:rPr>
        <w:t xml:space="preserve">“魅力江苏 最美体育”-“冬梦金陵”江苏省青少年冰球（冰壶）俱乐部联赛</w:t>
      </w:r>
      <w:r>
        <w:rPr>
          <w:rFonts w:ascii="Arial" w:hAnsi="Arial" w:eastAsia="宋体" w:cs="Arial"/>
          <w:sz w:val="21"/>
          <w:szCs w:val="21"/>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color w:val="000000"/>
          <w:sz w:val="21"/>
          <w:szCs w:val="21"/>
          <w:highlight w:val="none"/>
          <w:lang w:val="en-US" w:eastAsia="zh-CN"/>
        </w:rPr>
        <w:outlineLvl w:val="9"/>
      </w:pPr>
      <w:r>
        <w:rPr>
          <w:rFonts w:ascii="Arial" w:hAnsi="Arial" w:eastAsia="宋体" w:cs="Arial"/>
          <w:color w:val="000000"/>
          <w:sz w:val="21"/>
          <w:szCs w:val="21"/>
          <w:highlight w:val="none"/>
          <w:lang w:val="en-US" w:eastAsia="zh-CN"/>
        </w:rPr>
        <w:t xml:space="preserve">1.2组织规模：6场分站赛、1场总决赛，</w:t>
      </w:r>
      <w:r>
        <w:rPr>
          <w:rFonts w:ascii="Arial" w:hAnsi="Arial" w:eastAsia="宋体" w:cs="Arial"/>
          <w:color w:val="000000"/>
          <w:sz w:val="21"/>
          <w:szCs w:val="21"/>
          <w:highlight w:val="none"/>
          <w:lang w:val="en-US" w:eastAsia="zh-CN" w:bidi="ar"/>
        </w:rPr>
        <w:t xml:space="preserve">参与运动员不少于1000人。</w:t>
      </w:r>
      <w:r>
        <w:rPr>
          <w:rFonts w:ascii="Arial" w:hAnsi="Arial" w:eastAsia="宋体" w:cs="Arial"/>
          <w:color w:val="000000"/>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赛事组织：</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.1 赛事将在全省范围内自下而上开展，深入基层，选取部分地级市举办相关赛事</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开赛前举办开幕式，比赛结束后举行闭幕式</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进行颁奖</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1.3.2 </w:t>
      </w:r>
      <w:r>
        <w:rPr>
          <w:rFonts w:ascii="Arial" w:hAnsi="Arial" w:eastAsia="宋体" w:cs="Arial"/>
          <w:sz w:val="21"/>
          <w:szCs w:val="21"/>
          <w:highlight w:val="none"/>
        </w:rPr>
        <w:t xml:space="preserve">负责提供详细的赛事</w:t>
      </w:r>
      <w:r>
        <w:rPr>
          <w:rFonts w:ascii="Arial" w:hAnsi="Arial" w:eastAsia="宋体" w:cs="Arial"/>
          <w:sz w:val="21"/>
          <w:szCs w:val="21"/>
          <w:highlight w:val="none"/>
          <w:lang w:val="en-US" w:eastAsia="zh-CN"/>
        </w:rPr>
        <w:t xml:space="preserve">组织</w:t>
      </w:r>
      <w:r>
        <w:rPr>
          <w:rFonts w:ascii="Arial" w:hAnsi="Arial" w:eastAsia="宋体" w:cs="Arial"/>
          <w:sz w:val="21"/>
          <w:szCs w:val="21"/>
          <w:highlight w:val="none"/>
        </w:rPr>
        <w:t xml:space="preserve">方案、</w:t>
      </w:r>
      <w:r>
        <w:rPr>
          <w:rFonts w:ascii="Arial" w:hAnsi="Arial" w:eastAsia="宋体" w:cs="Arial"/>
          <w:sz w:val="21"/>
          <w:szCs w:val="21"/>
          <w:highlight w:val="none"/>
          <w:lang w:val="en-US" w:eastAsia="zh-CN"/>
        </w:rPr>
        <w:t xml:space="preserve">场地布置方案、后勤保障方案、医疗保障方案（</w:t>
      </w:r>
      <w:r>
        <w:rPr>
          <w:rFonts w:ascii="Arial" w:hAnsi="Arial" w:eastAsia="宋体" w:cs="Arial"/>
          <w:sz w:val="21"/>
          <w:szCs w:val="21"/>
          <w:highlight w:val="none"/>
        </w:rPr>
        <w:t xml:space="preserve">比赛期间提供赛场医疗服务</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包括但不限于救护车、医生、护士、及相关急救药品</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安全保障方案、赛事宣传方案、赛事应急方案、舆情应对方案</w:t>
      </w:r>
      <w:r>
        <w:rPr>
          <w:rFonts w:ascii="Arial" w:hAnsi="Arial" w:eastAsia="宋体" w:cs="Arial"/>
          <w:sz w:val="21"/>
          <w:szCs w:val="21"/>
          <w:highlight w:val="none"/>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3</w:t>
      </w:r>
      <w:r>
        <w:rPr>
          <w:rFonts w:ascii="Arial" w:hAnsi="Arial" w:eastAsia="宋体" w:cs="Arial"/>
          <w:sz w:val="21"/>
          <w:szCs w:val="21"/>
          <w:highlight w:val="none"/>
        </w:rPr>
        <w:t xml:space="preserve">负责准备和提供赛事所需竞赛</w:t>
      </w:r>
      <w:r>
        <w:rPr>
          <w:rFonts w:ascii="Arial" w:hAnsi="Arial" w:eastAsia="宋体" w:cs="Arial"/>
          <w:sz w:val="21"/>
          <w:szCs w:val="21"/>
          <w:highlight w:val="none"/>
          <w:lang w:val="en-US" w:eastAsia="zh-CN"/>
        </w:rPr>
        <w:t xml:space="preserve">场地</w:t>
      </w:r>
      <w:r>
        <w:rPr>
          <w:rFonts w:ascii="Arial" w:hAnsi="Arial" w:eastAsia="宋体" w:cs="Arial"/>
          <w:sz w:val="21"/>
          <w:szCs w:val="21"/>
          <w:highlight w:val="none"/>
        </w:rPr>
        <w:t xml:space="preserve">，并为赛事的成功运行提供必要的条件和服务等</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配</w:t>
      </w:r>
      <w:r>
        <w:rPr>
          <w:rFonts w:ascii="Arial" w:hAnsi="Arial" w:eastAsia="宋体" w:cs="Arial"/>
          <w:sz w:val="21"/>
          <w:szCs w:val="21"/>
          <w:highlight w:val="none"/>
        </w:rPr>
        <w:t xml:space="preserve">合办理赛事所需的审批手续，包括办赛许可、公安、交通、工商、卫生等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 负责赛事场地安全、医疗、卫生安全</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lang w:eastAsia="zh-CN"/>
        </w:rPr>
        <w:t xml:space="preserve">）</w:t>
      </w:r>
      <w:r>
        <w:rPr>
          <w:rFonts w:ascii="Arial" w:hAnsi="Arial" w:eastAsia="宋体" w:cs="Arial"/>
          <w:sz w:val="21"/>
          <w:szCs w:val="21"/>
          <w:highlight w:val="none"/>
        </w:rPr>
        <w:t xml:space="preserve">。</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rPr>
        <w:t xml:space="preserve">4</w:t>
      </w:r>
      <w:r>
        <w:rPr>
          <w:rFonts w:ascii="Arial" w:hAnsi="Arial" w:eastAsia="宋体" w:cs="Arial"/>
          <w:sz w:val="21"/>
          <w:szCs w:val="21"/>
          <w:highlight w:val="none"/>
        </w:rPr>
        <w:t xml:space="preserve"> 赛事</w:t>
      </w:r>
      <w:r>
        <w:rPr>
          <w:rFonts w:ascii="Arial" w:hAnsi="Arial" w:eastAsia="宋体" w:cs="Arial"/>
          <w:sz w:val="21"/>
          <w:szCs w:val="21"/>
          <w:highlight w:val="none"/>
          <w:lang w:val="en-US" w:eastAsia="zh-CN"/>
        </w:rPr>
        <w:t xml:space="preserve">参照</w:t>
      </w:r>
      <w:r>
        <w:rPr>
          <w:rFonts w:ascii="Arial" w:hAnsi="Arial" w:eastAsia="宋体" w:cs="Arial"/>
          <w:sz w:val="21"/>
          <w:szCs w:val="21"/>
          <w:highlight w:val="none"/>
        </w:rPr>
        <w:t xml:space="preserve">《江苏省全民健身赛事活动指南》</w:t>
      </w:r>
      <w:r>
        <w:rPr>
          <w:rFonts w:ascii="Arial" w:hAnsi="Arial" w:eastAsia="宋体" w:cs="Arial"/>
          <w:sz w:val="21"/>
          <w:szCs w:val="21"/>
          <w:highlight w:val="none"/>
          <w:lang w:val="en-US" w:eastAsia="zh-CN"/>
        </w:rPr>
        <w:t xml:space="preserve">中赛事活动组织实施流程表实施，包括但不限于</w:t>
      </w:r>
      <w:r>
        <w:rPr>
          <w:rFonts w:ascii="Arial" w:hAnsi="Arial" w:eastAsia="宋体" w:cs="Arial"/>
          <w:sz w:val="21"/>
          <w:szCs w:val="21"/>
          <w:highlight w:val="none"/>
        </w:rPr>
        <w:t xml:space="preserve">召开</w:t>
      </w:r>
      <w:r>
        <w:rPr>
          <w:rFonts w:ascii="Arial" w:hAnsi="Arial" w:eastAsia="宋体" w:cs="Arial"/>
          <w:sz w:val="21"/>
          <w:szCs w:val="21"/>
          <w:highlight w:val="none"/>
          <w:lang w:val="en-US" w:eastAsia="zh-CN"/>
        </w:rPr>
        <w:t xml:space="preserve">相关会议、招募及培训工作人员、采购制作相关物料</w:t>
      </w:r>
      <w:r>
        <w:rPr>
          <w:rFonts w:ascii="Arial" w:hAnsi="Arial" w:eastAsia="宋体" w:cs="Arial"/>
          <w:sz w:val="21"/>
          <w:szCs w:val="21"/>
          <w:highlight w:val="none"/>
          <w:lang w:eastAsia="zh-CN"/>
        </w:rPr>
        <w:t xml:space="preserve">、</w:t>
      </w:r>
      <w:r>
        <w:rPr>
          <w:rFonts w:ascii="Arial" w:hAnsi="Arial" w:eastAsia="宋体" w:cs="Arial"/>
          <w:sz w:val="21"/>
          <w:szCs w:val="21"/>
          <w:highlight w:val="none"/>
          <w:lang w:val="en-US" w:eastAsia="zh-CN"/>
        </w:rPr>
        <w:t xml:space="preserve">开展赛事活动宣传、组织运动员参赛、总结赛事情况等，保障赛事安全有序完成</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43"/>
        <w:ind w:left="0" w:right="0" w:firstLine="420"/>
        <w:keepLines w:val="0"/>
        <w:keepNext w:val="0"/>
        <w:pageBreakBefore w:val="0"/>
        <w:spacing w:line="360" w:lineRule="auto"/>
        <w:widowControl w:val="off"/>
        <w:rPr>
          <w:rFonts w:ascii="Arial" w:hAnsi="Arial" w:eastAsia="宋体" w:cs="Arial"/>
          <w:sz w:val="21"/>
          <w:szCs w:val="21"/>
        </w:rPr>
      </w:pPr>
      <w:r>
        <w:rPr>
          <w:rFonts w:ascii="Arial" w:hAnsi="Arial" w:eastAsia="宋体" w:cs="Arial"/>
          <w:sz w:val="21"/>
          <w:szCs w:val="21"/>
          <w:highlight w:val="none"/>
          <w:lang w:val="en-US" w:eastAsia="zh-CN"/>
        </w:rPr>
        <w:t xml:space="preserve">1.3.5</w:t>
      </w:r>
      <w:r>
        <w:rPr>
          <w:rFonts w:ascii="Arial" w:hAnsi="Arial" w:eastAsia="宋体" w:cs="Arial"/>
          <w:sz w:val="21"/>
          <w:szCs w:val="21"/>
          <w:highlight w:val="none"/>
          <w:lang w:eastAsia="zh-CN"/>
        </w:rPr>
        <w:t xml:space="preserve">本项目具有公益性质，须在活动</w:t>
      </w:r>
      <w:r>
        <w:rPr>
          <w:rFonts w:ascii="Arial" w:hAnsi="Arial" w:eastAsia="宋体" w:cs="Arial"/>
          <w:sz w:val="21"/>
          <w:szCs w:val="21"/>
          <w:highlight w:val="none"/>
          <w:lang w:val="en-US" w:eastAsia="zh-CN"/>
        </w:rPr>
        <w:t xml:space="preserve">物料</w:t>
      </w:r>
      <w:r>
        <w:rPr>
          <w:rFonts w:ascii="Arial" w:hAnsi="Arial" w:eastAsia="宋体" w:cs="Arial"/>
          <w:sz w:val="21"/>
          <w:szCs w:val="21"/>
          <w:highlight w:val="none"/>
          <w:lang w:eastAsia="zh-CN"/>
        </w:rPr>
        <w:t xml:space="preserve">部分给予呈现。</w:t>
      </w:r>
      <w:r>
        <w:rPr>
          <w:rFonts w:ascii="Arial" w:hAnsi="Arial" w:eastAsia="宋体" w:cs="Arial"/>
          <w:sz w:val="21"/>
          <w:szCs w:val="21"/>
          <w:highlight w:val="none"/>
        </w:rPr>
        <w:t xml:space="preserve">赛事物料按照《江苏省全民健身赛事活动指南》的要求</w:t>
      </w:r>
      <w:r>
        <w:rPr>
          <w:rFonts w:ascii="Arial" w:hAnsi="Arial" w:eastAsia="宋体" w:cs="Arial"/>
          <w:sz w:val="21"/>
          <w:szCs w:val="21"/>
          <w:highlight w:val="none"/>
          <w:lang w:val="en-US" w:eastAsia="zh-CN"/>
        </w:rPr>
        <w:t xml:space="preserve">制作，包括但不限于赛事背景板、秩序册、成绩册、自愿参赛责任书等</w:t>
      </w:r>
      <w:r>
        <w:rPr>
          <w:rFonts w:ascii="Arial" w:hAnsi="Arial" w:eastAsia="宋体" w:cs="Arial"/>
          <w:sz w:val="21"/>
          <w:szCs w:val="21"/>
          <w:highlight w:val="none"/>
        </w:rPr>
        <w:t xml:space="preserve">。赛事现场设赛事背景板、指示引导牌、广告A板、工作证、参赛证等相关物料，</w:t>
      </w:r>
      <w:r>
        <w:rPr>
          <w:rFonts w:ascii="Arial" w:hAnsi="Arial" w:eastAsia="宋体" w:cs="Arial"/>
          <w:sz w:val="21"/>
          <w:szCs w:val="21"/>
          <w:highlight w:val="none"/>
          <w:lang w:val="en-US" w:eastAsia="zh-CN"/>
        </w:rPr>
        <w:t xml:space="preserve">并</w:t>
      </w:r>
      <w:r>
        <w:rPr>
          <w:rFonts w:ascii="Arial" w:hAnsi="Arial" w:eastAsia="宋体" w:cs="Arial"/>
          <w:sz w:val="21"/>
          <w:szCs w:val="21"/>
          <w:highlight w:val="none"/>
        </w:rPr>
        <w:t xml:space="preserve">提供秩序册、成绩册等资料。</w:t>
      </w:r>
      <w:r>
        <w:rPr>
          <w:rFonts w:ascii="Arial" w:hAnsi="Arial" w:eastAsia="宋体" w:cs="Arial"/>
          <w:sz w:val="21"/>
          <w:szCs w:val="21"/>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rPr>
        <w:t xml:space="preserve"> 赛前须在江苏省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平台提交赛事相关资料并截图保存</w:t>
      </w:r>
      <w:r>
        <w:rPr>
          <w:rFonts w:ascii="Arial" w:hAnsi="Arial" w:eastAsia="宋体" w:cs="Arial"/>
          <w:sz w:val="21"/>
          <w:szCs w:val="21"/>
          <w:highlight w:val="none"/>
          <w:lang w:val="en-US" w:eastAsia="zh-CN"/>
        </w:rPr>
        <w:t xml:space="preserve">提交采购人，</w:t>
      </w:r>
      <w:r>
        <w:rPr>
          <w:rFonts w:ascii="Arial" w:hAnsi="Arial" w:eastAsia="宋体" w:cs="Arial"/>
          <w:sz w:val="21"/>
          <w:szCs w:val="21"/>
          <w:highlight w:val="none"/>
        </w:rPr>
        <w:t xml:space="preserve">赛后须在江苏省</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平台提交赛事秩序册、成绩册、宣传链接等相关资料并截图保存。</w:t>
      </w:r>
      <w:r>
        <w:rPr>
          <w:rFonts w:ascii="Arial" w:hAnsi="Arial" w:eastAsia="宋体" w:cs="Arial"/>
          <w:sz w:val="21"/>
          <w:szCs w:val="21"/>
          <w:lang w:val="en-US"/>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eastAsia="zh-CN"/>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6</w:t>
      </w:r>
      <w:r>
        <w:rPr>
          <w:rFonts w:ascii="Arial" w:hAnsi="Arial" w:eastAsia="宋体" w:cs="Arial"/>
          <w:sz w:val="21"/>
          <w:szCs w:val="21"/>
          <w:highlight w:val="none"/>
          <w:lang w:eastAsia="zh-CN"/>
        </w:rPr>
        <w:t xml:space="preserve">比赛期间按照相关要求，</w:t>
      </w:r>
      <w:r>
        <w:rPr>
          <w:rFonts w:ascii="Arial" w:hAnsi="Arial" w:eastAsia="宋体" w:cs="Arial"/>
          <w:sz w:val="21"/>
          <w:szCs w:val="21"/>
          <w:highlight w:val="none"/>
        </w:rPr>
        <w:t xml:space="preserve">选派专业化水平较高、执行力强的裁判员，确保赛事活动安全顺利举办。</w:t>
      </w:r>
      <w:r>
        <w:rPr>
          <w:rFonts w:ascii="Arial" w:hAnsi="Arial" w:eastAsia="宋体" w:cs="Arial"/>
          <w:sz w:val="21"/>
          <w:szCs w:val="21"/>
          <w:highlight w:val="none"/>
          <w:lang w:eastAsia="zh-CN"/>
        </w:rPr>
        <w:t xml:space="preserve">提供裁判员及相关工作人员的交通、食宿费和劳务补贴；提供体育赛事活动指导员食宿费。</w:t>
      </w:r>
      <w:r>
        <w:rPr>
          <w:rFonts w:ascii="Arial" w:hAnsi="Arial" w:eastAsia="宋体" w:cs="Arial"/>
          <w:sz w:val="21"/>
          <w:szCs w:val="21"/>
          <w:highlight w:val="none"/>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rPr>
        <w:t xml:space="preserve">1.3.7</w:t>
      </w:r>
      <w:r>
        <w:rPr>
          <w:rFonts w:ascii="Arial" w:hAnsi="Arial" w:eastAsia="宋体" w:cs="Arial"/>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ascii="Arial" w:hAnsi="Arial" w:eastAsia="宋体" w:cs="Arial"/>
          <w:sz w:val="21"/>
          <w:szCs w:val="21"/>
          <w:highlight w:val="none"/>
          <w:lang w:val="en-US" w:eastAsia="zh-CN" w:bidi="ar-SA"/>
        </w:rPr>
      </w:r>
      <w:r/>
    </w:p>
    <w:p>
      <w:pPr>
        <w:pStyle w:val="1432"/>
        <w:ind w:left="0" w:right="0" w:firstLine="420"/>
        <w:keepLines w:val="0"/>
        <w:keepNext w:val="0"/>
        <w:pageBreakBefore w:val="0"/>
        <w:spacing w:line="360" w:lineRule="auto"/>
        <w:widowControl w:val="off"/>
        <w:rPr>
          <w:rFonts w:ascii="Arial" w:hAnsi="Arial" w:eastAsia="宋体" w:cs="Arial"/>
          <w:sz w:val="21"/>
          <w:szCs w:val="21"/>
          <w:highlight w:val="none"/>
          <w:lang w:val="en-US" w:eastAsia="zh-CN" w:bidi="ar-SA"/>
        </w:rPr>
      </w:pPr>
      <w:r>
        <w:rPr>
          <w:rFonts w:ascii="Arial" w:hAnsi="Arial" w:eastAsia="宋体" w:cs="Arial"/>
          <w:sz w:val="21"/>
          <w:szCs w:val="21"/>
          <w:highlight w:val="none"/>
          <w:lang w:val="en-US" w:eastAsia="zh-CN" w:bidi="ar-SA"/>
        </w:rPr>
        <w:t xml:space="preserve">1.3.8</w:t>
      </w:r>
      <w:r>
        <w:rPr>
          <w:rFonts w:ascii="Arial" w:hAnsi="Arial" w:eastAsia="宋体" w:cs="Arial"/>
          <w:sz w:val="21"/>
          <w:szCs w:val="21"/>
          <w:highlight w:val="none"/>
          <w:lang w:val="en-US" w:eastAsia="zh-CN"/>
        </w:rPr>
        <w:t xml:space="preserve">每场赛事期间需根据参赛人数35%的比例提交赛事满意度调查问卷。</w:t>
      </w:r>
      <w:r>
        <w:rPr>
          <w:rFonts w:ascii="Arial" w:hAnsi="Arial" w:eastAsia="宋体" w:cs="Arial"/>
          <w:sz w:val="21"/>
          <w:szCs w:val="21"/>
          <w:highlight w:val="none"/>
        </w:rPr>
        <w:t xml:space="preserve">运动员在活动开始前必须按照相关规定签署《自愿参赛责任书》，每场赛事供应商必须购买赛事保险。</w:t>
      </w:r>
      <w:r>
        <w:rPr>
          <w:rFonts w:ascii="Arial" w:hAnsi="Arial" w:eastAsia="宋体" w:cs="Arial"/>
          <w:sz w:val="21"/>
          <w:szCs w:val="21"/>
          <w:highlight w:val="none"/>
          <w:lang w:val="en-US" w:eastAsia="zh-CN" w:bidi="ar-SA"/>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eastAsia="zh-CN"/>
        </w:rPr>
      </w:pPr>
      <w:r>
        <w:rPr>
          <w:rFonts w:ascii="Arial" w:hAnsi="Arial" w:eastAsia="宋体" w:cs="Arial"/>
          <w:sz w:val="21"/>
          <w:szCs w:val="21"/>
          <w:highlight w:val="none"/>
          <w:lang w:val="en-US" w:eastAsia="zh-CN" w:bidi="ar-SA"/>
        </w:rPr>
        <w:t xml:space="preserve">1.3.9  </w:t>
      </w:r>
      <w:r>
        <w:rPr>
          <w:rFonts w:ascii="Arial" w:hAnsi="Arial" w:eastAsia="宋体" w:cs="Arial"/>
          <w:sz w:val="21"/>
          <w:szCs w:val="21"/>
          <w:highlight w:val="none"/>
          <w:lang w:val="en-US" w:eastAsia="zh-CN"/>
        </w:rPr>
        <w:t xml:space="preserve">每场赛事由省体育局选派体育赛事活动指导员，</w:t>
      </w:r>
      <w:r>
        <w:rPr>
          <w:rFonts w:ascii="Arial" w:hAnsi="Arial" w:eastAsia="宋体" w:cs="Arial"/>
          <w:sz w:val="21"/>
          <w:szCs w:val="21"/>
          <w:highlight w:val="none"/>
        </w:rPr>
        <w:t xml:space="preserve">赛事活动筹备、组织期间接受</w:t>
      </w:r>
      <w:r>
        <w:rPr>
          <w:rFonts w:ascii="Arial" w:hAnsi="Arial" w:eastAsia="宋体" w:cs="Arial"/>
          <w:sz w:val="21"/>
          <w:szCs w:val="21"/>
          <w:highlight w:val="none"/>
          <w:lang w:val="en-US" w:eastAsia="zh-CN"/>
        </w:rPr>
        <w:t xml:space="preserve">体育</w:t>
      </w:r>
      <w:r>
        <w:rPr>
          <w:rFonts w:ascii="Arial" w:hAnsi="Arial" w:eastAsia="宋体" w:cs="Arial"/>
          <w:sz w:val="21"/>
          <w:szCs w:val="21"/>
          <w:highlight w:val="none"/>
        </w:rPr>
        <w:t xml:space="preserve">赛事活动指导员的监督，杜绝违反竞赛活动赛风赛纪行为。</w:t>
      </w:r>
      <w:r>
        <w:rPr>
          <w:rFonts w:ascii="Arial" w:hAnsi="Arial" w:eastAsia="宋体" w:cs="Arial"/>
          <w:sz w:val="21"/>
          <w:szCs w:val="21"/>
          <w:lang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1.</w:t>
      </w: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w:t>
      </w:r>
      <w:r>
        <w:rPr>
          <w:rFonts w:ascii="Arial" w:hAnsi="Arial" w:eastAsia="宋体" w:cs="Arial"/>
          <w:sz w:val="21"/>
          <w:szCs w:val="21"/>
          <w:highlight w:val="none"/>
          <w:lang w:val="en-US" w:eastAsia="zh-CN"/>
        </w:rPr>
        <w:t xml:space="preserve">10</w:t>
      </w:r>
      <w:r>
        <w:rPr>
          <w:rFonts w:ascii="Arial" w:hAnsi="Arial" w:eastAsia="宋体" w:cs="Arial"/>
          <w:sz w:val="21"/>
          <w:szCs w:val="21"/>
          <w:highlight w:val="none"/>
        </w:rPr>
        <w:t xml:space="preserve"> 比赛结束后15天之内，须将比赛工作总结、秩序册、成绩册</w:t>
      </w:r>
      <w:r>
        <w:rPr>
          <w:rFonts w:ascii="Arial" w:hAnsi="Arial" w:eastAsia="宋体" w:cs="Arial"/>
          <w:sz w:val="21"/>
          <w:szCs w:val="21"/>
          <w:highlight w:val="none"/>
          <w:lang w:val="en-US" w:eastAsia="zh-CN"/>
        </w:rPr>
        <w:t xml:space="preserve">等</w:t>
      </w:r>
      <w:r>
        <w:rPr>
          <w:rFonts w:ascii="Arial" w:hAnsi="Arial" w:eastAsia="宋体" w:cs="Arial"/>
          <w:sz w:val="21"/>
          <w:szCs w:val="21"/>
          <w:highlight w:val="none"/>
        </w:rPr>
        <w:t xml:space="preserve">各项材料交送采购人备案。</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（2）商务要求</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lang w:val="en-US" w:eastAsia="zh-CN"/>
        </w:rPr>
        <w:outlineLvl w:val="9"/>
      </w:pPr>
      <w:r>
        <w:rPr>
          <w:rFonts w:ascii="Arial" w:hAnsi="Arial" w:eastAsia="宋体" w:cs="Arial"/>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sz w:val="21"/>
          <w:szCs w:val="21"/>
          <w:highlight w:val="none"/>
        </w:rPr>
        <w:t xml:space="preserve">。 </w:t>
      </w:r>
      <w:r>
        <w:rPr>
          <w:rFonts w:ascii="Arial" w:hAnsi="Arial" w:eastAsia="宋体" w:cs="Arial"/>
          <w:sz w:val="21"/>
          <w:szCs w:val="21"/>
          <w:highlight w:val="none"/>
          <w:lang w:val="en-US" w:eastAsia="zh-CN"/>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★2.2 活动地点：江苏省内 </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★2.3 项目预算及付款方式：</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本项目采购预算为50万元。合同生效后，在确认开赛前半个月内，采购人支付合同全款的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%作为预付款；合同履约完成且经采购人确认后10个工作日，采购人支付合同总价款的</w:t>
      </w:r>
      <w:r>
        <w:rPr>
          <w:rFonts w:ascii="Arial" w:hAnsi="Arial" w:eastAsia="宋体" w:cs="Arial"/>
          <w:sz w:val="21"/>
          <w:szCs w:val="21"/>
          <w:highlight w:val="none"/>
          <w:lang w:val="en-US" w:eastAsia="zh-CN"/>
        </w:rPr>
        <w:t xml:space="preserve">50</w:t>
      </w:r>
      <w:r>
        <w:rPr>
          <w:rFonts w:ascii="Arial" w:hAnsi="Arial" w:eastAsia="宋体" w:cs="Arial"/>
          <w:sz w:val="21"/>
          <w:szCs w:val="21"/>
          <w:highlight w:val="none"/>
        </w:rPr>
        <w:t xml:space="preserve">%。</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pPr>
      <w:r>
        <w:rPr>
          <w:rFonts w:ascii="Arial" w:hAnsi="Arial" w:eastAsia="宋体" w:cs="Arial"/>
          <w:sz w:val="21"/>
          <w:szCs w:val="21"/>
          <w:highlight w:val="none"/>
        </w:rPr>
        <w:t xml:space="preserve">采购人按成交价给予承办单位比赛经费补助，不足部分承办单位可利用所承办比赛进行市场开发。</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2.4 供应商近三年需有类似省级及以上赛事活动组织经验，提供委托协议或官方媒体报道截图等相关证明材料。</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highlight w:val="none"/>
        </w:rPr>
        <w:outlineLvl w:val="9"/>
      </w:pPr>
      <w:r>
        <w:rPr>
          <w:rFonts w:ascii="Arial" w:hAnsi="Arial" w:eastAsia="宋体" w:cs="Arial"/>
          <w:sz w:val="21"/>
          <w:szCs w:val="21"/>
          <w:highlight w:val="none"/>
        </w:rPr>
        <w:t xml:space="preserve">2.</w:t>
      </w:r>
      <w:r>
        <w:rPr>
          <w:rFonts w:ascii="Arial" w:hAnsi="Arial" w:eastAsia="宋体" w:cs="Arial"/>
          <w:sz w:val="21"/>
          <w:szCs w:val="21"/>
          <w:highlight w:val="none"/>
          <w:lang w:val="en-US" w:eastAsia="zh-CN"/>
        </w:rPr>
        <w:t xml:space="preserve">5</w:t>
      </w:r>
      <w:r>
        <w:rPr>
          <w:rFonts w:ascii="Arial" w:hAnsi="Arial" w:eastAsia="宋体" w:cs="Arial"/>
          <w:sz w:val="21"/>
          <w:szCs w:val="21"/>
          <w:highlight w:val="none"/>
        </w:rPr>
        <w:t xml:space="preserve"> 针对本项目，供应商需组织专门团队服务，配备</w:t>
      </w:r>
      <w:r>
        <w:rPr>
          <w:rFonts w:ascii="Arial" w:hAnsi="Arial" w:eastAsia="宋体" w:cs="Arial"/>
          <w:sz w:val="21"/>
          <w:szCs w:val="21"/>
          <w:highlight w:val="none"/>
          <w:lang w:val="en-US" w:eastAsia="zh-CN"/>
        </w:rPr>
        <w:t xml:space="preserve">合</w:t>
      </w:r>
      <w:r>
        <w:rPr>
          <w:rFonts w:ascii="Arial" w:hAnsi="Arial" w:eastAsia="宋体" w:cs="Arial"/>
          <w:sz w:val="21"/>
          <w:szCs w:val="21"/>
          <w:highlight w:val="none"/>
        </w:rPr>
        <w:t xml:space="preserve">理、专业性强，对全民健身熟悉了解，组织经验丰富，并取得一定成绩的团队成员，提供从业经验或取得成绩等相关证明。</w:t>
      </w:r>
      <w:r>
        <w:rPr>
          <w:rFonts w:ascii="Arial" w:hAnsi="Arial" w:eastAsia="宋体" w:cs="Arial"/>
          <w:sz w:val="21"/>
          <w:szCs w:val="21"/>
          <w:highlight w:val="none"/>
        </w:rPr>
      </w:r>
      <w:r/>
    </w:p>
    <w:p>
      <w:pPr>
        <w:pStyle w:val="1432"/>
        <w:ind w:left="0" w:right="0" w:firstLine="420"/>
        <w:jc w:val="left"/>
        <w:keepLines w:val="0"/>
        <w:keepNext w:val="0"/>
        <w:pageBreakBefore w:val="0"/>
        <w:spacing w:line="360" w:lineRule="auto"/>
        <w:widowControl w:val="off"/>
        <w:rPr>
          <w:rFonts w:ascii="Arial" w:hAnsi="Arial" w:eastAsia="宋体" w:cs="Arial"/>
          <w:sz w:val="21"/>
          <w:szCs w:val="21"/>
          <w:lang w:val="en-US" w:eastAsia="zh-CN"/>
        </w:rPr>
        <w:outlineLvl w:val="9"/>
      </w:pPr>
      <w:r>
        <w:rPr>
          <w:rFonts w:ascii="Arial" w:hAnsi="Arial" w:eastAsia="宋体" w:cs="Arial"/>
          <w:sz w:val="21"/>
          <w:szCs w:val="21"/>
          <w:lang w:val="en-US" w:eastAsia="zh-CN"/>
        </w:rPr>
      </w:r>
      <w:r/>
    </w:p>
    <w:p>
      <w:pPr>
        <w:pStyle w:val="1432"/>
        <w:jc w:val="left"/>
        <w:spacing w:line="360" w:lineRule="auto"/>
        <w:rPr>
          <w:rFonts w:ascii="Arial" w:hAnsi="Arial" w:eastAsia="宋体" w:cs="Arial"/>
          <w:sz w:val="24"/>
          <w:szCs w:val="24"/>
          <w:highlight w:val="yellow"/>
        </w:rPr>
      </w:pPr>
      <w:r>
        <w:rPr>
          <w:rFonts w:ascii="Arial" w:hAnsi="Arial" w:eastAsia="宋体" w:cs="Arial"/>
          <w:sz w:val="24"/>
          <w:szCs w:val="24"/>
          <w:highlight w:val="yellow"/>
        </w:rPr>
        <w:br w:type="page" w:clear="all"/>
      </w:r>
      <w:r>
        <w:rPr>
          <w:rFonts w:ascii="Arial" w:hAnsi="Arial" w:eastAsia="宋体" w:cs="Arial"/>
          <w:sz w:val="24"/>
          <w:szCs w:val="24"/>
          <w:highlight w:val="yellow"/>
        </w:rPr>
      </w:r>
      <w:r/>
    </w:p>
    <w:p>
      <w:pPr>
        <w:pStyle w:val="1432"/>
        <w:jc w:val="center"/>
        <w:spacing w:line="440" w:lineRule="exact"/>
        <w:rPr>
          <w:rFonts w:ascii="Arial" w:hAnsi="Arial" w:eastAsia="宋体" w:cs="Arial"/>
          <w:b/>
          <w:sz w:val="28"/>
          <w:szCs w:val="28"/>
        </w:rPr>
        <w:outlineLvl w:val="0"/>
      </w:pPr>
      <w:r/>
      <w:bookmarkStart w:id="215" w:name="_Toc32073"/>
      <w:r>
        <w:rPr>
          <w:rFonts w:ascii="Arial" w:hAnsi="Arial" w:eastAsia="宋体" w:cs="Arial"/>
          <w:b/>
          <w:sz w:val="28"/>
          <w:szCs w:val="28"/>
        </w:rPr>
        <w:t xml:space="preserve">第五章 拟签订的合同文本</w:t>
      </w:r>
      <w:bookmarkEnd w:id="206"/>
      <w:r/>
      <w:bookmarkEnd w:id="215"/>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16"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16"/>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bCs/>
          <w:color w:val="000000"/>
          <w:sz w:val="24"/>
          <w:lang w:val="en-US" w:eastAsia="zh-CN"/>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ascii="Arial" w:hAnsi="Arial" w:eastAsia="宋体" w:cs="Arial"/>
          <w:sz w:val="21"/>
          <w:szCs w:val="21"/>
          <w:lang w:val="en-US" w:eastAsia="zh-CN"/>
        </w:rPr>
        <w:t xml:space="preserve">  </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17" w:name="_Toc26078"/>
      <w:r/>
      <w:bookmarkStart w:id="218" w:name="_Toc19"/>
      <w:r/>
      <w:bookmarkStart w:id="219" w:name="_Toc1691"/>
      <w:r>
        <w:rPr>
          <w:rFonts w:ascii="Arial" w:hAnsi="Arial" w:eastAsia="宋体" w:cs="Arial"/>
          <w:b/>
          <w:sz w:val="28"/>
          <w:szCs w:val="28"/>
        </w:rPr>
        <w:t xml:space="preserve">第六章 投标文件格式及附件</w:t>
      </w:r>
      <w:bookmarkEnd w:id="217"/>
      <w:r/>
      <w:bookmarkEnd w:id="218"/>
      <w:r/>
      <w:bookmarkEnd w:id="219"/>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20" w:name="_Toc29373"/>
      <w:r/>
      <w:bookmarkStart w:id="221" w:name="_Toc496780634"/>
      <w:r/>
      <w:bookmarkStart w:id="222" w:name="_Toc12151"/>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ascii="Arial" w:hAnsi="Arial" w:eastAsia="宋体" w:cs="Arial"/>
          <w:b/>
          <w:sz w:val="48"/>
          <w:szCs w:val="48"/>
          <w:lang w:eastAsia="zh-CN"/>
        </w:rPr>
        <w:t xml:space="preserve">2026年品牌赛事活动项目（第一批）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JSZC-320000-SMDY-G2026-0037</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ascii="Arial" w:hAnsi="Arial" w:eastAsia="宋体" w:cs="Arial"/>
          <w:b/>
          <w:sz w:val="32"/>
          <w:szCs w:val="32"/>
          <w:highlight w:val="none"/>
          <w:lang w:eastAsia="zh-CN"/>
        </w:rPr>
        <w:t xml:space="preserve">2640SUMEC/ZWGG2051</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20"/>
      <w:r/>
      <w:bookmarkEnd w:id="221"/>
      <w:r/>
      <w:bookmarkEnd w:id="222"/>
      <w:r/>
      <w:bookmarkStart w:id="223" w:name="_Toc13756"/>
      <w:r/>
      <w:bookmarkStart w:id="224" w:name="_Toc19798"/>
      <w:r>
        <w:rPr>
          <w:rFonts w:ascii="Arial" w:hAnsi="Arial" w:eastAsia="宋体" w:cs="Arial"/>
          <w:b/>
          <w:bCs/>
          <w:sz w:val="24"/>
        </w:rPr>
        <w:t xml:space="preserve">附件一 投标函格式</w:t>
      </w:r>
      <w:bookmarkEnd w:id="223"/>
      <w:r/>
      <w:bookmarkEnd w:id="224"/>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25" w:name="_Toc14605"/>
      <w:r/>
      <w:bookmarkStart w:id="226" w:name="_Toc437"/>
      <w:r/>
      <w:bookmarkStart w:id="227" w:name="_Toc17735"/>
      <w:r>
        <w:rPr>
          <w:rFonts w:ascii="Arial" w:hAnsi="Arial" w:eastAsia="宋体" w:cs="Arial"/>
          <w:b/>
          <w:bCs/>
          <w:sz w:val="24"/>
          <w:szCs w:val="22"/>
        </w:rPr>
        <w:t xml:space="preserve">附件二 开标一览表</w:t>
      </w:r>
      <w:bookmarkEnd w:id="225"/>
      <w:r/>
      <w:bookmarkEnd w:id="226"/>
      <w:r/>
      <w:bookmarkEnd w:id="227"/>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8"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28"/>
      <w:r/>
      <w:bookmarkStart w:id="229" w:name="_Toc2903"/>
      <w:r/>
      <w:bookmarkStart w:id="230" w:name="_Toc23677"/>
      <w:r>
        <w:rPr>
          <w:rFonts w:ascii="Arial" w:hAnsi="Arial" w:eastAsia="宋体" w:cs="Arial"/>
          <w:b/>
          <w:bCs/>
          <w:sz w:val="24"/>
          <w:szCs w:val="22"/>
        </w:rPr>
        <w:t xml:space="preserve">附件三 分项报价表</w:t>
      </w:r>
      <w:bookmarkEnd w:id="229"/>
      <w:r/>
      <w:bookmarkEnd w:id="230"/>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31" w:name="_Toc8446"/>
      <w:r/>
      <w:bookmarkStart w:id="232" w:name="_Toc12140"/>
      <w:r>
        <w:rPr>
          <w:rFonts w:ascii="Arial" w:hAnsi="Arial" w:eastAsia="宋体" w:cs="Arial"/>
          <w:b/>
          <w:sz w:val="28"/>
          <w:szCs w:val="22"/>
          <w:highlight w:val="none"/>
        </w:rPr>
        <w:t xml:space="preserve">分项报价表</w:t>
      </w:r>
      <w:bookmarkEnd w:id="231"/>
      <w:r/>
      <w:bookmarkEnd w:id="232"/>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33" w:name="_Toc3694"/>
      <w:r/>
      <w:bookmarkStart w:id="234" w:name="_Toc31558"/>
      <w:r/>
      <w:bookmarkStart w:id="235" w:name="_Toc27607"/>
      <w:r>
        <w:rPr>
          <w:rFonts w:ascii="Arial" w:hAnsi="Arial" w:eastAsia="宋体" w:cs="Arial"/>
          <w:b/>
          <w:bCs/>
          <w:sz w:val="24"/>
          <w:szCs w:val="22"/>
        </w:rPr>
        <w:t xml:space="preserve">附件四 商务条款偏离表</w:t>
      </w:r>
      <w:bookmarkEnd w:id="233"/>
      <w:r/>
      <w:bookmarkEnd w:id="234"/>
      <w:r/>
      <w:bookmarkEnd w:id="235"/>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t xml:space="preserve">1</w:t>
            </w:r>
            <w:r>
              <w:rPr>
                <w:rFonts w:hint="eastAsia" w:ascii="Arial" w:hAnsi="Arial" w:eastAsia="宋体" w:cs="Arial"/>
                <w:b w:val="0"/>
                <w:bCs w:val="0"/>
                <w:szCs w:val="21"/>
                <w:lang w:val="en-US" w:eastAsia="zh-CN"/>
              </w:rPr>
            </w:r>
            <w:r/>
          </w:p>
        </w:tc>
        <w:tc>
          <w:tcPr>
            <w:tcW w:w="5155" w:type="dxa"/>
            <w:vAlign w:val="center"/>
            <w:textDirection w:val="lrTb"/>
            <w:noWrap w:val="false"/>
          </w:tcPr>
          <w:p>
            <w:pPr>
              <w:pStyle w:val="1432"/>
              <w:jc w:val="left"/>
              <w:spacing w:before="156" w:line="440" w:lineRule="exact"/>
              <w:rPr>
                <w:rFonts w:ascii="Arial" w:hAnsi="Arial" w:eastAsia="宋体" w:cs="Arial"/>
                <w:b w:val="0"/>
                <w:bCs w:val="0"/>
                <w:szCs w:val="21"/>
                <w:lang w:val="en-US" w:eastAsia="zh-CN"/>
              </w:rPr>
              <w:framePr w:vAnchor="text" w:hAnchor="page" w:x="1523" w:y="700"/>
            </w:pPr>
            <w:r>
              <w:rPr>
                <w:rFonts w:ascii="Arial" w:hAnsi="Arial" w:eastAsia="宋体" w:cs="Arial"/>
                <w:b w:val="0"/>
                <w:bCs w:val="0"/>
                <w:szCs w:val="21"/>
              </w:rPr>
              <w:t xml:space="preserve">合同履行期限</w:t>
            </w:r>
            <w:r>
              <w:rPr>
                <w:rFonts w:hint="eastAsia" w:ascii="Arial" w:hAnsi="Arial" w:eastAsia="宋体" w:cs="Arial"/>
                <w:b w:val="0"/>
                <w:bCs w:val="0"/>
                <w:szCs w:val="21"/>
                <w:lang w:eastAsia="zh-CN"/>
              </w:rPr>
              <w:t xml:space="preserve">：</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b w:val="0"/>
                <w:bCs w:val="0"/>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b w:val="0"/>
                <w:bCs w:val="0"/>
                <w:szCs w:val="21"/>
              </w:rPr>
              <w:framePr w:vAnchor="text" w:hAnchor="page" w:x="1523" w:y="700"/>
            </w:pPr>
            <w:r>
              <w:rPr>
                <w:rFonts w:ascii="Arial" w:hAnsi="Arial" w:eastAsia="宋体" w:cs="Arial"/>
                <w:b w:val="0"/>
                <w:bCs w:val="0"/>
                <w:szCs w:val="21"/>
              </w:rPr>
            </w:r>
            <w:r/>
          </w:p>
        </w:tc>
      </w:tr>
      <w:tr>
        <w:trPr>
          <w:trHeight w:val="719"/>
        </w:trPr>
        <w:tc>
          <w:tcPr>
            <w:tcW w:w="1386" w:type="dxa"/>
            <w:vAlign w:val="center"/>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t xml:space="preserve">2</w:t>
            </w:r>
            <w:r>
              <w:rPr>
                <w:rFonts w:hint="eastAsia" w:ascii="Arial" w:hAnsi="Arial" w:eastAsia="宋体" w:cs="Arial"/>
                <w:b w:val="0"/>
                <w:bCs w:val="0"/>
                <w:szCs w:val="21"/>
                <w:lang w:val="en-US" w:eastAsia="zh-CN"/>
              </w:rPr>
            </w:r>
            <w:r/>
          </w:p>
        </w:tc>
        <w:tc>
          <w:tcPr>
            <w:tcW w:w="5155" w:type="dxa"/>
            <w:vAlign w:val="center"/>
            <w:textDirection w:val="lrTb"/>
            <w:noWrap w:val="false"/>
          </w:tcPr>
          <w:p>
            <w:pPr>
              <w:pStyle w:val="1432"/>
              <w:ind w:left="0" w:right="0" w:firstLine="0"/>
              <w:jc w:val="left"/>
              <w:keepLines w:val="0"/>
              <w:keepNext w:val="0"/>
              <w:pageBreakBefore w:val="0"/>
              <w:spacing w:line="360" w:lineRule="auto"/>
              <w:widowControl w:val="off"/>
              <w:rPr>
                <w:rFonts w:ascii="Arial" w:hAnsi="Arial" w:eastAsia="宋体" w:cs="Arial"/>
                <w:b w:val="0"/>
                <w:bCs w:val="0"/>
                <w:color w:val="000000"/>
                <w:sz w:val="21"/>
                <w:szCs w:val="21"/>
                <w:highlight w:val="none"/>
                <w:lang w:bidi="ar"/>
              </w:rPr>
              <w:framePr w:vAnchor="text" w:hAnchor="page" w:x="1523" w:y="700"/>
            </w:pPr>
            <w:r>
              <w:rPr>
                <w:rFonts w:ascii="Arial" w:hAnsi="Arial" w:eastAsia="宋体" w:cs="Arial"/>
                <w:b w:val="0"/>
                <w:bCs w:val="0"/>
                <w:color w:val="000000"/>
                <w:sz w:val="21"/>
                <w:szCs w:val="21"/>
                <w:highlight w:val="none"/>
                <w:lang w:bidi="ar"/>
              </w:rPr>
              <w:t xml:space="preserve">项目预算及付款方式：</w:t>
            </w:r>
            <w:r>
              <w:rPr>
                <w:rFonts w:ascii="Arial" w:hAnsi="Arial" w:eastAsia="宋体" w:cs="Arial"/>
                <w:b w:val="0"/>
                <w:bCs w:val="0"/>
                <w:color w:val="000000"/>
                <w:sz w:val="21"/>
                <w:szCs w:val="21"/>
                <w:highlight w:val="none"/>
                <w:lang w:bidi="ar"/>
              </w:rPr>
            </w:r>
            <w:r/>
          </w:p>
          <w:p>
            <w:pPr>
              <w:pStyle w:val="1432"/>
              <w:ind w:left="0" w:right="0" w:firstLine="0"/>
              <w:jc w:val="left"/>
              <w:keepLines w:val="0"/>
              <w:keepNext w:val="0"/>
              <w:pageBreakBefore w:val="0"/>
              <w:spacing w:line="360" w:lineRule="auto"/>
              <w:widowControl w:val="off"/>
              <w:rPr>
                <w:rFonts w:ascii="Arial" w:hAnsi="Arial" w:eastAsia="宋体" w:cs="Arial"/>
                <w:b w:val="0"/>
                <w:bCs w:val="0"/>
                <w:color w:val="000000"/>
                <w:sz w:val="21"/>
                <w:szCs w:val="21"/>
                <w:highlight w:val="none"/>
                <w:lang w:bidi="ar"/>
              </w:rPr>
              <w:framePr w:vAnchor="text" w:hAnchor="page" w:x="1523" w:y="700"/>
            </w:pPr>
            <w:r>
              <w:rPr>
                <w:rFonts w:ascii="Arial" w:hAnsi="Arial" w:eastAsia="宋体" w:cs="Arial"/>
                <w:b w:val="0"/>
                <w:bCs w:val="0"/>
                <w:color w:val="000000"/>
                <w:sz w:val="21"/>
                <w:szCs w:val="21"/>
                <w:highlight w:val="none"/>
                <w:lang w:bidi="ar"/>
              </w:rPr>
              <w:t xml:space="preserve">本项目采购预算为</w:t>
            </w:r>
            <w:r>
              <w:rPr>
                <w:rFonts w:hint="eastAsia" w:ascii="Arial" w:hAnsi="Arial" w:eastAsia="宋体" w:cs="Arial"/>
                <w:b w:val="0"/>
                <w:bCs w:val="0"/>
                <w:color w:val="000000"/>
                <w:sz w:val="21"/>
                <w:szCs w:val="21"/>
                <w:highlight w:val="none"/>
                <w:u w:val="single"/>
                <w:lang w:val="en-US" w:eastAsia="zh-CN" w:bidi="ar"/>
              </w:rPr>
              <w:t xml:space="preserve">      </w:t>
            </w:r>
            <w:r>
              <w:rPr>
                <w:rFonts w:ascii="Arial" w:hAnsi="Arial" w:eastAsia="宋体" w:cs="Arial"/>
                <w:b w:val="0"/>
                <w:bCs w:val="0"/>
                <w:color w:val="000000"/>
                <w:sz w:val="21"/>
                <w:szCs w:val="21"/>
                <w:highlight w:val="none"/>
                <w:lang w:bidi="ar"/>
              </w:rPr>
              <w:t xml:space="preserve">万元</w:t>
            </w:r>
            <w:r>
              <w:rPr>
                <w:rFonts w:hint="eastAsia" w:ascii="Arial" w:hAnsi="Arial" w:eastAsia="宋体" w:cs="Arial"/>
                <w:b w:val="0"/>
                <w:bCs w:val="0"/>
                <w:color w:val="000000"/>
                <w:sz w:val="21"/>
                <w:szCs w:val="21"/>
                <w:highlight w:val="none"/>
                <w:lang w:eastAsia="zh-CN" w:bidi="ar"/>
              </w:rPr>
              <w:t xml:space="preserve">（</w:t>
            </w:r>
            <w:r>
              <w:rPr>
                <w:rFonts w:hint="eastAsia" w:ascii="Arial" w:hAnsi="Arial" w:eastAsia="宋体" w:cs="Arial"/>
                <w:b w:val="0"/>
                <w:bCs w:val="0"/>
                <w:color w:val="000000"/>
                <w:sz w:val="21"/>
                <w:szCs w:val="21"/>
                <w:highlight w:val="none"/>
                <w:lang w:val="en-US" w:eastAsia="zh-CN" w:bidi="ar"/>
              </w:rPr>
              <w:t xml:space="preserve">根据采购内容填写</w:t>
            </w:r>
            <w:r>
              <w:rPr>
                <w:rFonts w:hint="eastAsia" w:ascii="Arial" w:hAnsi="Arial" w:eastAsia="宋体" w:cs="Arial"/>
                <w:b w:val="0"/>
                <w:bCs w:val="0"/>
                <w:color w:val="000000"/>
                <w:sz w:val="21"/>
                <w:szCs w:val="21"/>
                <w:highlight w:val="none"/>
                <w:lang w:eastAsia="zh-CN" w:bidi="ar"/>
              </w:rPr>
              <w:t xml:space="preserve">）</w:t>
            </w:r>
            <w:r>
              <w:rPr>
                <w:rFonts w:ascii="Arial" w:hAnsi="Arial" w:eastAsia="宋体" w:cs="Arial"/>
                <w:b w:val="0"/>
                <w:bCs w:val="0"/>
                <w:color w:val="000000"/>
                <w:sz w:val="21"/>
                <w:szCs w:val="21"/>
                <w:highlight w:val="none"/>
                <w:lang w:bidi="ar"/>
              </w:rPr>
              <w:t xml:space="preserve">。合同生效后，在确认开赛前半个月内，采购人支付合同全款的</w:t>
            </w:r>
            <w:r>
              <w:rPr>
                <w:rFonts w:ascii="Arial" w:hAnsi="Arial" w:eastAsia="宋体" w:cs="Arial"/>
                <w:b w:val="0"/>
                <w:bCs w:val="0"/>
                <w:color w:val="000000"/>
                <w:sz w:val="21"/>
                <w:szCs w:val="21"/>
                <w:highlight w:val="none"/>
                <w:lang w:val="en-US" w:eastAsia="zh-CN" w:bidi="ar"/>
              </w:rPr>
              <w:t xml:space="preserve">50</w:t>
            </w:r>
            <w:r>
              <w:rPr>
                <w:rFonts w:ascii="Arial" w:hAnsi="Arial" w:eastAsia="宋体" w:cs="Arial"/>
                <w:b w:val="0"/>
                <w:bCs w:val="0"/>
                <w:color w:val="000000"/>
                <w:sz w:val="21"/>
                <w:szCs w:val="21"/>
                <w:highlight w:val="none"/>
                <w:lang w:bidi="ar"/>
              </w:rPr>
              <w:t xml:space="preserve">%作为预付款；合同履约完成且经采购人确认后10个工作日，采购人支付合同总价款的</w:t>
            </w:r>
            <w:r>
              <w:rPr>
                <w:rFonts w:ascii="Arial" w:hAnsi="Arial" w:eastAsia="宋体" w:cs="Arial"/>
                <w:b w:val="0"/>
                <w:bCs w:val="0"/>
                <w:color w:val="000000"/>
                <w:sz w:val="21"/>
                <w:szCs w:val="21"/>
                <w:highlight w:val="none"/>
                <w:lang w:val="en-US" w:eastAsia="zh-CN" w:bidi="ar"/>
              </w:rPr>
              <w:t xml:space="preserve">50</w:t>
            </w:r>
            <w:r>
              <w:rPr>
                <w:rFonts w:ascii="Arial" w:hAnsi="Arial" w:eastAsia="宋体" w:cs="Arial"/>
                <w:b w:val="0"/>
                <w:bCs w:val="0"/>
                <w:color w:val="000000"/>
                <w:sz w:val="21"/>
                <w:szCs w:val="21"/>
                <w:highlight w:val="none"/>
                <w:lang w:bidi="ar"/>
              </w:rPr>
              <w:t xml:space="preserve">%。</w:t>
            </w:r>
            <w:r>
              <w:rPr>
                <w:rFonts w:ascii="Arial" w:hAnsi="Arial" w:eastAsia="宋体" w:cs="Arial"/>
                <w:b w:val="0"/>
                <w:bCs w:val="0"/>
                <w:color w:val="000000"/>
                <w:sz w:val="21"/>
                <w:szCs w:val="21"/>
                <w:highlight w:val="none"/>
                <w:lang w:bidi="ar"/>
              </w:rPr>
            </w:r>
            <w:r/>
          </w:p>
          <w:p>
            <w:pPr>
              <w:pStyle w:val="1432"/>
              <w:ind w:firstLine="420"/>
              <w:jc w:val="left"/>
              <w:spacing w:before="0" w:line="360" w:lineRule="auto"/>
              <w:rPr>
                <w:rFonts w:hint="eastAsia" w:ascii="Arial" w:hAnsi="Arial" w:eastAsia="宋体" w:cs="Arial"/>
                <w:b w:val="0"/>
                <w:bCs w:val="0"/>
                <w:szCs w:val="21"/>
                <w:lang w:eastAsia="zh-CN"/>
              </w:rPr>
              <w:framePr w:vAnchor="text" w:hAnchor="page" w:x="1523" w:y="700"/>
            </w:pPr>
            <w:r>
              <w:rPr>
                <w:rFonts w:ascii="Arial" w:hAnsi="Arial" w:eastAsia="宋体" w:cs="Arial"/>
                <w:b w:val="0"/>
                <w:bCs w:val="0"/>
                <w:color w:val="000000"/>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val="0"/>
                <w:bCs w:val="0"/>
                <w:szCs w:val="21"/>
                <w:lang w:eastAsia="zh-CN"/>
              </w:rPr>
            </w:r>
            <w:r/>
          </w:p>
        </w:tc>
        <w:tc>
          <w:tcPr>
            <w:tcW w:w="2741" w:type="dxa"/>
            <w:vAlign w:val="top"/>
            <w:textDirection w:val="lrTb"/>
            <w:noWrap w:val="false"/>
          </w:tcPr>
          <w:p>
            <w:pPr>
              <w:pStyle w:val="1432"/>
              <w:spacing w:before="156" w:line="440" w:lineRule="exact"/>
              <w:rPr>
                <w:rFonts w:ascii="Arial" w:hAnsi="Arial" w:eastAsia="宋体" w:cs="Arial"/>
                <w:b w:val="0"/>
                <w:bCs w:val="0"/>
                <w:szCs w:val="21"/>
              </w:rPr>
              <w:framePr w:vAnchor="text" w:hAnchor="page" w:x="1523" w:y="700"/>
            </w:pPr>
            <w:r>
              <w:rPr>
                <w:rFonts w:ascii="Arial" w:hAnsi="Arial" w:eastAsia="宋体" w:cs="Arial"/>
                <w:b w:val="0"/>
                <w:bCs w:val="0"/>
                <w:szCs w:val="21"/>
              </w:rPr>
            </w:r>
            <w:r/>
          </w:p>
        </w:tc>
      </w:tr>
      <w:tr>
        <w:trPr>
          <w:trHeight w:val="540"/>
        </w:trPr>
        <w:tc>
          <w:tcPr>
            <w:tcW w:w="1386" w:type="dxa"/>
            <w:vAlign w:val="top"/>
            <w:textDirection w:val="lrTb"/>
            <w:noWrap w:val="false"/>
          </w:tcPr>
          <w:p>
            <w:pPr>
              <w:pStyle w:val="1432"/>
              <w:jc w:val="center"/>
              <w:spacing w:before="156" w:line="440" w:lineRule="exact"/>
              <w:rPr>
                <w:rFonts w:hint="eastAsia" w:ascii="Arial" w:hAnsi="Arial" w:eastAsia="宋体" w:cs="Arial"/>
                <w:b w:val="0"/>
                <w:bCs w:val="0"/>
                <w:sz w:val="21"/>
                <w:szCs w:val="21"/>
                <w:lang w:val="en-US" w:eastAsia="zh-CN" w:bidi="ar-SA"/>
              </w:rPr>
              <w:framePr w:vAnchor="text" w:hAnchor="page" w:x="1523" w:y="700"/>
            </w:pPr>
            <w:r>
              <w:rPr>
                <w:rFonts w:hint="eastAsia" w:ascii="Arial" w:hAnsi="Arial" w:eastAsia="宋体" w:cs="Arial"/>
                <w:b w:val="0"/>
                <w:bCs w:val="0"/>
                <w:szCs w:val="21"/>
                <w:lang w:val="en-US" w:eastAsia="zh-CN"/>
              </w:rPr>
              <w:t xml:space="preserve">3</w:t>
            </w:r>
            <w:r>
              <w:rPr>
                <w:rFonts w:hint="eastAsia" w:ascii="Arial" w:hAnsi="Arial" w:eastAsia="宋体" w:cs="Arial"/>
                <w:b w:val="0"/>
                <w:bCs w:val="0"/>
                <w:sz w:val="21"/>
                <w:szCs w:val="21"/>
                <w:lang w:val="en-US" w:eastAsia="zh-CN" w:bidi="ar-SA"/>
              </w:rPr>
            </w:r>
            <w:r/>
          </w:p>
        </w:tc>
        <w:tc>
          <w:tcPr>
            <w:tcW w:w="5155" w:type="dxa"/>
            <w:vAlign w:val="top"/>
            <w:textDirection w:val="lrTb"/>
            <w:noWrap w:val="false"/>
          </w:tcPr>
          <w:p>
            <w:pPr>
              <w:pStyle w:val="1432"/>
              <w:spacing w:before="156" w:line="440" w:lineRule="exact"/>
              <w:rPr>
                <w:rFonts w:ascii="Arial" w:hAnsi="Arial" w:eastAsia="宋体" w:cs="Arial"/>
                <w:b w:val="0"/>
                <w:bCs w:val="0"/>
                <w:sz w:val="21"/>
                <w:szCs w:val="21"/>
                <w:lang w:val="en-US" w:eastAsia="zh-CN" w:bidi="ar-SA"/>
              </w:rPr>
              <w:framePr w:vAnchor="text" w:hAnchor="page" w:x="1523" w:y="700"/>
            </w:pPr>
            <w:r>
              <w:rPr>
                <w:rFonts w:ascii="Arial" w:hAnsi="Arial" w:eastAsia="宋体" w:cs="Arial"/>
                <w:b w:val="0"/>
                <w:bCs w:val="0"/>
                <w:szCs w:val="21"/>
                <w:lang w:val="en-US" w:eastAsia="zh-CN" w:bidi="ar"/>
              </w:rPr>
              <w:t xml:space="preserve">活动地点：江苏省内</w:t>
            </w:r>
            <w:r>
              <w:rPr>
                <w:rFonts w:ascii="Arial" w:hAnsi="Arial" w:eastAsia="宋体" w:cs="Arial"/>
                <w:b w:val="0"/>
                <w:bCs w:val="0"/>
                <w:sz w:val="21"/>
                <w:szCs w:val="21"/>
                <w:lang w:val="en-US" w:eastAsia="zh-CN" w:bidi="ar-SA"/>
              </w:rPr>
            </w:r>
            <w:r/>
          </w:p>
        </w:tc>
        <w:tc>
          <w:tcPr>
            <w:tcW w:w="2741" w:type="dxa"/>
            <w:vAlign w:val="top"/>
            <w:textDirection w:val="lrTb"/>
            <w:noWrap w:val="false"/>
          </w:tcPr>
          <w:p>
            <w:pPr>
              <w:pStyle w:val="1432"/>
              <w:rPr>
                <w:b w:val="0"/>
                <w:bCs w:val="0"/>
              </w:rPr>
              <w:framePr w:vAnchor="text" w:hAnchor="page" w:x="1523" w:y="700"/>
            </w:pPr>
            <w:r>
              <w:rPr>
                <w:b w:val="0"/>
                <w:bCs w:val="0"/>
              </w:rPr>
            </w:r>
            <w:r/>
          </w:p>
        </w:tc>
      </w:tr>
      <w:tr>
        <w:trPr>
          <w:trHeight w:val="540"/>
        </w:trPr>
        <w:tc>
          <w:tcPr>
            <w:tcW w:w="1386" w:type="dxa"/>
            <w:vAlign w:val="top"/>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r>
            <w:r/>
          </w:p>
        </w:tc>
        <w:tc>
          <w:tcPr>
            <w:tcW w:w="5155" w:type="dxa"/>
            <w:vAlign w:val="top"/>
            <w:textDirection w:val="lrTb"/>
            <w:noWrap w:val="false"/>
          </w:tcPr>
          <w:p>
            <w:pPr>
              <w:pStyle w:val="1432"/>
              <w:spacing w:before="156" w:line="440" w:lineRule="exact"/>
              <w:rPr>
                <w:rFonts w:ascii="Arial" w:hAnsi="Arial" w:eastAsia="宋体" w:cs="Arial"/>
                <w:b w:val="0"/>
                <w:bCs w:val="0"/>
                <w:szCs w:val="21"/>
                <w:lang w:val="en-US" w:eastAsia="zh-CN" w:bidi="ar"/>
              </w:rPr>
              <w:framePr w:vAnchor="text" w:hAnchor="page" w:x="1523" w:y="700"/>
            </w:pPr>
            <w:r>
              <w:rPr>
                <w:rFonts w:ascii="Arial" w:hAnsi="Arial" w:eastAsia="宋体" w:cs="Arial"/>
                <w:b w:val="0"/>
                <w:bCs w:val="0"/>
                <w:szCs w:val="21"/>
                <w:lang w:val="en-US" w:eastAsia="zh-CN" w:bidi="ar"/>
              </w:rPr>
            </w:r>
            <w:r/>
          </w:p>
        </w:tc>
        <w:tc>
          <w:tcPr>
            <w:tcW w:w="2741" w:type="dxa"/>
            <w:vAlign w:val="top"/>
            <w:textDirection w:val="lrTb"/>
            <w:noWrap w:val="false"/>
          </w:tcPr>
          <w:p>
            <w:pPr>
              <w:pStyle w:val="1432"/>
              <w:rPr>
                <w:b w:val="0"/>
                <w:bCs w:val="0"/>
              </w:rPr>
              <w:framePr w:vAnchor="text" w:hAnchor="page" w:x="1523" w:y="700"/>
            </w:pPr>
            <w:r>
              <w:rPr>
                <w:b w:val="0"/>
                <w:bCs w:val="0"/>
              </w:rPr>
            </w:r>
            <w:r/>
          </w:p>
        </w:tc>
      </w:tr>
      <w:tr>
        <w:trPr>
          <w:trHeight w:val="540"/>
        </w:trPr>
        <w:tc>
          <w:tcPr>
            <w:tcW w:w="1386" w:type="dxa"/>
            <w:vAlign w:val="top"/>
            <w:textDirection w:val="lrTb"/>
            <w:noWrap w:val="false"/>
          </w:tcPr>
          <w:p>
            <w:pPr>
              <w:pStyle w:val="1432"/>
              <w:jc w:val="center"/>
              <w:spacing w:before="156" w:line="440" w:lineRule="exact"/>
              <w:rPr>
                <w:rFonts w:hint="eastAsia" w:ascii="Arial" w:hAnsi="Arial" w:eastAsia="宋体" w:cs="Arial"/>
                <w:b w:val="0"/>
                <w:bCs w:val="0"/>
                <w:szCs w:val="21"/>
                <w:lang w:val="en-US" w:eastAsia="zh-CN"/>
              </w:rPr>
              <w:framePr w:vAnchor="text" w:hAnchor="page" w:x="1523" w:y="700"/>
            </w:pPr>
            <w:r>
              <w:rPr>
                <w:rFonts w:hint="eastAsia" w:ascii="Arial" w:hAnsi="Arial" w:eastAsia="宋体" w:cs="Arial"/>
                <w:b w:val="0"/>
                <w:bCs w:val="0"/>
                <w:szCs w:val="21"/>
                <w:lang w:val="en-US" w:eastAsia="zh-CN"/>
              </w:rPr>
            </w:r>
            <w:r/>
          </w:p>
        </w:tc>
        <w:tc>
          <w:tcPr>
            <w:tcW w:w="5155" w:type="dxa"/>
            <w:vAlign w:val="top"/>
            <w:textDirection w:val="lrTb"/>
            <w:noWrap w:val="false"/>
          </w:tcPr>
          <w:p>
            <w:pPr>
              <w:pStyle w:val="1432"/>
              <w:spacing w:before="156" w:line="440" w:lineRule="exact"/>
              <w:rPr>
                <w:rFonts w:ascii="Arial" w:hAnsi="Arial" w:eastAsia="宋体" w:cs="Arial"/>
                <w:b w:val="0"/>
                <w:bCs w:val="0"/>
                <w:szCs w:val="21"/>
                <w:lang w:val="en-US" w:eastAsia="zh-CN" w:bidi="ar"/>
              </w:rPr>
              <w:framePr w:vAnchor="text" w:hAnchor="page" w:x="1523" w:y="700"/>
            </w:pPr>
            <w:r>
              <w:rPr>
                <w:rFonts w:ascii="Arial" w:hAnsi="Arial" w:eastAsia="宋体" w:cs="Arial"/>
                <w:b w:val="0"/>
                <w:bCs w:val="0"/>
                <w:szCs w:val="21"/>
                <w:lang w:val="en-US" w:eastAsia="zh-CN" w:bidi="ar"/>
              </w:rPr>
            </w:r>
            <w:r/>
          </w:p>
        </w:tc>
        <w:tc>
          <w:tcPr>
            <w:tcW w:w="2741" w:type="dxa"/>
            <w:vAlign w:val="top"/>
            <w:textDirection w:val="lrTb"/>
            <w:noWrap w:val="false"/>
          </w:tcPr>
          <w:p>
            <w:pPr>
              <w:pStyle w:val="1432"/>
              <w:rPr>
                <w:b w:val="0"/>
                <w:bCs w:val="0"/>
              </w:rPr>
              <w:framePr w:vAnchor="text" w:hAnchor="page" w:x="1523" w:y="700"/>
            </w:pPr>
            <w:r>
              <w:rPr>
                <w:b w:val="0"/>
                <w:bCs w:val="0"/>
              </w:rPr>
            </w:r>
            <w:r/>
          </w:p>
        </w:tc>
      </w:tr>
    </w:tbl>
    <w:p>
      <w:pPr>
        <w:pStyle w:val="1432"/>
        <w:spacing w:line="440" w:lineRule="exact"/>
        <w:rPr>
          <w:rFonts w:ascii="Arial" w:hAnsi="Arial" w:eastAsia="宋体" w:cs="Arial"/>
          <w:b w:val="0"/>
          <w:bCs w:val="0"/>
          <w:sz w:val="24"/>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val="0"/>
          <w:bCs w:val="0"/>
          <w:sz w:val="24"/>
        </w:rPr>
      </w:r>
      <w:r/>
    </w:p>
    <w:p>
      <w:pPr>
        <w:pStyle w:val="1432"/>
        <w:spacing w:line="440" w:lineRule="exact"/>
        <w:rPr>
          <w:rFonts w:ascii="Arial" w:hAnsi="Arial" w:eastAsia="宋体" w:cs="Arial"/>
          <w:b w:val="0"/>
          <w:bCs w:val="0"/>
          <w:szCs w:val="21"/>
        </w:rPr>
      </w:pPr>
      <w:r>
        <w:rPr>
          <w:rFonts w:ascii="Arial" w:hAnsi="Arial" w:eastAsia="宋体" w:cs="Arial"/>
          <w:b w:val="0"/>
          <w:bCs w:val="0"/>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43"/>
        <w:numPr>
          <w:ilvl w:val="0"/>
          <w:numId w:val="0"/>
        </w:numPr>
        <w:rPr>
          <w:rFonts w:ascii="Arial" w:hAnsi="Arial" w:eastAsia="宋体" w:cs="Arial"/>
          <w:color w:val="000000"/>
          <w:szCs w:val="21"/>
        </w:rPr>
      </w:pPr>
      <w:r>
        <w:rPr>
          <w:rFonts w:ascii="Arial" w:hAnsi="Arial" w:eastAsia="宋体" w:cs="Arial"/>
          <w:color w:val="000000"/>
          <w:szCs w:val="21"/>
        </w:rPr>
      </w:r>
      <w:r/>
    </w:p>
    <w:p>
      <w:pPr>
        <w:pStyle w:val="1432"/>
      </w:pPr>
      <w:r/>
      <w:r/>
    </w:p>
    <w:p>
      <w:pPr>
        <w:pStyle w:val="1432"/>
        <w:spacing w:after="156" w:line="440" w:lineRule="exact"/>
        <w:rPr>
          <w:rFonts w:ascii="Arial" w:hAnsi="Arial" w:eastAsia="宋体" w:cs="Arial"/>
          <w:b/>
          <w:bCs/>
          <w:sz w:val="24"/>
          <w:szCs w:val="22"/>
        </w:rPr>
        <w:outlineLvl w:val="1"/>
      </w:pPr>
      <w:r/>
      <w:bookmarkStart w:id="236" w:name="_Toc17448"/>
      <w:r/>
      <w:bookmarkStart w:id="237" w:name="_Toc23074"/>
      <w:r>
        <w:rPr>
          <w:rFonts w:ascii="Arial" w:hAnsi="Arial" w:eastAsia="宋体" w:cs="Arial"/>
          <w:b/>
          <w:bCs/>
          <w:sz w:val="24"/>
          <w:szCs w:val="22"/>
        </w:rPr>
        <w:t xml:space="preserve">附件五 技术条款偏离表</w:t>
      </w:r>
      <w:bookmarkEnd w:id="236"/>
      <w:r/>
      <w:bookmarkEnd w:id="237"/>
      <w:r>
        <w:rPr>
          <w:rFonts w:ascii="Arial" w:hAnsi="Arial" w:eastAsia="宋体" w:cs="Arial"/>
          <w:b/>
          <w:bCs/>
          <w:sz w:val="24"/>
          <w:szCs w:val="22"/>
        </w:rPr>
      </w:r>
      <w:r/>
    </w:p>
    <w:p>
      <w:pPr>
        <w:pStyle w:val="1443"/>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38" w:name="_Toc20842"/>
      <w:r>
        <w:rPr>
          <w:rFonts w:ascii="Arial" w:hAnsi="Arial" w:eastAsia="宋体" w:cs="Arial"/>
          <w:b/>
          <w:bCs/>
          <w:sz w:val="24"/>
          <w:szCs w:val="22"/>
        </w:rPr>
        <w:br w:type="page" w:clear="all"/>
      </w:r>
      <w:bookmarkStart w:id="239" w:name="_Toc18731"/>
      <w:r/>
      <w:bookmarkStart w:id="240" w:name="_Toc6926"/>
      <w:r>
        <w:rPr>
          <w:rFonts w:ascii="Arial" w:hAnsi="Arial" w:eastAsia="宋体" w:cs="Arial"/>
          <w:b/>
          <w:bCs/>
          <w:sz w:val="24"/>
          <w:szCs w:val="22"/>
        </w:rPr>
        <w:t xml:space="preserve">附件六 政府采购政策</w:t>
      </w:r>
      <w:bookmarkEnd w:id="238"/>
      <w:r/>
      <w:bookmarkEnd w:id="239"/>
      <w:r/>
      <w:bookmarkEnd w:id="240"/>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41" w:name="_Toc17125"/>
      <w:r/>
      <w:bookmarkStart w:id="242" w:name="_Toc15908"/>
      <w:r/>
      <w:bookmarkStart w:id="243" w:name="_Toc16035"/>
      <w:r/>
      <w:bookmarkStart w:id="244" w:name="_Toc32276"/>
      <w:r/>
      <w:bookmarkStart w:id="245" w:name="_Toc15638"/>
      <w:r/>
      <w:bookmarkStart w:id="246" w:name="_Toc21802"/>
      <w:r/>
      <w:bookmarkStart w:id="247" w:name="_Toc14499"/>
      <w:r/>
      <w:bookmarkStart w:id="248" w:name="_Toc24699"/>
      <w:r/>
      <w:bookmarkStart w:id="249" w:name="_Toc4493"/>
      <w:r>
        <w:rPr>
          <w:rFonts w:ascii="Arial" w:hAnsi="Arial" w:eastAsia="宋体" w:cs="Arial"/>
          <w:b/>
          <w:bCs/>
          <w:szCs w:val="21"/>
        </w:rPr>
        <w:t xml:space="preserve">《中小企业声明函》</w:t>
      </w:r>
      <w:bookmarkEnd w:id="241"/>
      <w:r/>
      <w:bookmarkEnd w:id="242"/>
      <w:r/>
      <w:bookmarkEnd w:id="243"/>
      <w:r/>
      <w:bookmarkEnd w:id="244"/>
      <w:r/>
      <w:bookmarkEnd w:id="245"/>
      <w:r/>
      <w:bookmarkEnd w:id="246"/>
      <w:r/>
      <w:bookmarkEnd w:id="247"/>
      <w:r/>
      <w:bookmarkEnd w:id="248"/>
      <w:r/>
      <w:bookmarkEnd w:id="249"/>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50" w:name="_Toc31600"/>
      <w:r/>
      <w:bookmarkStart w:id="251" w:name="_Toc2940"/>
      <w:r/>
      <w:bookmarkStart w:id="252" w:name="_Toc25352"/>
      <w:r/>
      <w:bookmarkStart w:id="253" w:name="_Toc11323"/>
      <w:r/>
      <w:bookmarkStart w:id="254" w:name="_Toc5150"/>
      <w:r/>
      <w:bookmarkStart w:id="255" w:name="_Toc22161"/>
      <w:r/>
      <w:bookmarkStart w:id="256" w:name="_Toc12269"/>
      <w:r/>
      <w:bookmarkStart w:id="257" w:name="_Toc15594"/>
      <w:r>
        <w:rPr>
          <w:rFonts w:ascii="Arial" w:hAnsi="Arial" w:eastAsia="宋体" w:cs="Arial"/>
          <w:b/>
          <w:bCs/>
          <w:szCs w:val="21"/>
        </w:rPr>
        <w:t xml:space="preserve">（一）中小企业声明函（工程 、服务）</w:t>
      </w:r>
      <w:bookmarkEnd w:id="250"/>
      <w:r/>
      <w:bookmarkEnd w:id="251"/>
      <w:r/>
      <w:bookmarkEnd w:id="252"/>
      <w:r/>
      <w:bookmarkEnd w:id="253"/>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58" w:name="_Toc9186"/>
      <w:r>
        <w:rPr>
          <w:rFonts w:ascii="Arial" w:hAnsi="Arial" w:eastAsia="宋体" w:cs="Arial"/>
          <w:b/>
          <w:bCs/>
          <w:szCs w:val="21"/>
        </w:rPr>
        <w:t xml:space="preserve">（二）残疾人福利性单位声明函</w:t>
      </w:r>
      <w:bookmarkEnd w:id="254"/>
      <w:r/>
      <w:bookmarkEnd w:id="255"/>
      <w:r/>
      <w:bookmarkEnd w:id="256"/>
      <w:r/>
      <w:bookmarkEnd w:id="257"/>
      <w:r/>
      <w:bookmarkEnd w:id="258"/>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rPr>
        <w:outlineLvl w:val="1"/>
      </w:pPr>
      <w:r/>
      <w:bookmarkStart w:id="259" w:name="_Toc24398"/>
      <w:r/>
      <w:bookmarkStart w:id="260" w:name="_Toc509"/>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59"/>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60"/>
      <w:r/>
      <w:bookmarkStart w:id="261" w:name="_Toc3450"/>
      <w:r/>
      <w:bookmarkStart w:id="262" w:name="_Toc1006"/>
      <w:r/>
      <w:bookmarkStart w:id="263" w:name="_Toc6549"/>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61"/>
      <w:r/>
      <w:bookmarkEnd w:id="262"/>
      <w:r/>
      <w:bookmarkEnd w:id="263"/>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64" w:name="_Toc27229"/>
      <w:r/>
      <w:bookmarkStart w:id="265" w:name="_Toc28163"/>
      <w:r/>
      <w:bookmarkStart w:id="266" w:name="_Toc27146"/>
      <w:r>
        <w:rPr>
          <w:rFonts w:ascii="Arial" w:hAnsi="Arial" w:eastAsia="宋体" w:cs="Arial"/>
          <w:b/>
          <w:bCs/>
          <w:szCs w:val="21"/>
          <w:lang w:val="zh-CN"/>
        </w:rPr>
        <w:t xml:space="preserve">1、法人或其他组织的营业执照等证明文件（复印件加盖公章）</w:t>
      </w:r>
      <w:bookmarkEnd w:id="264"/>
      <w:r/>
      <w:bookmarkEnd w:id="265"/>
      <w:r/>
      <w:bookmarkEnd w:id="266"/>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67" w:name="_Toc24024"/>
      <w:r/>
      <w:bookmarkStart w:id="268" w:name="_Toc3569"/>
      <w:r/>
      <w:bookmarkStart w:id="269" w:name="_Toc27645"/>
      <w:r>
        <w:rPr>
          <w:rFonts w:ascii="Arial" w:hAnsi="Arial" w:eastAsia="宋体" w:cs="Arial"/>
          <w:b/>
          <w:bCs/>
          <w:szCs w:val="21"/>
          <w:lang w:val="zh-CN"/>
        </w:rPr>
        <w:t xml:space="preserve">2、法人代表授权书</w:t>
      </w:r>
      <w:bookmarkEnd w:id="267"/>
      <w:r/>
      <w:bookmarkEnd w:id="268"/>
      <w:r/>
      <w:bookmarkEnd w:id="269"/>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43"/>
      </w:pPr>
      <w:r/>
      <w:r/>
    </w:p>
    <w:p>
      <w:pPr>
        <w:pStyle w:val="1432"/>
        <w:spacing w:line="360" w:lineRule="auto"/>
        <w:rPr>
          <w:rFonts w:ascii="Arial" w:hAnsi="Arial" w:eastAsia="宋体" w:cs="Arial"/>
          <w:b/>
          <w:bCs/>
          <w:szCs w:val="21"/>
        </w:rPr>
      </w:pPr>
      <w:r>
        <w:rPr>
          <w:rFonts w:ascii="Arial" w:hAnsi="Arial" w:eastAsia="宋体" w:cs="Arial"/>
          <w:color w:val="000000"/>
          <w:sz w:val="23"/>
        </w:rPr>
        <w:t xml:space="preserve"> </w:t>
      </w: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jc w:val="both"/>
        <w:rPr>
          <w:rFonts w:ascii="Arial" w:hAnsi="Arial" w:eastAsia="宋体" w:cs="Arial"/>
          <w:b/>
        </w:r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ascii="Arial" w:hAnsi="Arial" w:eastAsia="宋体" w:cs="Arial"/>
          <w:b/>
        </w:rPr>
      </w:r>
      <w:r/>
    </w:p>
    <w:p>
      <w:pPr>
        <w:pStyle w:val="1432"/>
        <w:ind w:firstLine="284"/>
        <w:spacing w:line="360" w:lineRule="auto"/>
        <w:shd w:val="clear" w:color="auto" w:fill="ffffff"/>
        <w:widowControl/>
        <w:rPr>
          <w:rFonts w:ascii="Arial" w:hAnsi="Arial" w:eastAsia="宋体" w:cs="Arial"/>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ff"/>
          <w:szCs w:val="21"/>
        </w:rPr>
      </w:r>
      <w:r/>
    </w:p>
    <w:p>
      <w:pPr>
        <w:pStyle w:val="1432"/>
        <w:ind w:right="-5"/>
        <w:spacing w:line="360" w:lineRule="auto"/>
        <w:rPr>
          <w:rFonts w:ascii="Arial" w:hAnsi="Arial" w:eastAsia="宋体" w:cs="Arial"/>
          <w:b/>
          <w:bCs/>
          <w:szCs w:val="21"/>
          <w:lang w:val="zh-CN"/>
        </w:rPr>
        <w:outlineLvl w:val="2"/>
      </w:pPr>
      <w:r/>
      <w:bookmarkStart w:id="270" w:name="_Toc24273"/>
      <w:r/>
      <w:bookmarkStart w:id="271" w:name="_Toc5456"/>
      <w:r/>
      <w:bookmarkStart w:id="272" w:name="_Toc30883"/>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70"/>
      <w:r/>
      <w:bookmarkEnd w:id="271"/>
      <w:r/>
      <w:bookmarkEnd w:id="272"/>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73" w:name="_Toc26222"/>
      <w:r/>
      <w:bookmarkStart w:id="274" w:name="_Toc15262"/>
      <w:r/>
      <w:bookmarkStart w:id="275" w:name="_Toc5603"/>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73"/>
      <w:r/>
      <w:bookmarkEnd w:id="274"/>
      <w:r/>
      <w:bookmarkEnd w:id="275"/>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76" w:name="_Toc10033"/>
      <w:r/>
      <w:bookmarkStart w:id="277" w:name="_Toc1099"/>
      <w:r/>
      <w:bookmarkStart w:id="278" w:name="_Toc17529"/>
      <w:r>
        <w:rPr>
          <w:rFonts w:ascii="Arial" w:hAnsi="Arial" w:eastAsia="宋体" w:cs="Arial"/>
          <w:b/>
          <w:bCs/>
          <w:szCs w:val="21"/>
        </w:rPr>
        <w:t xml:space="preserve">5、</w:t>
      </w:r>
      <w:bookmarkEnd w:id="276"/>
      <w:r/>
      <w:bookmarkEnd w:id="277"/>
      <w:r>
        <w:rPr>
          <w:rFonts w:ascii="Arial" w:hAnsi="Arial" w:eastAsia="宋体" w:cs="Arial"/>
          <w:b/>
          <w:bCs/>
          <w:szCs w:val="21"/>
        </w:rPr>
        <w:t xml:space="preserve">参加政府采购活动近三年内（成立时间不足三年的、自成立时间起），在经营活动中没有重大违法记录</w:t>
      </w:r>
      <w:bookmarkEnd w:id="278"/>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9"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80" w:name="_Toc14470"/>
      <w:r/>
      <w:bookmarkStart w:id="281" w:name="_Toc30181"/>
      <w:r>
        <w:rPr>
          <w:rFonts w:ascii="Arial" w:hAnsi="Arial" w:eastAsia="宋体" w:cs="Arial"/>
          <w:b/>
          <w:bCs/>
          <w:szCs w:val="21"/>
        </w:rPr>
        <w:t xml:space="preserve">6、依法缴纳税收的记录</w:t>
      </w:r>
      <w:bookmarkEnd w:id="279"/>
      <w:r/>
      <w:bookmarkEnd w:id="280"/>
      <w:r/>
      <w:bookmarkEnd w:id="281"/>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82" w:name="_Toc17181"/>
      <w:r>
        <w:rPr>
          <w:rFonts w:ascii="Arial" w:hAnsi="Arial" w:eastAsia="宋体" w:cs="Arial"/>
          <w:b/>
          <w:bCs/>
          <w:szCs w:val="21"/>
        </w:rPr>
        <w:br w:type="page" w:clear="all"/>
      </w:r>
      <w:bookmarkStart w:id="283" w:name="_Toc31194"/>
      <w:r/>
      <w:bookmarkStart w:id="284" w:name="_Toc31114"/>
      <w:r>
        <w:rPr>
          <w:rFonts w:ascii="Arial" w:hAnsi="Arial" w:eastAsia="宋体" w:cs="Arial"/>
          <w:b/>
          <w:bCs/>
          <w:szCs w:val="21"/>
        </w:rPr>
        <w:t xml:space="preserve">7、依法缴纳社会保障资金的记录</w:t>
      </w:r>
      <w:bookmarkEnd w:id="282"/>
      <w:r/>
      <w:bookmarkEnd w:id="283"/>
      <w:r/>
      <w:bookmarkEnd w:id="284"/>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5" w:name="_Toc9645"/>
      <w:r/>
      <w:bookmarkStart w:id="286" w:name="_Toc17743"/>
      <w:r/>
      <w:bookmarkStart w:id="287" w:name="_Toc30863"/>
      <w:r>
        <w:rPr>
          <w:rFonts w:ascii="Arial" w:hAnsi="Arial" w:eastAsia="宋体" w:cs="Arial"/>
          <w:b/>
          <w:bCs/>
          <w:szCs w:val="21"/>
        </w:rPr>
        <w:t xml:space="preserve">8、</w:t>
      </w:r>
      <w:bookmarkEnd w:id="285"/>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86"/>
      <w:r/>
      <w:bookmarkEnd w:id="287"/>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8" w:name="_Toc9807"/>
      <w:r/>
      <w:bookmarkStart w:id="289" w:name="_Toc20105"/>
      <w:r/>
      <w:bookmarkStart w:id="290" w:name="_Toc10382"/>
      <w:r>
        <w:rPr>
          <w:rFonts w:ascii="Arial" w:hAnsi="Arial" w:eastAsia="宋体" w:cs="Arial"/>
          <w:b/>
          <w:bCs/>
          <w:szCs w:val="21"/>
        </w:rPr>
        <w:t xml:space="preserve">9、供应商认为其需要提供的其他资格证明文件。</w:t>
      </w:r>
      <w:bookmarkEnd w:id="288"/>
      <w:r/>
      <w:bookmarkEnd w:id="289"/>
      <w:r/>
      <w:bookmarkEnd w:id="290"/>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291" w:name="_Toc9255"/>
      <w:r/>
      <w:bookmarkStart w:id="292" w:name="_Toc22079"/>
      <w:r/>
      <w:bookmarkStart w:id="293" w:name="_Toc28823"/>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291"/>
      <w:r/>
      <w:bookmarkEnd w:id="292"/>
      <w:r/>
      <w:bookmarkEnd w:id="293"/>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bookmarkStart w:id="294" w:name="_Toc13020"/>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294"/>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ind w:firstLine="210"/>
        <w:jc w:val="left"/>
        <w:spacing w:line="360" w:lineRule="auto"/>
        <w:shd w:val="clear" w:color="auto" w:fill="ffffff"/>
        <w:widowControl/>
        <w:rPr>
          <w:rFonts w:ascii="Arial" w:hAnsi="Arial" w:eastAsia="宋体" w:cs="Arial"/>
          <w:sz w:val="21"/>
          <w:szCs w:val="21"/>
          <w:u w:val="single"/>
        </w:rPr>
      </w:pPr>
      <w:r>
        <w:rPr>
          <w:rFonts w:ascii="Arial" w:hAnsi="Arial" w:eastAsia="宋体" w:cs="Arial"/>
          <w:sz w:val="21"/>
          <w:szCs w:val="21"/>
          <w:u w:val="single"/>
        </w:rPr>
        <w:t xml:space="preserve">备注：需提供人员从业经验或取得成绩等相关证明。</w:t>
      </w:r>
      <w:r>
        <w:rPr>
          <w:rFonts w:ascii="Arial" w:hAnsi="Arial" w:eastAsia="宋体" w:cs="Arial"/>
          <w:sz w:val="21"/>
          <w:szCs w:val="21"/>
          <w:u w:val="single"/>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2025-04-24T22:48:00Z</dcterms:created>
  <dcterms:modified xsi:type="dcterms:W3CDTF">2026-05-20T09:05:10Z</dcterms:modified>
</cp:coreProperties>
</file>