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s="宋体"/>
          <w:b/>
          <w:sz w:val="72"/>
          <w:szCs w:val="72"/>
        </w:rPr>
      </w:pPr>
      <w:r>
        <w:rPr>
          <w:rFonts w:ascii="宋体" w:hAnsi="宋体" w:cs="宋体"/>
          <w:b/>
          <w:sz w:val="72"/>
          <w:szCs w:val="72"/>
        </w:rPr>
      </w:r>
      <w:r/>
    </w:p>
    <w:p>
      <w:pPr>
        <w:jc w:val="center"/>
        <w:spacing w:line="360" w:lineRule="auto"/>
        <w:rPr>
          <w:rFonts w:ascii="宋体" w:hAnsi="宋体" w:cs="宋体"/>
          <w:b/>
          <w:sz w:val="72"/>
          <w:szCs w:val="72"/>
        </w:rPr>
      </w:pPr>
      <w:r>
        <w:rPr>
          <w:rFonts w:hint="eastAsia" w:ascii="宋体" w:hAnsi="宋体" w:cs="宋体"/>
          <w:b/>
          <w:sz w:val="72"/>
          <w:szCs w:val="72"/>
        </w:rPr>
        <w:t xml:space="preserve">竞争性磋商文件</w:t>
      </w:r>
      <w:r/>
    </w:p>
    <w:p>
      <w:pPr>
        <w:pStyle w:val="904"/>
        <w:rPr>
          <w:rFonts w:ascii="宋体" w:hAnsi="宋体" w:cs="宋体"/>
        </w:rPr>
      </w:pPr>
      <w:r>
        <w:rPr>
          <w:rFonts w:ascii="宋体" w:hAnsi="宋体" w:cs="宋体"/>
        </w:rPr>
      </w:r>
      <w:r/>
    </w:p>
    <w:p>
      <w:pPr>
        <w:pStyle w:val="908"/>
        <w:rPr>
          <w:rFonts w:ascii="宋体" w:hAnsi="宋体" w:cs="宋体"/>
        </w:rPr>
      </w:pPr>
      <w:r>
        <w:rPr>
          <w:rFonts w:ascii="宋体" w:hAnsi="宋体" w:cs="宋体"/>
        </w:rPr>
      </w:r>
      <w:r/>
    </w:p>
    <w:p>
      <w:pPr>
        <w:pStyle w:val="908"/>
        <w:rPr>
          <w:rFonts w:ascii="宋体" w:hAnsi="宋体" w:cs="宋体"/>
        </w:rPr>
      </w:pPr>
      <w:r>
        <w:rPr>
          <w:rFonts w:ascii="宋体" w:hAnsi="宋体" w:cs="宋体"/>
        </w:rPr>
      </w:r>
      <w:r/>
    </w:p>
    <w:p>
      <w:pPr>
        <w:pStyle w:val="908"/>
        <w:rPr>
          <w:rFonts w:ascii="宋体" w:hAnsi="宋体" w:cs="宋体"/>
        </w:rPr>
      </w:pPr>
      <w:r>
        <w:rPr>
          <w:rFonts w:ascii="宋体" w:hAnsi="宋体" w:cs="宋体"/>
        </w:rPr>
      </w:r>
      <w:r/>
    </w:p>
    <w:p>
      <w:pPr>
        <w:jc w:val="center"/>
        <w:spacing w:line="360" w:lineRule="auto"/>
        <w:rPr>
          <w:rFonts w:ascii="宋体" w:hAnsi="宋体" w:cs="宋体"/>
          <w:b/>
          <w:szCs w:val="21"/>
        </w:rPr>
      </w:pPr>
      <w:r>
        <mc:AlternateContent>
          <mc:Choice Requires="wpg">
            <w:drawing>
              <wp:inline xmlns:wp="http://schemas.openxmlformats.org/drawingml/2006/wordprocessingDrawing" distT="0" distB="0" distL="0" distR="0">
                <wp:extent cx="2813050" cy="2700655"/>
                <wp:effectExtent l="0" t="0" r="6350" b="4445"/>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r/>
                      </pic:nvPicPr>
                      <pic:blipFill>
                        <a:blip r:embed="rId20"/>
                        <a:stretch/>
                      </pic:blipFill>
                      <pic:spPr bwMode="auto">
                        <a:xfrm>
                          <a:off x="0" y="0"/>
                          <a:ext cx="2813050" cy="27006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21.5pt;height:212.6pt;mso-wrap-distance-left:0.0pt;mso-wrap-distance-top:0.0pt;mso-wrap-distance-right:0.0pt;mso-wrap-distance-bottom:0.0pt;" stroked="f">
                <v:path textboxrect="0,0,0,0"/>
                <v:imagedata r:id="rId20" o:title=""/>
              </v:shape>
            </w:pict>
          </mc:Fallback>
        </mc:AlternateContent>
      </w:r>
      <w:r/>
    </w:p>
    <w:p>
      <w:pPr>
        <w:pStyle w:val="904"/>
        <w:ind w:left="0"/>
        <w:rPr>
          <w:rFonts w:ascii="宋体" w:hAnsi="宋体" w:cs="宋体"/>
          <w:sz w:val="30"/>
          <w:szCs w:val="30"/>
        </w:rPr>
      </w:pPr>
      <w:r>
        <w:rPr>
          <w:rFonts w:ascii="宋体" w:hAnsi="宋体" w:cs="宋体"/>
          <w:sz w:val="30"/>
          <w:szCs w:val="30"/>
        </w:rPr>
      </w:r>
      <w:r/>
    </w:p>
    <w:p>
      <w:pPr>
        <w:ind w:firstLine="1461"/>
        <w:spacing w:line="360" w:lineRule="auto"/>
        <w:rPr>
          <w:rFonts w:ascii="宋体" w:hAnsi="宋体" w:cs="宋体"/>
          <w:b/>
          <w:bCs/>
          <w:sz w:val="30"/>
          <w:szCs w:val="30"/>
        </w:rPr>
      </w:pPr>
      <w:r>
        <w:rPr>
          <w:rFonts w:hint="eastAsia" w:ascii="宋体" w:hAnsi="宋体" w:cs="宋体"/>
          <w:b/>
          <w:bCs/>
          <w:sz w:val="30"/>
          <w:szCs w:val="30"/>
        </w:rPr>
        <w:t xml:space="preserve">项目编号：</w:t>
      </w:r>
      <w:r>
        <w:rPr>
          <w:rFonts w:hint="eastAsia" w:ascii="宋体" w:hAnsi="宋体" w:cs="宋体"/>
          <w:b/>
          <w:bCs/>
          <w:sz w:val="30"/>
          <w:szCs w:val="30"/>
          <w:lang w:eastAsia="zh-CN"/>
        </w:rPr>
        <w:t xml:space="preserve">JSZC-320322-SHKL-C2026-0003</w:t>
      </w:r>
      <w:r/>
    </w:p>
    <w:p>
      <w:pPr>
        <w:ind w:firstLine="1461"/>
        <w:spacing w:line="360" w:lineRule="auto"/>
        <w:rPr>
          <w:rFonts w:ascii="宋体" w:hAnsi="宋体" w:cs="宋体"/>
          <w:b/>
          <w:bCs/>
          <w:sz w:val="30"/>
          <w:szCs w:val="30"/>
        </w:rPr>
      </w:pPr>
      <w:r>
        <w:rPr>
          <w:rFonts w:hint="eastAsia" w:ascii="宋体" w:hAnsi="宋体" w:cs="宋体"/>
          <w:b/>
          <w:bCs/>
          <w:sz w:val="30"/>
          <w:szCs w:val="30"/>
        </w:rPr>
        <w:t xml:space="preserve">项目名称：</w:t>
      </w:r>
      <w:r>
        <w:rPr>
          <w:rFonts w:hint="eastAsia" w:ascii="宋体" w:hAnsi="宋体" w:cs="宋体"/>
          <w:b/>
          <w:bCs/>
          <w:sz w:val="30"/>
          <w:szCs w:val="30"/>
          <w:lang w:eastAsia="zh-CN"/>
        </w:rPr>
        <w:t xml:space="preserve">2026年度城区道路交通设施社会化管养服务</w:t>
      </w:r>
      <w:r/>
    </w:p>
    <w:p>
      <w:pPr>
        <w:ind w:firstLine="1461"/>
        <w:rPr>
          <w:rFonts w:ascii="宋体" w:hAnsi="宋体" w:cs="宋体"/>
          <w:b/>
          <w:sz w:val="32"/>
        </w:rPr>
      </w:pPr>
      <w:r>
        <w:rPr>
          <w:rFonts w:hint="eastAsia" w:ascii="宋体" w:hAnsi="宋体" w:cs="宋体"/>
          <w:b/>
          <w:bCs/>
          <w:sz w:val="30"/>
          <w:szCs w:val="30"/>
        </w:rPr>
        <w:t xml:space="preserve">采 购 人：</w:t>
      </w:r>
      <w:r>
        <w:rPr>
          <w:rFonts w:hint="eastAsia" w:ascii="宋体" w:hAnsi="宋体" w:cs="宋体"/>
          <w:b/>
          <w:bCs/>
          <w:sz w:val="30"/>
          <w:szCs w:val="30"/>
          <w:lang w:eastAsia="zh-CN"/>
        </w:rPr>
        <w:t xml:space="preserve">沛县公安局</w:t>
      </w:r>
      <w:r/>
    </w:p>
    <w:p>
      <w:pPr>
        <w:spacing w:line="360" w:lineRule="auto"/>
        <w:rPr>
          <w:rFonts w:ascii="宋体" w:hAnsi="宋体" w:cs="宋体"/>
          <w:b/>
          <w:sz w:val="32"/>
        </w:rPr>
      </w:pPr>
      <w:r>
        <w:rPr>
          <w:rFonts w:ascii="宋体" w:hAnsi="宋体" w:cs="宋体"/>
          <w:b/>
          <w:sz w:val="32"/>
        </w:rPr>
      </w:r>
      <w:r/>
    </w:p>
    <w:p>
      <w:pPr>
        <w:spacing w:line="360" w:lineRule="auto"/>
        <w:rPr>
          <w:rFonts w:ascii="宋体" w:hAnsi="宋体" w:cs="宋体"/>
          <w:b/>
          <w:sz w:val="32"/>
        </w:rPr>
      </w:pPr>
      <w:r>
        <w:rPr>
          <w:rFonts w:ascii="宋体" w:hAnsi="宋体" w:cs="宋体"/>
          <w:b/>
          <w:sz w:val="32"/>
        </w:rPr>
      </w:r>
      <w:r/>
    </w:p>
    <w:p>
      <w:pPr>
        <w:ind w:firstLine="1461"/>
        <w:spacing w:line="360" w:lineRule="auto"/>
        <w:rPr>
          <w:rFonts w:hint="eastAsia" w:ascii="宋体" w:hAnsi="宋体" w:eastAsia="宋体" w:cs="宋体"/>
          <w:b/>
          <w:bCs/>
          <w:sz w:val="30"/>
          <w:szCs w:val="30"/>
          <w:lang w:eastAsia="zh-CN"/>
        </w:rPr>
      </w:pPr>
      <w:r>
        <w:rPr>
          <w:rFonts w:hint="eastAsia" w:ascii="宋体" w:hAnsi="宋体" w:cs="宋体"/>
          <w:b/>
          <w:bCs/>
          <w:sz w:val="30"/>
          <w:szCs w:val="30"/>
        </w:rPr>
        <w:t xml:space="preserve">代理机构：</w:t>
      </w:r>
      <w:r>
        <w:rPr>
          <w:rFonts w:hint="eastAsia" w:ascii="宋体" w:hAnsi="宋体" w:cs="宋体"/>
          <w:b/>
          <w:bCs/>
          <w:sz w:val="30"/>
          <w:szCs w:val="30"/>
          <w:lang w:eastAsia="zh-CN"/>
        </w:rPr>
        <w:t xml:space="preserve">上海科立普咨询管理有限公司</w:t>
      </w:r>
      <w:r/>
    </w:p>
    <w:p>
      <w:pPr>
        <w:jc w:val="center"/>
        <w:spacing w:line="360" w:lineRule="auto"/>
        <w:rPr>
          <w:rFonts w:ascii="宋体" w:hAnsi="宋体" w:cs="宋体"/>
          <w:b/>
          <w:sz w:val="32"/>
        </w:rPr>
      </w:pPr>
      <w:r>
        <w:rPr>
          <w:rFonts w:hint="eastAsia" w:ascii="宋体" w:hAnsi="宋体" w:cs="宋体"/>
          <w:b/>
          <w:sz w:val="32"/>
        </w:rPr>
        <w:t xml:space="preserve">2026年</w:t>
      </w:r>
      <w:r>
        <w:rPr>
          <w:rFonts w:hint="eastAsia" w:ascii="宋体" w:hAnsi="宋体" w:cs="宋体"/>
          <w:b/>
          <w:sz w:val="32"/>
          <w:lang w:val="en-US" w:eastAsia="zh-CN"/>
        </w:rPr>
        <w:t xml:space="preserve">6</w:t>
      </w:r>
      <w:r>
        <w:rPr>
          <w:rFonts w:hint="eastAsia" w:ascii="宋体" w:hAnsi="宋体" w:cs="宋体"/>
          <w:b/>
          <w:sz w:val="32"/>
        </w:rPr>
        <w:t xml:space="preserve">月</w:t>
      </w:r>
      <w:r/>
    </w:p>
    <w:p>
      <w:pPr>
        <w:jc w:val="center"/>
        <w:spacing w:line="360" w:lineRule="auto"/>
        <w:rPr>
          <w:rFonts w:ascii="宋体" w:hAnsi="宋体" w:cs="宋体"/>
          <w:b/>
          <w:sz w:val="36"/>
        </w:rPr>
        <w:sectPr>
          <w:headerReference w:type="default" r:id="rId9"/>
          <w:footerReference w:type="default" r:id="rId12"/>
          <w:footnotePr/>
          <w:endnotePr/>
          <w:type w:val="nextPage"/>
          <w:pgSz w:w="11906" w:h="16838" w:orient="portrait"/>
          <w:pgMar w:top="1440" w:right="1440" w:bottom="1440" w:left="1440" w:header="851" w:footer="992" w:gutter="0"/>
          <w:cols w:num="1" w:sep="0" w:space="1701" w:equalWidth="1"/>
          <w:docGrid w:linePitch="360"/>
          <w:titlePg/>
        </w:sectPr>
      </w:pPr>
      <w:r>
        <w:rPr>
          <w:rFonts w:ascii="宋体" w:hAnsi="宋体" w:cs="宋体"/>
          <w:b/>
          <w:sz w:val="36"/>
        </w:rPr>
      </w:r>
      <w:r/>
    </w:p>
    <w:p>
      <w:r/>
      <w:r/>
    </w:p>
    <w:sdt>
      <w:sdtPr>
        <w15:appearance w15:val="boundingBox"/>
        <w:id w:val="147470363"/>
        <w:docPartObj>
          <w:docPartGallery w:val="Table of Contents"/>
          <w:docPartUnique w:val="true"/>
        </w:docPartObj>
        <w:rPr>
          <w:rFonts w:ascii="宋体" w:hAnsi="宋体"/>
          <w:b/>
          <w:bCs/>
          <w:color w:val="0000ff"/>
          <w:sz w:val="24"/>
          <w:szCs w:val="32"/>
        </w:rPr>
      </w:sdtPr>
      <w:sdtContent>
        <w:p>
          <w:pPr>
            <w:jc w:val="center"/>
            <w:spacing w:line="360" w:lineRule="auto"/>
            <w:rPr>
              <w:b/>
              <w:bCs/>
              <w:color w:val="0000ff"/>
              <w:sz w:val="32"/>
              <w:szCs w:val="32"/>
            </w:rPr>
          </w:pPr>
          <w:r>
            <w:rPr>
              <w:rFonts w:ascii="宋体" w:hAnsi="宋体"/>
              <w:b/>
              <w:bCs/>
              <w:color w:val="0000ff"/>
              <w:sz w:val="32"/>
              <w:szCs w:val="32"/>
            </w:rPr>
            <w:t xml:space="preserve">目</w:t>
          </w:r>
          <w:r>
            <w:rPr>
              <w:rFonts w:hint="eastAsia" w:ascii="宋体" w:hAnsi="宋体"/>
              <w:b/>
              <w:bCs/>
              <w:color w:val="0000ff"/>
              <w:sz w:val="32"/>
              <w:szCs w:val="32"/>
            </w:rPr>
            <w:t xml:space="preserve">  </w:t>
          </w:r>
          <w:r>
            <w:rPr>
              <w:rFonts w:ascii="宋体" w:hAnsi="宋体"/>
              <w:b/>
              <w:bCs/>
              <w:color w:val="0000ff"/>
              <w:sz w:val="32"/>
              <w:szCs w:val="32"/>
            </w:rPr>
            <w:t xml:space="preserve">录</w:t>
          </w:r>
          <w:r/>
        </w:p>
        <w:p>
          <w:pPr>
            <w:pStyle w:val="924"/>
            <w:tabs>
              <w:tab w:val="right" w:pos="9072" w:leader="middleDot"/>
            </w:tabs>
          </w:pPr>
          <w:r>
            <w:rPr>
              <w:rFonts w:hint="eastAsia" w:ascii="宋体" w:hAnsi="宋体" w:cs="宋体"/>
              <w:b/>
              <w:sz w:val="24"/>
            </w:rPr>
            <w:fldChar w:fldCharType="begin"/>
          </w:r>
          <w:r>
            <w:rPr>
              <w:rFonts w:hint="eastAsia" w:ascii="宋体" w:hAnsi="宋体" w:cs="宋体"/>
              <w:b/>
              <w:sz w:val="24"/>
            </w:rPr>
            <w:instrText xml:space="preserve">TOC \o "1-1" \h \u </w:instrText>
          </w:r>
          <w:r>
            <w:rPr>
              <w:rFonts w:hint="eastAsia" w:ascii="宋体" w:hAnsi="宋体" w:cs="宋体"/>
              <w:b/>
              <w:sz w:val="24"/>
            </w:rPr>
            <w:fldChar w:fldCharType="separate"/>
          </w:r>
          <w:r>
            <w:rPr>
              <w:rFonts w:hint="eastAsia" w:ascii="宋体" w:hAnsi="宋体" w:cs="宋体"/>
            </w:rPr>
            <w:fldChar w:fldCharType="begin"/>
          </w:r>
          <w:r>
            <w:rPr>
              <w:rFonts w:hint="eastAsia" w:ascii="宋体" w:hAnsi="宋体" w:cs="宋体"/>
            </w:rPr>
            <w:instrText xml:space="preserve"> HYPERLINK \l _Toc16145 </w:instrText>
          </w:r>
          <w:r>
            <w:rPr>
              <w:rFonts w:hint="eastAsia" w:ascii="宋体" w:hAnsi="宋体" w:cs="宋体"/>
            </w:rPr>
            <w:fldChar w:fldCharType="separate"/>
          </w:r>
          <w:r>
            <w:rPr>
              <w:rFonts w:hint="eastAsia" w:ascii="宋体" w:hAnsi="宋体" w:cs="宋体"/>
              <w:bCs/>
              <w:szCs w:val="28"/>
            </w:rPr>
            <w:t xml:space="preserve">第一章 项目说明</w:t>
          </w:r>
          <w:r>
            <w:tab/>
          </w:r>
          <w:r>
            <w:fldChar w:fldCharType="begin"/>
          </w:r>
          <w:r>
            <w:instrText xml:space="preserve"> PAGEREF _Toc16145 \h </w:instrText>
          </w:r>
          <w:r>
            <w:fldChar w:fldCharType="separate"/>
          </w:r>
          <w:r>
            <w:t xml:space="preserve">1</w:t>
          </w:r>
          <w:r>
            <w:fldChar w:fldCharType="end"/>
          </w:r>
          <w:r>
            <w:rPr>
              <w:rFonts w:hint="eastAsia" w:ascii="宋体" w:hAnsi="宋体" w:cs="宋体"/>
            </w:rPr>
            <w:fldChar w:fldCharType="end"/>
          </w:r>
          <w:r/>
        </w:p>
        <w:p>
          <w:pPr>
            <w:pStyle w:val="924"/>
            <w:tabs>
              <w:tab w:val="right" w:pos="9072" w:leader="middleDot"/>
            </w:tabs>
          </w:pPr>
          <w:r>
            <w:rPr>
              <w:rFonts w:hint="eastAsia" w:ascii="宋体" w:hAnsi="宋体" w:cs="宋体"/>
            </w:rPr>
            <w:fldChar w:fldCharType="begin"/>
          </w:r>
          <w:r>
            <w:rPr>
              <w:rFonts w:hint="eastAsia" w:ascii="宋体" w:hAnsi="宋体" w:cs="宋体"/>
            </w:rPr>
            <w:instrText xml:space="preserve"> HYPERLINK \l _Toc11397 </w:instrText>
          </w:r>
          <w:r>
            <w:rPr>
              <w:rFonts w:hint="eastAsia" w:ascii="宋体" w:hAnsi="宋体" w:cs="宋体"/>
            </w:rPr>
            <w:fldChar w:fldCharType="separate"/>
          </w:r>
          <w:r>
            <w:rPr>
              <w:rFonts w:hint="eastAsia" w:ascii="宋体" w:hAnsi="宋体" w:cs="宋体"/>
              <w:bCs/>
              <w:szCs w:val="28"/>
            </w:rPr>
            <w:t xml:space="preserve">第二章 磋商保证金</w:t>
          </w:r>
          <w:r>
            <w:tab/>
          </w:r>
          <w:r>
            <w:fldChar w:fldCharType="begin"/>
          </w:r>
          <w:r>
            <w:instrText xml:space="preserve"> PAGEREF _Toc11397 \h </w:instrText>
          </w:r>
          <w:r>
            <w:fldChar w:fldCharType="separate"/>
          </w:r>
          <w:r>
            <w:t xml:space="preserve">1</w:t>
          </w:r>
          <w:r>
            <w:fldChar w:fldCharType="end"/>
          </w:r>
          <w:r>
            <w:rPr>
              <w:rFonts w:hint="eastAsia" w:ascii="宋体" w:hAnsi="宋体" w:cs="宋体"/>
            </w:rPr>
            <w:fldChar w:fldCharType="end"/>
          </w:r>
          <w:r/>
        </w:p>
        <w:p>
          <w:pPr>
            <w:pStyle w:val="924"/>
            <w:tabs>
              <w:tab w:val="right" w:pos="9072" w:leader="middleDot"/>
            </w:tabs>
          </w:pPr>
          <w:r>
            <w:rPr>
              <w:rFonts w:hint="eastAsia" w:ascii="宋体" w:hAnsi="宋体" w:cs="宋体"/>
            </w:rPr>
            <w:fldChar w:fldCharType="begin"/>
          </w:r>
          <w:r>
            <w:rPr>
              <w:rFonts w:hint="eastAsia" w:ascii="宋体" w:hAnsi="宋体" w:cs="宋体"/>
            </w:rPr>
            <w:instrText xml:space="preserve"> HYPERLINK \l _Toc2627 </w:instrText>
          </w:r>
          <w:r>
            <w:rPr>
              <w:rFonts w:hint="eastAsia" w:ascii="宋体" w:hAnsi="宋体" w:cs="宋体"/>
            </w:rPr>
            <w:fldChar w:fldCharType="separate"/>
          </w:r>
          <w:r>
            <w:rPr>
              <w:rFonts w:hint="eastAsia" w:ascii="宋体" w:hAnsi="宋体" w:cs="宋体"/>
              <w:bCs/>
              <w:szCs w:val="28"/>
            </w:rPr>
            <w:t xml:space="preserve">第三章 响应文件</w:t>
          </w:r>
          <w:r>
            <w:tab/>
          </w:r>
          <w:r>
            <w:fldChar w:fldCharType="begin"/>
          </w:r>
          <w:r>
            <w:instrText xml:space="preserve"> PAGEREF _Toc2627 \h </w:instrText>
          </w:r>
          <w:r>
            <w:fldChar w:fldCharType="separate"/>
          </w:r>
          <w:r>
            <w:t xml:space="preserve">2</w:t>
          </w:r>
          <w:r>
            <w:fldChar w:fldCharType="end"/>
          </w:r>
          <w:r>
            <w:rPr>
              <w:rFonts w:hint="eastAsia" w:ascii="宋体" w:hAnsi="宋体" w:cs="宋体"/>
            </w:rPr>
            <w:fldChar w:fldCharType="end"/>
          </w:r>
          <w:r/>
        </w:p>
        <w:p>
          <w:pPr>
            <w:pStyle w:val="924"/>
            <w:tabs>
              <w:tab w:val="right" w:pos="9072" w:leader="middleDot"/>
            </w:tabs>
          </w:pPr>
          <w:r>
            <w:rPr>
              <w:rFonts w:hint="eastAsia" w:ascii="宋体" w:hAnsi="宋体" w:cs="宋体"/>
            </w:rPr>
            <w:fldChar w:fldCharType="begin"/>
          </w:r>
          <w:r>
            <w:rPr>
              <w:rFonts w:hint="eastAsia" w:ascii="宋体" w:hAnsi="宋体" w:cs="宋体"/>
            </w:rPr>
            <w:instrText xml:space="preserve"> HYPERLINK \l _Toc28969 </w:instrText>
          </w:r>
          <w:r>
            <w:rPr>
              <w:rFonts w:hint="eastAsia" w:ascii="宋体" w:hAnsi="宋体" w:cs="宋体"/>
            </w:rPr>
            <w:fldChar w:fldCharType="separate"/>
          </w:r>
          <w:r>
            <w:rPr>
              <w:rFonts w:hint="eastAsia" w:ascii="宋体" w:hAnsi="宋体" w:cs="宋体"/>
              <w:bCs/>
              <w:szCs w:val="28"/>
            </w:rPr>
            <w:t xml:space="preserve">第四章 磋商相关说明</w:t>
          </w:r>
          <w:r>
            <w:tab/>
          </w:r>
          <w:r>
            <w:fldChar w:fldCharType="begin"/>
          </w:r>
          <w:r>
            <w:instrText xml:space="preserve"> PAGEREF _Toc28969 \h </w:instrText>
          </w:r>
          <w:r>
            <w:fldChar w:fldCharType="separate"/>
          </w:r>
          <w:r>
            <w:t xml:space="preserve">5</w:t>
          </w:r>
          <w:r>
            <w:fldChar w:fldCharType="end"/>
          </w:r>
          <w:r>
            <w:rPr>
              <w:rFonts w:hint="eastAsia" w:ascii="宋体" w:hAnsi="宋体" w:cs="宋体"/>
            </w:rPr>
            <w:fldChar w:fldCharType="end"/>
          </w:r>
          <w:r/>
        </w:p>
        <w:p>
          <w:pPr>
            <w:pStyle w:val="924"/>
            <w:tabs>
              <w:tab w:val="right" w:pos="9072" w:leader="middleDot"/>
            </w:tabs>
          </w:pPr>
          <w:r>
            <w:rPr>
              <w:rFonts w:hint="eastAsia" w:ascii="宋体" w:hAnsi="宋体" w:cs="宋体"/>
            </w:rPr>
            <w:fldChar w:fldCharType="begin"/>
          </w:r>
          <w:r>
            <w:rPr>
              <w:rFonts w:hint="eastAsia" w:ascii="宋体" w:hAnsi="宋体" w:cs="宋体"/>
            </w:rPr>
            <w:instrText xml:space="preserve"> HYPERLINK \l _Toc9409 </w:instrText>
          </w:r>
          <w:r>
            <w:rPr>
              <w:rFonts w:hint="eastAsia" w:ascii="宋体" w:hAnsi="宋体" w:cs="宋体"/>
            </w:rPr>
            <w:fldChar w:fldCharType="separate"/>
          </w:r>
          <w:r>
            <w:rPr>
              <w:rFonts w:hint="eastAsia" w:ascii="宋体" w:hAnsi="宋体" w:cs="宋体"/>
              <w:bCs/>
              <w:szCs w:val="28"/>
            </w:rPr>
            <w:t xml:space="preserve">第六章 磋商文件的澄清或者修改</w:t>
          </w:r>
          <w:r>
            <w:tab/>
          </w:r>
          <w:r>
            <w:fldChar w:fldCharType="begin"/>
          </w:r>
          <w:r>
            <w:instrText xml:space="preserve"> PAGEREF _Toc9409 \h </w:instrText>
          </w:r>
          <w:r>
            <w:fldChar w:fldCharType="separate"/>
          </w:r>
          <w:r>
            <w:t xml:space="preserve">9</w:t>
          </w:r>
          <w:r>
            <w:fldChar w:fldCharType="end"/>
          </w:r>
          <w:r>
            <w:rPr>
              <w:rFonts w:hint="eastAsia" w:ascii="宋体" w:hAnsi="宋体" w:cs="宋体"/>
            </w:rPr>
            <w:fldChar w:fldCharType="end"/>
          </w:r>
          <w:r/>
        </w:p>
        <w:p>
          <w:pPr>
            <w:pStyle w:val="924"/>
            <w:tabs>
              <w:tab w:val="right" w:pos="9072" w:leader="middleDot"/>
            </w:tabs>
          </w:pPr>
          <w:r>
            <w:rPr>
              <w:rFonts w:hint="eastAsia" w:ascii="宋体" w:hAnsi="宋体" w:cs="宋体"/>
            </w:rPr>
            <w:fldChar w:fldCharType="begin"/>
          </w:r>
          <w:r>
            <w:rPr>
              <w:rFonts w:hint="eastAsia" w:ascii="宋体" w:hAnsi="宋体" w:cs="宋体"/>
            </w:rPr>
            <w:instrText xml:space="preserve"> HYPERLINK \l _Toc22287 </w:instrText>
          </w:r>
          <w:r>
            <w:rPr>
              <w:rFonts w:hint="eastAsia" w:ascii="宋体" w:hAnsi="宋体" w:cs="宋体"/>
            </w:rPr>
            <w:fldChar w:fldCharType="separate"/>
          </w:r>
          <w:r>
            <w:rPr>
              <w:rFonts w:hint="eastAsia" w:ascii="宋体" w:hAnsi="宋体" w:cs="宋体"/>
              <w:bCs/>
              <w:szCs w:val="28"/>
            </w:rPr>
            <w:t xml:space="preserve">第七章 询问和质疑</w:t>
          </w:r>
          <w:r>
            <w:tab/>
          </w:r>
          <w:r>
            <w:fldChar w:fldCharType="begin"/>
          </w:r>
          <w:r>
            <w:instrText xml:space="preserve"> PAGEREF _Toc22287 \h </w:instrText>
          </w:r>
          <w:r>
            <w:fldChar w:fldCharType="separate"/>
          </w:r>
          <w:r>
            <w:t xml:space="preserve">10</w:t>
          </w:r>
          <w:r>
            <w:fldChar w:fldCharType="end"/>
          </w:r>
          <w:r>
            <w:rPr>
              <w:rFonts w:hint="eastAsia" w:ascii="宋体" w:hAnsi="宋体" w:cs="宋体"/>
            </w:rPr>
            <w:fldChar w:fldCharType="end"/>
          </w:r>
          <w:r/>
        </w:p>
        <w:p>
          <w:pPr>
            <w:pStyle w:val="924"/>
            <w:tabs>
              <w:tab w:val="right" w:pos="9072" w:leader="middleDot"/>
            </w:tabs>
          </w:pPr>
          <w:r>
            <w:rPr>
              <w:rFonts w:hint="eastAsia" w:ascii="宋体" w:hAnsi="宋体" w:cs="宋体"/>
            </w:rPr>
            <w:fldChar w:fldCharType="begin"/>
          </w:r>
          <w:r>
            <w:rPr>
              <w:rFonts w:hint="eastAsia" w:ascii="宋体" w:hAnsi="宋体" w:cs="宋体"/>
            </w:rPr>
            <w:instrText xml:space="preserve"> HYPERLINK \l _Toc1811 </w:instrText>
          </w:r>
          <w:r>
            <w:rPr>
              <w:rFonts w:hint="eastAsia" w:ascii="宋体" w:hAnsi="宋体" w:cs="宋体"/>
            </w:rPr>
            <w:fldChar w:fldCharType="separate"/>
          </w:r>
          <w:r>
            <w:rPr>
              <w:rFonts w:hint="eastAsia" w:ascii="宋体" w:hAnsi="宋体" w:cs="宋体"/>
              <w:bCs/>
              <w:szCs w:val="28"/>
            </w:rPr>
            <w:t xml:space="preserve">第八章 其他</w:t>
          </w:r>
          <w:r>
            <w:tab/>
          </w:r>
          <w:r>
            <w:fldChar w:fldCharType="begin"/>
          </w:r>
          <w:r>
            <w:instrText xml:space="preserve"> PAGEREF _Toc1811 \h </w:instrText>
          </w:r>
          <w:r>
            <w:fldChar w:fldCharType="separate"/>
          </w:r>
          <w:r>
            <w:t xml:space="preserve">10</w:t>
          </w:r>
          <w:r>
            <w:fldChar w:fldCharType="end"/>
          </w:r>
          <w:r>
            <w:rPr>
              <w:rFonts w:hint="eastAsia" w:ascii="宋体" w:hAnsi="宋体" w:cs="宋体"/>
            </w:rPr>
            <w:fldChar w:fldCharType="end"/>
          </w:r>
          <w:r/>
        </w:p>
        <w:p>
          <w:pPr>
            <w:pStyle w:val="924"/>
            <w:tabs>
              <w:tab w:val="right" w:pos="9072" w:leader="middleDot"/>
            </w:tabs>
          </w:pPr>
          <w:r>
            <w:rPr>
              <w:rFonts w:hint="eastAsia" w:ascii="宋体" w:hAnsi="宋体" w:cs="宋体"/>
            </w:rPr>
            <w:fldChar w:fldCharType="begin"/>
          </w:r>
          <w:r>
            <w:rPr>
              <w:rFonts w:hint="eastAsia" w:ascii="宋体" w:hAnsi="宋体" w:cs="宋体"/>
            </w:rPr>
            <w:instrText xml:space="preserve"> HYPERLINK \l _Toc22444 </w:instrText>
          </w:r>
          <w:r>
            <w:rPr>
              <w:rFonts w:hint="eastAsia" w:ascii="宋体" w:hAnsi="宋体" w:cs="宋体"/>
            </w:rPr>
            <w:fldChar w:fldCharType="separate"/>
          </w:r>
          <w:r>
            <w:rPr>
              <w:rFonts w:hint="eastAsia" w:ascii="宋体" w:hAnsi="宋体" w:cs="宋体"/>
              <w:bCs/>
              <w:szCs w:val="28"/>
            </w:rPr>
            <w:t xml:space="preserve">第九章 附件</w:t>
          </w:r>
          <w:r>
            <w:tab/>
          </w:r>
          <w:r>
            <w:fldChar w:fldCharType="begin"/>
          </w:r>
          <w:r>
            <w:instrText xml:space="preserve"> PAGEREF _Toc22444 \h </w:instrText>
          </w:r>
          <w:r>
            <w:fldChar w:fldCharType="separate"/>
          </w:r>
          <w:r>
            <w:t xml:space="preserve">11</w:t>
          </w:r>
          <w:r>
            <w:fldChar w:fldCharType="end"/>
          </w:r>
          <w:r>
            <w:rPr>
              <w:rFonts w:hint="eastAsia" w:ascii="宋体" w:hAnsi="宋体" w:cs="宋体"/>
            </w:rPr>
            <w:fldChar w:fldCharType="end"/>
          </w:r>
          <w:r/>
        </w:p>
        <w:p>
          <w:pPr>
            <w:pStyle w:val="924"/>
            <w:tabs>
              <w:tab w:val="right" w:pos="9072" w:leader="middleDot"/>
            </w:tabs>
          </w:pPr>
          <w:r>
            <w:rPr>
              <w:rFonts w:hint="eastAsia" w:ascii="宋体" w:hAnsi="宋体" w:cs="宋体"/>
            </w:rPr>
            <w:fldChar w:fldCharType="begin"/>
          </w:r>
          <w:r>
            <w:rPr>
              <w:rFonts w:hint="eastAsia" w:ascii="宋体" w:hAnsi="宋体" w:cs="宋体"/>
            </w:rPr>
            <w:instrText xml:space="preserve"> HYPERLINK \l _Toc25508 </w:instrText>
          </w:r>
          <w:r>
            <w:rPr>
              <w:rFonts w:hint="eastAsia" w:ascii="宋体" w:hAnsi="宋体" w:cs="宋体"/>
            </w:rPr>
            <w:fldChar w:fldCharType="separate"/>
          </w:r>
          <w:r>
            <w:rPr>
              <w:rFonts w:hint="eastAsia" w:ascii="宋体" w:hAnsi="宋体" w:cs="宋体"/>
              <w:szCs w:val="30"/>
            </w:rPr>
            <w:t xml:space="preserve">1、评分细则</w:t>
          </w:r>
          <w:r>
            <w:tab/>
          </w:r>
          <w:r>
            <w:fldChar w:fldCharType="begin"/>
          </w:r>
          <w:r>
            <w:instrText xml:space="preserve"> PAGEREF _Toc25508 \h </w:instrText>
          </w:r>
          <w:r>
            <w:fldChar w:fldCharType="separate"/>
          </w:r>
          <w:r>
            <w:t xml:space="preserve">12</w:t>
          </w:r>
          <w:r>
            <w:fldChar w:fldCharType="end"/>
          </w:r>
          <w:r>
            <w:rPr>
              <w:rFonts w:hint="eastAsia" w:ascii="宋体" w:hAnsi="宋体" w:cs="宋体"/>
            </w:rPr>
            <w:fldChar w:fldCharType="end"/>
          </w:r>
          <w:r/>
        </w:p>
        <w:p>
          <w:pPr>
            <w:pStyle w:val="924"/>
            <w:tabs>
              <w:tab w:val="right" w:pos="9072" w:leader="middleDot"/>
            </w:tabs>
          </w:pPr>
          <w:r>
            <w:rPr>
              <w:rFonts w:hint="eastAsia" w:ascii="宋体" w:hAnsi="宋体" w:cs="宋体"/>
            </w:rPr>
            <w:fldChar w:fldCharType="begin"/>
          </w:r>
          <w:r>
            <w:rPr>
              <w:rFonts w:hint="eastAsia" w:ascii="宋体" w:hAnsi="宋体" w:cs="宋体"/>
            </w:rPr>
            <w:instrText xml:space="preserve"> HYPERLINK \l _Toc10082 </w:instrText>
          </w:r>
          <w:r>
            <w:rPr>
              <w:rFonts w:hint="eastAsia" w:ascii="宋体" w:hAnsi="宋体" w:cs="宋体"/>
            </w:rPr>
            <w:fldChar w:fldCharType="separate"/>
          </w:r>
          <w:r>
            <w:rPr>
              <w:rFonts w:hint="eastAsia" w:eastAsia="宋体" w:cs="宋体"/>
              <w:szCs w:val="30"/>
            </w:rPr>
            <w:t xml:space="preserve">2、项目要求（采购需求）</w:t>
          </w:r>
          <w:r>
            <w:tab/>
          </w:r>
          <w:r>
            <w:fldChar w:fldCharType="begin"/>
          </w:r>
          <w:r>
            <w:instrText xml:space="preserve"> PAGEREF _Toc10082 \h </w:instrText>
          </w:r>
          <w:r>
            <w:fldChar w:fldCharType="separate"/>
          </w:r>
          <w:r>
            <w:t xml:space="preserve">15</w:t>
          </w:r>
          <w:r>
            <w:fldChar w:fldCharType="end"/>
          </w:r>
          <w:r>
            <w:rPr>
              <w:rFonts w:hint="eastAsia" w:ascii="宋体" w:hAnsi="宋体" w:cs="宋体"/>
            </w:rPr>
            <w:fldChar w:fldCharType="end"/>
          </w:r>
          <w:r/>
        </w:p>
        <w:p>
          <w:pPr>
            <w:pStyle w:val="924"/>
            <w:tabs>
              <w:tab w:val="right" w:pos="9072" w:leader="middleDot"/>
            </w:tabs>
          </w:pPr>
          <w:r>
            <w:rPr>
              <w:rFonts w:hint="eastAsia" w:ascii="宋体" w:hAnsi="宋体" w:cs="宋体"/>
            </w:rPr>
            <w:fldChar w:fldCharType="begin"/>
          </w:r>
          <w:r>
            <w:rPr>
              <w:rFonts w:hint="eastAsia" w:ascii="宋体" w:hAnsi="宋体" w:cs="宋体"/>
            </w:rPr>
            <w:instrText xml:space="preserve"> HYPERLINK \l _Toc16503 </w:instrText>
          </w:r>
          <w:r>
            <w:rPr>
              <w:rFonts w:hint="eastAsia" w:ascii="宋体" w:hAnsi="宋体" w:cs="宋体"/>
            </w:rPr>
            <w:fldChar w:fldCharType="separate"/>
          </w:r>
          <w:r>
            <w:rPr>
              <w:rFonts w:hint="eastAsia" w:eastAsia="宋体" w:cs="宋体"/>
              <w:szCs w:val="30"/>
            </w:rPr>
            <w:t xml:space="preserve">3、磋商报价表</w:t>
          </w:r>
          <w:r>
            <w:tab/>
          </w:r>
          <w:r>
            <w:fldChar w:fldCharType="begin"/>
          </w:r>
          <w:r>
            <w:instrText xml:space="preserve"> PAGEREF _Toc16503 \h </w:instrText>
          </w:r>
          <w:r>
            <w:fldChar w:fldCharType="separate"/>
          </w:r>
          <w:r>
            <w:t xml:space="preserve">41</w:t>
          </w:r>
          <w:r>
            <w:fldChar w:fldCharType="end"/>
          </w:r>
          <w:r>
            <w:rPr>
              <w:rFonts w:hint="eastAsia" w:ascii="宋体" w:hAnsi="宋体" w:cs="宋体"/>
            </w:rPr>
            <w:fldChar w:fldCharType="end"/>
          </w:r>
          <w:r/>
        </w:p>
        <w:p>
          <w:pPr>
            <w:pStyle w:val="924"/>
            <w:tabs>
              <w:tab w:val="right" w:pos="9072" w:leader="middleDot"/>
            </w:tabs>
          </w:pPr>
          <w:r>
            <w:rPr>
              <w:rFonts w:hint="eastAsia" w:ascii="宋体" w:hAnsi="宋体" w:cs="宋体"/>
            </w:rPr>
            <w:fldChar w:fldCharType="begin"/>
          </w:r>
          <w:r>
            <w:rPr>
              <w:rFonts w:hint="eastAsia" w:ascii="宋体" w:hAnsi="宋体" w:cs="宋体"/>
            </w:rPr>
            <w:instrText xml:space="preserve"> HYPERLINK \l _Toc31812 </w:instrText>
          </w:r>
          <w:r>
            <w:rPr>
              <w:rFonts w:hint="eastAsia" w:ascii="宋体" w:hAnsi="宋体" w:cs="宋体"/>
            </w:rPr>
            <w:fldChar w:fldCharType="separate"/>
          </w:r>
          <w:r>
            <w:rPr>
              <w:rFonts w:hint="eastAsia" w:eastAsia="宋体" w:cs="宋体"/>
              <w:szCs w:val="30"/>
            </w:rPr>
            <w:t xml:space="preserve">4、分项价格表</w:t>
          </w:r>
          <w:r>
            <w:tab/>
          </w:r>
          <w:r>
            <w:fldChar w:fldCharType="begin"/>
          </w:r>
          <w:r>
            <w:instrText xml:space="preserve"> PAGEREF _Toc31812 \h </w:instrText>
          </w:r>
          <w:r>
            <w:fldChar w:fldCharType="separate"/>
          </w:r>
          <w:r>
            <w:t xml:space="preserve">42</w:t>
          </w:r>
          <w:r>
            <w:fldChar w:fldCharType="end"/>
          </w:r>
          <w:r>
            <w:rPr>
              <w:rFonts w:hint="eastAsia" w:ascii="宋体" w:hAnsi="宋体" w:cs="宋体"/>
            </w:rPr>
            <w:fldChar w:fldCharType="end"/>
          </w:r>
          <w:r/>
        </w:p>
        <w:p>
          <w:pPr>
            <w:pStyle w:val="924"/>
            <w:tabs>
              <w:tab w:val="right" w:pos="9072" w:leader="middleDot"/>
            </w:tabs>
          </w:pPr>
          <w:r>
            <w:rPr>
              <w:rFonts w:hint="eastAsia" w:ascii="宋体" w:hAnsi="宋体" w:cs="宋体"/>
            </w:rPr>
            <w:fldChar w:fldCharType="begin"/>
          </w:r>
          <w:r>
            <w:rPr>
              <w:rFonts w:hint="eastAsia" w:ascii="宋体" w:hAnsi="宋体" w:cs="宋体"/>
            </w:rPr>
            <w:instrText xml:space="preserve"> HYPERLINK \l _Toc4982 </w:instrText>
          </w:r>
          <w:r>
            <w:rPr>
              <w:rFonts w:hint="eastAsia" w:ascii="宋体" w:hAnsi="宋体" w:cs="宋体"/>
            </w:rPr>
            <w:fldChar w:fldCharType="separate"/>
          </w:r>
          <w:r>
            <w:rPr>
              <w:rFonts w:hint="eastAsia" w:eastAsia="宋体" w:cs="宋体"/>
              <w:szCs w:val="30"/>
              <w:lang w:val="en-US" w:eastAsia="zh-CN"/>
            </w:rPr>
            <w:t xml:space="preserve">5</w:t>
          </w:r>
          <w:r>
            <w:rPr>
              <w:rFonts w:hint="eastAsia" w:eastAsia="宋体" w:cs="宋体"/>
              <w:szCs w:val="30"/>
            </w:rPr>
            <w:t xml:space="preserve">、偏离表</w:t>
          </w:r>
          <w:r>
            <w:tab/>
          </w:r>
          <w:r>
            <w:fldChar w:fldCharType="begin"/>
          </w:r>
          <w:r>
            <w:instrText xml:space="preserve"> PAGEREF _Toc4982 \h </w:instrText>
          </w:r>
          <w:r>
            <w:fldChar w:fldCharType="separate"/>
          </w:r>
          <w:r>
            <w:t xml:space="preserve">52</w:t>
          </w:r>
          <w:r>
            <w:fldChar w:fldCharType="end"/>
          </w:r>
          <w:r>
            <w:rPr>
              <w:rFonts w:hint="eastAsia" w:ascii="宋体" w:hAnsi="宋体" w:cs="宋体"/>
            </w:rPr>
            <w:fldChar w:fldCharType="end"/>
          </w:r>
          <w:r/>
        </w:p>
        <w:p>
          <w:pPr>
            <w:pStyle w:val="924"/>
            <w:tabs>
              <w:tab w:val="right" w:pos="9072" w:leader="middleDot"/>
            </w:tabs>
          </w:pPr>
          <w:r>
            <w:rPr>
              <w:rFonts w:hint="eastAsia" w:ascii="宋体" w:hAnsi="宋体" w:cs="宋体"/>
            </w:rPr>
            <w:fldChar w:fldCharType="begin"/>
          </w:r>
          <w:r>
            <w:rPr>
              <w:rFonts w:hint="eastAsia" w:ascii="宋体" w:hAnsi="宋体" w:cs="宋体"/>
            </w:rPr>
            <w:instrText xml:space="preserve"> HYPERLINK \l _Toc3971 </w:instrText>
          </w:r>
          <w:r>
            <w:rPr>
              <w:rFonts w:hint="eastAsia" w:ascii="宋体" w:hAnsi="宋体" w:cs="宋体"/>
            </w:rPr>
            <w:fldChar w:fldCharType="separate"/>
          </w:r>
          <w:r>
            <w:rPr>
              <w:rFonts w:hint="eastAsia" w:ascii="宋体" w:hAnsi="宋体" w:cs="宋体"/>
              <w:lang w:val="en-US" w:eastAsia="zh-CN"/>
            </w:rPr>
            <w:t xml:space="preserve">6</w:t>
          </w:r>
          <w:r>
            <w:rPr>
              <w:rFonts w:hint="eastAsia" w:ascii="宋体" w:hAnsi="宋体" w:cs="宋体"/>
              <w:szCs w:val="30"/>
            </w:rPr>
            <w:t xml:space="preserve">、合同草案条款</w:t>
          </w:r>
          <w:r>
            <w:tab/>
          </w:r>
          <w:r>
            <w:fldChar w:fldCharType="begin"/>
          </w:r>
          <w:r>
            <w:instrText xml:space="preserve"> PAGEREF _Toc3971 \h </w:instrText>
          </w:r>
          <w:r>
            <w:fldChar w:fldCharType="separate"/>
          </w:r>
          <w:r>
            <w:t xml:space="preserve">53</w:t>
          </w:r>
          <w:r>
            <w:fldChar w:fldCharType="end"/>
          </w:r>
          <w:r>
            <w:rPr>
              <w:rFonts w:hint="eastAsia" w:ascii="宋体" w:hAnsi="宋体" w:cs="宋体"/>
            </w:rPr>
            <w:fldChar w:fldCharType="end"/>
          </w:r>
          <w:r/>
        </w:p>
        <w:p>
          <w:pPr>
            <w:pStyle w:val="924"/>
            <w:tabs>
              <w:tab w:val="right" w:pos="9072" w:leader="middleDot"/>
            </w:tabs>
          </w:pPr>
          <w:r>
            <w:rPr>
              <w:rFonts w:hint="eastAsia" w:ascii="宋体" w:hAnsi="宋体" w:cs="宋体"/>
            </w:rPr>
            <w:fldChar w:fldCharType="begin"/>
          </w:r>
          <w:r>
            <w:rPr>
              <w:rFonts w:hint="eastAsia" w:ascii="宋体" w:hAnsi="宋体" w:cs="宋体"/>
            </w:rPr>
            <w:instrText xml:space="preserve"> HYPERLINK \l _Toc12833 </w:instrText>
          </w:r>
          <w:r>
            <w:rPr>
              <w:rFonts w:hint="eastAsia" w:ascii="宋体" w:hAnsi="宋体" w:cs="宋体"/>
            </w:rPr>
            <w:fldChar w:fldCharType="separate"/>
          </w:r>
          <w:r>
            <w:rPr>
              <w:rFonts w:hint="eastAsia" w:ascii="宋体" w:hAnsi="宋体" w:cs="宋体"/>
              <w:szCs w:val="30"/>
              <w:lang w:val="en-US" w:eastAsia="zh-CN"/>
            </w:rPr>
            <w:t xml:space="preserve">7</w:t>
          </w:r>
          <w:r>
            <w:rPr>
              <w:rFonts w:hint="eastAsia" w:ascii="宋体" w:hAnsi="宋体" w:cs="宋体"/>
              <w:szCs w:val="30"/>
            </w:rPr>
            <w:t xml:space="preserve">、承诺书</w:t>
          </w:r>
          <w:r>
            <w:tab/>
          </w:r>
          <w:r>
            <w:fldChar w:fldCharType="begin"/>
          </w:r>
          <w:r>
            <w:instrText xml:space="preserve"> PAGEREF _Toc12833 \h </w:instrText>
          </w:r>
          <w:r>
            <w:fldChar w:fldCharType="separate"/>
          </w:r>
          <w:r>
            <w:t xml:space="preserve">80</w:t>
          </w:r>
          <w:r>
            <w:fldChar w:fldCharType="end"/>
          </w:r>
          <w:r>
            <w:rPr>
              <w:rFonts w:hint="eastAsia" w:ascii="宋体" w:hAnsi="宋体" w:cs="宋体"/>
            </w:rPr>
            <w:fldChar w:fldCharType="end"/>
          </w:r>
          <w:r/>
        </w:p>
        <w:p>
          <w:pPr>
            <w:pStyle w:val="924"/>
            <w:tabs>
              <w:tab w:val="right" w:pos="9072" w:leader="middleDot"/>
            </w:tabs>
          </w:pPr>
          <w:r>
            <w:rPr>
              <w:rFonts w:hint="eastAsia" w:ascii="宋体" w:hAnsi="宋体" w:cs="宋体"/>
            </w:rPr>
            <w:fldChar w:fldCharType="begin"/>
          </w:r>
          <w:r>
            <w:rPr>
              <w:rFonts w:hint="eastAsia" w:ascii="宋体" w:hAnsi="宋体" w:cs="宋体"/>
            </w:rPr>
            <w:instrText xml:space="preserve"> HYPERLINK \l _Toc13029 </w:instrText>
          </w:r>
          <w:r>
            <w:rPr>
              <w:rFonts w:hint="eastAsia" w:ascii="宋体" w:hAnsi="宋体" w:cs="宋体"/>
            </w:rPr>
            <w:fldChar w:fldCharType="separate"/>
          </w:r>
          <w:r>
            <w:rPr>
              <w:rFonts w:hint="eastAsia" w:ascii="宋体" w:hAnsi="宋体" w:cs="宋体"/>
              <w:szCs w:val="30"/>
              <w:lang w:val="en-US" w:eastAsia="zh-CN"/>
            </w:rPr>
            <w:t xml:space="preserve">8</w:t>
          </w:r>
          <w:r>
            <w:rPr>
              <w:rFonts w:hint="eastAsia" w:ascii="宋体" w:hAnsi="宋体" w:cs="宋体"/>
              <w:szCs w:val="30"/>
            </w:rPr>
            <w:t xml:space="preserve">、授权委托书</w:t>
          </w:r>
          <w:r>
            <w:tab/>
          </w:r>
          <w:r>
            <w:fldChar w:fldCharType="begin"/>
          </w:r>
          <w:r>
            <w:instrText xml:space="preserve"> PAGEREF _Toc13029 \h </w:instrText>
          </w:r>
          <w:r>
            <w:fldChar w:fldCharType="separate"/>
          </w:r>
          <w:r>
            <w:t xml:space="preserve">81</w:t>
          </w:r>
          <w:r>
            <w:fldChar w:fldCharType="end"/>
          </w:r>
          <w:r>
            <w:rPr>
              <w:rFonts w:hint="eastAsia" w:ascii="宋体" w:hAnsi="宋体" w:cs="宋体"/>
            </w:rPr>
            <w:fldChar w:fldCharType="end"/>
          </w:r>
          <w:r/>
        </w:p>
        <w:p>
          <w:pPr>
            <w:pStyle w:val="924"/>
            <w:tabs>
              <w:tab w:val="right" w:pos="9072" w:leader="middleDot"/>
            </w:tabs>
          </w:pPr>
          <w:r>
            <w:rPr>
              <w:rFonts w:hint="eastAsia" w:ascii="宋体" w:hAnsi="宋体" w:cs="宋体"/>
            </w:rPr>
            <w:fldChar w:fldCharType="begin"/>
          </w:r>
          <w:r>
            <w:rPr>
              <w:rFonts w:hint="eastAsia" w:ascii="宋体" w:hAnsi="宋体" w:cs="宋体"/>
            </w:rPr>
            <w:instrText xml:space="preserve"> HYPERLINK \l _Toc12275 </w:instrText>
          </w:r>
          <w:r>
            <w:rPr>
              <w:rFonts w:hint="eastAsia" w:ascii="宋体" w:hAnsi="宋体" w:cs="宋体"/>
            </w:rPr>
            <w:fldChar w:fldCharType="separate"/>
          </w:r>
          <w:r>
            <w:rPr>
              <w:rFonts w:hint="eastAsia" w:ascii="宋体" w:hAnsi="宋体" w:cs="宋体"/>
              <w:szCs w:val="30"/>
              <w:lang w:val="en-US" w:eastAsia="zh-CN"/>
            </w:rPr>
            <w:t xml:space="preserve">9</w:t>
          </w:r>
          <w:r>
            <w:rPr>
              <w:rFonts w:hint="eastAsia" w:ascii="宋体" w:hAnsi="宋体" w:cs="宋体"/>
              <w:szCs w:val="30"/>
            </w:rPr>
            <w:t xml:space="preserve">、中小企业声明函</w:t>
          </w:r>
          <w:r>
            <w:tab/>
          </w:r>
          <w:r>
            <w:fldChar w:fldCharType="begin"/>
          </w:r>
          <w:r>
            <w:instrText xml:space="preserve"> PAGEREF _Toc12275 \h </w:instrText>
          </w:r>
          <w:r>
            <w:fldChar w:fldCharType="separate"/>
          </w:r>
          <w:r>
            <w:t xml:space="preserve">82</w:t>
          </w:r>
          <w:r>
            <w:fldChar w:fldCharType="end"/>
          </w:r>
          <w:r>
            <w:rPr>
              <w:rFonts w:hint="eastAsia" w:ascii="宋体" w:hAnsi="宋体" w:cs="宋体"/>
            </w:rPr>
            <w:fldChar w:fldCharType="end"/>
          </w:r>
          <w:r/>
        </w:p>
        <w:p>
          <w:pPr>
            <w:pStyle w:val="924"/>
            <w:tabs>
              <w:tab w:val="right" w:pos="9072" w:leader="middleDot"/>
            </w:tabs>
          </w:pPr>
          <w:r>
            <w:rPr>
              <w:rFonts w:hint="eastAsia" w:ascii="宋体" w:hAnsi="宋体" w:cs="宋体"/>
            </w:rPr>
            <w:fldChar w:fldCharType="begin"/>
          </w:r>
          <w:r>
            <w:rPr>
              <w:rFonts w:hint="eastAsia" w:ascii="宋体" w:hAnsi="宋体" w:cs="宋体"/>
            </w:rPr>
            <w:instrText xml:space="preserve"> HYPERLINK \l _Toc20265 </w:instrText>
          </w:r>
          <w:r>
            <w:rPr>
              <w:rFonts w:hint="eastAsia" w:ascii="宋体" w:hAnsi="宋体" w:cs="宋体"/>
            </w:rPr>
            <w:fldChar w:fldCharType="separate"/>
          </w:r>
          <w:r>
            <w:rPr>
              <w:rFonts w:hint="eastAsia" w:ascii="宋体" w:hAnsi="宋体" w:cs="宋体"/>
              <w:szCs w:val="30"/>
            </w:rPr>
            <w:t xml:space="preserve">1</w:t>
          </w:r>
          <w:r>
            <w:rPr>
              <w:rFonts w:hint="eastAsia" w:ascii="宋体" w:hAnsi="宋体" w:cs="宋体"/>
              <w:szCs w:val="30"/>
              <w:lang w:val="en-US" w:eastAsia="zh-CN"/>
            </w:rPr>
            <w:t xml:space="preserve">0</w:t>
          </w:r>
          <w:r>
            <w:rPr>
              <w:rFonts w:hint="eastAsia" w:ascii="宋体" w:hAnsi="宋体" w:cs="宋体"/>
              <w:szCs w:val="30"/>
            </w:rPr>
            <w:t xml:space="preserve">、供应商参加政府采购活动前3年内在经营活动中没有重大违法记录的书面声明</w:t>
          </w:r>
          <w:r>
            <w:tab/>
          </w:r>
          <w:r>
            <w:fldChar w:fldCharType="begin"/>
          </w:r>
          <w:r>
            <w:instrText xml:space="preserve"> PAGEREF _Toc20265 \h </w:instrText>
          </w:r>
          <w:r>
            <w:fldChar w:fldCharType="separate"/>
          </w:r>
          <w:r>
            <w:t xml:space="preserve">84</w:t>
          </w:r>
          <w:r>
            <w:fldChar w:fldCharType="end"/>
          </w:r>
          <w:r>
            <w:rPr>
              <w:rFonts w:hint="eastAsia" w:ascii="宋体" w:hAnsi="宋体" w:cs="宋体"/>
            </w:rPr>
            <w:fldChar w:fldCharType="end"/>
          </w:r>
          <w:r/>
        </w:p>
        <w:p>
          <w:pPr>
            <w:pStyle w:val="924"/>
            <w:tabs>
              <w:tab w:val="right" w:pos="9072" w:leader="middleDot"/>
            </w:tabs>
          </w:pPr>
          <w:r>
            <w:rPr>
              <w:rFonts w:hint="eastAsia" w:ascii="宋体" w:hAnsi="宋体" w:cs="宋体"/>
            </w:rPr>
            <w:fldChar w:fldCharType="begin"/>
          </w:r>
          <w:r>
            <w:rPr>
              <w:rFonts w:hint="eastAsia" w:ascii="宋体" w:hAnsi="宋体" w:cs="宋体"/>
            </w:rPr>
            <w:instrText xml:space="preserve"> HYPERLINK \l _Toc12565 </w:instrText>
          </w:r>
          <w:r>
            <w:rPr>
              <w:rFonts w:hint="eastAsia" w:ascii="宋体" w:hAnsi="宋体" w:cs="宋体"/>
            </w:rPr>
            <w:fldChar w:fldCharType="separate"/>
          </w:r>
          <w:r>
            <w:rPr>
              <w:rFonts w:hint="eastAsia" w:ascii="宋体" w:hAnsi="宋体" w:cs="宋体"/>
              <w:szCs w:val="30"/>
            </w:rPr>
            <w:t xml:space="preserve">1</w:t>
          </w:r>
          <w:r>
            <w:rPr>
              <w:rFonts w:hint="eastAsia" w:ascii="宋体" w:hAnsi="宋体" w:cs="宋体"/>
              <w:szCs w:val="30"/>
              <w:lang w:val="en-US" w:eastAsia="zh-CN"/>
            </w:rPr>
            <w:t xml:space="preserve">1</w:t>
          </w:r>
          <w:r>
            <w:rPr>
              <w:rFonts w:hint="eastAsia" w:ascii="宋体" w:hAnsi="宋体" w:cs="宋体"/>
              <w:szCs w:val="30"/>
            </w:rPr>
            <w:t xml:space="preserve">、具备履行合同所必需的设备和专业技术能力的书面声明</w:t>
          </w:r>
          <w:r>
            <w:tab/>
          </w:r>
          <w:r>
            <w:fldChar w:fldCharType="begin"/>
          </w:r>
          <w:r>
            <w:instrText xml:space="preserve"> PAGEREF _Toc12565 \h </w:instrText>
          </w:r>
          <w:r>
            <w:fldChar w:fldCharType="separate"/>
          </w:r>
          <w:r>
            <w:t xml:space="preserve">85</w:t>
          </w:r>
          <w:r>
            <w:fldChar w:fldCharType="end"/>
          </w:r>
          <w:r>
            <w:rPr>
              <w:rFonts w:hint="eastAsia" w:ascii="宋体" w:hAnsi="宋体" w:cs="宋体"/>
            </w:rPr>
            <w:fldChar w:fldCharType="end"/>
          </w:r>
          <w:r/>
        </w:p>
        <w:p>
          <w:pPr>
            <w:pStyle w:val="924"/>
            <w:tabs>
              <w:tab w:val="right" w:pos="9072" w:leader="middleDot"/>
            </w:tabs>
          </w:pPr>
          <w:r>
            <w:rPr>
              <w:rFonts w:hint="eastAsia" w:ascii="宋体" w:hAnsi="宋体" w:cs="宋体"/>
            </w:rPr>
            <w:fldChar w:fldCharType="begin"/>
          </w:r>
          <w:r>
            <w:rPr>
              <w:rFonts w:hint="eastAsia" w:ascii="宋体" w:hAnsi="宋体" w:cs="宋体"/>
            </w:rPr>
            <w:instrText xml:space="preserve"> HYPERLINK \l _Toc1177 </w:instrText>
          </w:r>
          <w:r>
            <w:rPr>
              <w:rFonts w:hint="eastAsia" w:ascii="宋体" w:hAnsi="宋体" w:cs="宋体"/>
            </w:rPr>
            <w:fldChar w:fldCharType="separate"/>
          </w:r>
          <w:r>
            <w:rPr>
              <w:rFonts w:hint="eastAsia" w:ascii="宋体" w:hAnsi="宋体" w:cs="宋体"/>
              <w:szCs w:val="30"/>
            </w:rPr>
            <w:t xml:space="preserve">1</w:t>
          </w:r>
          <w:r>
            <w:rPr>
              <w:rFonts w:hint="eastAsia" w:ascii="宋体" w:hAnsi="宋体" w:cs="宋体"/>
              <w:szCs w:val="30"/>
              <w:lang w:val="en-US" w:eastAsia="zh-CN"/>
            </w:rPr>
            <w:t xml:space="preserve">2</w:t>
          </w:r>
          <w:r>
            <w:rPr>
              <w:rFonts w:hint="eastAsia" w:ascii="宋体" w:hAnsi="宋体" w:cs="宋体"/>
              <w:szCs w:val="30"/>
            </w:rPr>
            <w:t xml:space="preserve">、残疾人福利性单位声明函</w:t>
          </w:r>
          <w:r>
            <w:tab/>
          </w:r>
          <w:r>
            <w:fldChar w:fldCharType="begin"/>
          </w:r>
          <w:r>
            <w:instrText xml:space="preserve"> PAGEREF _Toc1177 \h </w:instrText>
          </w:r>
          <w:r>
            <w:fldChar w:fldCharType="separate"/>
          </w:r>
          <w:r>
            <w:t xml:space="preserve">86</w:t>
          </w:r>
          <w:r>
            <w:fldChar w:fldCharType="end"/>
          </w:r>
          <w:r>
            <w:rPr>
              <w:rFonts w:hint="eastAsia" w:ascii="宋体" w:hAnsi="宋体" w:cs="宋体"/>
            </w:rPr>
            <w:fldChar w:fldCharType="end"/>
          </w:r>
          <w:r/>
        </w:p>
        <w:p>
          <w:pPr>
            <w:pStyle w:val="924"/>
            <w:tabs>
              <w:tab w:val="right" w:pos="9072" w:leader="middleDot"/>
            </w:tabs>
          </w:pPr>
          <w:r>
            <w:rPr>
              <w:rFonts w:hint="eastAsia" w:ascii="宋体" w:hAnsi="宋体" w:cs="宋体"/>
            </w:rPr>
            <w:fldChar w:fldCharType="begin"/>
          </w:r>
          <w:r>
            <w:rPr>
              <w:rFonts w:hint="eastAsia" w:ascii="宋体" w:hAnsi="宋体" w:cs="宋体"/>
            </w:rPr>
            <w:instrText xml:space="preserve"> HYPERLINK \l _Toc13925 </w:instrText>
          </w:r>
          <w:r>
            <w:rPr>
              <w:rFonts w:hint="eastAsia" w:ascii="宋体" w:hAnsi="宋体" w:cs="宋体"/>
            </w:rPr>
            <w:fldChar w:fldCharType="separate"/>
          </w:r>
          <w:r>
            <w:rPr>
              <w:rFonts w:hint="eastAsia" w:ascii="宋体" w:hAnsi="宋体" w:cs="宋体"/>
              <w:szCs w:val="30"/>
              <w:lang w:val="en-US" w:eastAsia="zh-CN"/>
            </w:rPr>
            <w:t xml:space="preserve">13、关于符合本国产品标准的声明函</w:t>
          </w:r>
          <w:r>
            <w:rPr>
              <w:rFonts w:hint="eastAsia" w:ascii="宋体" w:hAnsi="宋体" w:cs="宋体"/>
              <w:szCs w:val="30"/>
            </w:rPr>
            <w:t xml:space="preserve"> </w:t>
          </w:r>
          <w:r>
            <w:tab/>
          </w:r>
          <w:r>
            <w:fldChar w:fldCharType="begin"/>
          </w:r>
          <w:r>
            <w:instrText xml:space="preserve"> PAGEREF _Toc13925 \h </w:instrText>
          </w:r>
          <w:r>
            <w:fldChar w:fldCharType="separate"/>
          </w:r>
          <w:r>
            <w:t xml:space="preserve">87</w:t>
          </w:r>
          <w:r>
            <w:fldChar w:fldCharType="end"/>
          </w:r>
          <w:r>
            <w:rPr>
              <w:rFonts w:hint="eastAsia" w:ascii="宋体" w:hAnsi="宋体" w:cs="宋体"/>
            </w:rPr>
            <w:fldChar w:fldCharType="end"/>
          </w:r>
          <w:r/>
        </w:p>
        <w:p>
          <w:pPr>
            <w:pStyle w:val="924"/>
            <w:tabs>
              <w:tab w:val="right" w:pos="9072" w:leader="middleDot"/>
            </w:tabs>
          </w:pPr>
          <w:r>
            <w:rPr>
              <w:rFonts w:hint="eastAsia" w:ascii="宋体" w:hAnsi="宋体" w:cs="宋体"/>
            </w:rPr>
            <w:fldChar w:fldCharType="begin"/>
          </w:r>
          <w:r>
            <w:rPr>
              <w:rFonts w:hint="eastAsia" w:ascii="宋体" w:hAnsi="宋体" w:cs="宋体"/>
            </w:rPr>
            <w:instrText xml:space="preserve"> HYPERLINK \l _Toc4971 </w:instrText>
          </w:r>
          <w:r>
            <w:rPr>
              <w:rFonts w:hint="eastAsia" w:ascii="宋体" w:hAnsi="宋体" w:cs="宋体"/>
            </w:rPr>
            <w:fldChar w:fldCharType="separate"/>
          </w:r>
          <w:r>
            <w:rPr>
              <w:rFonts w:hint="eastAsia" w:ascii="宋体" w:hAnsi="宋体" w:cs="宋体"/>
              <w:szCs w:val="30"/>
            </w:rPr>
            <w:t xml:space="preserve">1</w:t>
          </w:r>
          <w:r>
            <w:rPr>
              <w:rFonts w:hint="eastAsia" w:ascii="宋体" w:hAnsi="宋体" w:cs="宋体"/>
              <w:szCs w:val="30"/>
              <w:lang w:val="en-US" w:eastAsia="zh-CN"/>
            </w:rPr>
            <w:t xml:space="preserve">4</w:t>
          </w:r>
          <w:r>
            <w:rPr>
              <w:rFonts w:hint="eastAsia" w:ascii="宋体" w:hAnsi="宋体" w:cs="宋体"/>
              <w:szCs w:val="30"/>
            </w:rPr>
            <w:t xml:space="preserve">、预付款保函支付条款模板</w:t>
          </w:r>
          <w:r>
            <w:tab/>
          </w:r>
          <w:r>
            <w:fldChar w:fldCharType="begin"/>
          </w:r>
          <w:r>
            <w:instrText xml:space="preserve"> PAGEREF _Toc4971 \h </w:instrText>
          </w:r>
          <w:r>
            <w:fldChar w:fldCharType="separate"/>
          </w:r>
          <w:r>
            <w:t xml:space="preserve">88</w:t>
          </w:r>
          <w:r>
            <w:fldChar w:fldCharType="end"/>
          </w:r>
          <w:r>
            <w:rPr>
              <w:rFonts w:hint="eastAsia" w:ascii="宋体" w:hAnsi="宋体" w:cs="宋体"/>
            </w:rPr>
            <w:fldChar w:fldCharType="end"/>
          </w:r>
          <w:r/>
        </w:p>
        <w:p>
          <w:pPr>
            <w:pStyle w:val="924"/>
            <w:tabs>
              <w:tab w:val="right" w:pos="9072" w:leader="middleDot"/>
            </w:tabs>
          </w:pPr>
          <w:r>
            <w:rPr>
              <w:rFonts w:hint="eastAsia" w:ascii="宋体" w:hAnsi="宋体" w:cs="宋体"/>
            </w:rPr>
            <w:fldChar w:fldCharType="begin"/>
          </w:r>
          <w:r>
            <w:rPr>
              <w:rFonts w:hint="eastAsia" w:ascii="宋体" w:hAnsi="宋体" w:cs="宋体"/>
            </w:rPr>
            <w:instrText xml:space="preserve"> HYPERLINK \l _Toc32458 </w:instrText>
          </w:r>
          <w:r>
            <w:rPr>
              <w:rFonts w:hint="eastAsia" w:ascii="宋体" w:hAnsi="宋体" w:cs="宋体"/>
            </w:rPr>
            <w:fldChar w:fldCharType="separate"/>
          </w:r>
          <w:r>
            <w:rPr>
              <w:rFonts w:hint="eastAsia" w:ascii="宋体" w:hAnsi="宋体" w:cs="宋体"/>
              <w:szCs w:val="30"/>
            </w:rPr>
            <w:t xml:space="preserve">1</w:t>
          </w:r>
          <w:r>
            <w:rPr>
              <w:rFonts w:hint="eastAsia" w:ascii="宋体" w:hAnsi="宋体" w:cs="宋体"/>
              <w:szCs w:val="30"/>
              <w:lang w:val="en-US" w:eastAsia="zh-CN"/>
            </w:rPr>
            <w:t xml:space="preserve">5</w:t>
          </w:r>
          <w:r>
            <w:rPr>
              <w:rFonts w:hint="eastAsia" w:ascii="宋体" w:hAnsi="宋体" w:cs="宋体"/>
              <w:szCs w:val="30"/>
            </w:rPr>
            <w:t xml:space="preserve">、代理服务收费标准</w:t>
          </w:r>
          <w:r>
            <w:tab/>
          </w:r>
          <w:r>
            <w:fldChar w:fldCharType="begin"/>
          </w:r>
          <w:r>
            <w:instrText xml:space="preserve"> PAGEREF _Toc32458 \h </w:instrText>
          </w:r>
          <w:r>
            <w:fldChar w:fldCharType="separate"/>
          </w:r>
          <w:r>
            <w:t xml:space="preserve">89</w:t>
          </w:r>
          <w:r>
            <w:fldChar w:fldCharType="end"/>
          </w:r>
          <w:r>
            <w:rPr>
              <w:rFonts w:hint="eastAsia" w:ascii="宋体" w:hAnsi="宋体" w:cs="宋体"/>
            </w:rPr>
            <w:fldChar w:fldCharType="end"/>
          </w:r>
          <w:r/>
        </w:p>
        <w:p>
          <w:pPr>
            <w:spacing w:line="360" w:lineRule="auto"/>
            <w:rPr>
              <w:rFonts w:ascii="宋体" w:hAnsi="宋体" w:cs="宋体"/>
            </w:rPr>
          </w:pPr>
          <w:r>
            <w:rPr>
              <w:rFonts w:hint="eastAsia" w:ascii="宋体" w:hAnsi="宋体" w:cs="宋体"/>
            </w:rPr>
            <w:fldChar w:fldCharType="end"/>
          </w:r>
          <w:r/>
        </w:p>
      </w:sdtContent>
    </w:sdt>
    <w:p>
      <w:pPr>
        <w:jc w:val="center"/>
        <w:spacing w:line="360" w:lineRule="auto"/>
        <w:rPr>
          <w:rFonts w:ascii="宋体" w:hAnsi="宋体" w:cs="宋体"/>
          <w:b/>
          <w:sz w:val="36"/>
        </w:rPr>
        <w:sectPr>
          <w:headerReference w:type="default" r:id="rId10"/>
          <w:footerReference w:type="default" r:id="rId13"/>
          <w:footerReference w:type="first" r:id="rId14"/>
          <w:footnotePr/>
          <w:endnotePr/>
          <w:type w:val="nextPage"/>
          <w:pgSz w:w="11906" w:h="16838" w:orient="portrait"/>
          <w:pgMar w:top="1440" w:right="1417" w:bottom="1440" w:left="1417" w:header="851" w:footer="992" w:gutter="0"/>
          <w:pgNumType w:start="1"/>
          <w:cols w:num="1" w:sep="0" w:space="1701" w:equalWidth="1"/>
          <w:docGrid w:linePitch="360"/>
          <w:titlePg/>
        </w:sectPr>
      </w:pPr>
      <w:r>
        <w:rPr>
          <w:rFonts w:ascii="宋体" w:hAnsi="宋体" w:cs="宋体"/>
          <w:b/>
          <w:sz w:val="36"/>
        </w:rPr>
      </w:r>
      <w:r/>
    </w:p>
    <w:p>
      <w:pPr>
        <w:jc w:val="center"/>
        <w:spacing w:line="360" w:lineRule="auto"/>
        <w:rPr>
          <w:rFonts w:ascii="宋体" w:hAnsi="宋体" w:cs="宋体"/>
          <w:b/>
          <w:sz w:val="36"/>
        </w:rPr>
      </w:pPr>
      <w:r>
        <w:rPr>
          <w:rFonts w:hint="eastAsia" w:ascii="宋体" w:hAnsi="宋体" w:cs="宋体"/>
          <w:b/>
          <w:sz w:val="36"/>
        </w:rPr>
        <w:t xml:space="preserve">竞争性磋商文件</w:t>
      </w:r>
      <w:r/>
    </w:p>
    <w:p>
      <w:pPr>
        <w:jc w:val="center"/>
        <w:spacing w:line="360" w:lineRule="auto"/>
        <w:tabs>
          <w:tab w:val="left" w:pos="3240" w:leader="none"/>
        </w:tabs>
        <w:rPr>
          <w:rFonts w:hint="eastAsia" w:ascii="宋体" w:hAnsi="宋体" w:eastAsia="宋体" w:cs="宋体"/>
          <w:sz w:val="24"/>
          <w:u w:val="single"/>
          <w:lang w:eastAsia="zh-CN"/>
        </w:rPr>
      </w:pPr>
      <w:r>
        <w:rPr>
          <w:rFonts w:hint="eastAsia" w:ascii="宋体" w:hAnsi="宋体" w:cs="宋体"/>
          <w:sz w:val="24"/>
        </w:rPr>
        <w:t xml:space="preserve">项目编号：</w:t>
      </w:r>
      <w:r>
        <w:rPr>
          <w:rFonts w:hint="eastAsia" w:ascii="宋体" w:hAnsi="宋体" w:cs="宋体"/>
          <w:sz w:val="24"/>
          <w:u w:val="single"/>
          <w:lang w:eastAsia="zh-CN"/>
        </w:rPr>
        <w:t xml:space="preserve">JSZC-320322-SHKL-C2026-0003</w:t>
      </w:r>
      <w:r/>
    </w:p>
    <w:p>
      <w:pPr>
        <w:spacing w:line="360" w:lineRule="auto"/>
        <w:tabs>
          <w:tab w:val="left" w:pos="3240" w:leader="none"/>
        </w:tabs>
        <w:rPr>
          <w:rFonts w:ascii="宋体" w:hAnsi="宋体" w:cs="宋体"/>
          <w:sz w:val="24"/>
        </w:rPr>
      </w:pPr>
      <w:r>
        <w:rPr>
          <w:rFonts w:hint="eastAsia" w:ascii="宋体" w:hAnsi="宋体" w:cs="宋体"/>
          <w:sz w:val="24"/>
          <w:u w:val="single"/>
        </w:rPr>
        <w:t xml:space="preserve">（供应商）         </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按照《中华人民共和国政府采购法》、《中华人民共和国政府采购法实施条例》及《政府采购竞争性磋商采购方式管理暂行办法》的规定，</w:t>
      </w:r>
      <w:r>
        <w:rPr>
          <w:rFonts w:hint="eastAsia" w:ascii="宋体" w:hAnsi="宋体" w:cs="宋体"/>
          <w:sz w:val="24"/>
          <w:u w:val="single"/>
          <w:lang w:eastAsia="zh-CN"/>
        </w:rPr>
        <w:t xml:space="preserve">上海科立普咨询管理有限公司</w:t>
      </w:r>
      <w:r>
        <w:rPr>
          <w:rFonts w:hint="eastAsia" w:ascii="宋体" w:hAnsi="宋体" w:cs="宋体"/>
          <w:sz w:val="24"/>
        </w:rPr>
        <w:t xml:space="preserve">对</w:t>
      </w:r>
      <w:r>
        <w:rPr>
          <w:rFonts w:hint="eastAsia" w:ascii="宋体" w:hAnsi="宋体" w:cs="宋体"/>
          <w:sz w:val="24"/>
          <w:u w:val="single"/>
          <w:lang w:eastAsia="zh-CN"/>
        </w:rPr>
        <w:t xml:space="preserve">2026年度城区道路交通设施社会化管养服务</w:t>
      </w:r>
      <w:r>
        <w:rPr>
          <w:rFonts w:hint="eastAsia" w:ascii="宋体" w:hAnsi="宋体" w:cs="宋体"/>
          <w:sz w:val="24"/>
        </w:rPr>
        <w:t xml:space="preserve">采取竞争性磋商采购方式进行采购。如贵单位有意与本公司合作，请按以下竞争性磋商文件（以下简称磋商文件）要求参加磋商。</w:t>
      </w:r>
      <w:r/>
    </w:p>
    <w:p>
      <w:pPr>
        <w:jc w:val="center"/>
        <w:spacing w:line="360" w:lineRule="auto"/>
        <w:rPr>
          <w:rFonts w:ascii="宋体" w:hAnsi="宋体" w:cs="宋体"/>
          <w:b/>
          <w:bCs/>
          <w:sz w:val="28"/>
          <w:szCs w:val="28"/>
        </w:rPr>
        <w:outlineLvl w:val="0"/>
      </w:pPr>
      <w:r/>
      <w:bookmarkStart w:id="0" w:name="_Toc16145"/>
      <w:r>
        <w:rPr>
          <w:rFonts w:hint="eastAsia" w:ascii="宋体" w:hAnsi="宋体" w:cs="宋体"/>
          <w:b/>
          <w:bCs/>
          <w:sz w:val="28"/>
          <w:szCs w:val="28"/>
        </w:rPr>
        <w:t xml:space="preserve">第一章 项目说明</w:t>
      </w:r>
      <w:bookmarkEnd w:id="0"/>
      <w:r/>
      <w:r/>
    </w:p>
    <w:p>
      <w:pPr>
        <w:ind w:firstLine="480"/>
        <w:spacing w:line="360" w:lineRule="auto"/>
        <w:rPr>
          <w:rFonts w:hint="eastAsia" w:ascii="宋体" w:hAnsi="宋体" w:eastAsia="宋体" w:cs="宋体"/>
          <w:sz w:val="24"/>
          <w:lang w:eastAsia="zh-CN"/>
        </w:rPr>
      </w:pPr>
      <w:r>
        <w:rPr>
          <w:rFonts w:hint="eastAsia" w:ascii="宋体" w:hAnsi="宋体" w:cs="宋体"/>
          <w:sz w:val="24"/>
        </w:rPr>
        <w:t xml:space="preserve">一、采购人：</w:t>
      </w:r>
      <w:r>
        <w:rPr>
          <w:rFonts w:hint="eastAsia" w:ascii="宋体" w:hAnsi="宋体" w:cs="宋体"/>
          <w:sz w:val="24"/>
          <w:lang w:eastAsia="zh-CN"/>
        </w:rPr>
        <w:t xml:space="preserve">沛县公安局</w:t>
      </w:r>
      <w:r/>
    </w:p>
    <w:p>
      <w:pPr>
        <w:ind w:firstLine="480"/>
        <w:spacing w:line="360" w:lineRule="auto"/>
        <w:rPr>
          <w:rFonts w:hint="eastAsia" w:ascii="宋体" w:hAnsi="宋体" w:eastAsia="宋体" w:cs="宋体"/>
          <w:sz w:val="24"/>
          <w:lang w:eastAsia="zh-CN"/>
        </w:rPr>
      </w:pPr>
      <w:r>
        <w:rPr>
          <w:rFonts w:hint="eastAsia" w:ascii="宋体" w:hAnsi="宋体" w:cs="宋体"/>
          <w:sz w:val="24"/>
        </w:rPr>
        <w:t xml:space="preserve">二、项目名称：</w:t>
      </w:r>
      <w:r>
        <w:rPr>
          <w:rFonts w:hint="eastAsia" w:ascii="宋体" w:hAnsi="宋体" w:cs="宋体"/>
          <w:sz w:val="24"/>
          <w:lang w:eastAsia="zh-CN"/>
        </w:rPr>
        <w:t xml:space="preserve">2026年度城区道路交通设施社会化管养服务</w:t>
      </w:r>
      <w:r/>
    </w:p>
    <w:p>
      <w:pPr>
        <w:ind w:firstLine="480"/>
        <w:spacing w:line="360" w:lineRule="auto"/>
        <w:rPr>
          <w:rFonts w:hint="eastAsia" w:ascii="宋体" w:hAnsi="宋体" w:eastAsia="宋体" w:cs="宋体"/>
          <w:sz w:val="24"/>
          <w:lang w:eastAsia="zh-CN"/>
        </w:rPr>
      </w:pPr>
      <w:r>
        <w:rPr>
          <w:rFonts w:hint="eastAsia" w:ascii="宋体" w:hAnsi="宋体" w:cs="宋体"/>
          <w:sz w:val="24"/>
        </w:rPr>
        <w:t xml:space="preserve">三、项目编号：</w:t>
      </w:r>
      <w:r>
        <w:rPr>
          <w:rFonts w:hint="eastAsia" w:ascii="宋体" w:hAnsi="宋体" w:cs="宋体"/>
          <w:sz w:val="24"/>
          <w:lang w:eastAsia="zh-CN"/>
        </w:rPr>
        <w:t xml:space="preserve">JSZC-320322-SHKL-C2026-0003</w:t>
      </w:r>
      <w:r/>
    </w:p>
    <w:p>
      <w:pPr>
        <w:ind w:firstLine="480"/>
        <w:spacing w:line="360" w:lineRule="auto"/>
        <w:rPr>
          <w:rFonts w:ascii="宋体" w:hAnsi="宋体" w:cs="宋体"/>
          <w:sz w:val="24"/>
        </w:rPr>
      </w:pPr>
      <w:r>
        <w:rPr>
          <w:rFonts w:hint="eastAsia" w:ascii="宋体" w:hAnsi="宋体" w:cs="宋体"/>
          <w:sz w:val="24"/>
        </w:rPr>
        <w:t xml:space="preserve">四、采购邀请：通过发布公告的方式邀请符合相应资格条件的供应商参与竞争性磋商采购活动。</w:t>
      </w:r>
      <w:r/>
    </w:p>
    <w:p>
      <w:pPr>
        <w:ind w:firstLine="480"/>
        <w:spacing w:line="360" w:lineRule="auto"/>
        <w:widowControl/>
        <w:rPr>
          <w:rFonts w:ascii="宋体" w:hAnsi="宋体" w:cs="宋体"/>
          <w:sz w:val="24"/>
        </w:rPr>
      </w:pPr>
      <w:r>
        <w:rPr>
          <w:rFonts w:hint="eastAsia" w:ascii="宋体" w:hAnsi="宋体" w:cs="宋体"/>
          <w:sz w:val="24"/>
        </w:rPr>
        <w:t xml:space="preserve">五、采购方式：本项目采用竞争性磋商采购方式。</w:t>
      </w:r>
      <w:r/>
    </w:p>
    <w:p>
      <w:pPr>
        <w:ind w:firstLine="480"/>
        <w:spacing w:line="360" w:lineRule="auto"/>
        <w:widowControl/>
        <w:rPr>
          <w:rFonts w:ascii="宋体" w:hAnsi="宋体" w:cs="宋体"/>
          <w:sz w:val="24"/>
        </w:rPr>
      </w:pPr>
      <w:r>
        <w:rPr>
          <w:rFonts w:hint="eastAsia" w:ascii="宋体" w:hAnsi="宋体" w:cs="宋体"/>
          <w:sz w:val="24"/>
        </w:rPr>
        <w:t xml:space="preserve">六、供应商资格条件：见竞争性磋商公告（项目编号：</w:t>
      </w:r>
      <w:r>
        <w:rPr>
          <w:rFonts w:hint="eastAsia" w:ascii="宋体" w:hAnsi="宋体" w:cs="宋体"/>
          <w:sz w:val="24"/>
          <w:lang w:eastAsia="zh-CN"/>
        </w:rPr>
        <w:t xml:space="preserve">JSZC-320322-SHKL-C2026-0003</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七、采购预算（采购项目预算金额）：见《磋商文件》附件《项目要求（采购需求）》。</w:t>
      </w:r>
      <w:r/>
    </w:p>
    <w:p>
      <w:pPr>
        <w:ind w:firstLine="480"/>
        <w:spacing w:line="360" w:lineRule="auto"/>
        <w:rPr>
          <w:rFonts w:ascii="宋体" w:hAnsi="宋体" w:cs="宋体"/>
          <w:sz w:val="24"/>
        </w:rPr>
      </w:pPr>
      <w:r>
        <w:rPr>
          <w:rFonts w:hint="eastAsia" w:ascii="宋体" w:hAnsi="宋体" w:cs="宋体"/>
          <w:sz w:val="24"/>
        </w:rPr>
        <w:t xml:space="preserve">八、采购需求：见《磋商文件》附件《项目要求（采购需求）》。</w:t>
      </w:r>
      <w:r/>
    </w:p>
    <w:p>
      <w:pPr>
        <w:ind w:firstLine="480"/>
        <w:spacing w:line="360" w:lineRule="auto"/>
        <w:rPr>
          <w:rFonts w:ascii="宋体" w:hAnsi="宋体" w:cs="宋体"/>
          <w:sz w:val="24"/>
        </w:rPr>
      </w:pPr>
      <w:r>
        <w:rPr>
          <w:rFonts w:hint="eastAsia" w:ascii="宋体" w:hAnsi="宋体" w:cs="宋体"/>
          <w:sz w:val="24"/>
        </w:rPr>
        <w:t xml:space="preserve">九、合同草案条款：见《磋商文件》附件《合同草案条款》。</w:t>
      </w:r>
      <w:r/>
    </w:p>
    <w:p>
      <w:pPr>
        <w:ind w:firstLine="480"/>
        <w:spacing w:line="360" w:lineRule="auto"/>
        <w:rPr>
          <w:rFonts w:ascii="宋体" w:hAnsi="宋体" w:cs="宋体"/>
          <w:sz w:val="24"/>
        </w:rPr>
      </w:pPr>
      <w:r>
        <w:rPr>
          <w:rFonts w:hint="eastAsia" w:ascii="宋体" w:hAnsi="宋体" w:cs="宋体"/>
          <w:sz w:val="24"/>
        </w:rPr>
        <w:t xml:space="preserve">十、报价要求</w:t>
      </w:r>
      <w:r/>
    </w:p>
    <w:p>
      <w:pPr>
        <w:ind w:firstLine="480"/>
        <w:spacing w:line="360" w:lineRule="auto"/>
        <w:rPr>
          <w:rFonts w:ascii="宋体" w:hAnsi="宋体" w:cs="宋体"/>
          <w:sz w:val="24"/>
        </w:rPr>
      </w:pPr>
      <w:r>
        <w:rPr>
          <w:rFonts w:hint="eastAsia" w:ascii="宋体" w:hAnsi="宋体" w:cs="宋体"/>
          <w:sz w:val="24"/>
        </w:rPr>
        <w:t xml:space="preserve">1、供应商报价为要约，</w:t>
      </w:r>
      <w:r>
        <w:rPr>
          <w:rFonts w:hint="eastAsia" w:ascii="宋体" w:hAnsi="宋体" w:cs="宋体"/>
          <w:sz w:val="24"/>
          <w:lang w:eastAsia="zh-CN"/>
        </w:rPr>
        <w:t xml:space="preserve">上海科立普咨询管理有限公司</w:t>
      </w:r>
      <w:r>
        <w:rPr>
          <w:rFonts w:hint="eastAsia" w:ascii="宋体" w:hAnsi="宋体" w:cs="宋体"/>
          <w:sz w:val="24"/>
        </w:rPr>
        <w:t xml:space="preserve">无承诺表示时视为未成交，</w:t>
      </w:r>
      <w:r>
        <w:rPr>
          <w:rFonts w:hint="eastAsia" w:ascii="宋体" w:hAnsi="宋体" w:cs="宋体"/>
          <w:sz w:val="24"/>
          <w:lang w:eastAsia="zh-CN"/>
        </w:rPr>
        <w:t xml:space="preserve">上海科立普咨询管理有限公司</w:t>
      </w:r>
      <w:r>
        <w:rPr>
          <w:rFonts w:hint="eastAsia" w:ascii="宋体" w:hAnsi="宋体" w:cs="宋体"/>
          <w:sz w:val="24"/>
        </w:rPr>
        <w:t xml:space="preserve">认为必要时可重新进行竞争性磋商采购或采取其它方式采购。</w:t>
      </w:r>
      <w:r/>
    </w:p>
    <w:p>
      <w:pPr>
        <w:ind w:firstLine="480"/>
        <w:spacing w:line="360" w:lineRule="auto"/>
        <w:rPr>
          <w:rFonts w:ascii="宋体" w:hAnsi="宋体" w:cs="宋体"/>
          <w:sz w:val="24"/>
        </w:rPr>
      </w:pPr>
      <w:r>
        <w:rPr>
          <w:rFonts w:hint="eastAsia" w:ascii="宋体" w:hAnsi="宋体" w:cs="宋体"/>
          <w:sz w:val="24"/>
        </w:rPr>
        <w:t xml:space="preserve">2、按照《磋商报价表》要求填写首次报价。</w:t>
      </w:r>
      <w:r/>
    </w:p>
    <w:p>
      <w:pPr>
        <w:ind w:right="-57" w:firstLine="480"/>
        <w:spacing w:line="360" w:lineRule="auto"/>
        <w:rPr>
          <w:rFonts w:ascii="宋体" w:hAnsi="宋体" w:cs="宋体"/>
          <w:sz w:val="24"/>
        </w:rPr>
      </w:pPr>
      <w:r>
        <w:rPr>
          <w:rFonts w:hint="eastAsia" w:ascii="宋体" w:hAnsi="宋体" w:cs="宋体"/>
          <w:sz w:val="24"/>
        </w:rPr>
        <w:t xml:space="preserve">3、报价包含本项目范围内的全部费用。供应商有漏报或不报的，采购人将视为有关费用已包括在本项目的报价中而不予支付。采购人不支付报价以外的任何费用。</w:t>
      </w:r>
      <w:r/>
    </w:p>
    <w:p>
      <w:pPr>
        <w:jc w:val="center"/>
        <w:spacing w:line="360" w:lineRule="auto"/>
        <w:rPr>
          <w:rFonts w:ascii="宋体" w:hAnsi="宋体" w:cs="宋体"/>
          <w:b/>
          <w:bCs/>
          <w:sz w:val="28"/>
          <w:szCs w:val="28"/>
        </w:rPr>
        <w:outlineLvl w:val="0"/>
      </w:pPr>
      <w:r/>
      <w:bookmarkStart w:id="1" w:name="_Toc11397"/>
      <w:r>
        <w:rPr>
          <w:rFonts w:hint="eastAsia" w:ascii="宋体" w:hAnsi="宋体" w:cs="宋体"/>
          <w:b/>
          <w:bCs/>
          <w:sz w:val="28"/>
          <w:szCs w:val="28"/>
        </w:rPr>
        <w:t xml:space="preserve">第二章 磋商保证金</w:t>
      </w:r>
      <w:bookmarkEnd w:id="1"/>
      <w:r/>
      <w:r/>
    </w:p>
    <w:p>
      <w:pPr>
        <w:ind w:firstLine="480"/>
        <w:spacing w:line="360" w:lineRule="auto"/>
        <w:rPr>
          <w:rFonts w:ascii="宋体" w:hAnsi="宋体" w:cs="宋体"/>
          <w:sz w:val="24"/>
        </w:rPr>
      </w:pPr>
      <w:r>
        <w:rPr>
          <w:rFonts w:hint="eastAsia" w:ascii="宋体" w:hAnsi="宋体" w:cs="宋体"/>
          <w:sz w:val="24"/>
        </w:rPr>
        <w:t xml:space="preserve">十一、供应商提交磋商保证金</w:t>
      </w:r>
      <w:r/>
    </w:p>
    <w:p>
      <w:pPr>
        <w:ind w:firstLine="480"/>
        <w:spacing w:line="360" w:lineRule="auto"/>
        <w:rPr>
          <w:rFonts w:ascii="宋体" w:hAnsi="宋体" w:cs="宋体"/>
          <w:sz w:val="24"/>
        </w:rPr>
      </w:pPr>
      <w:r>
        <w:rPr>
          <w:rFonts w:hint="eastAsia" w:ascii="宋体" w:hAnsi="宋体" w:cs="宋体"/>
          <w:sz w:val="24"/>
        </w:rPr>
        <w:t xml:space="preserve">1、磋商保证金交纳数额和形式：不需交纳。</w:t>
      </w:r>
      <w:r/>
    </w:p>
    <w:p>
      <w:pPr>
        <w:jc w:val="center"/>
        <w:spacing w:line="360" w:lineRule="auto"/>
        <w:rPr>
          <w:rFonts w:ascii="宋体" w:hAnsi="宋体" w:cs="宋体"/>
          <w:b/>
          <w:bCs/>
          <w:sz w:val="28"/>
          <w:szCs w:val="28"/>
        </w:rPr>
        <w:outlineLvl w:val="0"/>
      </w:pPr>
      <w:r/>
      <w:bookmarkStart w:id="2" w:name="_Toc2627"/>
      <w:r>
        <w:rPr>
          <w:rFonts w:hint="eastAsia" w:ascii="宋体" w:hAnsi="宋体" w:cs="宋体"/>
          <w:b/>
          <w:bCs/>
          <w:sz w:val="28"/>
          <w:szCs w:val="28"/>
        </w:rPr>
        <w:t xml:space="preserve">第三章 响应文件</w:t>
      </w:r>
      <w:bookmarkEnd w:id="2"/>
      <w:r/>
      <w:r/>
    </w:p>
    <w:p>
      <w:pPr>
        <w:ind w:firstLine="480"/>
        <w:spacing w:line="360" w:lineRule="auto"/>
        <w:rPr>
          <w:rFonts w:ascii="宋体" w:hAnsi="宋体" w:cs="宋体"/>
          <w:sz w:val="24"/>
        </w:rPr>
      </w:pPr>
      <w:r>
        <w:rPr>
          <w:rFonts w:hint="eastAsia" w:ascii="宋体" w:hAnsi="宋体" w:cs="宋体"/>
          <w:sz w:val="24"/>
        </w:rPr>
        <w:t xml:space="preserve">十二、提交响应文件要求</w:t>
      </w:r>
      <w:r/>
    </w:p>
    <w:p>
      <w:pPr>
        <w:ind w:firstLine="480"/>
        <w:spacing w:line="360" w:lineRule="auto"/>
        <w:rPr>
          <w:rFonts w:ascii="宋体" w:hAnsi="宋体" w:cs="宋体"/>
          <w:sz w:val="24"/>
        </w:rPr>
      </w:pPr>
      <w:r>
        <w:rPr>
          <w:rFonts w:hint="eastAsia" w:ascii="宋体" w:hAnsi="宋体" w:cs="宋体"/>
          <w:sz w:val="24"/>
        </w:rPr>
        <w:t xml:space="preserve">（一）本项目通过“苏采云”系统进行电子采购，即供应商响应文件从政府采购客户端工具制作并通过“苏采云”系统提交。</w:t>
      </w:r>
      <w:r/>
    </w:p>
    <w:p>
      <w:pPr>
        <w:ind w:firstLine="480"/>
        <w:spacing w:line="360" w:lineRule="auto"/>
        <w:rPr>
          <w:rFonts w:ascii="宋体" w:hAnsi="宋体" w:cs="宋体"/>
          <w:sz w:val="24"/>
        </w:rPr>
      </w:pPr>
      <w:r>
        <w:rPr>
          <w:rFonts w:hint="eastAsia" w:ascii="宋体" w:hAnsi="宋体" w:cs="宋体"/>
          <w:sz w:val="24"/>
        </w:rPr>
        <w:t xml:space="preserve">供应商应当通过“苏采云”系统提交数据电文形式的响应文件（即电子投标）。未进行线上响应文件提交并解密(因“苏采云”系统导致解密失败的除外)的供应商，响应无效。</w:t>
      </w:r>
      <w:r/>
    </w:p>
    <w:p>
      <w:pPr>
        <w:ind w:firstLine="480"/>
        <w:spacing w:line="360" w:lineRule="auto"/>
        <w:rPr>
          <w:rFonts w:ascii="宋体" w:hAnsi="宋体" w:cs="宋体"/>
          <w:sz w:val="24"/>
        </w:rPr>
      </w:pPr>
      <w:r>
        <w:rPr>
          <w:rFonts w:hint="eastAsia" w:ascii="宋体" w:hAnsi="宋体" w:cs="宋体"/>
          <w:sz w:val="24"/>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r/>
    </w:p>
    <w:p>
      <w:pPr>
        <w:pStyle w:val="899"/>
        <w:spacing w:line="360" w:lineRule="auto"/>
        <w:rPr>
          <w:rFonts w:ascii="宋体" w:hAnsi="宋体" w:cs="宋体"/>
          <w:b/>
          <w:sz w:val="24"/>
          <w:szCs w:val="24"/>
        </w:rPr>
      </w:pPr>
      <w:r>
        <w:rPr>
          <w:rFonts w:hint="eastAsia" w:ascii="宋体" w:hAnsi="宋体" w:cs="宋体"/>
          <w:b/>
          <w:sz w:val="24"/>
          <w:szCs w:val="24"/>
        </w:rPr>
        <w:t xml:space="preserve">“苏采云”系统使用要求：</w:t>
      </w:r>
      <w:r/>
    </w:p>
    <w:p>
      <w:pPr>
        <w:pStyle w:val="899"/>
        <w:ind w:firstLine="480"/>
        <w:spacing w:line="360" w:lineRule="auto"/>
        <w:rPr>
          <w:rFonts w:ascii="宋体" w:hAnsi="宋体" w:cs="宋体"/>
          <w:b/>
          <w:sz w:val="24"/>
          <w:szCs w:val="24"/>
        </w:rPr>
      </w:pPr>
      <w:r>
        <w:rPr>
          <w:rFonts w:hint="eastAsia" w:ascii="宋体" w:hAnsi="宋体" w:cs="宋体"/>
          <w:b/>
          <w:sz w:val="24"/>
          <w:szCs w:val="24"/>
        </w:rPr>
        <w:t xml:space="preserve">1、使用谷歌浏览器参与不见面开标及磋商环节。</w:t>
      </w:r>
      <w:r/>
    </w:p>
    <w:p>
      <w:pPr>
        <w:pStyle w:val="899"/>
        <w:ind w:firstLine="480"/>
        <w:spacing w:line="360" w:lineRule="auto"/>
        <w:rPr>
          <w:rFonts w:ascii="宋体" w:hAnsi="宋体" w:cs="宋体"/>
          <w:b/>
          <w:sz w:val="24"/>
          <w:szCs w:val="24"/>
        </w:rPr>
      </w:pPr>
      <w:r>
        <w:rPr>
          <w:rFonts w:hint="eastAsia" w:ascii="宋体" w:hAnsi="宋体" w:cs="宋体"/>
          <w:b/>
          <w:sz w:val="24"/>
          <w:szCs w:val="24"/>
        </w:rPr>
        <w:t xml:space="preserve">2、电脑需提前准备好麦克风、音响，摄像头，提前检查保证能够正常使用。</w:t>
      </w:r>
      <w:r/>
    </w:p>
    <w:p>
      <w:pPr>
        <w:pStyle w:val="899"/>
        <w:ind w:firstLine="480"/>
        <w:spacing w:line="360" w:lineRule="auto"/>
        <w:rPr>
          <w:rFonts w:ascii="宋体" w:hAnsi="宋体" w:cs="宋体"/>
          <w:b/>
          <w:sz w:val="24"/>
          <w:szCs w:val="24"/>
        </w:rPr>
      </w:pPr>
      <w:r>
        <w:rPr>
          <w:rFonts w:hint="eastAsia" w:ascii="宋体" w:hAnsi="宋体" w:cs="宋体"/>
          <w:b/>
          <w:sz w:val="24"/>
          <w:szCs w:val="24"/>
        </w:rPr>
        <w:t xml:space="preserve">3、操作系统至少win7以上，建议使用win10操作系统。</w:t>
      </w:r>
      <w:r/>
    </w:p>
    <w:p>
      <w:pPr>
        <w:pStyle w:val="894"/>
        <w:ind w:firstLine="480"/>
        <w:rPr>
          <w:rFonts w:eastAsia="宋体" w:cs="宋体"/>
        </w:rPr>
      </w:pPr>
      <w:r>
        <w:rPr>
          <w:rFonts w:hint="eastAsia" w:eastAsia="宋体" w:cs="宋体"/>
          <w:b/>
          <w:bCs/>
        </w:rPr>
        <w:t xml:space="preserve">（二）首次响应文件提交的截止时间：2026年</w:t>
      </w:r>
      <w:r>
        <w:rPr>
          <w:rFonts w:hint="eastAsia" w:eastAsia="宋体" w:cs="宋体"/>
          <w:b/>
          <w:bCs/>
          <w:lang w:eastAsia="zh-CN"/>
        </w:rPr>
        <w:t xml:space="preserve">06月24日</w:t>
      </w:r>
      <w:r>
        <w:rPr>
          <w:rFonts w:hint="eastAsia" w:eastAsia="宋体" w:cs="宋体"/>
          <w:b/>
          <w:bCs/>
        </w:rPr>
        <w:t xml:space="preserve">09:30，</w:t>
      </w:r>
      <w:r>
        <w:rPr>
          <w:rFonts w:hint="eastAsia" w:eastAsia="宋体" w:cs="宋体"/>
        </w:rPr>
        <w:t xml:space="preserve">在截止时间后提交的首次响应文件为无效文件，将被拒收。</w:t>
      </w:r>
      <w:r/>
    </w:p>
    <w:p>
      <w:pPr>
        <w:pStyle w:val="894"/>
        <w:ind w:firstLine="480"/>
        <w:rPr>
          <w:rFonts w:eastAsia="宋体" w:cs="宋体"/>
          <w:b/>
          <w:bCs/>
        </w:rPr>
      </w:pPr>
      <w:r>
        <w:rPr>
          <w:rFonts w:hint="eastAsia" w:eastAsia="宋体" w:cs="宋体"/>
          <w:b/>
          <w:bCs/>
        </w:rPr>
        <w:t xml:space="preserve">（三）首次响应文件提交时间、地点：</w:t>
      </w:r>
      <w:r/>
    </w:p>
    <w:p>
      <w:pPr>
        <w:pStyle w:val="894"/>
        <w:ind w:firstLine="480"/>
        <w:rPr>
          <w:rFonts w:eastAsia="宋体" w:cs="宋体"/>
        </w:rPr>
      </w:pPr>
      <w:r>
        <w:rPr>
          <w:rFonts w:hint="eastAsia" w:eastAsia="宋体" w:cs="宋体"/>
        </w:rPr>
        <w:t xml:space="preserve">1、提交时间：</w:t>
      </w:r>
      <w:r/>
    </w:p>
    <w:p>
      <w:pPr>
        <w:pStyle w:val="894"/>
        <w:ind w:firstLine="480"/>
        <w:rPr>
          <w:rFonts w:eastAsia="宋体" w:cs="宋体"/>
          <w:b/>
          <w:bCs/>
        </w:rPr>
      </w:pPr>
      <w:r>
        <w:rPr>
          <w:rFonts w:hint="eastAsia" w:eastAsia="宋体" w:cs="宋体"/>
        </w:rPr>
        <w:t xml:space="preserve">首次响应文件提交的截止时间</w:t>
      </w:r>
      <w:r>
        <w:rPr>
          <w:rFonts w:hint="eastAsia" w:eastAsia="宋体" w:cs="宋体"/>
          <w:b/>
          <w:bCs/>
        </w:rPr>
        <w:t xml:space="preserve">（2026年</w:t>
      </w:r>
      <w:r>
        <w:rPr>
          <w:rFonts w:hint="eastAsia" w:eastAsia="宋体" w:cs="宋体"/>
          <w:b/>
          <w:bCs/>
          <w:lang w:eastAsia="zh-CN"/>
        </w:rPr>
        <w:t xml:space="preserve">06月24日</w:t>
      </w:r>
      <w:r>
        <w:rPr>
          <w:rFonts w:hint="eastAsia" w:eastAsia="宋体" w:cs="宋体"/>
          <w:b/>
          <w:bCs/>
        </w:rPr>
        <w:t xml:space="preserve">09:30）前。</w:t>
      </w:r>
      <w:r/>
    </w:p>
    <w:p>
      <w:pPr>
        <w:pStyle w:val="894"/>
        <w:ind w:firstLine="480"/>
        <w:rPr>
          <w:rFonts w:eastAsia="宋体" w:cs="宋体"/>
        </w:rPr>
      </w:pPr>
      <w:r>
        <w:rPr>
          <w:rFonts w:hint="eastAsia" w:eastAsia="宋体" w:cs="宋体"/>
        </w:rPr>
        <w:t xml:space="preserve">2、提交地点：</w:t>
      </w:r>
      <w:r/>
    </w:p>
    <w:p>
      <w:pPr>
        <w:pStyle w:val="894"/>
        <w:ind w:firstLine="480"/>
        <w:rPr>
          <w:rFonts w:eastAsia="宋体" w:cs="宋体"/>
        </w:rPr>
      </w:pPr>
      <w:r>
        <w:rPr>
          <w:rFonts w:hint="eastAsia" w:eastAsia="宋体" w:cs="宋体"/>
        </w:rPr>
        <w:t xml:space="preserve">“苏采云”系统（网址：http://jszfcg.jsczt.cn/）“开标大厅”或进入徐州政府采购网（网址：http://czj.xz.gov.cn/Home/HomeIndex）-业务工作-用户登录，点击“苏采云”进入系统“开标大厅”。 </w:t>
      </w:r>
      <w:r/>
    </w:p>
    <w:p>
      <w:pPr>
        <w:pStyle w:val="894"/>
        <w:ind w:firstLine="480"/>
        <w:rPr>
          <w:rFonts w:eastAsia="宋体" w:cs="宋体"/>
          <w:b/>
          <w:bCs/>
        </w:rPr>
      </w:pPr>
      <w:r>
        <w:rPr>
          <w:rFonts w:hint="eastAsia" w:eastAsia="宋体" w:cs="宋体"/>
          <w:b/>
          <w:bCs/>
        </w:rPr>
        <w:t xml:space="preserve">（四）首次响应文件开启时间：2026年</w:t>
      </w:r>
      <w:r>
        <w:rPr>
          <w:rFonts w:hint="eastAsia" w:eastAsia="宋体" w:cs="宋体"/>
          <w:b/>
          <w:bCs/>
          <w:lang w:eastAsia="zh-CN"/>
        </w:rPr>
        <w:t xml:space="preserve">06月24日</w:t>
      </w:r>
      <w:r>
        <w:rPr>
          <w:rFonts w:hint="eastAsia" w:eastAsia="宋体" w:cs="宋体"/>
          <w:b/>
          <w:bCs/>
        </w:rPr>
        <w:t xml:space="preserve">09:30。</w:t>
      </w:r>
      <w:r/>
    </w:p>
    <w:p>
      <w:pPr>
        <w:pStyle w:val="894"/>
        <w:ind w:firstLine="480"/>
        <w:rPr>
          <w:rFonts w:eastAsia="宋体" w:cs="宋体"/>
          <w:b/>
          <w:bCs/>
        </w:rPr>
      </w:pPr>
      <w:r>
        <w:rPr>
          <w:rFonts w:hint="eastAsia" w:eastAsia="宋体" w:cs="宋体"/>
          <w:b/>
          <w:bCs/>
        </w:rPr>
        <w:t xml:space="preserve">（五）首次响应文件开启地点：</w:t>
      </w:r>
      <w:r/>
    </w:p>
    <w:p>
      <w:pPr>
        <w:pStyle w:val="894"/>
        <w:ind w:firstLine="480"/>
        <w:rPr>
          <w:rFonts w:eastAsia="宋体" w:cs="宋体"/>
        </w:rPr>
      </w:pPr>
      <w:r>
        <w:rPr>
          <w:rFonts w:hint="eastAsia" w:eastAsia="宋体" w:cs="宋体"/>
        </w:rPr>
        <w:t xml:space="preserve">“苏采云”系统（网址：http://jszfcg.jsczt.cn/）“开标大厅”或进入徐州政府采购网（网址：http://czj.xz.gov.cn/Home/HomeIndex）-业务工作-用户登录，点击“苏采云”进入系统“开标大厅”。</w:t>
      </w:r>
      <w:r/>
    </w:p>
    <w:p>
      <w:pPr>
        <w:pStyle w:val="894"/>
        <w:ind w:firstLine="480"/>
        <w:rPr>
          <w:rFonts w:eastAsia="宋体" w:cs="宋体"/>
        </w:rPr>
      </w:pPr>
      <w:r>
        <w:rPr>
          <w:rFonts w:hint="eastAsia" w:eastAsia="宋体" w:cs="宋体"/>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894"/>
        <w:ind w:firstLine="480"/>
        <w:rPr>
          <w:rFonts w:eastAsia="宋体" w:cs="宋体"/>
        </w:rPr>
      </w:pPr>
      <w:r>
        <w:rPr>
          <w:rFonts w:hint="eastAsia" w:eastAsia="宋体" w:cs="宋体"/>
        </w:rPr>
        <w:t xml:space="preserve">（七）不接受不按要求加盖公章（电子签章）的首次响应文件。电子签章相关要求见“苏采云”系统。</w:t>
      </w:r>
      <w:r/>
    </w:p>
    <w:p>
      <w:pPr>
        <w:pStyle w:val="894"/>
        <w:ind w:firstLine="480"/>
        <w:rPr>
          <w:rFonts w:eastAsia="宋体" w:cs="宋体"/>
        </w:rPr>
      </w:pPr>
      <w:r>
        <w:rPr>
          <w:rFonts w:hint="eastAsia" w:eastAsia="宋体" w:cs="宋体"/>
          <w:bCs/>
        </w:rPr>
        <w:t xml:space="preserve">（八）首次响应文件解密：到达开启时间，</w:t>
      </w:r>
      <w:r>
        <w:rPr>
          <w:rFonts w:hint="eastAsia" w:eastAsia="宋体" w:cs="宋体"/>
        </w:rPr>
        <w:t xml:space="preserve">“苏采云”系统自动提取所有响应文件，供应商按采购文件规定方式按时在线解密。本项目采购文件规定的供应商按时在线解密方式：</w:t>
      </w:r>
      <w:r>
        <w:rPr>
          <w:rFonts w:hint="eastAsia" w:eastAsia="宋体" w:cs="宋体"/>
          <w:b/>
          <w:bCs/>
        </w:rPr>
        <w:t xml:space="preserve">开启时间后30分钟内</w:t>
      </w:r>
      <w:r>
        <w:rPr>
          <w:rFonts w:hint="eastAsia" w:eastAsia="宋体" w:cs="宋体"/>
        </w:rPr>
        <w:t xml:space="preserve">，通过“苏采云”系统（使用“CA数字证书”）解密。</w:t>
      </w:r>
      <w:r/>
    </w:p>
    <w:p>
      <w:pPr>
        <w:pStyle w:val="894"/>
        <w:ind w:firstLine="480"/>
        <w:rPr>
          <w:rFonts w:eastAsia="宋体" w:cs="宋体"/>
        </w:rPr>
      </w:pPr>
      <w:r>
        <w:rPr>
          <w:rFonts w:hint="eastAsia" w:eastAsia="宋体" w:cs="宋体"/>
        </w:rPr>
        <w:t xml:space="preserve">（九）采购文件（后缀名为“.kedt”）、供应商操作手册及政府采购客户端工具可通过“苏采云”系统（网址：</w:t>
      </w:r>
      <w:r>
        <w:fldChar w:fldCharType="begin"/>
      </w:r>
      <w:r>
        <w:instrText xml:space="preserve"> HYPERLINK "http://jszfcg.jsczt.cn/" </w:instrText>
      </w:r>
      <w:r>
        <w:fldChar w:fldCharType="separate"/>
      </w:r>
      <w:r>
        <w:rPr>
          <w:rFonts w:hint="eastAsia" w:eastAsia="宋体" w:cs="宋体"/>
        </w:rPr>
        <w:t xml:space="preserve">http://jszfcg.jsczt.cn/</w:t>
      </w:r>
      <w:r>
        <w:rPr>
          <w:rFonts w:hint="eastAsia" w:eastAsia="宋体" w:cs="宋体"/>
        </w:rPr>
        <w:fldChar w:fldCharType="end"/>
      </w:r>
      <w:r>
        <w:rPr>
          <w:rFonts w:hint="eastAsia" w:eastAsia="宋体" w:cs="宋体"/>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894"/>
        <w:ind w:firstLine="480"/>
        <w:rPr>
          <w:rFonts w:eastAsia="宋体" w:cs="宋体"/>
        </w:rPr>
      </w:pPr>
      <w:r>
        <w:rPr>
          <w:rFonts w:hint="eastAsia" w:eastAsia="宋体" w:cs="宋体"/>
        </w:rPr>
        <w:t xml:space="preserve">（十）相关说明:供应商在“苏采云”系统中提交首次响应文件的时间即为数据电文（响应文件，下同）的发送时间和接收时间。</w:t>
      </w:r>
      <w:r/>
    </w:p>
    <w:p>
      <w:pPr>
        <w:pStyle w:val="894"/>
        <w:ind w:firstLine="480"/>
        <w:rPr>
          <w:rFonts w:eastAsia="宋体" w:cs="宋体"/>
        </w:rPr>
        <w:outlineLvl w:val="1"/>
      </w:pPr>
      <w:r>
        <w:rPr>
          <w:rFonts w:hint="eastAsia" w:eastAsia="宋体" w:cs="宋体"/>
        </w:rPr>
        <w:t xml:space="preserve">十三、响应文件编制要求</w:t>
      </w:r>
      <w:r/>
    </w:p>
    <w:p>
      <w:pPr>
        <w:pStyle w:val="894"/>
        <w:ind w:firstLine="480"/>
        <w:rPr>
          <w:rFonts w:eastAsia="宋体" w:cs="宋体"/>
          <w:b/>
          <w:bCs/>
        </w:rPr>
      </w:pPr>
      <w:r>
        <w:rPr>
          <w:rFonts w:hint="eastAsia" w:eastAsia="宋体" w:cs="宋体"/>
          <w:b/>
          <w:bCs/>
        </w:rPr>
        <w:t xml:space="preserve">请按照以下要求（包括但不限于以下要求）制作：</w:t>
      </w:r>
      <w:r/>
    </w:p>
    <w:p>
      <w:pPr>
        <w:pStyle w:val="894"/>
        <w:ind w:firstLine="425"/>
        <w:rPr>
          <w:rFonts w:eastAsia="宋体" w:cs="宋体"/>
          <w:b/>
        </w:rPr>
      </w:pPr>
      <w:r>
        <w:rPr>
          <w:rFonts w:hint="eastAsia" w:eastAsia="宋体" w:cs="宋体"/>
          <w:b/>
        </w:rPr>
        <w:t xml:space="preserve">（一）基本目录</w:t>
      </w:r>
      <w:r/>
    </w:p>
    <w:p>
      <w:pPr>
        <w:pStyle w:val="894"/>
        <w:ind w:firstLine="480"/>
        <w:rPr>
          <w:rFonts w:eastAsia="宋体" w:cs="宋体"/>
        </w:rPr>
      </w:pPr>
      <w:r>
        <w:rPr>
          <w:rFonts w:hint="eastAsia" w:eastAsia="宋体" w:cs="宋体"/>
        </w:rPr>
        <w:t xml:space="preserve">1、《磋商报价表》（加盖电子签章，格式见《磋商文件》附件。政府采购客户端工具输入报价自动生成）；</w:t>
      </w:r>
      <w:r/>
    </w:p>
    <w:p>
      <w:pPr>
        <w:pStyle w:val="894"/>
        <w:ind w:firstLine="480"/>
        <w:rPr>
          <w:rFonts w:eastAsia="宋体" w:cs="宋体"/>
          <w:b/>
        </w:rPr>
      </w:pPr>
      <w:r>
        <w:rPr>
          <w:rFonts w:hint="eastAsia" w:eastAsia="宋体" w:cs="宋体"/>
          <w:b/>
        </w:rPr>
        <w:t xml:space="preserve">（二）资格条件（</w:t>
      </w:r>
      <w:r>
        <w:rPr>
          <w:rFonts w:hint="eastAsia" w:eastAsia="宋体" w:cs="宋体"/>
          <w:b/>
          <w:bCs/>
        </w:rPr>
        <w:t xml:space="preserve">1～</w:t>
      </w:r>
      <w:r>
        <w:rPr>
          <w:rFonts w:hint="eastAsia" w:eastAsia="宋体" w:cs="宋体"/>
          <w:b/>
          <w:bCs/>
          <w:lang w:val="en-US" w:eastAsia="zh-CN"/>
        </w:rPr>
        <w:t xml:space="preserve">5</w:t>
      </w:r>
      <w:r>
        <w:rPr>
          <w:rFonts w:hint="eastAsia" w:eastAsia="宋体" w:cs="宋体"/>
          <w:b/>
          <w:bCs/>
        </w:rPr>
        <w:t xml:space="preserve">项必须提供，否则</w:t>
      </w:r>
      <w:r>
        <w:rPr>
          <w:rFonts w:hint="eastAsia" w:eastAsia="宋体" w:cs="宋体"/>
          <w:b/>
        </w:rPr>
        <w:t xml:space="preserve">响应无效）</w:t>
      </w:r>
      <w:r/>
    </w:p>
    <w:p>
      <w:pPr>
        <w:pStyle w:val="899"/>
        <w:ind w:right="-334" w:firstLine="482"/>
        <w:spacing w:line="360" w:lineRule="auto"/>
        <w:rPr>
          <w:rFonts w:ascii="宋体" w:hAnsi="宋体" w:cs="宋体"/>
          <w:b/>
          <w:sz w:val="24"/>
          <w:szCs w:val="24"/>
        </w:rPr>
      </w:pPr>
      <w:r>
        <w:rPr>
          <w:rFonts w:hint="eastAsia" w:ascii="宋体" w:hAnsi="宋体" w:cs="宋体"/>
          <w:b/>
          <w:bCs/>
          <w:sz w:val="24"/>
          <w:szCs w:val="24"/>
        </w:rPr>
        <w:t xml:space="preserve">1、具有独立承担民事责任的能力，提供供应商合法有效的法人营业执照(或事业单位法人证书或其他组织应提供合法证明文件或自然人提供身份证件)的原件扫描件；</w:t>
      </w:r>
      <w:r/>
    </w:p>
    <w:p>
      <w:pPr>
        <w:pStyle w:val="899"/>
        <w:ind w:right="-334" w:firstLine="482"/>
        <w:spacing w:line="360" w:lineRule="auto"/>
        <w:rPr>
          <w:rFonts w:ascii="宋体" w:hAnsi="宋体" w:cs="宋体"/>
          <w:b/>
          <w:sz w:val="24"/>
          <w:szCs w:val="24"/>
        </w:rPr>
      </w:pPr>
      <w:r>
        <w:rPr>
          <w:rFonts w:hint="eastAsia" w:ascii="宋体" w:hAnsi="宋体" w:cs="宋体"/>
          <w:b/>
          <w:sz w:val="24"/>
          <w:szCs w:val="24"/>
        </w:rPr>
        <w:t xml:space="preserve">2、财务状况报告，至少提供：</w:t>
      </w:r>
      <w:r/>
    </w:p>
    <w:p>
      <w:pPr>
        <w:ind w:firstLine="480"/>
        <w:spacing w:line="360" w:lineRule="auto"/>
        <w:widowControl/>
        <w:rPr>
          <w:rFonts w:ascii="宋体" w:hAnsi="宋体"/>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供应商的本项目</w:t>
      </w:r>
      <w:r>
        <w:rPr>
          <w:rFonts w:hint="eastAsia" w:ascii="宋体" w:hAnsi="宋体" w:cs="宋体"/>
          <w:sz w:val="24"/>
        </w:rPr>
        <w:t xml:space="preserve">“响应文件提交的截止时间”</w:t>
      </w:r>
      <w:r>
        <w:rPr>
          <w:rFonts w:hint="eastAsia" w:ascii="宋体" w:hAnsi="宋体" w:cs="宋体"/>
          <w:bCs/>
          <w:sz w:val="24"/>
        </w:rPr>
        <w:t xml:space="preserve">前6个月内任何1月（不含“首次响应文件提交的截止时间”当月）的资产负债表、利润表各一份原件的扫描件；</w:t>
      </w:r>
      <w:r>
        <w:rPr>
          <w:rFonts w:hint="eastAsia" w:ascii="宋体" w:hAnsi="宋体"/>
          <w:sz w:val="24"/>
        </w:rPr>
        <w:t xml:space="preserve">或提供供应商合法有效的经第三方机构审计的年度财务审计报告原件的扫描件（2024年度或2025年度，应包括审计报告正文、资产负债表、现金流量表、利润表）或供应商的本项目</w:t>
      </w:r>
      <w:r>
        <w:rPr>
          <w:rFonts w:hint="eastAsia" w:ascii="宋体" w:hAnsi="宋体" w:cs="宋体"/>
          <w:sz w:val="24"/>
        </w:rPr>
        <w:t xml:space="preserve">“响应文件提交的截止时间”</w:t>
      </w:r>
      <w:r>
        <w:rPr>
          <w:rFonts w:hint="eastAsia" w:ascii="宋体" w:hAnsi="宋体"/>
          <w:sz w:val="24"/>
        </w:rPr>
        <w:t xml:space="preserve">前6个月内银行出具的资信证明扫描件或财政部门认可的政府采购专业担保机构出具的有效的担保函扫描件；</w:t>
      </w:r>
      <w:r/>
    </w:p>
    <w:p>
      <w:pPr>
        <w:pStyle w:val="899"/>
        <w:ind w:right="-334" w:firstLine="482"/>
        <w:spacing w:line="360" w:lineRule="auto"/>
        <w:rPr>
          <w:rFonts w:ascii="宋体" w:hAnsi="宋体" w:cs="宋体"/>
          <w:b/>
          <w:sz w:val="24"/>
          <w:szCs w:val="24"/>
        </w:rPr>
      </w:pPr>
      <w:r>
        <w:rPr>
          <w:rFonts w:hint="eastAsia" w:ascii="宋体" w:hAnsi="宋体" w:cs="宋体"/>
          <w:b/>
          <w:sz w:val="24"/>
          <w:szCs w:val="24"/>
        </w:rPr>
        <w:t xml:space="preserve">3、有依法缴纳税收和社会保障资金的良好记录，至少提供：</w:t>
      </w:r>
      <w:r/>
    </w:p>
    <w:p>
      <w:pPr>
        <w:pStyle w:val="899"/>
        <w:ind w:right="-334" w:firstLine="480"/>
        <w:spacing w:line="360" w:lineRule="auto"/>
        <w:rPr>
          <w:rFonts w:ascii="宋体" w:hAnsi="宋体" w:cs="宋体"/>
          <w:bCs/>
          <w:sz w:val="24"/>
          <w:szCs w:val="24"/>
        </w:rPr>
      </w:pPr>
      <w:r>
        <w:rPr>
          <w:rFonts w:hint="eastAsia" w:ascii="宋体" w:hAnsi="宋体" w:cs="宋体"/>
          <w:bCs/>
          <w:sz w:val="24"/>
          <w:szCs w:val="24"/>
        </w:rPr>
        <w:t xml:space="preserve">供应商的本项目</w:t>
      </w:r>
      <w:r>
        <w:rPr>
          <w:rFonts w:hint="eastAsia" w:ascii="宋体" w:hAnsi="宋体" w:cs="宋体"/>
          <w:sz w:val="24"/>
        </w:rPr>
        <w:t xml:space="preserve">“响应文件提交的截止时间”</w:t>
      </w:r>
      <w:r>
        <w:rPr>
          <w:rFonts w:hint="eastAsia" w:ascii="宋体" w:hAnsi="宋体" w:cs="宋体"/>
          <w:bCs/>
          <w:sz w:val="24"/>
          <w:szCs w:val="24"/>
        </w:rPr>
        <w:t xml:space="preserve">前6个月内任何1月</w:t>
      </w:r>
      <w:r>
        <w:rPr>
          <w:rFonts w:hint="eastAsia" w:ascii="宋体" w:hAnsi="宋体" w:cs="宋体"/>
          <w:sz w:val="24"/>
        </w:rPr>
        <w:t xml:space="preserve">（不含“首次响应文件提交的截止时间”当月）</w:t>
      </w:r>
      <w:r>
        <w:rPr>
          <w:rFonts w:hint="eastAsia" w:ascii="宋体" w:hAnsi="宋体" w:cs="宋体"/>
          <w:bCs/>
          <w:sz w:val="24"/>
          <w:szCs w:val="24"/>
        </w:rPr>
        <w:t xml:space="preserve">的依法缴纳税收和社会保障资金的相关材料扫描件（依法免税或不需要缴纳社会保障资金的供应商,应提供相应文件证明其依法免税或不需要缴纳社会保障资金)；</w:t>
      </w:r>
      <w:r/>
    </w:p>
    <w:p>
      <w:pPr>
        <w:pStyle w:val="899"/>
        <w:ind w:right="-334" w:firstLine="482"/>
        <w:spacing w:line="360" w:lineRule="auto"/>
        <w:rPr>
          <w:rFonts w:ascii="宋体" w:hAnsi="宋体" w:cs="宋体"/>
          <w:b/>
          <w:sz w:val="24"/>
          <w:szCs w:val="24"/>
        </w:rPr>
      </w:pPr>
      <w:r>
        <w:rPr>
          <w:rFonts w:hint="eastAsia" w:ascii="宋体" w:hAnsi="宋体" w:cs="宋体"/>
          <w:b/>
          <w:sz w:val="24"/>
          <w:szCs w:val="24"/>
        </w:rPr>
        <w:t xml:space="preserve">4、供应商参加政府采购活动前3年内在经营活动中没有重大违法记录的书面声明(格式见《磋商文件》附件)；</w:t>
      </w:r>
      <w:r/>
    </w:p>
    <w:p>
      <w:pPr>
        <w:pStyle w:val="958"/>
        <w:ind w:left="0" w:firstLine="482"/>
        <w:spacing w:line="360" w:lineRule="auto"/>
        <w:rPr>
          <w:rFonts w:ascii="宋体" w:hAnsi="宋体" w:eastAsia="宋体" w:cs="宋体"/>
          <w:sz w:val="24"/>
          <w:szCs w:val="24"/>
        </w:rPr>
      </w:pPr>
      <w:r>
        <w:rPr>
          <w:rFonts w:hint="eastAsia" w:ascii="宋体" w:hAnsi="宋体" w:eastAsia="宋体" w:cs="宋体"/>
          <w:b/>
          <w:bCs/>
          <w:sz w:val="24"/>
          <w:szCs w:val="24"/>
        </w:rPr>
        <w:t xml:space="preserve">5、具备履行合同所必需的设备和专业技术能力的证明材料提供具备履行合同所必需的设备和专业技术能力的书面声明（加盖电子签章，格式见《磋商文件》附件）</w:t>
      </w:r>
      <w:r>
        <w:rPr>
          <w:rFonts w:hint="eastAsia" w:eastAsia="宋体" w:cs="宋体"/>
          <w:b/>
          <w:sz w:val="24"/>
          <w:szCs w:val="24"/>
        </w:rPr>
        <w:t xml:space="preserve">；</w:t>
      </w:r>
      <w:r/>
    </w:p>
    <w:p>
      <w:pPr>
        <w:pStyle w:val="894"/>
        <w:ind w:firstLine="425"/>
        <w:rPr>
          <w:rFonts w:eastAsia="宋体" w:cs="宋体"/>
          <w:b/>
        </w:rPr>
      </w:pPr>
      <w:r>
        <w:rPr>
          <w:rFonts w:hint="eastAsia" w:eastAsia="宋体" w:cs="宋体"/>
          <w:b/>
        </w:rPr>
        <w:t xml:space="preserve">（三）符合条件（必须提供，否则响应无效）</w:t>
      </w:r>
      <w:r/>
    </w:p>
    <w:p>
      <w:pPr>
        <w:pStyle w:val="899"/>
        <w:ind w:right="-334" w:firstLine="482"/>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1.《授权委托书》（加盖电子签章，格式见《磋商文件附件》）；</w:t>
      </w:r>
      <w:r/>
    </w:p>
    <w:p>
      <w:pPr>
        <w:pStyle w:val="899"/>
        <w:ind w:right="-334" w:firstLine="482"/>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2.《承诺书》（加盖电子签章，格式见《磋商文件》附件）；</w:t>
      </w:r>
      <w:r/>
    </w:p>
    <w:p>
      <w:pPr>
        <w:pStyle w:val="899"/>
        <w:ind w:right="-334" w:firstLine="482"/>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3.《磋商报价表》（加盖电子签章，格式见《磋商文件》附件）；</w:t>
      </w:r>
      <w:r/>
    </w:p>
    <w:p>
      <w:pPr>
        <w:pStyle w:val="899"/>
        <w:ind w:right="-334" w:firstLine="482"/>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4.《分项价格表》（加盖电子签章，格式见《磋商文件》附件）；</w:t>
      </w:r>
      <w:r/>
    </w:p>
    <w:p>
      <w:pPr>
        <w:pStyle w:val="899"/>
        <w:ind w:right="-334" w:firstLine="482"/>
        <w:spacing w:line="360" w:lineRule="auto"/>
        <w:rPr>
          <w:rFonts w:hint="eastAsia" w:ascii="宋体" w:hAnsi="宋体" w:eastAsia="宋体"/>
          <w:b/>
          <w:bCs/>
          <w:color w:val="auto"/>
          <w:sz w:val="24"/>
          <w:szCs w:val="24"/>
          <w:highlight w:val="none"/>
          <w:lang w:val="en-US" w:eastAsia="zh-CN"/>
        </w:rPr>
      </w:pPr>
      <w:r>
        <w:rPr>
          <w:rFonts w:hint="eastAsia" w:ascii="宋体" w:hAnsi="宋体"/>
          <w:b/>
          <w:bCs/>
          <w:color w:val="auto"/>
          <w:sz w:val="24"/>
          <w:szCs w:val="24"/>
          <w:highlight w:val="none"/>
        </w:rPr>
        <w:t xml:space="preserve">5.《偏离表》（加盖电子签章，格式见《磋商文件》附件）；</w:t>
      </w:r>
      <w:r>
        <w:rPr>
          <w:rFonts w:hint="eastAsia" w:ascii="宋体" w:hAnsi="宋体"/>
          <w:b/>
          <w:bCs/>
          <w:color w:val="auto"/>
          <w:sz w:val="24"/>
          <w:szCs w:val="24"/>
          <w:highlight w:val="none"/>
          <w:lang w:val="en-US" w:eastAsia="zh-CN"/>
        </w:rPr>
        <w:tab/>
      </w:r>
      <w:r/>
    </w:p>
    <w:p>
      <w:pPr>
        <w:ind w:firstLine="480"/>
        <w:spacing w:line="360" w:lineRule="auto"/>
        <w:rPr>
          <w:rFonts w:ascii="宋体" w:hAnsi="宋体" w:cs="宋体"/>
          <w:b/>
          <w:bCs/>
          <w:sz w:val="24"/>
        </w:rPr>
      </w:pPr>
      <w:r>
        <w:rPr>
          <w:rFonts w:hint="eastAsia" w:ascii="宋体" w:hAnsi="宋体" w:cs="宋体"/>
          <w:b/>
          <w:bCs/>
          <w:sz w:val="24"/>
        </w:rPr>
        <w:t xml:space="preserve">（四）综合评审评分项</w:t>
      </w:r>
      <w:r/>
    </w:p>
    <w:p>
      <w:pPr>
        <w:pStyle w:val="899"/>
        <w:ind w:firstLine="480"/>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1、技术部分</w:t>
      </w:r>
      <w:r/>
    </w:p>
    <w:p>
      <w:pPr>
        <w:pStyle w:val="899"/>
        <w:ind w:right="-334" w:firstLine="360"/>
        <w:spacing w:line="360" w:lineRule="auto"/>
        <w:rPr>
          <w:rFonts w:hint="default" w:ascii="宋体" w:hAnsi="宋体"/>
          <w:bCs/>
          <w:color w:val="auto"/>
          <w:sz w:val="24"/>
          <w:szCs w:val="24"/>
          <w:highlight w:val="none"/>
          <w:lang w:val="en-US" w:eastAsia="zh-CN"/>
        </w:rPr>
      </w:pPr>
      <w:r>
        <w:rPr>
          <w:rFonts w:hint="eastAsia" w:ascii="宋体" w:hAnsi="宋体"/>
          <w:color w:val="auto"/>
          <w:sz w:val="24"/>
          <w:szCs w:val="24"/>
          <w:highlight w:val="none"/>
        </w:rPr>
        <w:t xml:space="preserve">（要求见《磋商文件》附件1、《评分细则》）</w:t>
      </w:r>
      <w:r>
        <w:rPr>
          <w:rFonts w:hint="eastAsia" w:ascii="宋体" w:hAnsi="宋体"/>
          <w:bCs/>
          <w:color w:val="auto"/>
          <w:sz w:val="24"/>
          <w:szCs w:val="24"/>
          <w:highlight w:val="none"/>
        </w:rPr>
        <w:t xml:space="preserve">；</w:t>
      </w:r>
      <w:r/>
    </w:p>
    <w:p>
      <w:pPr>
        <w:pStyle w:val="899"/>
        <w:ind w:firstLine="480"/>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2、商务部分</w:t>
      </w:r>
      <w:r/>
    </w:p>
    <w:p>
      <w:pPr>
        <w:pStyle w:val="899"/>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（要求见《磋商文件》附件1、《评分细则》）；</w:t>
      </w:r>
      <w:r/>
    </w:p>
    <w:p>
      <w:pPr>
        <w:pStyle w:val="894"/>
        <w:spacing w:line="360" w:lineRule="auto"/>
      </w:pPr>
      <w:r>
        <w:rPr>
          <w:rFonts w:eastAsia="宋体"/>
          <w:b/>
          <w:color w:val="auto"/>
          <w:highlight w:val="none"/>
        </w:rPr>
        <w:t xml:space="preserve">（五）价格折扣文件格式</w:t>
      </w:r>
      <w:r/>
    </w:p>
    <w:p>
      <w:pPr>
        <w:ind w:right="0" w:firstLine="482"/>
        <w:jc w:val="both"/>
        <w:keepLines w:val="0"/>
        <w:keepNext w:val="0"/>
        <w:pageBreakBefore w:val="0"/>
        <w:spacing w:line="360" w:lineRule="auto"/>
        <w:widowControl w:val="off"/>
        <w:rPr>
          <w:rFonts w:ascii="Times New Roman" w:hAnsi="Times New Roman" w:eastAsia="宋体" w:cs="Times New Roman"/>
        </w:rPr>
      </w:pPr>
      <w:r>
        <w:rPr>
          <w:rFonts w:eastAsia="宋体"/>
          <w:b/>
          <w:color w:val="auto"/>
          <w:highlight w:val="none"/>
        </w:rPr>
        <w:t xml:space="preserve">1、企业报价折扣证明：</w:t>
      </w:r>
      <w:r>
        <w:rPr>
          <w:rFonts w:hint="default" w:ascii="宋体" w:hAnsi="宋体" w:eastAsia="宋体" w:cs="宋体"/>
          <w:b/>
          <w:bCs/>
          <w:i w:val="0"/>
          <w:iCs w:val="0"/>
          <w:color w:val="auto"/>
          <w:sz w:val="24"/>
          <w:szCs w:val="24"/>
          <w:highlight w:val="none"/>
          <w:vertAlign w:val="baseline"/>
          <w:lang w:val="en-US" w:eastAsia="zh-CN" w:bidi="ar-SA"/>
        </w:rPr>
        <w:t xml:space="preserve">本项目不属于专门面向中小微企业采购的项目，</w:t>
      </w:r>
      <w:r>
        <w:rPr>
          <w:rFonts w:hint="default" w:ascii="宋体" w:hAnsi="宋体" w:eastAsia="宋体" w:cs="宋体"/>
          <w:b w:val="0"/>
          <w:bCs w:val="0"/>
          <w:i w:val="0"/>
          <w:iCs w:val="0"/>
          <w:color w:val="auto"/>
          <w:sz w:val="24"/>
          <w:szCs w:val="24"/>
          <w:highlight w:val="none"/>
          <w:vertAlign w:val="baseline"/>
          <w:lang w:val="en-US" w:eastAsia="zh-CN" w:bidi="ar-SA"/>
        </w:rPr>
        <w:t xml:space="preserve">供应商应为中小微企业（含中型、小型、微型企业，下同），响应文件中提供《中小企业声明函》（加盖电子签章，填写完整，格式见《磋商文件》附件，如不填写完整或未按要求填写的，视为无效，非必须提供）。《中小企业声明函》查询渠道用微信搜索“中小企业规模类型自测小程序”。</w:t>
      </w:r>
      <w:r/>
    </w:p>
    <w:p>
      <w:pPr>
        <w:ind w:right="-334"/>
        <w:jc w:val="both"/>
        <w:spacing w:line="360" w:lineRule="auto"/>
        <w:widowControl/>
        <w:rPr>
          <w:rFonts w:ascii="Times New Roman" w:hAnsi="Times New Roman" w:eastAsia="宋体" w:cs="Times New Roman"/>
        </w:rPr>
      </w:pPr>
      <w:r>
        <w:rPr>
          <w:rFonts w:hint="default" w:ascii="宋体" w:hAnsi="宋体" w:eastAsia="宋体" w:cs="宋体"/>
          <w:b/>
          <w:bCs/>
          <w:i w:val="0"/>
          <w:iCs w:val="0"/>
          <w:color w:val="auto"/>
          <w:sz w:val="24"/>
          <w:szCs w:val="24"/>
          <w:highlight w:val="none"/>
          <w:vertAlign w:val="baseline"/>
          <w:lang w:val="en-US" w:eastAsia="zh-CN" w:bidi="ar-SA"/>
        </w:rPr>
        <w:t xml:space="preserve">注：中小微企业，应当同时符合以下条件：</w:t>
      </w:r>
      <w:r/>
    </w:p>
    <w:p>
      <w:pPr>
        <w:ind w:right="-334" w:firstLine="480"/>
        <w:jc w:val="both"/>
        <w:spacing w:line="360" w:lineRule="auto"/>
        <w:widowControl/>
        <w:rPr>
          <w:rFonts w:ascii="Times New Roman" w:hAnsi="Times New Roman" w:eastAsia="宋体" w:cs="Times New Roman"/>
        </w:rPr>
      </w:pPr>
      <w:r>
        <w:rPr>
          <w:rFonts w:hint="default" w:ascii="宋体" w:hAnsi="宋体" w:eastAsia="宋体" w:cs="宋体"/>
          <w:b w:val="0"/>
          <w:bCs w:val="0"/>
          <w:i w:val="0"/>
          <w:iCs w:val="0"/>
          <w:color w:val="auto"/>
          <w:sz w:val="24"/>
          <w:szCs w:val="24"/>
          <w:highlight w:val="none"/>
          <w:vertAlign w:val="baseline"/>
          <w:lang w:val="en-US" w:eastAsia="zh-CN" w:bidi="ar-SA"/>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ind w:right="-334" w:firstLine="480"/>
        <w:jc w:val="both"/>
        <w:spacing w:line="360" w:lineRule="auto"/>
        <w:widowControl/>
        <w:rPr>
          <w:rFonts w:ascii="Times New Roman" w:hAnsi="Times New Roman" w:eastAsia="宋体" w:cs="Times New Roman"/>
        </w:rPr>
      </w:pPr>
      <w:r>
        <w:rPr>
          <w:rFonts w:hint="default" w:ascii="宋体" w:hAnsi="宋体" w:eastAsia="宋体" w:cs="宋体"/>
          <w:b w:val="0"/>
          <w:bCs w:val="0"/>
          <w:i w:val="0"/>
          <w:iCs w:val="0"/>
          <w:color w:val="auto"/>
          <w:sz w:val="24"/>
          <w:szCs w:val="24"/>
          <w:highlight w:val="none"/>
          <w:vertAlign w:val="baseline"/>
          <w:lang w:val="en-US" w:eastAsia="zh-CN" w:bidi="ar-SA"/>
        </w:rPr>
        <w:t xml:space="preserve">供应商为残疾人福利性单位的，视同小微企业，提供《残疾人福利性单位声明函》（电子签章，格式见附件）。具体以《关于促进残疾人就业政府采购政策的通知》（财库〔2017〕141号）的规定为准。</w:t>
      </w:r>
      <w:r/>
    </w:p>
    <w:p>
      <w:pPr>
        <w:ind w:firstLine="480"/>
        <w:jc w:val="both"/>
        <w:spacing w:line="360" w:lineRule="auto"/>
        <w:rPr>
          <w:rFonts w:hint="default" w:ascii="宋体" w:hAnsi="宋体" w:eastAsia="宋体" w:cs="宋体"/>
          <w:sz w:val="24"/>
          <w:szCs w:val="24"/>
          <w:u w:val="single"/>
          <w:lang w:val="en-US" w:eastAsia="zh-CN" w:bidi="ar-SA"/>
        </w:rPr>
      </w:pPr>
      <w:r>
        <w:rPr>
          <w:rFonts w:hint="default" w:ascii="宋体" w:hAnsi="宋体" w:eastAsia="宋体" w:cs="宋体"/>
          <w:b w:val="0"/>
          <w:bCs w:val="0"/>
          <w:i w:val="0"/>
          <w:iCs w:val="0"/>
          <w:color w:val="auto"/>
          <w:sz w:val="24"/>
          <w:szCs w:val="24"/>
          <w:highlight w:val="none"/>
          <w:vertAlign w:val="baseline"/>
          <w:lang w:val="en-US" w:eastAsia="zh-CN" w:bidi="ar-SA"/>
        </w:rPr>
        <w:t xml:space="preserve">供应商为监狱企业的，视同小微企业，提供省级以上监狱管理局、戒毒管理局（含新疆生产建设兵团）出具的属于监狱企业的证明文件扫描件。具体以《财政部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ind w:right="0" w:firstLine="482"/>
        <w:jc w:val="both"/>
        <w:keepLines w:val="0"/>
        <w:keepNext w:val="0"/>
        <w:pageBreakBefore w:val="0"/>
        <w:spacing w:line="360" w:lineRule="auto"/>
        <w:widowControl w:val="off"/>
        <w:rPr>
          <w:rFonts w:eastAsia="宋体"/>
          <w:b/>
          <w:color w:val="auto"/>
          <w:highlight w:val="none"/>
        </w:rPr>
      </w:pPr>
      <w:r>
        <w:rPr>
          <w:rFonts w:hint="eastAsia" w:eastAsia="宋体"/>
          <w:b/>
          <w:color w:val="auto"/>
          <w:highlight w:val="none"/>
          <w:lang w:val="en-US" w:eastAsia="zh-CN"/>
        </w:rPr>
        <w:t xml:space="preserve">2、关于符合本国产品标准的声明函</w:t>
      </w:r>
      <w:r/>
    </w:p>
    <w:p>
      <w:pPr>
        <w:pStyle w:val="894"/>
        <w:rPr>
          <w:rFonts w:eastAsia="宋体" w:cs="宋体"/>
          <w:b/>
          <w:bCs/>
        </w:rPr>
      </w:pPr>
      <w:r>
        <w:rPr>
          <w:rFonts w:hint="eastAsia" w:eastAsia="宋体" w:cs="宋体"/>
          <w:b/>
          <w:bCs/>
        </w:rPr>
        <w:t xml:space="preserve">（六）提交的首次响应文件的加密、签署、盖章要求：</w:t>
      </w:r>
      <w:r/>
    </w:p>
    <w:p>
      <w:pPr>
        <w:pStyle w:val="894"/>
        <w:ind w:firstLine="480"/>
        <w:rPr>
          <w:rFonts w:eastAsia="宋体" w:cs="宋体"/>
        </w:rPr>
      </w:pPr>
      <w:r>
        <w:rPr>
          <w:rFonts w:hint="eastAsia" w:eastAsia="宋体" w:cs="宋体"/>
        </w:rPr>
        <w:t xml:space="preserve">1、加密要求：</w:t>
      </w:r>
      <w:r/>
    </w:p>
    <w:p>
      <w:pPr>
        <w:pStyle w:val="894"/>
        <w:ind w:firstLine="480"/>
        <w:rPr>
          <w:rFonts w:eastAsia="宋体" w:cs="宋体"/>
        </w:rPr>
      </w:pPr>
      <w:r>
        <w:rPr>
          <w:rFonts w:hint="eastAsia" w:eastAsia="宋体" w:cs="宋体"/>
        </w:rPr>
        <w:t xml:space="preserve">供应商应当按照《磋商文件》和“苏采云”系统的要求编制并加密响应文件。本项目供应商须通过“苏采云”系统提供</w:t>
      </w:r>
      <w:bookmarkStart w:id="40" w:name="_GoBack"/>
      <w:r/>
      <w:bookmarkEnd w:id="40"/>
      <w:r>
        <w:rPr>
          <w:rFonts w:hint="eastAsia" w:eastAsia="宋体" w:cs="宋体"/>
        </w:rPr>
        <w:t xml:space="preserve">的政府采购客户端工具（使用“CA数字证书”）对其数据电文形式的响应文件加密。</w:t>
      </w:r>
      <w:r/>
    </w:p>
    <w:p>
      <w:pPr>
        <w:pStyle w:val="894"/>
        <w:ind w:firstLine="480"/>
        <w:rPr>
          <w:rFonts w:eastAsia="宋体" w:cs="宋体"/>
        </w:rPr>
      </w:pPr>
      <w:r>
        <w:rPr>
          <w:rFonts w:hint="eastAsia" w:eastAsia="宋体" w:cs="宋体"/>
        </w:rPr>
        <w:t xml:space="preserve">2、签署要求：</w:t>
      </w:r>
      <w:r>
        <w:rPr>
          <w:rFonts w:hint="eastAsia" w:eastAsia="宋体" w:cs="宋体"/>
          <w:b/>
          <w:bCs/>
        </w:rPr>
        <w:t xml:space="preserve">特别提醒：竞争性磋商文件中如需“授权代表签字或盖章”，授权代表无电子章的，供应商可打印成文档，签字或盖章后再扫描上传，最后再电子签章。</w:t>
      </w:r>
      <w:r>
        <w:rPr>
          <w:rFonts w:hint="eastAsia" w:eastAsia="宋体" w:cs="宋体"/>
        </w:rPr>
        <w:t xml:space="preserve">见《磋商文件》附件中相关格式要求。</w:t>
      </w:r>
      <w:r/>
    </w:p>
    <w:p>
      <w:pPr>
        <w:pStyle w:val="894"/>
        <w:ind w:firstLine="480"/>
        <w:rPr>
          <w:rFonts w:eastAsia="宋体" w:cs="宋体"/>
        </w:rPr>
      </w:pPr>
      <w:r>
        <w:rPr>
          <w:rFonts w:hint="eastAsia" w:eastAsia="宋体" w:cs="宋体"/>
        </w:rPr>
        <w:t xml:space="preserve">3、盖章要求：见《磋商文件》附件中相关格式要求。供应商须通过“苏采云”系统提供的政府采购客户端工具（使用“CA数字证书”）加盖电子签章。</w:t>
      </w:r>
      <w:r/>
    </w:p>
    <w:p>
      <w:pPr>
        <w:pStyle w:val="894"/>
        <w:rPr>
          <w:rFonts w:eastAsia="宋体" w:cs="宋体"/>
          <w:b/>
          <w:bCs/>
        </w:rPr>
      </w:pPr>
      <w:r>
        <w:rPr>
          <w:rFonts w:hint="eastAsia" w:eastAsia="宋体" w:cs="宋体"/>
          <w:b/>
          <w:bCs/>
        </w:rPr>
        <w:t xml:space="preserve">（七）通过“苏采云”系统提交政府采购客户端工具导出加密的响应文件（后缀名为zip）。响应文件不得超过150M！</w:t>
      </w:r>
      <w:r/>
    </w:p>
    <w:p>
      <w:pPr>
        <w:pStyle w:val="894"/>
        <w:ind w:firstLine="497"/>
        <w:rPr>
          <w:rFonts w:eastAsia="宋体" w:cs="宋体"/>
        </w:rPr>
      </w:pPr>
      <w:r>
        <w:rPr>
          <w:rFonts w:hint="eastAsia" w:eastAsia="宋体" w:cs="宋体"/>
        </w:rPr>
        <w:t xml:space="preserve">注：</w:t>
      </w:r>
      <w:r/>
    </w:p>
    <w:p>
      <w:pPr>
        <w:pStyle w:val="894"/>
        <w:ind w:firstLine="497"/>
        <w:rPr>
          <w:rFonts w:eastAsia="宋体" w:cs="宋体"/>
        </w:rPr>
      </w:pPr>
      <w:r>
        <w:rPr>
          <w:rFonts w:hint="eastAsia" w:eastAsia="宋体" w:cs="宋体"/>
        </w:rPr>
        <w:t xml:space="preserve">1、供应商应当按照《磋商文件》的要求编制响应文件，并对其提交的响应文件的真实性、合法性承担法律责任。</w:t>
      </w:r>
      <w:r/>
    </w:p>
    <w:p>
      <w:pPr>
        <w:ind w:firstLine="480"/>
        <w:spacing w:line="360" w:lineRule="auto"/>
        <w:widowControl/>
        <w:rPr>
          <w:rFonts w:ascii="宋体" w:hAnsi="宋体" w:cs="宋体"/>
          <w:sz w:val="24"/>
        </w:rPr>
      </w:pPr>
      <w:r>
        <w:rPr>
          <w:rFonts w:hint="eastAsia" w:ascii="宋体" w:hAnsi="宋体" w:cs="宋体"/>
          <w:sz w:val="24"/>
        </w:rPr>
        <w:t xml:space="preserve">2、采购人索取成交供应商的响应文件，须在双方签订政府采购合同后，由采购代理机构提供给采购人。</w:t>
      </w:r>
      <w:r/>
    </w:p>
    <w:p>
      <w:pPr>
        <w:jc w:val="center"/>
        <w:spacing w:line="360" w:lineRule="auto"/>
        <w:rPr>
          <w:rFonts w:ascii="宋体" w:hAnsi="宋体" w:cs="宋体"/>
          <w:b/>
          <w:bCs/>
          <w:sz w:val="28"/>
          <w:szCs w:val="28"/>
        </w:rPr>
        <w:outlineLvl w:val="0"/>
      </w:pPr>
      <w:r/>
      <w:bookmarkStart w:id="3" w:name="_Toc28969"/>
      <w:r>
        <w:rPr>
          <w:rFonts w:hint="eastAsia" w:ascii="宋体" w:hAnsi="宋体" w:cs="宋体"/>
          <w:b/>
          <w:bCs/>
          <w:sz w:val="28"/>
          <w:szCs w:val="28"/>
        </w:rPr>
        <w:t xml:space="preserve">第四章 磋商相关说明</w:t>
      </w:r>
      <w:bookmarkEnd w:id="3"/>
      <w:r/>
      <w:r/>
    </w:p>
    <w:p>
      <w:pPr>
        <w:ind w:firstLine="480"/>
        <w:spacing w:line="360" w:lineRule="auto"/>
        <w:rPr>
          <w:rFonts w:ascii="宋体" w:hAnsi="宋体" w:cs="宋体"/>
          <w:sz w:val="24"/>
        </w:rPr>
      </w:pPr>
      <w:r>
        <w:rPr>
          <w:rFonts w:hint="eastAsia" w:ascii="宋体" w:hAnsi="宋体" w:cs="宋体"/>
          <w:sz w:val="24"/>
        </w:rPr>
        <w:t xml:space="preserve">十四、磋商程序</w:t>
      </w:r>
      <w:r/>
    </w:p>
    <w:p>
      <w:pPr>
        <w:ind w:firstLine="480"/>
        <w:spacing w:line="360" w:lineRule="auto"/>
        <w:rPr>
          <w:rFonts w:ascii="宋体" w:hAnsi="宋体" w:cs="宋体"/>
          <w:b/>
          <w:bCs/>
          <w:sz w:val="24"/>
        </w:rPr>
      </w:pPr>
      <w:r>
        <w:rPr>
          <w:rFonts w:hint="eastAsia" w:ascii="宋体" w:hAnsi="宋体" w:cs="宋体"/>
          <w:b/>
          <w:bCs/>
          <w:sz w:val="24"/>
        </w:rPr>
        <w:t xml:space="preserve">（一）磋商要求</w:t>
      </w:r>
      <w:r/>
    </w:p>
    <w:p>
      <w:pPr>
        <w:pStyle w:val="894"/>
        <w:ind w:firstLine="480"/>
        <w:rPr>
          <w:rFonts w:eastAsia="宋体" w:cs="宋体"/>
          <w:b/>
        </w:rPr>
      </w:pPr>
      <w:r>
        <w:rPr>
          <w:rFonts w:hint="eastAsia" w:eastAsia="宋体" w:cs="宋体"/>
          <w:b/>
        </w:rPr>
        <w:t xml:space="preserve">1、被邀请参与磋商的供应商需按本竞争性磋商文件要求的截止时间、方式（地点）提交首次响应文件，同时由法定代表人或授权代表通过“苏采云”系统（开标大厅）等待磋商。</w:t>
      </w:r>
      <w:r/>
    </w:p>
    <w:p>
      <w:pPr>
        <w:pStyle w:val="894"/>
        <w:ind w:firstLine="480"/>
        <w:rPr>
          <w:rFonts w:eastAsia="宋体" w:cs="宋体"/>
          <w:bCs/>
        </w:rPr>
      </w:pPr>
      <w:r>
        <w:rPr>
          <w:rFonts w:hint="eastAsia" w:eastAsia="宋体" w:cs="宋体"/>
          <w:bCs/>
        </w:rPr>
        <w:t xml:space="preserve">2、供应商可通过CA数字证书，在首次响应文件开启时间后，使用CA数字证书在规定时间内解密各自响应文件。</w:t>
      </w:r>
      <w:r/>
    </w:p>
    <w:p>
      <w:pPr>
        <w:pStyle w:val="894"/>
        <w:ind w:firstLine="480"/>
        <w:rPr>
          <w:rFonts w:eastAsia="宋体" w:cs="宋体"/>
          <w:b/>
        </w:rPr>
      </w:pPr>
      <w:r>
        <w:rPr>
          <w:rFonts w:hint="eastAsia" w:eastAsia="宋体" w:cs="宋体"/>
          <w:b/>
        </w:rPr>
        <w:t xml:space="preserve">3、供应商的法定代表人或授权代表须全程守候在“苏采云”系统开标大厅，并确保视频设备正常使用。法定代表人或授权代表须携带授权委托书原件及身份证原件，经磋商小组核查后参与磋商活动。</w:t>
      </w:r>
      <w:r/>
    </w:p>
    <w:p>
      <w:pPr>
        <w:pStyle w:val="894"/>
        <w:ind w:firstLine="480"/>
        <w:rPr>
          <w:rFonts w:eastAsia="宋体" w:cs="宋体"/>
        </w:rPr>
      </w:pPr>
      <w:r>
        <w:rPr>
          <w:rFonts w:hint="eastAsia" w:eastAsia="宋体" w:cs="宋体"/>
        </w:rPr>
        <w:t xml:space="preserve">4、磋商顺序按照电子标书解密先后时间进行，解密时间相同的，不分先后顺序。</w:t>
      </w:r>
      <w:r/>
    </w:p>
    <w:p>
      <w:pPr>
        <w:pStyle w:val="905"/>
        <w:ind w:firstLine="480"/>
        <w:rPr>
          <w:rFonts w:ascii="宋体" w:hAnsi="宋体" w:cs="宋体"/>
          <w:b/>
        </w:rPr>
      </w:pPr>
      <w:r>
        <w:rPr>
          <w:rFonts w:hint="eastAsia" w:ascii="宋体" w:hAnsi="宋体" w:cs="宋体"/>
          <w:bCs/>
        </w:rPr>
        <w:t xml:space="preserve">5、</w:t>
      </w:r>
      <w:r>
        <w:rPr>
          <w:rFonts w:hint="eastAsia" w:ascii="宋体" w:hAnsi="宋体" w:cs="宋体"/>
          <w:b/>
        </w:rPr>
        <w:t xml:space="preserve">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视频磋商的机会，按解密顺序由下一家进行磋商，不再后补）。</w:t>
      </w:r>
      <w:r/>
    </w:p>
    <w:p>
      <w:pPr>
        <w:pStyle w:val="894"/>
        <w:ind w:firstLine="480"/>
        <w:rPr>
          <w:rFonts w:eastAsia="宋体" w:cs="宋体"/>
        </w:rPr>
      </w:pPr>
      <w:r>
        <w:rPr>
          <w:rFonts w:hint="eastAsia" w:eastAsia="宋体" w:cs="宋体"/>
        </w:rPr>
        <w:t xml:space="preserve">6、未在规定时间内进行答疑澄清的，视同放弃澄清。</w:t>
      </w:r>
      <w:r/>
    </w:p>
    <w:p>
      <w:pPr>
        <w:pStyle w:val="894"/>
        <w:ind w:firstLine="480"/>
        <w:rPr>
          <w:rFonts w:eastAsia="宋体" w:cs="宋体"/>
          <w:b/>
          <w:bCs/>
        </w:rPr>
      </w:pPr>
      <w:r>
        <w:rPr>
          <w:rFonts w:hint="eastAsia" w:eastAsia="宋体" w:cs="宋体"/>
          <w:b/>
          <w:bCs/>
        </w:rPr>
        <w:t xml:space="preserve">7、未在规定时间内进行报价的，视为响应无效。</w:t>
      </w:r>
      <w:r/>
    </w:p>
    <w:p>
      <w:pPr>
        <w:pStyle w:val="894"/>
        <w:ind w:firstLine="480"/>
        <w:rPr>
          <w:rFonts w:eastAsia="宋体" w:cs="宋体"/>
        </w:rPr>
      </w:pPr>
      <w:r>
        <w:rPr>
          <w:rFonts w:hint="eastAsia" w:eastAsia="宋体" w:cs="宋体"/>
          <w:b/>
          <w:bCs/>
        </w:rPr>
        <w:t xml:space="preserve">注：各供应商在未进行第二次报价前，请不要离开开标系统，随时接受磋商小组提出的二次报价，因供应商未能及时二次报价而引起的损失，由供应商负责。</w:t>
      </w:r>
      <w:r/>
    </w:p>
    <w:p>
      <w:pPr>
        <w:pStyle w:val="894"/>
        <w:ind w:firstLine="480"/>
        <w:rPr>
          <w:rFonts w:eastAsia="宋体" w:cs="宋体"/>
        </w:rPr>
      </w:pPr>
      <w:r>
        <w:rPr>
          <w:rFonts w:hint="eastAsia" w:eastAsia="宋体" w:cs="宋体"/>
        </w:rPr>
        <w:t xml:space="preserve">8、被邀请参与磋商的供应商如未按上述磋商要求执行，视同放弃磋商的权利。</w:t>
      </w:r>
      <w:r/>
    </w:p>
    <w:p>
      <w:pPr>
        <w:pStyle w:val="894"/>
        <w:ind w:firstLine="480"/>
        <w:rPr>
          <w:rFonts w:eastAsia="宋体" w:cs="宋体"/>
        </w:rPr>
      </w:pPr>
      <w:r>
        <w:rPr>
          <w:rFonts w:hint="eastAsia" w:eastAsia="宋体" w:cs="宋体"/>
        </w:rPr>
        <w:t xml:space="preserve">9、本项目无效响应判定（磋商文件的实质性要求）</w:t>
      </w:r>
      <w:r/>
    </w:p>
    <w:p>
      <w:pPr>
        <w:pStyle w:val="894"/>
        <w:ind w:firstLine="480"/>
        <w:rPr>
          <w:rFonts w:eastAsia="宋体" w:cs="宋体"/>
        </w:rPr>
      </w:pPr>
      <w:r>
        <w:rPr>
          <w:rFonts w:hint="eastAsia" w:eastAsia="宋体" w:cs="宋体"/>
        </w:rPr>
        <w:t xml:space="preserve">(1)</w:t>
      </w:r>
      <w:r>
        <w:rPr>
          <w:rFonts w:eastAsia="宋体" w:cs="宋体"/>
        </w:rPr>
        <w:t xml:space="preserve">电子响应文件未按规定期限提交的；</w:t>
      </w:r>
      <w:r/>
    </w:p>
    <w:p>
      <w:pPr>
        <w:pStyle w:val="894"/>
        <w:ind w:firstLine="480"/>
        <w:rPr>
          <w:rFonts w:eastAsia="宋体" w:cs="宋体"/>
        </w:rPr>
      </w:pPr>
      <w:r>
        <w:rPr>
          <w:rFonts w:hint="eastAsia" w:eastAsia="宋体" w:cs="宋体"/>
        </w:rPr>
        <w:t xml:space="preserve">(2)</w:t>
      </w:r>
      <w:r>
        <w:rPr>
          <w:rFonts w:eastAsia="宋体" w:cs="宋体"/>
        </w:rPr>
        <w:t xml:space="preserve">电子响应文件未按磋商文件要求签章的</w:t>
      </w:r>
      <w:r>
        <w:rPr>
          <w:rFonts w:hint="eastAsia" w:eastAsia="宋体" w:cs="宋体"/>
        </w:rPr>
        <w:t xml:space="preserve">； </w:t>
      </w:r>
      <w:r/>
    </w:p>
    <w:p>
      <w:pPr>
        <w:pStyle w:val="894"/>
        <w:ind w:firstLine="480"/>
        <w:rPr>
          <w:rFonts w:eastAsia="宋体" w:cs="宋体"/>
        </w:rPr>
      </w:pPr>
      <w:r>
        <w:rPr>
          <w:rFonts w:eastAsia="宋体" w:cs="宋体"/>
        </w:rPr>
        <w:t xml:space="preserve">(3)供应商未在规定时间内解密电子响应文件的</w:t>
      </w:r>
      <w:r>
        <w:rPr>
          <w:rFonts w:hint="eastAsia" w:eastAsia="宋体" w:cs="宋体"/>
        </w:rPr>
        <w:t xml:space="preserve">； </w:t>
      </w:r>
      <w:r/>
    </w:p>
    <w:p>
      <w:pPr>
        <w:pStyle w:val="894"/>
        <w:ind w:firstLine="480"/>
        <w:rPr>
          <w:rFonts w:eastAsia="宋体" w:cs="宋体"/>
        </w:rPr>
      </w:pPr>
      <w:r>
        <w:rPr>
          <w:rFonts w:eastAsia="宋体" w:cs="宋体"/>
        </w:rPr>
        <w:t xml:space="preserve">(4)</w:t>
      </w:r>
      <w:r>
        <w:rPr>
          <w:rFonts w:hint="eastAsia" w:eastAsia="宋体" w:cs="宋体"/>
        </w:rPr>
        <w:t xml:space="preserve">供应商的法定代表人参加采购活动未提供法人资格证明的；授权代表无法定代表人授权委托书的； </w:t>
      </w:r>
      <w:r/>
    </w:p>
    <w:p>
      <w:pPr>
        <w:pStyle w:val="894"/>
        <w:ind w:firstLine="480"/>
        <w:rPr>
          <w:rFonts w:eastAsia="宋体" w:cs="宋体"/>
        </w:rPr>
      </w:pPr>
      <w:r>
        <w:rPr>
          <w:rFonts w:eastAsia="宋体" w:cs="宋体"/>
        </w:rPr>
        <w:t xml:space="preserve">(5)</w:t>
      </w:r>
      <w:r>
        <w:rPr>
          <w:rFonts w:hint="eastAsia" w:eastAsia="宋体" w:cs="宋体"/>
        </w:rPr>
        <w:t xml:space="preserve">不具备磋商文件中规定的资格要求或未按磋商文件规定的要求提供资格、资信证明文件的； </w:t>
      </w:r>
      <w:r/>
    </w:p>
    <w:p>
      <w:pPr>
        <w:pStyle w:val="894"/>
        <w:ind w:firstLine="480"/>
        <w:rPr>
          <w:rFonts w:eastAsia="宋体" w:cs="宋体"/>
        </w:rPr>
      </w:pPr>
      <w:r>
        <w:rPr>
          <w:rFonts w:eastAsia="宋体" w:cs="宋体"/>
        </w:rPr>
        <w:t xml:space="preserve">(6)被列入“信用中国”网站（www.creditchina.gov.cn）失信被执行人、重大税收违法案件当事人名单、政府采购严重违法失信行为记录名单的</w:t>
      </w:r>
      <w:r>
        <w:rPr>
          <w:rFonts w:hint="eastAsia" w:eastAsia="宋体" w:cs="宋体"/>
        </w:rPr>
        <w:t xml:space="preserve">；</w:t>
      </w:r>
      <w:r/>
    </w:p>
    <w:p>
      <w:pPr>
        <w:pStyle w:val="894"/>
        <w:ind w:firstLine="480"/>
        <w:rPr>
          <w:rFonts w:eastAsia="宋体" w:cs="宋体"/>
        </w:rPr>
      </w:pPr>
      <w:r>
        <w:rPr>
          <w:rFonts w:hint="eastAsia" w:eastAsia="宋体" w:cs="宋体"/>
        </w:rPr>
        <w:t xml:space="preserve">(7)响应文件未按磋商文件规定的内容和要求填写的；没有在系统指定位置上传对应文件、材料的；</w:t>
      </w:r>
      <w:r/>
    </w:p>
    <w:p>
      <w:pPr>
        <w:pStyle w:val="894"/>
        <w:ind w:firstLine="480"/>
        <w:rPr>
          <w:rFonts w:eastAsia="宋体" w:cs="宋体"/>
        </w:rPr>
      </w:pPr>
      <w:r>
        <w:rPr>
          <w:rFonts w:eastAsia="宋体" w:cs="宋体"/>
        </w:rPr>
        <w:t xml:space="preserve">(</w:t>
      </w:r>
      <w:r>
        <w:rPr>
          <w:rFonts w:hint="eastAsia" w:eastAsia="宋体" w:cs="宋体"/>
        </w:rPr>
        <w:t xml:space="preserve">9</w:t>
      </w:r>
      <w:r>
        <w:rPr>
          <w:rFonts w:eastAsia="宋体" w:cs="宋体"/>
        </w:rPr>
        <w:t xml:space="preserve">)</w:t>
      </w:r>
      <w:r>
        <w:rPr>
          <w:rFonts w:hint="eastAsia" w:eastAsia="宋体" w:cs="宋体"/>
        </w:rPr>
        <w:t xml:space="preserve">响应文件含有采购人不能接受的附加条件的； </w:t>
      </w:r>
      <w:r/>
    </w:p>
    <w:p>
      <w:pPr>
        <w:pStyle w:val="894"/>
        <w:ind w:firstLine="480"/>
        <w:rPr>
          <w:rFonts w:eastAsia="宋体" w:cs="宋体"/>
        </w:rPr>
      </w:pPr>
      <w:r>
        <w:rPr>
          <w:rFonts w:eastAsia="宋体" w:cs="宋体"/>
        </w:rPr>
        <w:t xml:space="preserve">(</w:t>
      </w:r>
      <w:r>
        <w:rPr>
          <w:rFonts w:hint="eastAsia" w:eastAsia="宋体" w:cs="宋体"/>
        </w:rPr>
        <w:t xml:space="preserve">10)磋商报价超过本项目（采购包）预算或最高限价的； </w:t>
      </w:r>
      <w:r/>
    </w:p>
    <w:p>
      <w:pPr>
        <w:pStyle w:val="894"/>
        <w:ind w:firstLine="480"/>
        <w:rPr>
          <w:rFonts w:eastAsia="宋体" w:cs="宋体"/>
        </w:rPr>
      </w:pPr>
      <w:r>
        <w:rPr>
          <w:rFonts w:eastAsia="宋体" w:cs="宋体"/>
        </w:rPr>
        <w:t xml:space="preserve">(</w:t>
      </w:r>
      <w:r>
        <w:rPr>
          <w:rFonts w:hint="eastAsia" w:eastAsia="宋体" w:cs="宋体"/>
        </w:rPr>
        <w:t xml:space="preserve">11</w:t>
      </w:r>
      <w:r>
        <w:rPr>
          <w:rFonts w:eastAsia="宋体" w:cs="宋体"/>
        </w:rPr>
        <w:t xml:space="preserve">)</w:t>
      </w:r>
      <w:r>
        <w:rPr>
          <w:rFonts w:hint="eastAsia" w:eastAsia="宋体" w:cs="宋体"/>
        </w:rPr>
        <w:t xml:space="preserve">不同供应商的响应文件以及响应文件制作过程出现了磋商小组认为不应当雷同的情况的； </w:t>
      </w:r>
      <w:r/>
    </w:p>
    <w:p>
      <w:pPr>
        <w:pStyle w:val="894"/>
        <w:ind w:firstLine="480"/>
        <w:rPr>
          <w:rFonts w:eastAsia="宋体" w:cs="宋体"/>
        </w:rPr>
      </w:pPr>
      <w:r>
        <w:rPr>
          <w:rFonts w:eastAsia="宋体" w:cs="宋体"/>
        </w:rPr>
        <w:t xml:space="preserve">(1</w:t>
      </w:r>
      <w:r>
        <w:rPr>
          <w:rFonts w:hint="eastAsia" w:eastAsia="宋体" w:cs="宋体"/>
        </w:rPr>
        <w:t xml:space="preserve">2</w:t>
      </w:r>
      <w:r>
        <w:rPr>
          <w:rFonts w:eastAsia="宋体" w:cs="宋体"/>
        </w:rPr>
        <w:t xml:space="preserve">)</w:t>
      </w:r>
      <w:r>
        <w:rPr>
          <w:rFonts w:hint="eastAsia" w:eastAsia="宋体" w:cs="宋体"/>
        </w:rPr>
        <w:t xml:space="preserve">不同供应商委托同一单位或者个人办理磋商事宜的。</w:t>
      </w:r>
      <w:r/>
    </w:p>
    <w:p>
      <w:pPr>
        <w:pStyle w:val="894"/>
        <w:ind w:firstLine="480"/>
        <w:rPr>
          <w:rFonts w:eastAsia="宋体" w:cs="宋体"/>
        </w:rPr>
      </w:pPr>
      <w:r>
        <w:rPr>
          <w:rFonts w:eastAsia="宋体" w:cs="宋体"/>
        </w:rPr>
        <w:t xml:space="preserve">(1</w:t>
      </w:r>
      <w:r>
        <w:rPr>
          <w:rFonts w:hint="eastAsia" w:eastAsia="宋体" w:cs="宋体"/>
        </w:rPr>
        <w:t xml:space="preserve">3</w:t>
      </w:r>
      <w:r>
        <w:rPr>
          <w:rFonts w:eastAsia="宋体" w:cs="宋体"/>
        </w:rPr>
        <w:t xml:space="preserve">)</w:t>
      </w:r>
      <w:r>
        <w:rPr>
          <w:rFonts w:hint="eastAsia" w:eastAsia="宋体" w:cs="宋体"/>
        </w:rPr>
        <w:t xml:space="preserve">响应文件内容不全或不符合磋商文件中规定的其他实质性要求的； </w:t>
      </w:r>
      <w:r/>
    </w:p>
    <w:p>
      <w:pPr>
        <w:pStyle w:val="894"/>
        <w:ind w:firstLine="480"/>
        <w:rPr>
          <w:rFonts w:eastAsia="宋体" w:cs="宋体"/>
        </w:rPr>
      </w:pPr>
      <w:r>
        <w:rPr>
          <w:rFonts w:eastAsia="宋体" w:cs="宋体"/>
        </w:rPr>
        <w:t xml:space="preserve">(1</w:t>
      </w:r>
      <w:r>
        <w:rPr>
          <w:rFonts w:hint="eastAsia" w:eastAsia="宋体" w:cs="宋体"/>
        </w:rPr>
        <w:t xml:space="preserve">4</w:t>
      </w:r>
      <w:r>
        <w:rPr>
          <w:rFonts w:eastAsia="宋体" w:cs="宋体"/>
        </w:rPr>
        <w:t xml:space="preserve">)</w:t>
      </w:r>
      <w:r>
        <w:rPr>
          <w:rFonts w:hint="eastAsia" w:eastAsia="宋体" w:cs="宋体"/>
        </w:rPr>
        <w:t xml:space="preserve">磋商小组认定供应商的报价明显低于其他通过符合性审查供应商的报价，有可能影响产品质量或者不能诚信履约，且供应商不能应磋商小组要求在评审过程中要求的合理时间内提供书面说明（必要时磋商小组可要求供应商提交相关证明材料），证明其报价合理性的；</w:t>
      </w:r>
      <w:r/>
    </w:p>
    <w:p>
      <w:pPr>
        <w:pStyle w:val="894"/>
        <w:ind w:firstLine="480"/>
        <w:rPr>
          <w:rFonts w:eastAsia="宋体" w:cs="宋体"/>
        </w:rPr>
      </w:pPr>
      <w:r>
        <w:rPr>
          <w:rFonts w:eastAsia="宋体" w:cs="宋体"/>
        </w:rPr>
        <w:t xml:space="preserve">(1</w:t>
      </w:r>
      <w:r>
        <w:rPr>
          <w:rFonts w:hint="eastAsia" w:eastAsia="宋体" w:cs="宋体"/>
        </w:rPr>
        <w:t xml:space="preserve">5</w:t>
      </w:r>
      <w:r>
        <w:rPr>
          <w:rFonts w:eastAsia="宋体" w:cs="宋体"/>
        </w:rPr>
        <w:t xml:space="preserve">)</w:t>
      </w:r>
      <w:r>
        <w:rPr>
          <w:rFonts w:hint="eastAsia" w:eastAsia="宋体" w:cs="宋体"/>
        </w:rPr>
        <w:t xml:space="preserve">未按磋商文件规定的格式填写，内容不全或关键字模糊、无法辨认的；未按磋商文件要求提供电子响应文件，或者响应文件未能解密且按照磋商文件明确的响应文件解密失败的补救方案补救不成功的。</w:t>
      </w:r>
      <w:r/>
    </w:p>
    <w:p>
      <w:pPr>
        <w:pStyle w:val="894"/>
        <w:ind w:firstLine="480"/>
        <w:rPr>
          <w:rFonts w:eastAsia="宋体" w:cs="宋体"/>
        </w:rPr>
      </w:pPr>
      <w:r>
        <w:rPr>
          <w:rFonts w:eastAsia="宋体" w:cs="宋体"/>
        </w:rPr>
        <w:t xml:space="preserve">(1</w:t>
      </w:r>
      <w:r>
        <w:rPr>
          <w:rFonts w:hint="eastAsia" w:eastAsia="宋体" w:cs="宋体"/>
        </w:rPr>
        <w:t xml:space="preserve">6</w:t>
      </w:r>
      <w:r>
        <w:rPr>
          <w:rFonts w:eastAsia="宋体" w:cs="宋体"/>
        </w:rPr>
        <w:t xml:space="preserve">)</w:t>
      </w:r>
      <w:r>
        <w:rPr>
          <w:rFonts w:hint="eastAsia" w:eastAsia="宋体" w:cs="宋体"/>
        </w:rPr>
        <w:t xml:space="preserve">法律法规和磋商文件规定的其他无效情形。</w:t>
      </w:r>
      <w:r/>
    </w:p>
    <w:p>
      <w:pPr>
        <w:pStyle w:val="894"/>
        <w:ind w:left="480" w:firstLine="0"/>
        <w:rPr>
          <w:rFonts w:eastAsia="宋体" w:cs="宋体"/>
          <w:b/>
          <w:bCs/>
        </w:rPr>
      </w:pPr>
      <w:r>
        <w:rPr>
          <w:rFonts w:hint="eastAsia" w:eastAsia="宋体" w:cs="宋体"/>
          <w:b/>
          <w:bCs/>
        </w:rPr>
        <w:t xml:space="preserve">(二)查询及使用供应商信用记录</w:t>
      </w:r>
      <w:r/>
    </w:p>
    <w:p>
      <w:pPr>
        <w:ind w:firstLine="480"/>
        <w:jc w:val="left"/>
        <w:spacing w:line="360" w:lineRule="auto"/>
        <w:widowControl/>
        <w:rPr>
          <w:rFonts w:ascii="宋体" w:hAnsi="宋体" w:cs="宋体"/>
          <w:sz w:val="24"/>
        </w:rPr>
      </w:pPr>
      <w:r>
        <w:rPr>
          <w:rFonts w:hint="eastAsia" w:ascii="宋体" w:hAnsi="宋体" w:cs="宋体"/>
          <w:sz w:val="24"/>
        </w:rPr>
        <w:t xml:space="preserve">1.由采购人查询信用信息。</w:t>
      </w:r>
      <w:r/>
    </w:p>
    <w:p>
      <w:pPr>
        <w:ind w:firstLine="480"/>
        <w:jc w:val="left"/>
        <w:spacing w:line="360" w:lineRule="auto"/>
        <w:widowControl/>
        <w:rPr>
          <w:rFonts w:ascii="宋体" w:hAnsi="宋体" w:cs="宋体"/>
          <w:sz w:val="24"/>
        </w:rPr>
      </w:pPr>
      <w:r>
        <w:rPr>
          <w:rFonts w:hint="eastAsia" w:ascii="宋体" w:hAnsi="宋体" w:cs="宋体"/>
          <w:sz w:val="24"/>
        </w:rPr>
        <w:t xml:space="preserve">2.查询渠道包括：</w:t>
      </w:r>
      <w:r/>
    </w:p>
    <w:p>
      <w:pPr>
        <w:ind w:firstLine="480"/>
        <w:jc w:val="left"/>
        <w:spacing w:line="360" w:lineRule="auto"/>
        <w:widowControl/>
        <w:rPr>
          <w:rFonts w:ascii="宋体" w:hAnsi="宋体" w:cs="宋体"/>
          <w:sz w:val="24"/>
        </w:rPr>
      </w:pPr>
      <w:r>
        <w:rPr>
          <w:rFonts w:hint="eastAsia" w:ascii="宋体" w:hAnsi="宋体" w:cs="宋体"/>
          <w:sz w:val="24"/>
        </w:rPr>
        <w:t xml:space="preserve">①“信用中国”网（www.creditchina.gov.cn）；</w:t>
      </w:r>
      <w:r/>
    </w:p>
    <w:p>
      <w:pPr>
        <w:ind w:firstLine="480"/>
        <w:jc w:val="left"/>
        <w:spacing w:line="360" w:lineRule="auto"/>
        <w:widowControl/>
        <w:rPr>
          <w:rFonts w:ascii="宋体" w:hAnsi="宋体" w:cs="宋体"/>
          <w:sz w:val="24"/>
        </w:rPr>
      </w:pPr>
      <w:r>
        <w:rPr>
          <w:rFonts w:hint="eastAsia" w:ascii="宋体" w:hAnsi="宋体" w:cs="宋体"/>
          <w:sz w:val="24"/>
        </w:rPr>
        <w:t xml:space="preserve">②中国政府采购网（www.ccgp.gov.cn）；</w:t>
      </w:r>
      <w:r/>
    </w:p>
    <w:p>
      <w:pPr>
        <w:ind w:firstLine="480"/>
        <w:jc w:val="left"/>
        <w:spacing w:line="360" w:lineRule="auto"/>
        <w:widowControl/>
        <w:rPr>
          <w:rFonts w:ascii="宋体" w:hAnsi="宋体" w:cs="宋体"/>
          <w:sz w:val="24"/>
        </w:rPr>
      </w:pPr>
      <w:r>
        <w:rPr>
          <w:rFonts w:hint="eastAsia" w:ascii="宋体" w:hAnsi="宋体" w:cs="宋体"/>
          <w:sz w:val="24"/>
        </w:rPr>
        <w:t xml:space="preserve">③“信用江苏”网（http://credit.jiangsu.gov.cn）；</w:t>
      </w:r>
      <w:r/>
    </w:p>
    <w:p>
      <w:pPr>
        <w:ind w:firstLine="480"/>
        <w:jc w:val="left"/>
        <w:spacing w:line="360" w:lineRule="auto"/>
        <w:widowControl/>
        <w:rPr>
          <w:rFonts w:ascii="宋体" w:hAnsi="宋体" w:cs="宋体"/>
          <w:sz w:val="24"/>
        </w:rPr>
      </w:pPr>
      <w:r>
        <w:rPr>
          <w:rFonts w:hint="eastAsia" w:ascii="宋体" w:hAnsi="宋体" w:cs="宋体"/>
          <w:sz w:val="24"/>
        </w:rPr>
        <w:t xml:space="preserve">④“信用中国（江苏徐州）”网（ http://www.xuzhoucredit.gov.cn）。</w:t>
      </w:r>
      <w:r/>
    </w:p>
    <w:p>
      <w:pPr>
        <w:ind w:firstLine="480"/>
        <w:jc w:val="left"/>
        <w:spacing w:line="360" w:lineRule="auto"/>
        <w:widowControl/>
        <w:rPr>
          <w:rFonts w:ascii="宋体" w:hAnsi="宋体" w:cs="宋体"/>
          <w:sz w:val="24"/>
        </w:rPr>
      </w:pPr>
      <w:r>
        <w:rPr>
          <w:rFonts w:hint="eastAsia" w:ascii="宋体" w:hAnsi="宋体" w:cs="宋体"/>
          <w:sz w:val="24"/>
        </w:rPr>
        <w:t xml:space="preserve">3.截止时点（查询环节）：首次响应文件开启后资格审查结束前。</w:t>
      </w:r>
      <w:r/>
    </w:p>
    <w:p>
      <w:pPr>
        <w:ind w:firstLine="480"/>
        <w:jc w:val="left"/>
        <w:spacing w:line="360" w:lineRule="auto"/>
        <w:widowControl/>
        <w:rPr>
          <w:rFonts w:ascii="宋体" w:hAnsi="宋体" w:cs="宋体"/>
          <w:sz w:val="24"/>
        </w:rPr>
      </w:pPr>
      <w:r>
        <w:rPr>
          <w:rFonts w:hint="eastAsia" w:ascii="宋体" w:hAnsi="宋体" w:cs="宋体"/>
          <w:sz w:val="24"/>
        </w:rPr>
        <w:t xml:space="preserve">4.信用信息查询记录和证据留存的具体方式：</w:t>
      </w:r>
      <w:r/>
    </w:p>
    <w:p>
      <w:pPr>
        <w:ind w:firstLine="480"/>
        <w:jc w:val="left"/>
        <w:spacing w:line="360" w:lineRule="auto"/>
        <w:widowControl/>
        <w:rPr>
          <w:rFonts w:ascii="宋体" w:hAnsi="宋体" w:cs="宋体"/>
          <w:sz w:val="24"/>
        </w:rPr>
      </w:pPr>
      <w:r>
        <w:rPr>
          <w:rFonts w:hint="eastAsia" w:ascii="宋体" w:hAnsi="宋体" w:cs="宋体"/>
          <w:sz w:val="24"/>
        </w:rPr>
        <w:t xml:space="preserve">网页截屏打印，与其他采购文件一并保存。</w:t>
      </w:r>
      <w:r/>
    </w:p>
    <w:p>
      <w:pPr>
        <w:ind w:firstLine="480"/>
        <w:jc w:val="left"/>
        <w:spacing w:line="360" w:lineRule="auto"/>
        <w:widowControl/>
        <w:rPr>
          <w:rFonts w:ascii="宋体" w:hAnsi="宋体" w:cs="宋体"/>
          <w:sz w:val="24"/>
        </w:rPr>
      </w:pPr>
      <w:r>
        <w:rPr>
          <w:rFonts w:hint="eastAsia" w:ascii="宋体" w:hAnsi="宋体" w:cs="宋体"/>
          <w:sz w:val="24"/>
        </w:rPr>
        <w:t xml:space="preserve">5.信用信息的使用规则：</w:t>
      </w:r>
      <w:r/>
    </w:p>
    <w:p>
      <w:pPr>
        <w:ind w:firstLine="480"/>
        <w:jc w:val="left"/>
        <w:spacing w:line="360" w:lineRule="auto"/>
        <w:widowControl/>
        <w:rPr>
          <w:rFonts w:ascii="宋体" w:hAnsi="宋体" w:cs="宋体"/>
          <w:sz w:val="24"/>
        </w:rPr>
      </w:pPr>
      <w:r>
        <w:rPr>
          <w:rFonts w:hint="eastAsia" w:ascii="宋体" w:hAnsi="宋体" w:cs="宋体"/>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firstLine="480"/>
        <w:spacing w:line="360" w:lineRule="auto"/>
        <w:rPr>
          <w:rFonts w:ascii="宋体" w:hAnsi="宋体" w:cs="宋体"/>
          <w:sz w:val="24"/>
        </w:rPr>
      </w:pPr>
      <w:r>
        <w:rPr>
          <w:rFonts w:hint="eastAsia" w:ascii="宋体" w:hAnsi="宋体" w:cs="宋体"/>
          <w:sz w:val="24"/>
        </w:rPr>
        <w:t xml:space="preserve">十五、评审程序</w:t>
      </w:r>
      <w:r/>
    </w:p>
    <w:p>
      <w:pPr>
        <w:pStyle w:val="894"/>
        <w:ind w:firstLine="480"/>
        <w:rPr>
          <w:rFonts w:eastAsia="宋体" w:cs="宋体"/>
        </w:rPr>
      </w:pPr>
      <w:r>
        <w:rPr>
          <w:rFonts w:hint="eastAsia" w:eastAsia="宋体" w:cs="宋体"/>
        </w:rPr>
        <w:t xml:space="preserve">经磋商确定最终采购需求和提交最后报价的供应商后，由磋商小组采用综合评分法对提交最后报价的供应商的响应文件和最后报价进行综合评分。</w:t>
      </w:r>
      <w:r/>
    </w:p>
    <w:p>
      <w:pPr>
        <w:pStyle w:val="894"/>
        <w:ind w:firstLine="480"/>
        <w:rPr>
          <w:rFonts w:eastAsia="宋体" w:cs="宋体"/>
        </w:rPr>
      </w:pPr>
      <w:r>
        <w:rPr>
          <w:rFonts w:hint="eastAsia" w:eastAsia="宋体" w:cs="宋体"/>
        </w:rPr>
        <w:t xml:space="preserve">磋商小组在阅读完所有磋商供应商的响应文件后，集中与单一供应商代表分别就技术参数等技术问题及价格和售后服务等内容进行磋商。</w:t>
      </w:r>
      <w:r/>
    </w:p>
    <w:p>
      <w:pPr>
        <w:pStyle w:val="894"/>
        <w:ind w:firstLine="480"/>
        <w:rPr>
          <w:rFonts w:eastAsia="宋体" w:cs="宋体"/>
        </w:rPr>
      </w:pPr>
      <w:r>
        <w:rPr>
          <w:rFonts w:hint="eastAsia" w:eastAsia="宋体" w:cs="宋体"/>
        </w:rPr>
        <w:t xml:space="preserve"> 磋商结束后，磋商小组应当要求所有参加磋商的供应商在规定时间内进行最后报价。供应商可按照磋商小组的要求在磋商现场（</w:t>
      </w:r>
      <w:r>
        <w:rPr>
          <w:rFonts w:hint="eastAsia" w:eastAsia="宋体" w:cs="宋体"/>
          <w:b/>
          <w:bCs/>
        </w:rPr>
        <w:t xml:space="preserve">即“苏采云”系统开标大厅中</w:t>
      </w:r>
      <w:r>
        <w:rPr>
          <w:rFonts w:hint="eastAsia" w:eastAsia="宋体" w:cs="宋体"/>
        </w:rPr>
        <w:t xml:space="preserve">）进行报价，首轮报价不公开，本项目二次报价为最终报价。</w:t>
      </w:r>
      <w:r/>
    </w:p>
    <w:p>
      <w:pPr>
        <w:pStyle w:val="894"/>
        <w:ind w:firstLine="480"/>
        <w:rPr>
          <w:rFonts w:eastAsia="宋体" w:cs="宋体"/>
        </w:rPr>
      </w:pPr>
      <w:r>
        <w:rPr>
          <w:rFonts w:hint="eastAsia" w:eastAsia="宋体" w:cs="宋体"/>
        </w:rPr>
        <w:t xml:space="preserve">磋商小组应当根据综合评分情况，按照评审得分由高到低顺序推荐1名成交候选供应商，并编写评审报告。评审得分相同的，按照最后报价由低到高的顺序推荐。评审得分且最后报价相同的，按照</w:t>
      </w:r>
      <w:r>
        <w:rPr>
          <w:rFonts w:hint="eastAsia" w:eastAsia="宋体" w:cs="宋体"/>
          <w:b/>
          <w:bCs/>
        </w:rPr>
        <w:t xml:space="preserve">组织实施方案部分</w:t>
      </w:r>
      <w:r>
        <w:rPr>
          <w:rFonts w:hint="eastAsia" w:eastAsia="宋体" w:cs="宋体"/>
        </w:rPr>
        <w:t xml:space="preserve">优劣（得分）顺序推荐。</w:t>
      </w:r>
      <w:r/>
    </w:p>
    <w:p>
      <w:pPr>
        <w:pStyle w:val="894"/>
        <w:ind w:firstLine="480"/>
        <w:rPr>
          <w:rFonts w:eastAsia="宋体" w:cs="宋体"/>
        </w:rPr>
      </w:pPr>
      <w:r>
        <w:rPr>
          <w:rFonts w:hint="eastAsia" w:eastAsia="宋体" w:cs="宋体"/>
        </w:rPr>
        <w:t xml:space="preserve">磋商小组认为供应商的报价明显低于其他供应商的报价，有可能影响产品质量、服务质量或者不能诚信履约的，应当要求其在评审现场合理的时间内提供书面说明，必要时提交相关证明材料；供应商不能证明其报价合理性的，磋商小组应当将其按响应无效处理。具体审查要求如下：</w:t>
      </w:r>
      <w:r/>
    </w:p>
    <w:p>
      <w:pPr>
        <w:pStyle w:val="894"/>
        <w:ind w:firstLine="480"/>
        <w:rPr>
          <w:rFonts w:eastAsia="宋体" w:cs="宋体"/>
          <w:b/>
          <w:bCs/>
        </w:rPr>
      </w:pPr>
      <w:r>
        <w:rPr>
          <w:rFonts w:hint="eastAsia" w:eastAsia="宋体" w:cs="宋体"/>
          <w:b/>
          <w:bCs/>
        </w:rPr>
        <w:t xml:space="preserve">磋商小组启动异常低价响应审查的情形和具体要求，包括:</w:t>
      </w:r>
      <w:r/>
    </w:p>
    <w:p>
      <w:pPr>
        <w:pStyle w:val="894"/>
        <w:ind w:firstLine="480"/>
        <w:rPr>
          <w:rFonts w:eastAsia="宋体" w:cs="宋体"/>
          <w:b/>
          <w:bCs/>
        </w:rPr>
      </w:pPr>
      <w:r>
        <w:rPr>
          <w:rFonts w:hint="eastAsia" w:eastAsia="宋体" w:cs="宋体"/>
          <w:b/>
          <w:bCs/>
        </w:rPr>
        <w:t xml:space="preserve">（1）评审过程中出现下列情形之一的，磋商小组应当启动异常低价响应审查程序：</w:t>
      </w:r>
      <w:r/>
    </w:p>
    <w:p>
      <w:pPr>
        <w:pStyle w:val="894"/>
        <w:ind w:firstLine="480"/>
        <w:rPr>
          <w:rFonts w:eastAsia="宋体" w:cs="宋体"/>
          <w:b/>
          <w:bCs/>
        </w:rPr>
      </w:pPr>
      <w:r>
        <w:rPr>
          <w:rFonts w:hint="eastAsia" w:eastAsia="宋体" w:cs="宋体"/>
          <w:b/>
          <w:bCs/>
        </w:rPr>
        <w:t xml:space="preserve">①响应报价低于采购项目预算50%的，即响应报价&lt;采购项目预算×50%；</w:t>
      </w:r>
      <w:r/>
    </w:p>
    <w:p>
      <w:pPr>
        <w:pStyle w:val="894"/>
        <w:ind w:firstLine="480"/>
        <w:rPr>
          <w:rFonts w:eastAsia="宋体" w:cs="宋体"/>
          <w:b/>
          <w:bCs/>
        </w:rPr>
      </w:pPr>
      <w:r>
        <w:rPr>
          <w:rFonts w:hint="eastAsia" w:eastAsia="宋体" w:cs="宋体"/>
          <w:b/>
          <w:bCs/>
        </w:rPr>
        <w:t xml:space="preserve">②响应报价低于采购项目最高限价45%的，即响应报价&lt;采购项目最高限价×45%；</w:t>
      </w:r>
      <w:r/>
    </w:p>
    <w:p>
      <w:pPr>
        <w:pStyle w:val="894"/>
        <w:ind w:firstLine="480"/>
        <w:rPr>
          <w:rFonts w:eastAsia="宋体" w:cs="宋体"/>
          <w:b/>
          <w:bCs/>
        </w:rPr>
      </w:pPr>
      <w:r>
        <w:rPr>
          <w:rFonts w:hint="eastAsia" w:eastAsia="宋体" w:cs="宋体"/>
          <w:b/>
          <w:bCs/>
        </w:rPr>
        <w:t xml:space="preserve">③磋商小组认定的供应商报价过低、有可能影响产品质量或者不能诚信履约的其他情形。</w:t>
      </w:r>
      <w:r/>
    </w:p>
    <w:p>
      <w:pPr>
        <w:pStyle w:val="894"/>
        <w:ind w:firstLine="480"/>
        <w:rPr>
          <w:rFonts w:eastAsia="宋体" w:cs="宋体"/>
          <w:b/>
          <w:bCs/>
        </w:rPr>
      </w:pPr>
      <w:r>
        <w:rPr>
          <w:rFonts w:hint="eastAsia" w:eastAsia="宋体" w:cs="宋体"/>
          <w:b/>
          <w:bCs/>
        </w:rPr>
        <w:t xml:space="preserve">（2）启</w:t>
      </w:r>
      <w:r>
        <w:rPr>
          <w:rFonts w:hint="eastAsia" w:eastAsia="宋体" w:cs="宋体"/>
          <w:b/>
          <w:bCs/>
        </w:rPr>
        <w:t xml:space="preserve">动异常低价响应审查后，磋商小组应当通过“苏采云”系统要求相关供应商在合理的时间内，提供项目具体成本测算等与报价合理性相关的书面说明及相关证明材料，对响应价格作出解释，由磋商小组结合同类产品在主要电商平台的价格、该行业当地薪资水平等情况，依据专业经验对供应商报价合理性进行判断。供应商说明应当采用通过“苏采云”系统（使用“CA数字证书”,加盖电子签章）形式。供应商不提供书面说明、证明材料，或者提供的书面说明、证明材料不能证明其报价合理性的，磋商小组应当将其作为无效响应处理。审查相关情况应当在评审报告中进行记录。</w:t>
      </w:r>
      <w:r/>
    </w:p>
    <w:p>
      <w:pPr>
        <w:pStyle w:val="894"/>
        <w:ind w:firstLine="480"/>
        <w:rPr>
          <w:rFonts w:eastAsia="宋体" w:cs="宋体"/>
          <w:b/>
          <w:bCs/>
        </w:rPr>
      </w:pPr>
      <w:r>
        <w:rPr>
          <w:rFonts w:hint="eastAsia" w:eastAsia="宋体" w:cs="宋体"/>
          <w:b/>
          <w:bCs/>
        </w:rPr>
        <w:t xml:space="preserve">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ind w:left="2" w:right="29" w:firstLine="480"/>
        <w:spacing w:line="360" w:lineRule="auto"/>
        <w:rPr>
          <w:rFonts w:ascii="宋体" w:hAnsi="宋体" w:cs="宋体"/>
          <w:sz w:val="24"/>
        </w:rPr>
      </w:pPr>
      <w:r>
        <w:rPr>
          <w:rFonts w:hint="eastAsia" w:ascii="宋体" w:hAnsi="宋体" w:cs="宋体"/>
          <w:sz w:val="24"/>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ind w:firstLine="480"/>
        <w:spacing w:line="360" w:lineRule="auto"/>
        <w:rPr>
          <w:rFonts w:ascii="宋体" w:hAnsi="宋体" w:cs="宋体"/>
          <w:sz w:val="24"/>
        </w:rPr>
      </w:pPr>
      <w:r>
        <w:rPr>
          <w:rFonts w:hint="eastAsia" w:ascii="宋体" w:hAnsi="宋体" w:cs="宋体"/>
          <w:sz w:val="24"/>
        </w:rPr>
        <w:t xml:space="preserve">十六、评审方法和评审标准</w:t>
      </w:r>
      <w:r/>
    </w:p>
    <w:p>
      <w:pPr>
        <w:ind w:firstLine="480"/>
        <w:spacing w:line="360" w:lineRule="auto"/>
        <w:rPr>
          <w:rFonts w:ascii="宋体" w:hAnsi="宋体" w:cs="宋体"/>
          <w:sz w:val="24"/>
        </w:rPr>
      </w:pPr>
      <w:r>
        <w:rPr>
          <w:rFonts w:hint="eastAsia" w:ascii="宋体" w:hAnsi="宋体" w:cs="宋体"/>
          <w:sz w:val="24"/>
        </w:rPr>
        <w:t xml:space="preserve">1、评审方法：综合评分法</w:t>
      </w:r>
      <w:r/>
    </w:p>
    <w:p>
      <w:pPr>
        <w:ind w:left="2" w:right="29" w:firstLine="480"/>
        <w:spacing w:line="360" w:lineRule="auto"/>
        <w:rPr>
          <w:rFonts w:ascii="宋体" w:hAnsi="宋体" w:cs="宋体"/>
          <w:sz w:val="24"/>
        </w:rPr>
      </w:pPr>
      <w:r>
        <w:rPr>
          <w:rFonts w:hint="eastAsia" w:ascii="宋体" w:hAnsi="宋体" w:cs="宋体"/>
          <w:sz w:val="24"/>
        </w:rPr>
        <w:t xml:space="preserve">2、评审标准：详见《磋商文件》附件1、《评分细则》</w:t>
      </w:r>
      <w:r/>
    </w:p>
    <w:p>
      <w:pPr>
        <w:ind w:left="2" w:right="29" w:firstLine="480"/>
        <w:spacing w:line="360" w:lineRule="auto"/>
        <w:rPr>
          <w:rFonts w:ascii="宋体" w:hAnsi="宋体" w:cs="宋体"/>
          <w:sz w:val="24"/>
        </w:rPr>
      </w:pPr>
      <w:r>
        <w:rPr>
          <w:rFonts w:hint="eastAsia" w:ascii="宋体" w:hAnsi="宋体" w:cs="宋体"/>
          <w:sz w:val="24"/>
        </w:rPr>
        <w:t xml:space="preserve">十七、磋商过程中可能实质性变动的内容：在磋商过程中，磋商小组可以根据《磋商文件》和磋商情况实质性变动采购需求中的技术、服务要求以及合同草案条款。</w:t>
      </w:r>
      <w:r/>
    </w:p>
    <w:p>
      <w:pPr>
        <w:ind w:left="-2" w:right="29"/>
        <w:jc w:val="center"/>
        <w:spacing w:line="360" w:lineRule="auto"/>
        <w:rPr>
          <w:rFonts w:ascii="宋体" w:hAnsi="宋体" w:cs="宋体"/>
          <w:b/>
          <w:bCs/>
          <w:sz w:val="24"/>
        </w:rPr>
      </w:pPr>
      <w:r>
        <w:rPr>
          <w:rFonts w:hint="eastAsia" w:ascii="宋体" w:hAnsi="宋体" w:cs="宋体"/>
          <w:b/>
          <w:bCs/>
          <w:sz w:val="28"/>
          <w:szCs w:val="28"/>
        </w:rPr>
        <w:t xml:space="preserve">第五章 确定成交供应商及合同签订等</w:t>
      </w:r>
      <w:r/>
    </w:p>
    <w:p>
      <w:pPr>
        <w:ind w:left="2" w:right="29" w:firstLine="480"/>
        <w:spacing w:line="360" w:lineRule="auto"/>
        <w:rPr>
          <w:rFonts w:ascii="宋体" w:hAnsi="宋体" w:cs="宋体"/>
          <w:sz w:val="24"/>
        </w:rPr>
      </w:pPr>
      <w:r>
        <w:rPr>
          <w:rFonts w:hint="eastAsia" w:ascii="宋体" w:hAnsi="宋体" w:cs="宋体"/>
          <w:sz w:val="24"/>
        </w:rPr>
        <w:t xml:space="preserve">十八、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ind w:firstLine="480"/>
        <w:jc w:val="left"/>
        <w:spacing w:line="360" w:lineRule="auto"/>
        <w:widowControl/>
        <w:rPr>
          <w:rFonts w:ascii="宋体" w:hAnsi="宋体" w:cs="宋体"/>
          <w:sz w:val="24"/>
        </w:rPr>
      </w:pPr>
      <w:r>
        <w:rPr>
          <w:rFonts w:hint="eastAsia" w:ascii="宋体" w:hAnsi="宋体" w:cs="宋体"/>
          <w:sz w:val="24"/>
        </w:rPr>
        <w:t xml:space="preserve">十九、采购人与成交供应商应当在成交通知书发出之日起30日内，按照《磋商文件》确定的合同文本以及采购标的、规格型号、采购金额、采购数量、技术和服务要求等事项签订政府采购合同。</w:t>
      </w:r>
      <w:r/>
    </w:p>
    <w:p>
      <w:pPr>
        <w:ind w:firstLine="480"/>
        <w:jc w:val="left"/>
        <w:spacing w:line="360" w:lineRule="auto"/>
        <w:widowControl/>
        <w:rPr>
          <w:rFonts w:ascii="宋体" w:hAnsi="宋体" w:cs="宋体"/>
          <w:sz w:val="24"/>
        </w:rPr>
      </w:pPr>
      <w:r>
        <w:rPr>
          <w:rFonts w:hint="eastAsia" w:ascii="宋体" w:hAnsi="宋体" w:cs="宋体"/>
          <w:sz w:val="24"/>
        </w:rPr>
        <w:t xml:space="preserve">特别说明：按照《政府采购法》及其实施条例以及相关规定，中标或者成交后无正当理由拒不与采购人签订政府采购合同的, 在一至三年内禁止参加政府采购活动，列入政府采购严重违法失信行为记录名单。</w:t>
      </w:r>
      <w:r/>
    </w:p>
    <w:p>
      <w:pPr>
        <w:ind w:firstLine="480"/>
        <w:jc w:val="left"/>
        <w:spacing w:line="360" w:lineRule="auto"/>
        <w:widowControl/>
        <w:rPr>
          <w:rFonts w:ascii="宋体" w:hAnsi="宋体" w:cs="宋体"/>
          <w:sz w:val="24"/>
        </w:rPr>
      </w:pPr>
      <w:r>
        <w:rPr>
          <w:rFonts w:hint="eastAsia" w:ascii="宋体" w:hAnsi="宋体" w:cs="宋体"/>
          <w:sz w:val="24"/>
        </w:rPr>
        <w:t xml:space="preserve">二十、成交供应商在收到成交通知书时，须向</w:t>
      </w:r>
      <w:r>
        <w:rPr>
          <w:rFonts w:hint="eastAsia" w:ascii="宋体" w:hAnsi="宋体" w:cs="宋体"/>
          <w:sz w:val="24"/>
          <w:lang w:eastAsia="zh-CN"/>
        </w:rPr>
        <w:t xml:space="preserve">上海科立普咨询管理有限公司</w:t>
      </w:r>
      <w:r>
        <w:rPr>
          <w:rFonts w:hint="eastAsia" w:ascii="宋体" w:hAnsi="宋体" w:cs="宋体"/>
          <w:sz w:val="24"/>
        </w:rPr>
        <w:t xml:space="preserve">提交《磋商报价表》（首次响应文件）和《分项价格表》（首次响应文件）的数据文件（WORD格式）。</w:t>
      </w:r>
      <w:r/>
    </w:p>
    <w:p>
      <w:pPr>
        <w:ind w:firstLine="480"/>
        <w:jc w:val="left"/>
        <w:spacing w:line="360" w:lineRule="auto"/>
        <w:rPr>
          <w:rFonts w:ascii="宋体" w:hAnsi="宋体" w:cs="宋体"/>
          <w:sz w:val="24"/>
        </w:rPr>
      </w:pPr>
      <w:r>
        <w:rPr>
          <w:rFonts w:hint="eastAsia" w:ascii="宋体" w:hAnsi="宋体" w:cs="宋体"/>
          <w:sz w:val="24"/>
        </w:rPr>
        <w:t xml:space="preserve">二十一、</w:t>
      </w:r>
      <w:r>
        <w:rPr>
          <w:rFonts w:hint="eastAsia" w:ascii="宋体" w:hAnsi="宋体" w:cs="宋体"/>
          <w:bCs/>
          <w:sz w:val="24"/>
        </w:rPr>
        <w:t xml:space="preserve">供应商应对响应文件的合法性、真实性负责。</w:t>
      </w:r>
      <w:r>
        <w:rPr>
          <w:rFonts w:hint="eastAsia" w:ascii="宋体" w:hAnsi="宋体" w:cs="宋体"/>
          <w:b/>
          <w:bCs/>
          <w:sz w:val="24"/>
        </w:rPr>
        <w:t xml:space="preserve">签订合同前，成交供应商必须向采购人提交其响应文件中所有原件扫描件的原件，采购人核查（核对）无误后，签订合同。如成交供应商不能在采购人规定的时间内向采购人提供原件，将被采购人视为放弃中标（成交）资格。</w:t>
      </w:r>
      <w:r/>
    </w:p>
    <w:p>
      <w:pPr>
        <w:jc w:val="center"/>
        <w:spacing w:line="360" w:lineRule="auto"/>
        <w:rPr>
          <w:rFonts w:ascii="宋体" w:hAnsi="宋体" w:cs="宋体"/>
          <w:b/>
          <w:bCs/>
          <w:sz w:val="28"/>
          <w:szCs w:val="28"/>
        </w:rPr>
        <w:outlineLvl w:val="0"/>
      </w:pPr>
      <w:r/>
      <w:bookmarkStart w:id="4" w:name="_Toc9409"/>
      <w:r>
        <w:rPr>
          <w:rFonts w:hint="eastAsia" w:ascii="宋体" w:hAnsi="宋体" w:cs="宋体"/>
          <w:b/>
          <w:bCs/>
          <w:sz w:val="28"/>
          <w:szCs w:val="28"/>
        </w:rPr>
        <w:t xml:space="preserve">第六章 磋商文件的澄清或者修改</w:t>
      </w:r>
      <w:bookmarkEnd w:id="4"/>
      <w:r/>
      <w:r/>
    </w:p>
    <w:p>
      <w:pPr>
        <w:ind w:firstLine="480"/>
        <w:jc w:val="left"/>
        <w:spacing w:line="360" w:lineRule="auto"/>
        <w:widowControl/>
        <w:rPr>
          <w:rFonts w:ascii="宋体" w:hAnsi="宋体" w:cs="宋体"/>
          <w:sz w:val="24"/>
        </w:rPr>
      </w:pPr>
      <w:r>
        <w:rPr>
          <w:rFonts w:hint="eastAsia" w:ascii="宋体" w:hAnsi="宋体" w:cs="宋体"/>
          <w:sz w:val="24"/>
        </w:rPr>
        <w:t xml:space="preserve">二十二、《磋商文件》的澄清或者修改</w:t>
      </w:r>
      <w:r/>
    </w:p>
    <w:p>
      <w:pPr>
        <w:ind w:firstLine="480"/>
        <w:jc w:val="left"/>
        <w:spacing w:line="360" w:lineRule="auto"/>
        <w:rPr>
          <w:rFonts w:ascii="宋体" w:hAnsi="宋体" w:cs="宋体"/>
          <w:sz w:val="24"/>
        </w:rPr>
      </w:pPr>
      <w:r>
        <w:rPr>
          <w:rFonts w:hint="eastAsia" w:ascii="宋体" w:hAnsi="宋体" w:cs="宋体"/>
          <w:sz w:val="24"/>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jc w:val="center"/>
        <w:spacing w:line="360" w:lineRule="auto"/>
        <w:rPr>
          <w:rFonts w:ascii="宋体" w:hAnsi="宋体" w:cs="宋体"/>
          <w:b/>
          <w:bCs/>
          <w:sz w:val="28"/>
          <w:szCs w:val="28"/>
        </w:rPr>
        <w:outlineLvl w:val="0"/>
      </w:pPr>
      <w:r/>
      <w:bookmarkStart w:id="5" w:name="_Toc22287"/>
      <w:r>
        <w:rPr>
          <w:rFonts w:hint="eastAsia" w:ascii="宋体" w:hAnsi="宋体" w:cs="宋体"/>
          <w:b/>
          <w:bCs/>
          <w:sz w:val="28"/>
          <w:szCs w:val="28"/>
        </w:rPr>
        <w:t xml:space="preserve">第七章 询问和质疑</w:t>
      </w:r>
      <w:bookmarkEnd w:id="5"/>
      <w:r/>
      <w:r/>
    </w:p>
    <w:p>
      <w:pPr>
        <w:ind w:firstLine="480"/>
        <w:jc w:val="left"/>
        <w:spacing w:line="360" w:lineRule="auto"/>
        <w:widowControl/>
        <w:rPr>
          <w:rFonts w:ascii="宋体" w:hAnsi="宋体" w:cs="宋体"/>
          <w:sz w:val="24"/>
        </w:rPr>
      </w:pPr>
      <w:r>
        <w:rPr>
          <w:rFonts w:hint="eastAsia" w:ascii="宋体" w:hAnsi="宋体" w:cs="宋体"/>
          <w:sz w:val="24"/>
        </w:rPr>
        <w:t xml:space="preserve">二十三、询问和质疑</w:t>
      </w:r>
      <w:r/>
    </w:p>
    <w:p>
      <w:pPr>
        <w:ind w:firstLine="480"/>
        <w:spacing w:line="360" w:lineRule="auto"/>
        <w:rPr>
          <w:rFonts w:ascii="宋体" w:hAnsi="宋体" w:cs="宋体"/>
          <w:sz w:val="24"/>
        </w:rPr>
      </w:pPr>
      <w:r>
        <w:rPr>
          <w:rFonts w:hint="eastAsia" w:ascii="宋体" w:hAnsi="宋体" w:cs="宋体"/>
          <w:sz w:val="24"/>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480"/>
        <w:spacing w:line="360" w:lineRule="auto"/>
        <w:rPr>
          <w:rFonts w:ascii="宋体" w:hAnsi="宋体" w:cs="宋体"/>
          <w:sz w:val="24"/>
        </w:rPr>
      </w:pPr>
      <w:r>
        <w:rPr>
          <w:rFonts w:hint="eastAsia" w:ascii="宋体" w:hAnsi="宋体" w:cs="宋体"/>
          <w:sz w:val="24"/>
        </w:rPr>
        <w:t xml:space="preserve">2、质疑和投诉按《政府采购质疑和投诉办法》执行。</w:t>
      </w:r>
      <w:r/>
    </w:p>
    <w:p>
      <w:pPr>
        <w:ind w:firstLine="480"/>
        <w:spacing w:line="360" w:lineRule="auto"/>
        <w:rPr>
          <w:rFonts w:ascii="宋体" w:hAnsi="宋体" w:cs="宋体"/>
          <w:sz w:val="24"/>
        </w:rPr>
      </w:pPr>
      <w:r>
        <w:rPr>
          <w:rFonts w:hint="eastAsia" w:ascii="宋体" w:hAnsi="宋体" w:cs="宋体"/>
          <w:sz w:val="24"/>
        </w:rPr>
        <w:t xml:space="preserve">3、供应商对同一采购程序环节的质疑应在质疑期内一次性提出。</w:t>
      </w:r>
      <w:r/>
    </w:p>
    <w:p>
      <w:pPr>
        <w:pStyle w:val="898"/>
        <w:ind w:firstLine="480"/>
        <w:spacing w:line="360" w:lineRule="auto"/>
        <w:rPr>
          <w:rFonts w:hint="eastAsia" w:ascii="宋体" w:hAnsi="宋体" w:eastAsia="宋体" w:cs="宋体"/>
          <w:sz w:val="24"/>
          <w:lang w:eastAsia="zh-CN"/>
        </w:rPr>
      </w:pPr>
      <w:r>
        <w:rPr>
          <w:rFonts w:hint="eastAsia" w:ascii="宋体" w:hAnsi="宋体" w:cs="宋体"/>
          <w:sz w:val="24"/>
        </w:rPr>
        <w:t xml:space="preserve">质疑接收人：</w:t>
      </w:r>
      <w:r>
        <w:rPr>
          <w:rFonts w:hint="eastAsia" w:ascii="宋体" w:hAnsi="宋体" w:cs="宋体"/>
          <w:sz w:val="24"/>
          <w:lang w:val="en-US" w:eastAsia="zh-CN"/>
        </w:rPr>
        <w:t xml:space="preserve">王辉</w:t>
      </w:r>
      <w:r>
        <w:rPr>
          <w:rFonts w:hint="eastAsia" w:ascii="宋体" w:hAnsi="宋体" w:cs="宋体"/>
          <w:sz w:val="24"/>
        </w:rPr>
        <w:t xml:space="preserve">        联系电话：</w:t>
      </w:r>
      <w:r>
        <w:rPr>
          <w:rFonts w:hint="eastAsia" w:ascii="宋体" w:hAnsi="宋体" w:cs="宋体"/>
          <w:sz w:val="24"/>
          <w:lang w:val="en-US" w:eastAsia="zh-CN"/>
        </w:rPr>
        <w:t xml:space="preserve">18952191010</w:t>
      </w:r>
      <w:r/>
    </w:p>
    <w:p>
      <w:pPr>
        <w:ind w:firstLine="480"/>
        <w:spacing w:line="360" w:lineRule="auto"/>
        <w:rPr>
          <w:rFonts w:hint="default" w:ascii="宋体" w:hAnsi="宋体" w:eastAsia="宋体" w:cs="宋体"/>
          <w:sz w:val="24"/>
          <w:lang w:val="en-US" w:eastAsia="zh-CN"/>
        </w:rPr>
      </w:pPr>
      <w:r>
        <w:rPr>
          <w:rFonts w:hint="eastAsia" w:ascii="宋体" w:hAnsi="宋体" w:cs="宋体"/>
          <w:sz w:val="24"/>
        </w:rPr>
        <w:t xml:space="preserve">地址：</w:t>
      </w:r>
      <w:r>
        <w:rPr>
          <w:rFonts w:hint="eastAsia" w:ascii="宋体" w:hAnsi="宋体" w:cs="宋体"/>
          <w:sz w:val="24"/>
          <w:lang w:val="en-US" w:eastAsia="zh-CN"/>
        </w:rPr>
        <w:t xml:space="preserve">沛县翰林世家8号楼20层</w:t>
      </w:r>
      <w:r/>
    </w:p>
    <w:p>
      <w:pPr>
        <w:jc w:val="center"/>
        <w:spacing w:line="360" w:lineRule="auto"/>
        <w:rPr>
          <w:rFonts w:ascii="宋体" w:hAnsi="宋体" w:cs="宋体"/>
          <w:b/>
          <w:bCs/>
          <w:sz w:val="28"/>
          <w:szCs w:val="28"/>
        </w:rPr>
        <w:outlineLvl w:val="0"/>
      </w:pPr>
      <w:r/>
      <w:bookmarkStart w:id="6" w:name="_Toc1811"/>
      <w:r>
        <w:rPr>
          <w:rFonts w:hint="eastAsia" w:ascii="宋体" w:hAnsi="宋体" w:cs="宋体"/>
          <w:b/>
          <w:bCs/>
          <w:sz w:val="28"/>
          <w:szCs w:val="28"/>
        </w:rPr>
        <w:t xml:space="preserve">第八章 其他</w:t>
      </w:r>
      <w:bookmarkEnd w:id="6"/>
      <w:r/>
      <w:r/>
    </w:p>
    <w:p>
      <w:pPr>
        <w:ind w:firstLine="480"/>
        <w:spacing w:line="360" w:lineRule="auto"/>
        <w:rPr>
          <w:rFonts w:ascii="宋体" w:hAnsi="宋体" w:cs="宋体"/>
          <w:sz w:val="24"/>
        </w:rPr>
      </w:pPr>
      <w:r>
        <w:rPr>
          <w:rFonts w:hint="eastAsia" w:ascii="宋体" w:hAnsi="宋体" w:cs="宋体"/>
          <w:sz w:val="24"/>
        </w:rPr>
        <w:t xml:space="preserve">1、代理服务费由成交人向采购代理机构支付，收取标准见附件。</w:t>
      </w:r>
      <w:r/>
    </w:p>
    <w:p>
      <w:pPr>
        <w:ind w:firstLine="480"/>
        <w:spacing w:line="360" w:lineRule="auto"/>
        <w:rPr>
          <w:rFonts w:ascii="宋体" w:hAnsi="宋体" w:cs="宋体"/>
          <w:sz w:val="24"/>
        </w:rPr>
      </w:pPr>
      <w:r>
        <w:rPr>
          <w:rFonts w:hint="eastAsia" w:ascii="宋体" w:hAnsi="宋体" w:cs="宋体"/>
          <w:sz w:val="24"/>
        </w:rPr>
        <w:t xml:space="preserve">2、成交结果在徐州政府采购网https://czj.xz.gov.cn/zfcg/上公布。</w:t>
      </w:r>
      <w:r/>
    </w:p>
    <w:p>
      <w:pPr>
        <w:ind w:firstLine="480"/>
        <w:spacing w:line="360" w:lineRule="auto"/>
        <w:rPr>
          <w:rFonts w:hint="eastAsia" w:ascii="宋体" w:hAnsi="宋体" w:eastAsia="宋体" w:cs="宋体"/>
          <w:sz w:val="24"/>
          <w:lang w:eastAsia="zh-CN"/>
        </w:rPr>
      </w:pPr>
      <w:r>
        <w:rPr>
          <w:rFonts w:hint="eastAsia" w:ascii="宋体" w:hAnsi="宋体" w:cs="宋体"/>
          <w:sz w:val="24"/>
        </w:rPr>
        <w:t xml:space="preserve">3、采购人：</w:t>
      </w:r>
      <w:r>
        <w:rPr>
          <w:rFonts w:hint="eastAsia" w:ascii="宋体" w:hAnsi="宋体" w:cs="宋体"/>
          <w:sz w:val="24"/>
          <w:lang w:eastAsia="zh-CN"/>
        </w:rPr>
        <w:t xml:space="preserve">沛县公安局</w:t>
      </w:r>
      <w:r/>
    </w:p>
    <w:p>
      <w:pPr>
        <w:ind w:firstLine="480"/>
        <w:spacing w:line="360" w:lineRule="auto"/>
        <w:rPr>
          <w:rFonts w:hint="default" w:ascii="宋体" w:hAnsi="宋体" w:cs="宋体"/>
          <w:sz w:val="24"/>
          <w:lang w:val="en-US"/>
        </w:rPr>
      </w:pPr>
      <w:r>
        <w:rPr>
          <w:rFonts w:hint="eastAsia" w:ascii="宋体" w:hAnsi="宋体" w:cs="宋体"/>
          <w:sz w:val="24"/>
        </w:rPr>
        <w:t xml:space="preserve">地址：</w:t>
      </w:r>
      <w:r>
        <w:rPr>
          <w:rFonts w:hint="eastAsia" w:ascii="宋体" w:hAnsi="宋体" w:cs="宋体"/>
          <w:sz w:val="24"/>
          <w:lang w:eastAsia="zh-CN"/>
        </w:rPr>
        <w:t xml:space="preserve">沛县</w:t>
      </w:r>
      <w:r>
        <w:rPr>
          <w:rFonts w:hint="eastAsia" w:ascii="宋体" w:hAnsi="宋体" w:cs="宋体"/>
          <w:sz w:val="24"/>
          <w:lang w:val="en-US" w:eastAsia="zh-CN"/>
        </w:rPr>
        <w:t xml:space="preserve">沛公路8号</w:t>
      </w:r>
      <w:r/>
    </w:p>
    <w:p>
      <w:pPr>
        <w:ind w:firstLine="480"/>
        <w:spacing w:line="360" w:lineRule="auto"/>
        <w:rPr>
          <w:rFonts w:ascii="宋体" w:hAnsi="宋体" w:cs="宋体"/>
          <w:sz w:val="24"/>
        </w:rPr>
      </w:pPr>
      <w:r>
        <w:rPr>
          <w:rStyle w:val="1129"/>
          <w:rFonts w:hint="eastAsia" w:ascii="宋体" w:hAnsi="宋体" w:cs="宋体"/>
          <w:sz w:val="24"/>
        </w:rPr>
        <w:t xml:space="preserve">联系人：王云龙             联系电话：18251596166</w:t>
      </w:r>
      <w:r/>
    </w:p>
    <w:p>
      <w:pPr>
        <w:pStyle w:val="899"/>
        <w:ind w:firstLine="480"/>
        <w:jc w:val="left"/>
        <w:spacing w:line="360" w:lineRule="auto"/>
        <w:widowControl w:val="off"/>
        <w:rPr>
          <w:rStyle w:val="1129"/>
          <w:rFonts w:hint="eastAsia" w:ascii="宋体" w:hAnsi="宋体" w:eastAsia="宋体" w:cs="宋体"/>
          <w:sz w:val="24"/>
          <w:lang w:eastAsia="zh-CN"/>
        </w:rPr>
      </w:pPr>
      <w:r>
        <w:rPr>
          <w:rFonts w:hint="eastAsia" w:ascii="宋体" w:hAnsi="宋体" w:cs="宋体"/>
          <w:sz w:val="24"/>
        </w:rPr>
        <w:t xml:space="preserve">4、</w:t>
      </w:r>
      <w:r>
        <w:rPr>
          <w:rStyle w:val="1129"/>
          <w:rFonts w:hint="eastAsia" w:ascii="宋体" w:hAnsi="宋体" w:cs="宋体"/>
          <w:sz w:val="24"/>
        </w:rPr>
        <w:t xml:space="preserve">采购代理公司：</w:t>
      </w:r>
      <w:r>
        <w:rPr>
          <w:rStyle w:val="1129"/>
          <w:rFonts w:hint="eastAsia" w:ascii="宋体" w:hAnsi="宋体" w:cs="宋体"/>
          <w:sz w:val="24"/>
          <w:lang w:eastAsia="zh-CN"/>
        </w:rPr>
        <w:t xml:space="preserve">上海科立普咨询管理有限公司</w:t>
      </w:r>
      <w:r/>
    </w:p>
    <w:p>
      <w:pPr>
        <w:pStyle w:val="898"/>
        <w:ind w:firstLine="480"/>
        <w:spacing w:line="360" w:lineRule="auto"/>
        <w:rPr>
          <w:rFonts w:hint="eastAsia" w:ascii="宋体" w:hAnsi="宋体" w:eastAsia="宋体" w:cs="宋体"/>
          <w:sz w:val="24"/>
          <w:lang w:eastAsia="zh-CN"/>
        </w:rPr>
      </w:pPr>
      <w:r>
        <w:rPr>
          <w:rFonts w:hint="eastAsia" w:ascii="宋体" w:hAnsi="宋体" w:cs="宋体"/>
          <w:sz w:val="24"/>
        </w:rPr>
        <w:t xml:space="preserve">地址：</w:t>
      </w:r>
      <w:r>
        <w:rPr>
          <w:rFonts w:hint="eastAsia" w:ascii="宋体" w:hAnsi="宋体" w:cs="宋体"/>
          <w:sz w:val="24"/>
          <w:lang w:eastAsia="zh-CN"/>
        </w:rPr>
        <w:t xml:space="preserve">沛县翰林世家8号楼20层</w:t>
      </w:r>
      <w:r/>
    </w:p>
    <w:p>
      <w:pPr>
        <w:pStyle w:val="898"/>
        <w:ind w:firstLine="480"/>
        <w:spacing w:line="360" w:lineRule="auto"/>
        <w:rPr>
          <w:rStyle w:val="1129"/>
          <w:rFonts w:ascii="宋体" w:hAnsi="宋体" w:cs="宋体"/>
          <w:sz w:val="24"/>
        </w:rPr>
      </w:pPr>
      <w:r>
        <w:rPr>
          <w:rFonts w:hint="eastAsia" w:ascii="宋体" w:hAnsi="宋体" w:cs="宋体"/>
          <w:bCs/>
          <w:sz w:val="24"/>
        </w:rPr>
        <w:t xml:space="preserve">采购项目联系人：</w:t>
      </w:r>
      <w:r>
        <w:rPr>
          <w:rFonts w:hint="eastAsia" w:ascii="宋体" w:hAnsi="宋体" w:cs="宋体"/>
          <w:sz w:val="24"/>
          <w:lang w:val="en-US" w:eastAsia="zh-CN"/>
        </w:rPr>
        <w:t xml:space="preserve">王辉</w:t>
      </w:r>
      <w:r>
        <w:rPr>
          <w:rFonts w:hint="eastAsia" w:ascii="宋体" w:hAnsi="宋体" w:cs="宋体"/>
          <w:sz w:val="24"/>
        </w:rPr>
        <w:t xml:space="preserve">        联系电话：</w:t>
      </w:r>
      <w:r>
        <w:rPr>
          <w:rFonts w:hint="eastAsia" w:ascii="宋体" w:hAnsi="宋体" w:cs="宋体"/>
          <w:sz w:val="24"/>
          <w:lang w:val="en-US" w:eastAsia="zh-CN"/>
        </w:rPr>
        <w:t xml:space="preserve">18952191010</w:t>
      </w:r>
      <w:r>
        <w:rPr>
          <w:rFonts w:hint="eastAsia" w:ascii="宋体" w:hAnsi="宋体" w:cs="宋体"/>
          <w:sz w:val="24"/>
        </w:rPr>
        <w:t xml:space="preserve">6</w:t>
      </w:r>
      <w:r/>
    </w:p>
    <w:p>
      <w:pPr>
        <w:rPr>
          <w:rFonts w:ascii="宋体" w:hAnsi="宋体" w:cs="宋体"/>
          <w:sz w:val="28"/>
          <w:szCs w:val="28"/>
        </w:rPr>
      </w:pPr>
      <w:r>
        <w:rPr>
          <w:rFonts w:hint="eastAsia" w:ascii="宋体" w:hAnsi="宋体" w:cs="宋体"/>
          <w:sz w:val="28"/>
          <w:szCs w:val="28"/>
        </w:rPr>
        <w:br w:type="page" w:clear="all"/>
      </w:r>
      <w:r/>
    </w:p>
    <w:p>
      <w:pPr>
        <w:jc w:val="center"/>
        <w:spacing w:line="360" w:lineRule="auto"/>
        <w:rPr>
          <w:rFonts w:ascii="宋体" w:hAnsi="宋体" w:cs="宋体"/>
          <w:b/>
          <w:bCs/>
          <w:sz w:val="28"/>
          <w:szCs w:val="28"/>
        </w:rPr>
        <w:outlineLvl w:val="0"/>
      </w:pPr>
      <w:r/>
      <w:bookmarkStart w:id="7" w:name="_Toc22444"/>
      <w:r>
        <w:rPr>
          <w:rFonts w:hint="eastAsia" w:ascii="宋体" w:hAnsi="宋体" w:cs="宋体"/>
          <w:b/>
          <w:bCs/>
          <w:sz w:val="28"/>
          <w:szCs w:val="28"/>
        </w:rPr>
        <w:t xml:space="preserve">第九章 附件</w:t>
      </w:r>
      <w:bookmarkEnd w:id="7"/>
      <w:r/>
      <w:r/>
    </w:p>
    <w:p>
      <w:pPr>
        <w:ind w:firstLine="480"/>
        <w:spacing w:line="360" w:lineRule="auto"/>
        <w:rPr>
          <w:rFonts w:ascii="宋体" w:hAnsi="宋体" w:cs="宋体"/>
          <w:sz w:val="24"/>
        </w:rPr>
      </w:pPr>
      <w:r/>
      <w:bookmarkStart w:id="8" w:name="_Hlk81899242"/>
      <w:r>
        <w:rPr>
          <w:rFonts w:hint="eastAsia" w:ascii="宋体" w:hAnsi="宋体" w:cs="宋体"/>
          <w:sz w:val="24"/>
        </w:rPr>
        <w:t xml:space="preserve">1、《评分细则》</w:t>
      </w:r>
      <w:r/>
    </w:p>
    <w:p>
      <w:pPr>
        <w:ind w:firstLine="480"/>
        <w:spacing w:line="360" w:lineRule="auto"/>
        <w:rPr>
          <w:rFonts w:ascii="宋体" w:hAnsi="宋体" w:cs="宋体"/>
          <w:sz w:val="24"/>
        </w:rPr>
      </w:pPr>
      <w:r>
        <w:rPr>
          <w:rFonts w:hint="eastAsia" w:ascii="宋体" w:hAnsi="宋体" w:cs="宋体"/>
          <w:sz w:val="24"/>
        </w:rPr>
        <w:t xml:space="preserve">2、《项目要求（采购需求）》</w:t>
      </w:r>
      <w:r/>
    </w:p>
    <w:p>
      <w:pPr>
        <w:ind w:firstLine="480"/>
        <w:spacing w:line="360" w:lineRule="auto"/>
        <w:rPr>
          <w:rFonts w:ascii="宋体" w:hAnsi="宋体" w:cs="宋体"/>
          <w:sz w:val="24"/>
        </w:rPr>
      </w:pPr>
      <w:r>
        <w:rPr>
          <w:rFonts w:hint="eastAsia" w:ascii="宋体" w:hAnsi="宋体" w:cs="宋体"/>
          <w:sz w:val="24"/>
        </w:rPr>
        <w:t xml:space="preserve">3、《磋商报价表》</w:t>
      </w:r>
      <w:r/>
    </w:p>
    <w:p>
      <w:pPr>
        <w:ind w:firstLine="480"/>
        <w:spacing w:line="360" w:lineRule="auto"/>
        <w:rPr>
          <w:rFonts w:ascii="宋体" w:hAnsi="宋体" w:cs="宋体"/>
          <w:sz w:val="24"/>
        </w:rPr>
      </w:pPr>
      <w:r>
        <w:rPr>
          <w:rFonts w:hint="eastAsia" w:ascii="宋体" w:hAnsi="宋体" w:cs="宋体"/>
          <w:sz w:val="24"/>
        </w:rPr>
        <w:t xml:space="preserve">4、《</w:t>
      </w:r>
      <w:r>
        <w:rPr>
          <w:rFonts w:hint="eastAsia" w:ascii="宋体" w:hAnsi="宋体" w:cs="宋体"/>
          <w:bCs/>
          <w:sz w:val="24"/>
        </w:rPr>
        <w:t xml:space="preserve">分项价格表</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lang w:val="en-US" w:eastAsia="zh-CN"/>
        </w:rPr>
        <w:t xml:space="preserve">5</w:t>
      </w:r>
      <w:r>
        <w:rPr>
          <w:rFonts w:hint="eastAsia" w:ascii="宋体" w:hAnsi="宋体" w:cs="宋体"/>
          <w:sz w:val="24"/>
        </w:rPr>
        <w:t xml:space="preserve">、《偏离表》</w:t>
      </w:r>
      <w:r/>
    </w:p>
    <w:p>
      <w:pPr>
        <w:ind w:firstLine="480"/>
        <w:spacing w:line="360" w:lineRule="auto"/>
        <w:rPr>
          <w:rFonts w:ascii="宋体" w:hAnsi="宋体" w:cs="宋体"/>
          <w:sz w:val="24"/>
        </w:rPr>
      </w:pPr>
      <w:r>
        <w:rPr>
          <w:rFonts w:hint="eastAsia" w:ascii="宋体" w:hAnsi="宋体" w:cs="宋体"/>
          <w:sz w:val="24"/>
          <w:lang w:val="en-US" w:eastAsia="zh-CN"/>
        </w:rPr>
        <w:t xml:space="preserve">6</w:t>
      </w:r>
      <w:r>
        <w:rPr>
          <w:rFonts w:hint="eastAsia" w:ascii="宋体" w:hAnsi="宋体" w:cs="宋体"/>
          <w:sz w:val="24"/>
        </w:rPr>
        <w:t xml:space="preserve">、《合同草案条款》</w:t>
      </w:r>
      <w:r/>
    </w:p>
    <w:p>
      <w:pPr>
        <w:ind w:firstLine="480"/>
        <w:spacing w:line="360" w:lineRule="auto"/>
        <w:rPr>
          <w:rFonts w:ascii="宋体" w:hAnsi="宋体" w:cs="宋体"/>
          <w:sz w:val="24"/>
        </w:rPr>
      </w:pPr>
      <w:r>
        <w:rPr>
          <w:rFonts w:hint="eastAsia" w:ascii="宋体" w:hAnsi="宋体" w:cs="宋体"/>
          <w:sz w:val="24"/>
          <w:lang w:val="en-US" w:eastAsia="zh-CN"/>
        </w:rPr>
        <w:t xml:space="preserve">7</w:t>
      </w:r>
      <w:r>
        <w:rPr>
          <w:rFonts w:hint="eastAsia" w:ascii="宋体" w:hAnsi="宋体" w:cs="宋体"/>
          <w:sz w:val="24"/>
        </w:rPr>
        <w:t xml:space="preserve">、《承诺书》</w:t>
      </w:r>
      <w:r/>
    </w:p>
    <w:p>
      <w:pPr>
        <w:ind w:firstLine="480"/>
        <w:spacing w:line="360" w:lineRule="auto"/>
        <w:rPr>
          <w:rFonts w:ascii="宋体" w:hAnsi="宋体" w:cs="宋体"/>
          <w:sz w:val="24"/>
        </w:rPr>
      </w:pPr>
      <w:r>
        <w:rPr>
          <w:rFonts w:hint="eastAsia" w:ascii="宋体" w:hAnsi="宋体" w:cs="宋体"/>
          <w:sz w:val="24"/>
          <w:lang w:val="en-US" w:eastAsia="zh-CN"/>
        </w:rPr>
        <w:t xml:space="preserve">8</w:t>
      </w:r>
      <w:r>
        <w:rPr>
          <w:rFonts w:hint="eastAsia" w:ascii="宋体" w:hAnsi="宋体" w:cs="宋体"/>
          <w:sz w:val="24"/>
        </w:rPr>
        <w:t xml:space="preserve">、《授权委托书》</w:t>
      </w:r>
      <w:r/>
    </w:p>
    <w:p>
      <w:pPr>
        <w:ind w:firstLine="480"/>
        <w:spacing w:line="360" w:lineRule="auto"/>
        <w:rPr>
          <w:rFonts w:ascii="宋体" w:hAnsi="宋体" w:cs="宋体"/>
          <w:sz w:val="24"/>
        </w:rPr>
      </w:pPr>
      <w:r>
        <w:rPr>
          <w:rFonts w:hint="eastAsia" w:ascii="宋体" w:hAnsi="宋体" w:cs="宋体"/>
          <w:sz w:val="24"/>
          <w:lang w:val="en-US" w:eastAsia="zh-CN"/>
        </w:rPr>
        <w:t xml:space="preserve">9</w:t>
      </w:r>
      <w:r>
        <w:rPr>
          <w:rFonts w:hint="eastAsia" w:ascii="宋体" w:hAnsi="宋体" w:cs="宋体"/>
          <w:sz w:val="24"/>
        </w:rPr>
        <w:t xml:space="preserve">、《中小企业声明函》及自测小程序</w:t>
      </w:r>
      <w:r/>
    </w:p>
    <w:p>
      <w:pPr>
        <w:ind w:firstLine="480"/>
        <w:spacing w:line="360" w:lineRule="auto"/>
        <w:rPr>
          <w:rFonts w:ascii="宋体" w:hAnsi="宋体" w:cs="宋体"/>
          <w:sz w:val="24"/>
        </w:rPr>
      </w:pPr>
      <w:r>
        <w:rPr>
          <w:rFonts w:hint="eastAsia" w:ascii="宋体" w:hAnsi="宋体" w:cs="宋体"/>
          <w:sz w:val="24"/>
        </w:rPr>
        <w:t xml:space="preserve">1</w:t>
      </w:r>
      <w:r>
        <w:rPr>
          <w:rFonts w:hint="eastAsia" w:ascii="宋体" w:hAnsi="宋体" w:cs="宋体"/>
          <w:sz w:val="24"/>
          <w:lang w:val="en-US" w:eastAsia="zh-CN"/>
        </w:rPr>
        <w:t xml:space="preserve">0</w:t>
      </w:r>
      <w:r>
        <w:rPr>
          <w:rFonts w:hint="eastAsia" w:ascii="宋体" w:hAnsi="宋体" w:cs="宋体"/>
          <w:sz w:val="24"/>
        </w:rPr>
        <w:t xml:space="preserve">、《供应商参加政府采购活动前3年内在经营活动中没有重大违法记录的书面声明》</w:t>
      </w:r>
      <w:r/>
    </w:p>
    <w:p>
      <w:pPr>
        <w:ind w:firstLine="480"/>
        <w:spacing w:line="360" w:lineRule="auto"/>
        <w:rPr>
          <w:rFonts w:ascii="宋体" w:hAnsi="宋体" w:cs="宋体"/>
          <w:sz w:val="24"/>
        </w:rPr>
      </w:pPr>
      <w:r>
        <w:rPr>
          <w:rFonts w:hint="eastAsia" w:ascii="宋体" w:hAnsi="宋体" w:cs="宋体"/>
          <w:sz w:val="24"/>
        </w:rPr>
        <w:t xml:space="preserve">1</w:t>
      </w:r>
      <w:r>
        <w:rPr>
          <w:rFonts w:hint="eastAsia" w:ascii="宋体" w:hAnsi="宋体" w:cs="宋体"/>
          <w:sz w:val="24"/>
          <w:lang w:val="en-US" w:eastAsia="zh-CN"/>
        </w:rPr>
        <w:t xml:space="preserve">1</w:t>
      </w:r>
      <w:r>
        <w:rPr>
          <w:rFonts w:hint="eastAsia" w:ascii="宋体" w:hAnsi="宋体" w:cs="宋体"/>
          <w:sz w:val="24"/>
        </w:rPr>
        <w:t xml:space="preserve">、《具备履行合同所必需的设备和专业技术能力的书面声明》</w:t>
      </w:r>
      <w:r/>
    </w:p>
    <w:p>
      <w:pPr>
        <w:ind w:firstLine="480"/>
        <w:spacing w:line="360" w:lineRule="auto"/>
        <w:rPr>
          <w:rFonts w:ascii="宋体" w:hAnsi="宋体" w:cs="宋体"/>
          <w:sz w:val="24"/>
        </w:rPr>
      </w:pPr>
      <w:r>
        <w:rPr>
          <w:rFonts w:hint="eastAsia" w:ascii="宋体" w:hAnsi="宋体" w:cs="宋体"/>
          <w:sz w:val="24"/>
        </w:rPr>
        <w:t xml:space="preserve">1</w:t>
      </w:r>
      <w:r>
        <w:rPr>
          <w:rFonts w:hint="eastAsia" w:ascii="宋体" w:hAnsi="宋体" w:cs="宋体"/>
          <w:sz w:val="24"/>
          <w:lang w:val="en-US" w:eastAsia="zh-CN"/>
        </w:rPr>
        <w:t xml:space="preserve">2</w:t>
      </w:r>
      <w:r>
        <w:rPr>
          <w:rFonts w:hint="eastAsia" w:ascii="宋体" w:hAnsi="宋体" w:cs="宋体"/>
          <w:sz w:val="24"/>
        </w:rPr>
        <w:t xml:space="preserve">、《残疾人福利性单位声明函》</w:t>
      </w:r>
      <w:r/>
    </w:p>
    <w:p>
      <w:pPr>
        <w:ind w:firstLine="480"/>
        <w:spacing w:line="360" w:lineRule="auto"/>
        <w:rPr>
          <w:rFonts w:ascii="宋体" w:hAnsi="宋体" w:cs="宋体"/>
          <w:sz w:val="24"/>
        </w:rPr>
      </w:pPr>
      <w:r>
        <w:rPr>
          <w:rFonts w:hint="eastAsia" w:ascii="宋体" w:hAnsi="宋体" w:cs="宋体"/>
          <w:sz w:val="24"/>
        </w:rPr>
        <w:t xml:space="preserve">1</w:t>
      </w:r>
      <w:r>
        <w:rPr>
          <w:rFonts w:hint="eastAsia" w:ascii="宋体" w:hAnsi="宋体" w:cs="宋体"/>
          <w:sz w:val="24"/>
          <w:lang w:val="en-US" w:eastAsia="zh-CN"/>
        </w:rPr>
        <w:t xml:space="preserve">3</w:t>
      </w:r>
      <w:r>
        <w:rPr>
          <w:rFonts w:hint="eastAsia" w:ascii="宋体" w:hAnsi="宋体" w:cs="宋体"/>
          <w:sz w:val="24"/>
        </w:rPr>
        <w:t xml:space="preserve">、《预付款保函》</w:t>
      </w:r>
      <w:r/>
    </w:p>
    <w:p>
      <w:pPr>
        <w:ind w:firstLine="480"/>
        <w:spacing w:line="360" w:lineRule="auto"/>
        <w:rPr>
          <w:rFonts w:ascii="宋体" w:hAnsi="宋体" w:cs="宋体"/>
          <w:sz w:val="24"/>
        </w:rPr>
      </w:pPr>
      <w:r>
        <w:rPr>
          <w:rFonts w:hint="eastAsia" w:ascii="宋体" w:hAnsi="宋体" w:cs="宋体"/>
          <w:sz w:val="24"/>
        </w:rPr>
        <w:t xml:space="preserve">1</w:t>
      </w:r>
      <w:r>
        <w:rPr>
          <w:rFonts w:hint="eastAsia" w:ascii="宋体" w:hAnsi="宋体" w:cs="宋体"/>
          <w:sz w:val="24"/>
          <w:lang w:val="en-US" w:eastAsia="zh-CN"/>
        </w:rPr>
        <w:t xml:space="preserve">4</w:t>
      </w:r>
      <w:r>
        <w:rPr>
          <w:rFonts w:hint="eastAsia" w:ascii="宋体" w:hAnsi="宋体" w:cs="宋体"/>
          <w:sz w:val="24"/>
        </w:rPr>
        <w:t xml:space="preserve">、《代理服务收费标准》</w:t>
      </w:r>
      <w:bookmarkEnd w:id="8"/>
      <w:r/>
      <w:r/>
    </w:p>
    <w:p>
      <w:pPr>
        <w:ind w:firstLine="480"/>
        <w:jc w:val="right"/>
        <w:spacing w:line="360" w:lineRule="auto"/>
        <w:rPr>
          <w:rFonts w:ascii="宋体" w:hAnsi="宋体" w:cs="宋体"/>
          <w:sz w:val="24"/>
        </w:rPr>
      </w:pPr>
      <w:r>
        <w:rPr>
          <w:rFonts w:ascii="宋体" w:hAnsi="宋体" w:cs="宋体"/>
          <w:sz w:val="24"/>
        </w:rPr>
      </w:r>
      <w:r/>
    </w:p>
    <w:p>
      <w:pPr>
        <w:ind w:firstLine="480"/>
        <w:jc w:val="right"/>
        <w:spacing w:line="360" w:lineRule="auto"/>
        <w:rPr>
          <w:rFonts w:ascii="宋体" w:hAnsi="宋体" w:cs="宋体"/>
          <w:sz w:val="24"/>
        </w:rPr>
      </w:pPr>
      <w:r>
        <w:rPr>
          <w:rFonts w:ascii="宋体" w:hAnsi="宋体" w:cs="宋体"/>
          <w:sz w:val="24"/>
        </w:rPr>
      </w:r>
      <w:r/>
    </w:p>
    <w:p>
      <w:pPr>
        <w:jc w:val="center"/>
        <w:spacing w:line="0" w:lineRule="atLeast"/>
        <w:rPr>
          <w:rFonts w:ascii="宋体" w:hAnsi="宋体" w:cs="宋体"/>
          <w:b/>
          <w:sz w:val="36"/>
        </w:rPr>
        <w:outlineLvl w:val="0"/>
      </w:pPr>
      <w:r>
        <w:rPr>
          <w:rFonts w:hint="eastAsia" w:ascii="宋体" w:hAnsi="宋体" w:cs="宋体"/>
          <w:b/>
          <w:sz w:val="36"/>
        </w:rPr>
        <w:br w:type="page" w:clear="all"/>
      </w:r>
      <w:bookmarkStart w:id="9" w:name="_Toc25508"/>
      <w:r>
        <w:rPr>
          <w:rFonts w:hint="eastAsia" w:ascii="宋体" w:hAnsi="宋体" w:cs="宋体"/>
          <w:b/>
          <w:sz w:val="30"/>
          <w:szCs w:val="30"/>
        </w:rPr>
        <w:t xml:space="preserve">1、评分细则</w:t>
      </w:r>
      <w:bookmarkEnd w:id="9"/>
      <w:r/>
      <w:r/>
    </w:p>
    <w:tbl>
      <w:tblPr>
        <w:tblStyle w:val="883"/>
        <w:tblW w:w="508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1427"/>
        <w:gridCol w:w="7103"/>
      </w:tblGrid>
      <w:tr>
        <w:trPr>
          <w:jc w:val="center"/>
          <w:trHeight w:val="479"/>
        </w:trPr>
        <w:tc>
          <w:tcPr>
            <w:gridSpan w:val="2"/>
            <w:tcBorders>
              <w:top w:val="single" w:color="auto" w:sz="4" w:space="0"/>
              <w:left w:val="single" w:color="auto" w:sz="4" w:space="0"/>
              <w:bottom w:val="single" w:color="auto" w:sz="4" w:space="0"/>
              <w:right w:val="single" w:color="auto" w:sz="4" w:space="0"/>
            </w:tcBorders>
            <w:tcW w:w="1330" w:type="pct"/>
            <w:vAlign w:val="center"/>
            <w:textDirection w:val="lrTb"/>
            <w:noWrap w:val="false"/>
          </w:tcPr>
          <w:p>
            <w:pPr>
              <w:ind w:firstLine="0"/>
              <w:jc w:val="center"/>
              <w:spacing w:line="240" w:lineRule="auto"/>
              <w:rPr>
                <w:rFonts w:hint="default" w:ascii="宋体"/>
                <w:b/>
                <w:bCs/>
                <w:sz w:val="24"/>
                <w:szCs w:val="28"/>
              </w:rPr>
            </w:pPr>
            <w:r>
              <w:rPr>
                <w:rFonts w:hint="eastAsia" w:ascii="宋体"/>
                <w:sz w:val="24"/>
                <w:szCs w:val="28"/>
              </w:rPr>
              <w:t xml:space="preserve"> </w:t>
            </w:r>
            <w:r>
              <w:rPr>
                <w:rFonts w:hint="eastAsia" w:ascii="宋体"/>
                <w:b/>
                <w:bCs/>
                <w:sz w:val="24"/>
                <w:szCs w:val="28"/>
              </w:rPr>
              <w:t xml:space="preserve">项目</w:t>
            </w:r>
            <w:r/>
          </w:p>
        </w:tc>
        <w:tc>
          <w:tcPr>
            <w:tcBorders>
              <w:top w:val="single" w:color="auto" w:sz="4" w:space="0"/>
              <w:left w:val="single" w:color="auto" w:sz="4" w:space="0"/>
              <w:bottom w:val="single" w:color="auto" w:sz="4" w:space="0"/>
              <w:right w:val="single" w:color="auto" w:sz="4" w:space="0"/>
            </w:tcBorders>
            <w:tcW w:w="3669" w:type="pct"/>
            <w:vAlign w:val="center"/>
            <w:textDirection w:val="lrTb"/>
            <w:noWrap w:val="false"/>
          </w:tcPr>
          <w:p>
            <w:pPr>
              <w:ind w:firstLine="0"/>
              <w:jc w:val="center"/>
              <w:spacing w:line="240" w:lineRule="auto"/>
              <w:rPr>
                <w:rFonts w:hint="default" w:ascii="宋体"/>
                <w:b/>
                <w:bCs/>
                <w:sz w:val="24"/>
                <w:szCs w:val="28"/>
              </w:rPr>
            </w:pPr>
            <w:r>
              <w:rPr>
                <w:rFonts w:hint="eastAsia" w:ascii="宋体"/>
                <w:b/>
                <w:bCs/>
                <w:sz w:val="24"/>
                <w:szCs w:val="28"/>
              </w:rPr>
              <w:t xml:space="preserve">评分办法</w:t>
            </w:r>
            <w:r/>
          </w:p>
        </w:tc>
      </w:tr>
      <w:tr>
        <w:trPr>
          <w:jc w:val="center"/>
          <w:trHeight w:val="2687"/>
        </w:trPr>
        <w:tc>
          <w:tcPr>
            <w:gridSpan w:val="2"/>
            <w:tcBorders>
              <w:top w:val="single" w:color="auto" w:sz="4" w:space="0"/>
              <w:left w:val="single" w:color="auto" w:sz="4" w:space="0"/>
              <w:bottom w:val="single" w:color="auto" w:sz="4" w:space="0"/>
              <w:right w:val="single" w:color="auto" w:sz="4" w:space="0"/>
            </w:tcBorders>
            <w:tcW w:w="1330" w:type="pct"/>
            <w:vAlign w:val="center"/>
            <w:textDirection w:val="lrTb"/>
            <w:noWrap w:val="false"/>
          </w:tcPr>
          <w:p>
            <w:pPr>
              <w:ind w:firstLine="0"/>
              <w:jc w:val="center"/>
              <w:spacing w:line="240" w:lineRule="auto"/>
              <w:rPr>
                <w:rFonts w:hint="default" w:ascii="宋体"/>
                <w:sz w:val="24"/>
                <w:szCs w:val="28"/>
              </w:rPr>
            </w:pPr>
            <w:r>
              <w:rPr>
                <w:rFonts w:hint="eastAsia" w:ascii="宋体"/>
                <w:sz w:val="24"/>
                <w:szCs w:val="28"/>
              </w:rPr>
              <w:t xml:space="preserve">投标报价</w:t>
            </w:r>
            <w:r/>
          </w:p>
          <w:p>
            <w:pPr>
              <w:ind w:firstLine="0"/>
              <w:jc w:val="center"/>
              <w:spacing w:line="240" w:lineRule="auto"/>
              <w:rPr>
                <w:rFonts w:hint="default" w:ascii="宋体"/>
                <w:sz w:val="24"/>
                <w:szCs w:val="28"/>
              </w:rPr>
            </w:pPr>
            <w:r>
              <w:rPr>
                <w:rFonts w:hint="eastAsia" w:ascii="宋体"/>
                <w:sz w:val="24"/>
                <w:szCs w:val="28"/>
              </w:rPr>
              <w:t xml:space="preserve">（20分）</w:t>
            </w:r>
            <w:r/>
          </w:p>
        </w:tc>
        <w:tc>
          <w:tcPr>
            <w:tcBorders>
              <w:top w:val="single" w:color="auto" w:sz="4" w:space="0"/>
              <w:left w:val="single" w:color="auto" w:sz="4" w:space="0"/>
              <w:bottom w:val="single" w:color="auto" w:sz="4" w:space="0"/>
              <w:right w:val="single" w:color="auto" w:sz="4" w:space="0"/>
            </w:tcBorders>
            <w:tcW w:w="3669" w:type="pct"/>
            <w:vAlign w:val="center"/>
            <w:textDirection w:val="lrTb"/>
            <w:noWrap w:val="false"/>
          </w:tcPr>
          <w:p>
            <w:pPr>
              <w:ind w:firstLine="0"/>
              <w:spacing w:line="240" w:lineRule="auto"/>
              <w:rPr>
                <w:rFonts w:hint="default" w:ascii="宋体"/>
                <w:sz w:val="24"/>
                <w:szCs w:val="28"/>
              </w:rPr>
            </w:pPr>
            <w:r>
              <w:rPr>
                <w:rFonts w:hint="eastAsia" w:ascii="宋体"/>
                <w:sz w:val="24"/>
                <w:szCs w:val="28"/>
              </w:rPr>
              <w:t xml:space="preserve">价格分采用低价优先法计算，即满足招标文件要求且投标价格最低的投标报价为评标基准价，其价格分为满分20分。其他投标人的价格分按照下列公式计算：</w:t>
            </w:r>
            <w:r/>
          </w:p>
          <w:p>
            <w:pPr>
              <w:ind w:firstLine="0"/>
              <w:spacing w:line="240" w:lineRule="auto"/>
              <w:rPr>
                <w:rFonts w:hint="eastAsia" w:ascii="宋体"/>
                <w:sz w:val="24"/>
                <w:szCs w:val="28"/>
              </w:rPr>
            </w:pPr>
            <w:r>
              <w:rPr>
                <w:rFonts w:hint="eastAsia" w:ascii="宋体"/>
                <w:sz w:val="24"/>
                <w:szCs w:val="28"/>
              </w:rPr>
              <w:t xml:space="preserve">投标报价得分=（评标基准价／各投标人评审价格）×20（分值计算结果保留两位小数）。</w:t>
            </w:r>
            <w:r/>
          </w:p>
          <w:p>
            <w:pPr>
              <w:ind w:firstLine="0"/>
              <w:spacing w:line="240" w:lineRule="auto"/>
              <w:rPr>
                <w:rFonts w:hint="default" w:ascii="宋体"/>
                <w:sz w:val="24"/>
                <w:szCs w:val="28"/>
              </w:rPr>
            </w:pPr>
            <w:r>
              <w:rPr>
                <w:rFonts w:hint="eastAsia" w:ascii="宋体" w:hAnsi="Times New Roman" w:cs="Times New Roman"/>
                <w:color w:val="auto"/>
                <w:sz w:val="24"/>
                <w:szCs w:val="28"/>
                <w:highlight w:val="none"/>
                <w:lang w:val="en-US" w:eastAsia="zh-CN" w:bidi="ar"/>
              </w:rPr>
              <w:t xml:space="preserve">注：</w:t>
            </w:r>
            <w:r>
              <w:rPr>
                <w:rFonts w:hint="eastAsia" w:ascii="宋体" w:hAnsi="Times New Roman" w:cs="Times New Roman"/>
                <w:color w:val="auto"/>
                <w:sz w:val="24"/>
                <w:szCs w:val="28"/>
                <w:highlight w:val="none"/>
                <w:lang w:val="zh-CN" w:eastAsia="zh-CN" w:bidi="ar"/>
              </w:rPr>
              <w:t xml:space="preserve">投标人为小微企业或监狱企业、享受政府采购支持政策的残疾人福利性单位的（以投标人提供的《分项价格表》、《中小企业声明函》、监狱企业证明文件和《残疾人福利性单位声明函》等相关材料为准），给予10%的价格扣除，用扣除后的价格参加评审。该投标人的评审价格=《开标一览表》中的“总价”*（100%-10%）</w:t>
            </w:r>
            <w:r/>
          </w:p>
        </w:tc>
      </w:tr>
      <w:tr>
        <w:trPr>
          <w:jc w:val="center"/>
          <w:trHeight w:val="1830"/>
        </w:trPr>
        <w:tc>
          <w:tcPr>
            <w:tcBorders>
              <w:top w:val="none" w:color="000000" w:sz="4" w:space="0"/>
              <w:left w:val="single" w:color="auto" w:sz="4" w:space="0"/>
              <w:bottom w:val="single" w:color="auto" w:sz="4" w:space="0"/>
              <w:right w:val="single" w:color="auto" w:sz="4" w:space="0"/>
            </w:tcBorders>
            <w:tcW w:w="593" w:type="pct"/>
            <w:vAlign w:val="center"/>
            <w:vMerge w:val="restart"/>
            <w:textDirection w:val="lrTb"/>
            <w:noWrap w:val="false"/>
          </w:tcPr>
          <w:p>
            <w:pPr>
              <w:ind w:firstLine="0"/>
              <w:jc w:val="center"/>
              <w:spacing w:line="240" w:lineRule="auto"/>
              <w:rPr>
                <w:rFonts w:hint="default" w:ascii="宋体"/>
                <w:sz w:val="24"/>
                <w:szCs w:val="28"/>
              </w:rPr>
            </w:pPr>
            <w:r>
              <w:rPr>
                <w:rFonts w:hint="eastAsia" w:ascii="宋体"/>
                <w:sz w:val="24"/>
                <w:szCs w:val="28"/>
              </w:rPr>
              <w:t xml:space="preserve">商务</w:t>
            </w:r>
            <w:r/>
          </w:p>
          <w:p>
            <w:pPr>
              <w:ind w:firstLine="0"/>
              <w:jc w:val="center"/>
              <w:spacing w:line="240" w:lineRule="auto"/>
              <w:rPr>
                <w:rFonts w:hint="default" w:ascii="宋体"/>
                <w:sz w:val="24"/>
                <w:szCs w:val="28"/>
              </w:rPr>
            </w:pPr>
            <w:r>
              <w:rPr>
                <w:rFonts w:hint="eastAsia" w:ascii="宋体"/>
                <w:sz w:val="24"/>
                <w:szCs w:val="28"/>
              </w:rPr>
              <w:t xml:space="preserve">部分</w:t>
            </w:r>
            <w:r/>
          </w:p>
          <w:p>
            <w:pPr>
              <w:ind w:firstLine="0"/>
              <w:jc w:val="center"/>
              <w:spacing w:line="240" w:lineRule="auto"/>
              <w:rPr>
                <w:rFonts w:hint="default" w:ascii="宋体"/>
                <w:sz w:val="24"/>
                <w:szCs w:val="28"/>
              </w:rPr>
            </w:pPr>
            <w:r>
              <w:rPr>
                <w:rFonts w:hint="eastAsia" w:ascii="宋体"/>
                <w:sz w:val="24"/>
                <w:szCs w:val="28"/>
              </w:rPr>
              <w:t xml:space="preserve">（8分）</w:t>
            </w:r>
            <w:r/>
          </w:p>
        </w:tc>
        <w:tc>
          <w:tcPr>
            <w:tcBorders>
              <w:top w:val="single" w:color="auto" w:sz="4" w:space="0"/>
              <w:left w:val="single" w:color="auto" w:sz="4" w:space="0"/>
              <w:bottom w:val="single" w:color="auto" w:sz="4" w:space="0"/>
              <w:right w:val="single" w:color="auto" w:sz="4" w:space="0"/>
            </w:tcBorders>
            <w:tcW w:w="736" w:type="pct"/>
            <w:vAlign w:val="center"/>
            <w:textDirection w:val="lrTb"/>
            <w:noWrap w:val="false"/>
          </w:tcPr>
          <w:p>
            <w:pPr>
              <w:ind w:firstLine="0"/>
              <w:jc w:val="center"/>
              <w:spacing w:line="240" w:lineRule="auto"/>
              <w:rPr>
                <w:rFonts w:hint="default" w:ascii="宋体"/>
                <w:sz w:val="24"/>
                <w:szCs w:val="28"/>
              </w:rPr>
            </w:pPr>
            <w:r>
              <w:rPr>
                <w:rFonts w:hint="eastAsia" w:ascii="宋体"/>
                <w:sz w:val="24"/>
                <w:szCs w:val="28"/>
              </w:rPr>
              <w:t xml:space="preserve">投标人业绩</w:t>
            </w:r>
            <w:r/>
          </w:p>
          <w:p>
            <w:pPr>
              <w:ind w:firstLine="0"/>
              <w:jc w:val="center"/>
              <w:spacing w:line="240" w:lineRule="auto"/>
              <w:rPr>
                <w:rFonts w:hint="default" w:ascii="宋体"/>
                <w:sz w:val="24"/>
                <w:szCs w:val="28"/>
              </w:rPr>
            </w:pPr>
            <w:r>
              <w:rPr>
                <w:rFonts w:hint="eastAsia" w:ascii="宋体"/>
                <w:sz w:val="24"/>
                <w:szCs w:val="28"/>
              </w:rPr>
              <w:t xml:space="preserve">（</w:t>
            </w:r>
            <w:r>
              <w:rPr>
                <w:rFonts w:hint="eastAsia" w:ascii="宋体"/>
                <w:sz w:val="24"/>
                <w:szCs w:val="28"/>
                <w:lang w:val="en-US" w:eastAsia="zh-CN"/>
              </w:rPr>
              <w:t xml:space="preserve">4</w:t>
            </w:r>
            <w:r>
              <w:rPr>
                <w:rFonts w:hint="eastAsia" w:ascii="宋体"/>
                <w:sz w:val="24"/>
                <w:szCs w:val="28"/>
              </w:rPr>
              <w:t xml:space="preserve">分）</w:t>
            </w:r>
            <w:r/>
          </w:p>
        </w:tc>
        <w:tc>
          <w:tcPr>
            <w:tcBorders>
              <w:top w:val="single" w:color="auto" w:sz="4" w:space="0"/>
              <w:left w:val="single" w:color="auto" w:sz="4" w:space="0"/>
              <w:bottom w:val="single" w:color="auto" w:sz="4" w:space="0"/>
              <w:right w:val="single" w:color="auto" w:sz="4" w:space="0"/>
            </w:tcBorders>
            <w:tcW w:w="3669" w:type="pct"/>
            <w:vAlign w:val="center"/>
            <w:textDirection w:val="lrTb"/>
            <w:noWrap w:val="false"/>
          </w:tcPr>
          <w:p>
            <w:pPr>
              <w:ind w:firstLine="0"/>
              <w:spacing w:line="240" w:lineRule="auto"/>
              <w:rPr>
                <w:rFonts w:hint="default" w:ascii="宋体"/>
                <w:sz w:val="24"/>
                <w:szCs w:val="28"/>
              </w:rPr>
            </w:pPr>
            <w:r>
              <w:rPr>
                <w:rFonts w:hint="eastAsia" w:ascii="宋体"/>
                <w:sz w:val="24"/>
                <w:szCs w:val="28"/>
              </w:rPr>
              <w:t xml:space="preserve">投标文件中提供投标人自2022年1月1日以来（时间以合同签订时间为准）具有与本项目采购标的类似业绩的，每有一个得2分，最高得</w:t>
            </w:r>
            <w:r>
              <w:rPr>
                <w:rFonts w:hint="eastAsia" w:ascii="宋体"/>
                <w:sz w:val="24"/>
                <w:szCs w:val="28"/>
                <w:lang w:val="en-US" w:eastAsia="zh-CN"/>
              </w:rPr>
              <w:t xml:space="preserve">4</w:t>
            </w:r>
            <w:r>
              <w:rPr>
                <w:rFonts w:hint="eastAsia" w:ascii="宋体"/>
                <w:sz w:val="24"/>
                <w:szCs w:val="28"/>
              </w:rPr>
              <w:t xml:space="preserve">分。</w:t>
            </w:r>
            <w:r/>
          </w:p>
          <w:p>
            <w:pPr>
              <w:ind w:firstLine="0"/>
              <w:spacing w:line="240" w:lineRule="auto"/>
              <w:rPr>
                <w:rFonts w:hint="default" w:ascii="宋体"/>
                <w:sz w:val="24"/>
                <w:szCs w:val="28"/>
              </w:rPr>
            </w:pPr>
            <w:r>
              <w:rPr>
                <w:rFonts w:hint="eastAsia" w:ascii="宋体"/>
                <w:b/>
                <w:bCs/>
                <w:sz w:val="24"/>
                <w:szCs w:val="28"/>
              </w:rPr>
              <w:t xml:space="preserve">注：投标文件中同时提供中标（成交）通知书原件扫描件、合同原件扫描件、发票（或对应银行收款进账凭证）原件扫描件并加盖电子签章，业绩合同中主要内容、总金额等清晰可见，缺一或提供内容模糊不清的不得分。</w:t>
            </w:r>
            <w:r/>
          </w:p>
        </w:tc>
      </w:tr>
      <w:tr>
        <w:trPr>
          <w:jc w:val="center"/>
          <w:trHeight w:val="2201"/>
        </w:trPr>
        <w:tc>
          <w:tcPr>
            <w:tcBorders>
              <w:top w:val="none" w:color="000000" w:sz="4" w:space="0"/>
              <w:left w:val="single" w:color="auto" w:sz="4" w:space="0"/>
              <w:bottom w:val="single" w:color="auto" w:sz="4" w:space="0"/>
              <w:right w:val="single" w:color="auto" w:sz="4" w:space="0"/>
            </w:tcBorders>
            <w:tcW w:w="593" w:type="pct"/>
            <w:vAlign w:val="center"/>
            <w:vMerge w:val="continue"/>
            <w:textDirection w:val="lrTb"/>
            <w:noWrap w:val="false"/>
          </w:tcPr>
          <w:p>
            <w:pPr>
              <w:ind w:firstLine="0"/>
              <w:spacing w:line="240" w:lineRule="auto"/>
              <w:rPr>
                <w:rFonts w:hint="default" w:ascii="宋体"/>
                <w:sz w:val="24"/>
                <w:szCs w:val="28"/>
              </w:rPr>
            </w:pPr>
            <w:r>
              <w:rPr>
                <w:rFonts w:hint="default" w:ascii="宋体"/>
                <w:sz w:val="24"/>
                <w:szCs w:val="28"/>
              </w:rPr>
            </w:r>
            <w:r/>
          </w:p>
        </w:tc>
        <w:tc>
          <w:tcPr>
            <w:tcBorders>
              <w:top w:val="single" w:color="auto" w:sz="4" w:space="0"/>
              <w:left w:val="single" w:color="auto" w:sz="4" w:space="0"/>
              <w:bottom w:val="single" w:color="auto" w:sz="4" w:space="0"/>
              <w:right w:val="single" w:color="auto" w:sz="4" w:space="0"/>
            </w:tcBorders>
            <w:tcW w:w="736" w:type="pct"/>
            <w:vAlign w:val="center"/>
            <w:textDirection w:val="lrTb"/>
            <w:noWrap w:val="false"/>
          </w:tcPr>
          <w:p>
            <w:pPr>
              <w:ind w:firstLine="0"/>
              <w:jc w:val="center"/>
              <w:spacing w:line="240" w:lineRule="auto"/>
              <w:rPr>
                <w:rFonts w:hint="default" w:ascii="宋体"/>
                <w:sz w:val="24"/>
                <w:szCs w:val="28"/>
              </w:rPr>
            </w:pPr>
            <w:r>
              <w:rPr>
                <w:rFonts w:hint="eastAsia" w:ascii="宋体"/>
                <w:sz w:val="24"/>
                <w:szCs w:val="28"/>
              </w:rPr>
              <w:t xml:space="preserve">投标人评价</w:t>
            </w:r>
            <w:r/>
          </w:p>
          <w:p>
            <w:pPr>
              <w:ind w:firstLine="0"/>
              <w:jc w:val="center"/>
              <w:spacing w:line="240" w:lineRule="auto"/>
              <w:rPr>
                <w:rFonts w:hint="default" w:ascii="宋体"/>
                <w:sz w:val="24"/>
                <w:szCs w:val="28"/>
              </w:rPr>
            </w:pPr>
            <w:r>
              <w:rPr>
                <w:rFonts w:hint="eastAsia" w:ascii="宋体"/>
                <w:sz w:val="24"/>
                <w:szCs w:val="28"/>
              </w:rPr>
              <w:t xml:space="preserve">（</w:t>
            </w:r>
            <w:r>
              <w:rPr>
                <w:rFonts w:hint="eastAsia" w:ascii="宋体"/>
                <w:sz w:val="24"/>
                <w:szCs w:val="28"/>
                <w:lang w:val="en-US" w:eastAsia="zh-CN"/>
              </w:rPr>
              <w:t xml:space="preserve">4</w:t>
            </w:r>
            <w:r>
              <w:rPr>
                <w:rFonts w:hint="eastAsia" w:ascii="宋体"/>
                <w:sz w:val="24"/>
                <w:szCs w:val="28"/>
              </w:rPr>
              <w:t xml:space="preserve">分）</w:t>
            </w:r>
            <w:r/>
          </w:p>
        </w:tc>
        <w:tc>
          <w:tcPr>
            <w:tcBorders>
              <w:top w:val="single" w:color="auto" w:sz="4" w:space="0"/>
              <w:left w:val="single" w:color="auto" w:sz="4" w:space="0"/>
              <w:bottom w:val="single" w:color="auto" w:sz="4" w:space="0"/>
              <w:right w:val="single" w:color="auto" w:sz="4" w:space="0"/>
            </w:tcBorders>
            <w:tcW w:w="3669" w:type="pct"/>
            <w:vAlign w:val="center"/>
            <w:textDirection w:val="lrTb"/>
            <w:noWrap w:val="false"/>
          </w:tcPr>
          <w:p>
            <w:pPr>
              <w:ind w:firstLine="0"/>
              <w:spacing w:line="240" w:lineRule="auto"/>
              <w:rPr>
                <w:rFonts w:hint="default" w:ascii="宋体"/>
                <w:bCs/>
                <w:sz w:val="24"/>
                <w:szCs w:val="28"/>
              </w:rPr>
            </w:pPr>
            <w:r>
              <w:rPr>
                <w:rFonts w:hint="eastAsia" w:ascii="宋体"/>
                <w:bCs/>
                <w:sz w:val="24"/>
                <w:szCs w:val="28"/>
              </w:rPr>
              <w:t xml:space="preserve">1．投标人具有信息技术服务运行维护标准符合性证书，ITSS 2级及以上得</w:t>
            </w:r>
            <w:r>
              <w:rPr>
                <w:rFonts w:hint="eastAsia" w:ascii="宋体"/>
                <w:bCs/>
                <w:sz w:val="24"/>
                <w:szCs w:val="28"/>
                <w:lang w:val="en-US" w:eastAsia="zh-CN"/>
              </w:rPr>
              <w:t xml:space="preserve">1</w:t>
            </w:r>
            <w:r>
              <w:rPr>
                <w:rFonts w:hint="eastAsia" w:ascii="宋体"/>
                <w:bCs/>
                <w:sz w:val="24"/>
                <w:szCs w:val="28"/>
              </w:rPr>
              <w:t xml:space="preserve">分，未提供不得分；</w:t>
            </w:r>
            <w:r/>
          </w:p>
          <w:p>
            <w:pPr>
              <w:ind w:firstLine="0"/>
              <w:spacing w:line="240" w:lineRule="auto"/>
              <w:rPr>
                <w:rFonts w:hint="default" w:ascii="宋体"/>
                <w:bCs/>
                <w:sz w:val="24"/>
                <w:szCs w:val="28"/>
              </w:rPr>
            </w:pPr>
            <w:r>
              <w:rPr>
                <w:rFonts w:hint="eastAsia" w:ascii="宋体"/>
                <w:bCs/>
                <w:sz w:val="24"/>
                <w:szCs w:val="28"/>
              </w:rPr>
              <w:t xml:space="preserve">2．投标人具有信息系统建设和服务能力等级（CS）证书的得1分。</w:t>
            </w:r>
            <w:r/>
          </w:p>
          <w:p>
            <w:pPr>
              <w:ind w:firstLine="0"/>
              <w:spacing w:line="240" w:lineRule="auto"/>
              <w:rPr>
                <w:rFonts w:hint="default" w:ascii="宋体"/>
                <w:bCs/>
                <w:sz w:val="24"/>
                <w:szCs w:val="28"/>
              </w:rPr>
            </w:pPr>
            <w:r>
              <w:rPr>
                <w:rFonts w:hint="eastAsia" w:ascii="宋体"/>
                <w:bCs/>
                <w:sz w:val="24"/>
                <w:szCs w:val="28"/>
              </w:rPr>
              <w:t xml:space="preserve">3、投标人具有信息安全服务资质认证证书（信息系统安全运维）的得1分，未提供不得分；</w:t>
            </w:r>
            <w:r/>
          </w:p>
          <w:p>
            <w:pPr>
              <w:ind w:firstLine="0"/>
              <w:spacing w:line="240" w:lineRule="auto"/>
              <w:rPr>
                <w:rFonts w:hint="eastAsia" w:ascii="宋体" w:eastAsia="宋体"/>
                <w:bCs/>
                <w:sz w:val="24"/>
                <w:szCs w:val="28"/>
                <w:lang w:eastAsia="zh-CN"/>
              </w:rPr>
            </w:pPr>
            <w:r>
              <w:rPr>
                <w:rFonts w:hint="eastAsia" w:ascii="宋体"/>
                <w:bCs/>
                <w:sz w:val="24"/>
                <w:szCs w:val="28"/>
                <w:lang w:val="en-US" w:eastAsia="zh-CN"/>
              </w:rPr>
              <w:t xml:space="preserve">4</w:t>
            </w:r>
            <w:r>
              <w:rPr>
                <w:rFonts w:hint="eastAsia" w:ascii="宋体"/>
                <w:bCs/>
                <w:sz w:val="24"/>
                <w:szCs w:val="28"/>
              </w:rPr>
              <w:t xml:space="preserve">.投标人具有售后服务认证证书的得1分。</w:t>
            </w:r>
            <w:r/>
          </w:p>
          <w:p>
            <w:pPr>
              <w:ind w:firstLine="0"/>
              <w:spacing w:line="240" w:lineRule="auto"/>
              <w:rPr>
                <w:rFonts w:hint="default" w:ascii="宋体"/>
                <w:sz w:val="24"/>
                <w:szCs w:val="28"/>
              </w:rPr>
            </w:pPr>
            <w:r>
              <w:rPr>
                <w:rFonts w:hint="eastAsia" w:ascii="宋体"/>
                <w:b/>
                <w:bCs/>
                <w:sz w:val="24"/>
                <w:szCs w:val="28"/>
              </w:rPr>
              <w:t xml:space="preserve">注：投标文件中证书原件扫描件并加盖电子签章，不提供的不得分。</w:t>
            </w:r>
            <w:r/>
          </w:p>
        </w:tc>
      </w:tr>
      <w:tr>
        <w:trPr>
          <w:jc w:val="center"/>
          <w:trHeight w:val="2444"/>
        </w:trPr>
        <w:tc>
          <w:tcPr>
            <w:tcBorders>
              <w:top w:val="none" w:color="000000" w:sz="4" w:space="0"/>
              <w:left w:val="single" w:color="auto" w:sz="4" w:space="0"/>
              <w:bottom w:val="single" w:color="auto" w:sz="4" w:space="0"/>
              <w:right w:val="single" w:color="auto" w:sz="4" w:space="0"/>
            </w:tcBorders>
            <w:tcW w:w="593" w:type="pct"/>
            <w:vAlign w:val="center"/>
            <w:vMerge w:val="restart"/>
            <w:textDirection w:val="lrTb"/>
            <w:noWrap w:val="false"/>
          </w:tcPr>
          <w:p>
            <w:pPr>
              <w:ind w:firstLine="0"/>
              <w:spacing w:line="240" w:lineRule="auto"/>
              <w:rPr>
                <w:rFonts w:hint="default" w:ascii="宋体"/>
                <w:sz w:val="24"/>
                <w:szCs w:val="28"/>
              </w:rPr>
            </w:pPr>
            <w:r>
              <w:rPr>
                <w:rFonts w:hint="eastAsia" w:ascii="宋体"/>
                <w:sz w:val="24"/>
                <w:szCs w:val="28"/>
              </w:rPr>
              <w:t xml:space="preserve">技术</w:t>
            </w:r>
            <w:r/>
          </w:p>
          <w:p>
            <w:pPr>
              <w:ind w:firstLine="0"/>
              <w:spacing w:line="240" w:lineRule="auto"/>
              <w:rPr>
                <w:rFonts w:hint="default" w:ascii="宋体"/>
                <w:sz w:val="24"/>
                <w:szCs w:val="28"/>
              </w:rPr>
            </w:pPr>
            <w:r>
              <w:rPr>
                <w:rFonts w:hint="eastAsia" w:ascii="宋体"/>
                <w:sz w:val="24"/>
                <w:szCs w:val="28"/>
              </w:rPr>
              <w:t xml:space="preserve">部分</w:t>
            </w:r>
            <w:r/>
          </w:p>
          <w:p>
            <w:pPr>
              <w:ind w:firstLine="0"/>
              <w:spacing w:line="240" w:lineRule="auto"/>
              <w:rPr>
                <w:rFonts w:hint="default" w:ascii="宋体"/>
                <w:sz w:val="24"/>
                <w:szCs w:val="28"/>
              </w:rPr>
            </w:pPr>
            <w:r>
              <w:rPr>
                <w:rFonts w:hint="eastAsia" w:ascii="宋体"/>
                <w:sz w:val="24"/>
                <w:szCs w:val="28"/>
              </w:rPr>
              <w:t xml:space="preserve">（</w:t>
            </w:r>
            <w:r>
              <w:rPr>
                <w:rFonts w:hint="eastAsia" w:ascii="宋体"/>
                <w:sz w:val="24"/>
                <w:szCs w:val="28"/>
                <w:lang w:val="en-US" w:eastAsia="zh-CN"/>
              </w:rPr>
              <w:t xml:space="preserve">7</w:t>
            </w:r>
            <w:r>
              <w:rPr>
                <w:rFonts w:hint="eastAsia" w:ascii="宋体"/>
                <w:sz w:val="24"/>
                <w:szCs w:val="28"/>
              </w:rPr>
              <w:t xml:space="preserve">2分）</w:t>
            </w:r>
            <w:r/>
          </w:p>
        </w:tc>
        <w:tc>
          <w:tcPr>
            <w:tcBorders>
              <w:top w:val="single" w:color="auto" w:sz="4" w:space="0"/>
              <w:left w:val="single" w:color="auto" w:sz="4" w:space="0"/>
              <w:bottom w:val="single" w:color="auto" w:sz="4" w:space="0"/>
              <w:right w:val="single" w:color="auto" w:sz="4" w:space="0"/>
            </w:tcBorders>
            <w:tcW w:w="736" w:type="pct"/>
            <w:vAlign w:val="center"/>
            <w:textDirection w:val="lrTb"/>
            <w:noWrap w:val="false"/>
          </w:tcPr>
          <w:p>
            <w:pPr>
              <w:ind w:firstLine="0"/>
              <w:jc w:val="center"/>
              <w:spacing w:line="240" w:lineRule="auto"/>
              <w:rPr>
                <w:rFonts w:hint="default" w:ascii="宋体"/>
                <w:sz w:val="24"/>
                <w:szCs w:val="28"/>
              </w:rPr>
            </w:pPr>
            <w:r>
              <w:rPr>
                <w:rFonts w:hint="eastAsia" w:ascii="宋体"/>
                <w:sz w:val="24"/>
                <w:szCs w:val="28"/>
              </w:rPr>
              <w:t xml:space="preserve">项目实施方案</w:t>
            </w:r>
            <w:r/>
          </w:p>
          <w:p>
            <w:pPr>
              <w:ind w:firstLine="0"/>
              <w:jc w:val="center"/>
              <w:spacing w:line="240" w:lineRule="auto"/>
              <w:rPr>
                <w:rFonts w:hint="default" w:ascii="宋体"/>
                <w:sz w:val="24"/>
                <w:szCs w:val="28"/>
              </w:rPr>
            </w:pPr>
            <w:r>
              <w:rPr>
                <w:rFonts w:hint="eastAsia" w:ascii="宋体"/>
                <w:sz w:val="24"/>
                <w:szCs w:val="28"/>
              </w:rPr>
              <w:t xml:space="preserve">（15分）</w:t>
            </w:r>
            <w:r/>
          </w:p>
        </w:tc>
        <w:tc>
          <w:tcPr>
            <w:tcBorders>
              <w:top w:val="single" w:color="auto" w:sz="4" w:space="0"/>
              <w:left w:val="single" w:color="auto" w:sz="4" w:space="0"/>
              <w:bottom w:val="single" w:color="auto" w:sz="4" w:space="0"/>
              <w:right w:val="single" w:color="auto" w:sz="4" w:space="0"/>
            </w:tcBorders>
            <w:tcW w:w="3669" w:type="pct"/>
            <w:vAlign w:val="center"/>
            <w:textDirection w:val="lrTb"/>
            <w:noWrap w:val="false"/>
          </w:tcPr>
          <w:p>
            <w:pPr>
              <w:ind w:firstLine="0"/>
              <w:spacing w:line="240" w:lineRule="auto"/>
              <w:rPr>
                <w:rFonts w:hint="default" w:ascii="宋体"/>
                <w:sz w:val="24"/>
                <w:szCs w:val="28"/>
              </w:rPr>
            </w:pPr>
            <w:r>
              <w:rPr>
                <w:rFonts w:hint="eastAsia" w:ascii="宋体"/>
                <w:sz w:val="24"/>
                <w:szCs w:val="28"/>
              </w:rPr>
              <w:t xml:space="preserve">根据提供详细的项目实施方案，包括但不限于详细的日常维护，系统维护，巡视计划，巡查记录表管理方案、人员日常管理方案等，对内容的全面性、可行性、针对性进行评价。</w:t>
            </w:r>
            <w:r/>
          </w:p>
          <w:p>
            <w:pPr>
              <w:ind w:firstLine="0"/>
              <w:spacing w:line="240" w:lineRule="auto"/>
              <w:rPr>
                <w:rFonts w:hint="default" w:ascii="宋体"/>
                <w:sz w:val="24"/>
                <w:szCs w:val="28"/>
              </w:rPr>
            </w:pPr>
            <w:r>
              <w:rPr>
                <w:rFonts w:hint="eastAsia" w:ascii="宋体"/>
                <w:sz w:val="24"/>
                <w:szCs w:val="28"/>
              </w:rPr>
              <w:t xml:space="preserve">全面性(5分)：全面具体详实得5分；全面但内容简单得3分；存在较大漏项或缺陷得1分。</w:t>
            </w:r>
            <w:r/>
          </w:p>
          <w:p>
            <w:pPr>
              <w:ind w:firstLine="0"/>
              <w:spacing w:line="240" w:lineRule="auto"/>
              <w:rPr>
                <w:rFonts w:hint="default" w:ascii="宋体"/>
                <w:sz w:val="24"/>
                <w:szCs w:val="28"/>
              </w:rPr>
            </w:pPr>
            <w:r>
              <w:rPr>
                <w:rFonts w:hint="eastAsia" w:ascii="宋体"/>
                <w:sz w:val="24"/>
                <w:szCs w:val="28"/>
              </w:rPr>
              <w:t xml:space="preserve">可行性(5分)：切实可行具体详实得5分；切实可行性一般得3分；可行性差得1分。</w:t>
            </w:r>
            <w:r/>
          </w:p>
          <w:p>
            <w:pPr>
              <w:ind w:firstLine="0"/>
              <w:spacing w:line="240" w:lineRule="auto"/>
              <w:rPr>
                <w:rFonts w:hint="default" w:ascii="宋体"/>
                <w:sz w:val="24"/>
                <w:szCs w:val="28"/>
              </w:rPr>
            </w:pPr>
            <w:r>
              <w:rPr>
                <w:rFonts w:hint="eastAsia" w:ascii="宋体"/>
                <w:sz w:val="24"/>
                <w:szCs w:val="28"/>
              </w:rPr>
              <w:t xml:space="preserve">针对性(5分)：针对性强得5分；针对性一般得3分；针对性差得1分。</w:t>
            </w:r>
            <w:r/>
          </w:p>
          <w:p>
            <w:pPr>
              <w:ind w:firstLine="0"/>
              <w:spacing w:line="240" w:lineRule="auto"/>
              <w:rPr>
                <w:rFonts w:hint="default" w:ascii="宋体"/>
                <w:sz w:val="24"/>
                <w:szCs w:val="28"/>
              </w:rPr>
            </w:pPr>
            <w:r>
              <w:rPr>
                <w:rFonts w:hint="eastAsia" w:ascii="宋体"/>
                <w:sz w:val="24"/>
                <w:szCs w:val="28"/>
              </w:rPr>
              <w:t xml:space="preserve">未提供的得0分。本项最高得15分，最低得0分。</w:t>
            </w:r>
            <w:r/>
          </w:p>
        </w:tc>
      </w:tr>
      <w:tr>
        <w:trPr>
          <w:jc w:val="center"/>
          <w:trHeight w:val="2991"/>
        </w:trPr>
        <w:tc>
          <w:tcPr>
            <w:tcBorders>
              <w:top w:val="none" w:color="000000" w:sz="4" w:space="0"/>
              <w:left w:val="single" w:color="auto" w:sz="4" w:space="0"/>
              <w:bottom w:val="single" w:color="auto" w:sz="4" w:space="0"/>
              <w:right w:val="single" w:color="auto" w:sz="4" w:space="0"/>
            </w:tcBorders>
            <w:tcW w:w="593" w:type="pct"/>
            <w:vAlign w:val="center"/>
            <w:vMerge w:val="continue"/>
            <w:textDirection w:val="lrTb"/>
            <w:noWrap w:val="false"/>
          </w:tcPr>
          <w:p>
            <w:pPr>
              <w:ind w:firstLine="0"/>
              <w:spacing w:line="240" w:lineRule="auto"/>
              <w:rPr>
                <w:rFonts w:hint="default" w:ascii="宋体"/>
                <w:sz w:val="24"/>
                <w:szCs w:val="28"/>
              </w:rPr>
            </w:pPr>
            <w:r>
              <w:rPr>
                <w:rFonts w:hint="default" w:ascii="宋体"/>
                <w:sz w:val="24"/>
                <w:szCs w:val="28"/>
              </w:rPr>
            </w:r>
            <w:r/>
          </w:p>
        </w:tc>
        <w:tc>
          <w:tcPr>
            <w:tcBorders>
              <w:top w:val="single" w:color="auto" w:sz="4" w:space="0"/>
              <w:left w:val="single" w:color="auto" w:sz="4" w:space="0"/>
              <w:bottom w:val="single" w:color="auto" w:sz="4" w:space="0"/>
              <w:right w:val="single" w:color="auto" w:sz="4" w:space="0"/>
            </w:tcBorders>
            <w:tcW w:w="736" w:type="pct"/>
            <w:vAlign w:val="center"/>
            <w:textDirection w:val="lrTb"/>
            <w:noWrap w:val="false"/>
          </w:tcPr>
          <w:p>
            <w:pPr>
              <w:ind w:firstLine="0"/>
              <w:jc w:val="center"/>
              <w:spacing w:line="240" w:lineRule="auto"/>
              <w:rPr>
                <w:rFonts w:hint="default" w:ascii="宋体"/>
                <w:bCs/>
                <w:sz w:val="24"/>
                <w:szCs w:val="28"/>
              </w:rPr>
            </w:pPr>
            <w:r>
              <w:rPr>
                <w:rFonts w:hint="eastAsia" w:ascii="宋体"/>
                <w:bCs/>
                <w:sz w:val="24"/>
                <w:szCs w:val="28"/>
              </w:rPr>
              <w:t xml:space="preserve">维护服务安全管理方案</w:t>
            </w:r>
            <w:r/>
          </w:p>
          <w:p>
            <w:pPr>
              <w:ind w:firstLine="0"/>
              <w:jc w:val="center"/>
              <w:spacing w:line="240" w:lineRule="auto"/>
              <w:rPr>
                <w:rFonts w:hint="default" w:ascii="宋体"/>
                <w:sz w:val="24"/>
                <w:szCs w:val="28"/>
              </w:rPr>
            </w:pPr>
            <w:r>
              <w:rPr>
                <w:rFonts w:hint="eastAsia" w:ascii="宋体"/>
                <w:bCs/>
                <w:sz w:val="24"/>
                <w:szCs w:val="28"/>
              </w:rPr>
              <w:t xml:space="preserve">（15分）</w:t>
            </w:r>
            <w:r/>
          </w:p>
        </w:tc>
        <w:tc>
          <w:tcPr>
            <w:tcBorders>
              <w:top w:val="single" w:color="auto" w:sz="4" w:space="0"/>
              <w:left w:val="single" w:color="auto" w:sz="4" w:space="0"/>
              <w:bottom w:val="single" w:color="auto" w:sz="4" w:space="0"/>
              <w:right w:val="single" w:color="auto" w:sz="4" w:space="0"/>
            </w:tcBorders>
            <w:tcW w:w="3669" w:type="pct"/>
            <w:vAlign w:val="center"/>
            <w:textDirection w:val="lrTb"/>
            <w:noWrap w:val="false"/>
          </w:tcPr>
          <w:p>
            <w:pPr>
              <w:ind w:firstLine="0"/>
              <w:spacing w:line="240" w:lineRule="auto"/>
              <w:rPr>
                <w:rFonts w:hint="default" w:ascii="宋体"/>
                <w:sz w:val="24"/>
                <w:szCs w:val="28"/>
              </w:rPr>
            </w:pPr>
            <w:r>
              <w:rPr>
                <w:rFonts w:hint="eastAsia" w:ascii="宋体"/>
                <w:sz w:val="24"/>
                <w:szCs w:val="28"/>
              </w:rPr>
              <w:t xml:space="preserve">根据提供的维护</w:t>
            </w:r>
            <w:r>
              <w:rPr>
                <w:rFonts w:hint="eastAsia" w:ascii="宋体"/>
                <w:bCs/>
                <w:sz w:val="24"/>
                <w:szCs w:val="28"/>
              </w:rPr>
              <w:t xml:space="preserve">服务安全管理方案，包括但不限于安全拆除方案、安全维护方案、安全保障措施方案等</w:t>
            </w:r>
            <w:r>
              <w:rPr>
                <w:rFonts w:hint="eastAsia" w:ascii="宋体"/>
                <w:sz w:val="24"/>
                <w:szCs w:val="28"/>
              </w:rPr>
              <w:t xml:space="preserve">，对内容的全面性、可行性、针对性进行评价。</w:t>
            </w:r>
            <w:r/>
          </w:p>
          <w:p>
            <w:pPr>
              <w:ind w:firstLine="0"/>
              <w:spacing w:line="240" w:lineRule="auto"/>
              <w:rPr>
                <w:rFonts w:hint="default" w:ascii="宋体"/>
                <w:sz w:val="24"/>
                <w:szCs w:val="28"/>
              </w:rPr>
            </w:pPr>
            <w:r>
              <w:rPr>
                <w:rFonts w:hint="eastAsia" w:ascii="宋体"/>
                <w:sz w:val="24"/>
                <w:szCs w:val="28"/>
              </w:rPr>
              <w:t xml:space="preserve">全面性(5分)：全面具体详实得5分；全面但内容简单得3分；存在较大漏项或缺陷得1分。</w:t>
            </w:r>
            <w:r/>
          </w:p>
          <w:p>
            <w:pPr>
              <w:ind w:firstLine="0"/>
              <w:spacing w:line="240" w:lineRule="auto"/>
              <w:rPr>
                <w:rFonts w:hint="default" w:ascii="宋体"/>
                <w:sz w:val="24"/>
                <w:szCs w:val="28"/>
              </w:rPr>
            </w:pPr>
            <w:r>
              <w:rPr>
                <w:rFonts w:hint="eastAsia" w:ascii="宋体"/>
                <w:sz w:val="24"/>
                <w:szCs w:val="28"/>
              </w:rPr>
              <w:t xml:space="preserve">可行性(5分)：切实可行具体详实得5分；切实可行性一般得3分；可行性差得1分。</w:t>
            </w:r>
            <w:r/>
          </w:p>
          <w:p>
            <w:pPr>
              <w:ind w:firstLine="0"/>
              <w:spacing w:line="240" w:lineRule="auto"/>
              <w:rPr>
                <w:rFonts w:hint="default" w:ascii="宋体"/>
                <w:sz w:val="24"/>
                <w:szCs w:val="28"/>
              </w:rPr>
            </w:pPr>
            <w:r>
              <w:rPr>
                <w:rFonts w:hint="eastAsia" w:ascii="宋体"/>
                <w:sz w:val="24"/>
                <w:szCs w:val="28"/>
              </w:rPr>
              <w:t xml:space="preserve">针对性(5分)：针对性强得5分；针对性一般得3分；针对性差得1分。</w:t>
            </w:r>
            <w:r/>
          </w:p>
          <w:p>
            <w:pPr>
              <w:ind w:firstLine="0"/>
              <w:spacing w:line="240" w:lineRule="auto"/>
              <w:rPr>
                <w:rFonts w:hint="default" w:ascii="宋体"/>
                <w:sz w:val="24"/>
                <w:szCs w:val="28"/>
              </w:rPr>
            </w:pPr>
            <w:r>
              <w:rPr>
                <w:rFonts w:hint="eastAsia" w:ascii="宋体"/>
                <w:sz w:val="24"/>
                <w:szCs w:val="28"/>
              </w:rPr>
              <w:t xml:space="preserve">未提供的得0分。本项最高得15分，最低得0分。</w:t>
            </w:r>
            <w:r/>
          </w:p>
        </w:tc>
      </w:tr>
      <w:tr>
        <w:trPr>
          <w:jc w:val="center"/>
          <w:trHeight w:val="2322"/>
        </w:trPr>
        <w:tc>
          <w:tcPr>
            <w:tcBorders>
              <w:top w:val="none" w:color="000000" w:sz="4" w:space="0"/>
              <w:left w:val="single" w:color="auto" w:sz="4" w:space="0"/>
              <w:bottom w:val="single" w:color="auto" w:sz="4" w:space="0"/>
              <w:right w:val="single" w:color="auto" w:sz="4" w:space="0"/>
            </w:tcBorders>
            <w:tcW w:w="593" w:type="pct"/>
            <w:vAlign w:val="center"/>
            <w:vMerge w:val="continue"/>
            <w:textDirection w:val="lrTb"/>
            <w:noWrap w:val="false"/>
          </w:tcPr>
          <w:p>
            <w:pPr>
              <w:ind w:firstLine="0"/>
              <w:spacing w:line="240" w:lineRule="auto"/>
              <w:rPr>
                <w:rFonts w:hint="default" w:ascii="宋体"/>
                <w:sz w:val="24"/>
                <w:szCs w:val="28"/>
              </w:rPr>
            </w:pPr>
            <w:r>
              <w:rPr>
                <w:rFonts w:hint="default" w:ascii="宋体"/>
                <w:sz w:val="24"/>
                <w:szCs w:val="28"/>
              </w:rPr>
            </w:r>
            <w:r/>
          </w:p>
        </w:tc>
        <w:tc>
          <w:tcPr>
            <w:tcBorders>
              <w:top w:val="single" w:color="auto" w:sz="4" w:space="0"/>
              <w:left w:val="single" w:color="auto" w:sz="4" w:space="0"/>
              <w:bottom w:val="single" w:color="auto" w:sz="4" w:space="0"/>
              <w:right w:val="single" w:color="auto" w:sz="4" w:space="0"/>
            </w:tcBorders>
            <w:tcW w:w="736" w:type="pct"/>
            <w:vAlign w:val="center"/>
            <w:textDirection w:val="lrTb"/>
            <w:noWrap w:val="false"/>
          </w:tcPr>
          <w:p>
            <w:pPr>
              <w:ind w:firstLine="0"/>
              <w:jc w:val="center"/>
              <w:spacing w:line="240" w:lineRule="auto"/>
              <w:rPr>
                <w:rFonts w:hint="default" w:ascii="宋体"/>
                <w:sz w:val="24"/>
                <w:szCs w:val="28"/>
              </w:rPr>
            </w:pPr>
            <w:r>
              <w:rPr>
                <w:rFonts w:hint="eastAsia" w:ascii="宋体"/>
                <w:sz w:val="24"/>
                <w:szCs w:val="28"/>
              </w:rPr>
              <w:t xml:space="preserve">交通优化方案（1</w:t>
            </w:r>
            <w:r>
              <w:rPr>
                <w:rFonts w:hint="eastAsia" w:ascii="宋体"/>
                <w:sz w:val="24"/>
                <w:szCs w:val="28"/>
                <w:lang w:val="en-US" w:eastAsia="zh-CN"/>
              </w:rPr>
              <w:t xml:space="preserve">5</w:t>
            </w:r>
            <w:r>
              <w:rPr>
                <w:rFonts w:hint="eastAsia" w:ascii="宋体"/>
                <w:sz w:val="24"/>
                <w:szCs w:val="28"/>
              </w:rPr>
              <w:t xml:space="preserve">分）</w:t>
            </w:r>
            <w:r/>
          </w:p>
        </w:tc>
        <w:tc>
          <w:tcPr>
            <w:tcBorders>
              <w:top w:val="single" w:color="auto" w:sz="4" w:space="0"/>
              <w:left w:val="single" w:color="auto" w:sz="4" w:space="0"/>
              <w:bottom w:val="single" w:color="auto" w:sz="4" w:space="0"/>
              <w:right w:val="single" w:color="auto" w:sz="4" w:space="0"/>
            </w:tcBorders>
            <w:tcW w:w="3669" w:type="pct"/>
            <w:vAlign w:val="center"/>
            <w:textDirection w:val="lrTb"/>
            <w:noWrap w:val="false"/>
          </w:tcPr>
          <w:p>
            <w:pPr>
              <w:ind w:firstLine="0"/>
              <w:spacing w:line="240" w:lineRule="auto"/>
              <w:rPr>
                <w:rFonts w:hint="default" w:ascii="宋体"/>
                <w:sz w:val="24"/>
                <w:szCs w:val="28"/>
              </w:rPr>
            </w:pPr>
            <w:r>
              <w:rPr>
                <w:rFonts w:hint="eastAsia" w:ascii="宋体"/>
                <w:sz w:val="24"/>
                <w:szCs w:val="28"/>
              </w:rPr>
              <w:t xml:space="preserve">根据提供的交通优化方案，包括但不限于信号配时方案、优化服务等进行评分，对内容的全面性、可行性、针对性进行评价。</w:t>
            </w:r>
            <w:r/>
          </w:p>
          <w:p>
            <w:pPr>
              <w:ind w:firstLine="0"/>
              <w:spacing w:line="240" w:lineRule="auto"/>
              <w:rPr>
                <w:rFonts w:hint="default" w:ascii="宋体"/>
                <w:sz w:val="24"/>
                <w:szCs w:val="28"/>
              </w:rPr>
            </w:pPr>
            <w:r>
              <w:rPr>
                <w:rFonts w:hint="eastAsia" w:ascii="宋体"/>
                <w:sz w:val="24"/>
                <w:szCs w:val="28"/>
              </w:rPr>
              <w:t xml:space="preserve">全面性(5分)：全面具体详实得5分；全面但内容简单得3分；存在较大漏项或缺陷得1分。</w:t>
            </w:r>
            <w:r/>
          </w:p>
          <w:p>
            <w:pPr>
              <w:ind w:firstLine="0"/>
              <w:spacing w:line="240" w:lineRule="auto"/>
              <w:rPr>
                <w:rFonts w:hint="default" w:ascii="宋体"/>
                <w:sz w:val="24"/>
                <w:szCs w:val="28"/>
              </w:rPr>
            </w:pPr>
            <w:r>
              <w:rPr>
                <w:rFonts w:hint="eastAsia" w:ascii="宋体"/>
                <w:sz w:val="24"/>
                <w:szCs w:val="28"/>
              </w:rPr>
              <w:t xml:space="preserve">可行性(5分)：切实可行具体详实得5分；切实可行性一般得3分；可行性差得1分。</w:t>
            </w:r>
            <w:r/>
          </w:p>
          <w:p>
            <w:pPr>
              <w:ind w:firstLine="0"/>
              <w:spacing w:line="240" w:lineRule="auto"/>
              <w:rPr>
                <w:rFonts w:hint="default" w:ascii="宋体"/>
                <w:sz w:val="24"/>
                <w:szCs w:val="28"/>
              </w:rPr>
            </w:pPr>
            <w:r>
              <w:rPr>
                <w:rFonts w:hint="eastAsia" w:ascii="宋体"/>
                <w:sz w:val="24"/>
                <w:szCs w:val="28"/>
              </w:rPr>
              <w:t xml:space="preserve">针对性(5分)：针对性强得5分；针对性一般得3分；针对性差得1分。</w:t>
            </w:r>
            <w:r/>
          </w:p>
          <w:p>
            <w:pPr>
              <w:ind w:firstLine="480"/>
              <w:spacing w:line="360" w:lineRule="auto"/>
              <w:rPr>
                <w:rFonts w:hint="default" w:ascii="宋体"/>
                <w:sz w:val="24"/>
                <w:szCs w:val="28"/>
              </w:rPr>
            </w:pPr>
            <w:r>
              <w:rPr>
                <w:rFonts w:hint="eastAsia" w:ascii="宋体"/>
                <w:sz w:val="24"/>
                <w:szCs w:val="28"/>
              </w:rPr>
              <w:t xml:space="preserve">未提供的得0分。本项最高得15分，最低得0分。</w:t>
            </w:r>
            <w:r/>
          </w:p>
        </w:tc>
      </w:tr>
      <w:tr>
        <w:trPr>
          <w:jc w:val="center"/>
          <w:trHeight w:val="3175"/>
        </w:trPr>
        <w:tc>
          <w:tcPr>
            <w:tcBorders>
              <w:top w:val="none" w:color="000000" w:sz="4" w:space="0"/>
              <w:left w:val="single" w:color="auto" w:sz="4" w:space="0"/>
              <w:bottom w:val="single" w:color="auto" w:sz="4" w:space="0"/>
              <w:right w:val="single" w:color="auto" w:sz="4" w:space="0"/>
            </w:tcBorders>
            <w:tcW w:w="593" w:type="pct"/>
            <w:vAlign w:val="center"/>
            <w:vMerge w:val="continue"/>
            <w:textDirection w:val="lrTb"/>
            <w:noWrap w:val="false"/>
          </w:tcPr>
          <w:p>
            <w:pPr>
              <w:ind w:firstLine="0"/>
              <w:spacing w:line="240" w:lineRule="auto"/>
              <w:rPr>
                <w:rFonts w:hint="default" w:ascii="宋体"/>
                <w:sz w:val="24"/>
                <w:szCs w:val="28"/>
              </w:rPr>
            </w:pPr>
            <w:r>
              <w:rPr>
                <w:rFonts w:hint="default" w:ascii="宋体"/>
                <w:sz w:val="24"/>
                <w:szCs w:val="28"/>
              </w:rPr>
            </w:r>
            <w:r/>
          </w:p>
        </w:tc>
        <w:tc>
          <w:tcPr>
            <w:tcBorders>
              <w:top w:val="single" w:color="auto" w:sz="4" w:space="0"/>
              <w:left w:val="single" w:color="auto" w:sz="4" w:space="0"/>
              <w:bottom w:val="single" w:color="auto" w:sz="4" w:space="0"/>
              <w:right w:val="single" w:color="auto" w:sz="4" w:space="0"/>
            </w:tcBorders>
            <w:tcW w:w="736" w:type="pct"/>
            <w:vAlign w:val="center"/>
            <w:textDirection w:val="lrTb"/>
            <w:noWrap w:val="false"/>
          </w:tcPr>
          <w:p>
            <w:pPr>
              <w:ind w:firstLine="0"/>
              <w:jc w:val="center"/>
              <w:spacing w:line="240" w:lineRule="auto"/>
              <w:rPr>
                <w:rFonts w:hint="default" w:ascii="宋体"/>
                <w:sz w:val="24"/>
                <w:szCs w:val="28"/>
              </w:rPr>
            </w:pPr>
            <w:r>
              <w:rPr>
                <w:rFonts w:hint="eastAsia" w:ascii="宋体"/>
                <w:sz w:val="24"/>
                <w:szCs w:val="28"/>
              </w:rPr>
              <w:t xml:space="preserve">人员配置（</w:t>
            </w:r>
            <w:r>
              <w:rPr>
                <w:rFonts w:hint="eastAsia" w:ascii="宋体"/>
                <w:sz w:val="24"/>
                <w:szCs w:val="28"/>
                <w:lang w:val="en-US" w:eastAsia="zh-CN"/>
              </w:rPr>
              <w:t xml:space="preserve">9</w:t>
            </w:r>
            <w:r>
              <w:rPr>
                <w:rFonts w:hint="eastAsia" w:ascii="宋体"/>
                <w:sz w:val="24"/>
                <w:szCs w:val="28"/>
              </w:rPr>
              <w:t xml:space="preserve">分）</w:t>
            </w:r>
            <w:r/>
          </w:p>
        </w:tc>
        <w:tc>
          <w:tcPr>
            <w:tcBorders>
              <w:top w:val="single" w:color="auto" w:sz="4" w:space="0"/>
              <w:left w:val="single" w:color="auto" w:sz="4" w:space="0"/>
              <w:bottom w:val="single" w:color="auto" w:sz="4" w:space="0"/>
              <w:right w:val="single" w:color="auto" w:sz="4" w:space="0"/>
            </w:tcBorders>
            <w:tcW w:w="3669" w:type="pct"/>
            <w:vAlign w:val="center"/>
            <w:textDirection w:val="lrTb"/>
            <w:noWrap w:val="false"/>
          </w:tcPr>
          <w:p>
            <w:pPr>
              <w:ind w:firstLine="0"/>
              <w:spacing w:line="300" w:lineRule="atLeast"/>
              <w:rPr>
                <w:rFonts w:hint="default" w:ascii="宋体"/>
                <w:sz w:val="24"/>
                <w:szCs w:val="28"/>
                <w:lang w:val="en-US" w:eastAsia="zh-CN"/>
              </w:rPr>
              <w:pBdr>
                <w:top w:val="none" w:color="000000" w:sz="0" w:space="0"/>
                <w:left w:val="none" w:color="000000" w:sz="0" w:space="0"/>
                <w:bottom w:val="none" w:color="000000" w:sz="0" w:space="0"/>
                <w:right w:val="none" w:color="000000" w:sz="0" w:space="0"/>
              </w:pBdr>
            </w:pPr>
            <w:r>
              <w:rPr>
                <w:rFonts w:hint="eastAsia" w:ascii="宋体"/>
                <w:sz w:val="24"/>
                <w:szCs w:val="28"/>
                <w:lang w:val="en-US" w:eastAsia="zh-CN"/>
              </w:rPr>
              <w:t xml:space="preserve">1.项目经理：</w:t>
            </w:r>
            <w:r/>
          </w:p>
          <w:p>
            <w:pPr>
              <w:ind w:firstLine="0"/>
              <w:spacing w:line="300" w:lineRule="atLeast"/>
              <w:rPr>
                <w:rFonts w:hint="eastAsia" w:ascii="宋体"/>
                <w:sz w:val="24"/>
                <w:szCs w:val="28"/>
                <w:lang w:val="en-US" w:eastAsia="zh-CN"/>
              </w:rPr>
              <w:pBdr>
                <w:top w:val="none" w:color="000000" w:sz="0" w:space="0"/>
                <w:left w:val="none" w:color="000000" w:sz="0" w:space="0"/>
                <w:bottom w:val="none" w:color="000000" w:sz="0" w:space="0"/>
                <w:right w:val="none" w:color="000000" w:sz="0" w:space="0"/>
              </w:pBdr>
            </w:pPr>
            <w:r>
              <w:rPr>
                <w:rFonts w:hint="eastAsia" w:ascii="宋体"/>
                <w:sz w:val="24"/>
                <w:szCs w:val="28"/>
                <w:lang w:val="en-US" w:eastAsia="zh-CN"/>
              </w:rPr>
              <w:t xml:space="preserve">具有二级建造师（机电工程）及以上、具有人社厅颁发的交通（智能交通）类高级工程师职称、信息系统项目管理师，每提供一个证书的得1分，不提供不得分，最高得3分，最低0分。</w:t>
            </w:r>
            <w:r/>
          </w:p>
          <w:p>
            <w:pPr>
              <w:ind w:firstLine="0"/>
              <w:spacing w:line="300" w:lineRule="atLeast"/>
              <w:rPr>
                <w:rFonts w:hint="default" w:ascii="宋体"/>
                <w:sz w:val="24"/>
                <w:szCs w:val="28"/>
                <w:lang w:val="en-US" w:eastAsia="zh-CN"/>
              </w:rPr>
              <w:pBdr>
                <w:top w:val="none" w:color="000000" w:sz="0" w:space="0"/>
                <w:left w:val="none" w:color="000000" w:sz="0" w:space="0"/>
                <w:bottom w:val="none" w:color="000000" w:sz="0" w:space="0"/>
                <w:right w:val="none" w:color="000000" w:sz="0" w:space="0"/>
              </w:pBdr>
            </w:pPr>
            <w:r>
              <w:rPr>
                <w:rFonts w:hint="eastAsia" w:ascii="宋体"/>
                <w:sz w:val="24"/>
                <w:szCs w:val="28"/>
                <w:lang w:val="en-US" w:eastAsia="zh-CN"/>
              </w:rPr>
              <w:t xml:space="preserve">2.技术支持人员具有人社厅颁发的交通（智能交通）类高级工程师资格证书得2分（中级工程师资格证书得1分）。最高得2分</w:t>
            </w:r>
            <w:r/>
          </w:p>
          <w:p>
            <w:pPr>
              <w:ind w:firstLine="0"/>
              <w:spacing w:line="300" w:lineRule="atLeast"/>
              <w:rPr>
                <w:rFonts w:hint="default" w:ascii="宋体"/>
                <w:sz w:val="24"/>
                <w:szCs w:val="28"/>
                <w:lang w:val="en-US" w:eastAsia="zh-CN"/>
              </w:rPr>
              <w:pBdr>
                <w:top w:val="none" w:color="000000" w:sz="0" w:space="0"/>
                <w:left w:val="none" w:color="000000" w:sz="0" w:space="0"/>
                <w:bottom w:val="none" w:color="000000" w:sz="0" w:space="0"/>
                <w:right w:val="none" w:color="000000" w:sz="0" w:space="0"/>
              </w:pBdr>
            </w:pPr>
            <w:r>
              <w:rPr>
                <w:rFonts w:hint="eastAsia" w:ascii="宋体"/>
                <w:sz w:val="24"/>
                <w:szCs w:val="28"/>
                <w:lang w:val="en-US" w:eastAsia="zh-CN"/>
              </w:rPr>
              <w:t xml:space="preserve">3.维护人员要求：</w:t>
            </w:r>
            <w:r/>
          </w:p>
          <w:p>
            <w:pPr>
              <w:ind w:firstLine="0"/>
              <w:spacing w:line="300" w:lineRule="atLeast"/>
              <w:rPr>
                <w:rFonts w:hint="default" w:ascii="宋体"/>
                <w:sz w:val="24"/>
                <w:szCs w:val="28"/>
                <w:lang w:val="en-US" w:eastAsia="zh-CN"/>
              </w:rPr>
              <w:pBdr>
                <w:top w:val="none" w:color="000000" w:sz="0" w:space="0"/>
                <w:left w:val="none" w:color="000000" w:sz="0" w:space="0"/>
                <w:bottom w:val="none" w:color="000000" w:sz="0" w:space="0"/>
                <w:right w:val="none" w:color="000000" w:sz="0" w:space="0"/>
              </w:pBdr>
            </w:pPr>
            <w:r>
              <w:rPr>
                <w:rFonts w:hint="eastAsia" w:ascii="宋体"/>
                <w:sz w:val="24"/>
                <w:szCs w:val="28"/>
                <w:lang w:val="en-US" w:eastAsia="zh-CN"/>
              </w:rPr>
              <w:t xml:space="preserve">持有有效电工证或登高作业证人员满6人的得2分，每多提供1人得1分，最多得2分；（1人多种证书按1种证书计算），本项最高得4分。</w:t>
            </w:r>
            <w:r/>
          </w:p>
          <w:p>
            <w:pPr>
              <w:ind w:firstLine="0"/>
              <w:spacing w:line="300" w:lineRule="atLeast"/>
              <w:rPr>
                <w:rFonts w:hint="default" w:ascii="宋体"/>
                <w:sz w:val="24"/>
                <w:szCs w:val="28"/>
              </w:rPr>
              <w:pBdr>
                <w:top w:val="none" w:color="000000" w:sz="0" w:space="0"/>
                <w:left w:val="none" w:color="000000" w:sz="0" w:space="0"/>
                <w:bottom w:val="none" w:color="000000" w:sz="0" w:space="0"/>
                <w:right w:val="none" w:color="000000" w:sz="0" w:space="0"/>
              </w:pBdr>
            </w:pPr>
            <w:r>
              <w:rPr>
                <w:rFonts w:hint="eastAsia" w:ascii="宋体"/>
                <w:sz w:val="24"/>
                <w:szCs w:val="28"/>
                <w:lang w:val="en-US" w:eastAsia="zh-CN"/>
              </w:rPr>
              <w:t xml:space="preserve">投标文件中提供上述人员相关证书的扫描件及投标人在本项目开标时间前6个月内任一个月为上述人员缴纳社保的证明材料的扫描件。</w:t>
            </w:r>
            <w:r/>
          </w:p>
        </w:tc>
      </w:tr>
      <w:tr>
        <w:trPr>
          <w:jc w:val="center"/>
          <w:trHeight w:val="2444"/>
        </w:trPr>
        <w:tc>
          <w:tcPr>
            <w:tcBorders>
              <w:top w:val="none" w:color="000000" w:sz="4" w:space="0"/>
              <w:left w:val="single" w:color="auto" w:sz="4" w:space="0"/>
              <w:bottom w:val="single" w:color="auto" w:sz="4" w:space="0"/>
              <w:right w:val="single" w:color="auto" w:sz="4" w:space="0"/>
            </w:tcBorders>
            <w:tcW w:w="593" w:type="pct"/>
            <w:vAlign w:val="center"/>
            <w:vMerge w:val="continue"/>
            <w:textDirection w:val="lrTb"/>
            <w:noWrap w:val="false"/>
          </w:tcPr>
          <w:p>
            <w:pPr>
              <w:ind w:firstLine="0"/>
              <w:spacing w:line="240" w:lineRule="auto"/>
              <w:rPr>
                <w:rFonts w:hint="default" w:ascii="宋体"/>
                <w:sz w:val="24"/>
                <w:szCs w:val="28"/>
              </w:rPr>
            </w:pPr>
            <w:r>
              <w:rPr>
                <w:rFonts w:hint="default" w:ascii="宋体"/>
                <w:sz w:val="24"/>
                <w:szCs w:val="28"/>
              </w:rPr>
            </w:r>
            <w:r/>
          </w:p>
        </w:tc>
        <w:tc>
          <w:tcPr>
            <w:tcBorders>
              <w:top w:val="single" w:color="auto" w:sz="4" w:space="0"/>
              <w:left w:val="single" w:color="auto" w:sz="4" w:space="0"/>
              <w:bottom w:val="single" w:color="auto" w:sz="4" w:space="0"/>
              <w:right w:val="single" w:color="auto" w:sz="4" w:space="0"/>
            </w:tcBorders>
            <w:tcW w:w="736" w:type="pct"/>
            <w:vAlign w:val="center"/>
            <w:textDirection w:val="lrTb"/>
            <w:noWrap w:val="false"/>
          </w:tcPr>
          <w:p>
            <w:pPr>
              <w:ind w:firstLine="0"/>
              <w:jc w:val="center"/>
              <w:spacing w:line="240" w:lineRule="auto"/>
              <w:rPr>
                <w:rFonts w:hint="default" w:ascii="宋体"/>
                <w:sz w:val="24"/>
                <w:szCs w:val="28"/>
              </w:rPr>
            </w:pPr>
            <w:r>
              <w:rPr>
                <w:rFonts w:hint="eastAsia" w:ascii="宋体" w:hAnsi="宋体" w:cs="宋体"/>
                <w:bCs/>
                <w:sz w:val="24"/>
                <w:szCs w:val="24"/>
              </w:rPr>
              <w:t xml:space="preserve">机械设备配置</w:t>
            </w:r>
            <w:r>
              <w:rPr>
                <w:rFonts w:hint="eastAsia" w:ascii="宋体" w:hAnsi="宋体" w:cs="宋体"/>
                <w:bCs/>
                <w:sz w:val="24"/>
                <w:szCs w:val="24"/>
                <w:lang w:eastAsia="zh-CN"/>
              </w:rPr>
              <w:t xml:space="preserve">、</w:t>
            </w:r>
            <w:r>
              <w:rPr>
                <w:rFonts w:hint="eastAsia" w:ascii="宋体"/>
                <w:sz w:val="24"/>
                <w:szCs w:val="28"/>
              </w:rPr>
              <w:t xml:space="preserve">维修工具、备品备件配备方案</w:t>
            </w:r>
            <w:r/>
          </w:p>
          <w:p>
            <w:pPr>
              <w:ind w:firstLine="0"/>
              <w:spacing w:line="360" w:lineRule="auto"/>
              <w:rPr>
                <w:rFonts w:hint="default" w:ascii="宋体"/>
                <w:color w:val="ff0000"/>
                <w:sz w:val="24"/>
                <w:szCs w:val="28"/>
              </w:rPr>
            </w:pPr>
            <w:r>
              <w:rPr>
                <w:rFonts w:hint="eastAsia" w:ascii="宋体"/>
                <w:sz w:val="24"/>
                <w:szCs w:val="28"/>
              </w:rPr>
              <w:t xml:space="preserve">（6分）</w:t>
            </w:r>
            <w:r/>
          </w:p>
        </w:tc>
        <w:tc>
          <w:tcPr>
            <w:tcBorders>
              <w:top w:val="single" w:color="auto" w:sz="4" w:space="0"/>
              <w:left w:val="single" w:color="auto" w:sz="4" w:space="0"/>
              <w:bottom w:val="single" w:color="auto" w:sz="4" w:space="0"/>
              <w:right w:val="single" w:color="auto" w:sz="4" w:space="0"/>
            </w:tcBorders>
            <w:tcW w:w="3669" w:type="pct"/>
            <w:vAlign w:val="center"/>
            <w:textDirection w:val="lrTb"/>
            <w:noWrap w:val="false"/>
          </w:tcPr>
          <w:p>
            <w:pPr>
              <w:ind w:firstLine="0"/>
              <w:spacing w:line="300" w:lineRule="atLeast"/>
              <w:rPr>
                <w:rFonts w:hint="eastAsia" w:ascii="宋体"/>
                <w:sz w:val="24"/>
                <w:szCs w:val="28"/>
                <w:lang w:val="en-US" w:eastAsia="zh-CN"/>
              </w:rPr>
              <w:pBdr>
                <w:top w:val="none" w:color="000000" w:sz="0" w:space="0"/>
                <w:left w:val="none" w:color="000000" w:sz="0" w:space="0"/>
                <w:bottom w:val="none" w:color="000000" w:sz="0" w:space="0"/>
                <w:right w:val="none" w:color="000000" w:sz="0" w:space="0"/>
              </w:pBdr>
            </w:pPr>
            <w:r>
              <w:rPr>
                <w:rFonts w:hint="eastAsia" w:ascii="宋体"/>
                <w:sz w:val="24"/>
                <w:szCs w:val="28"/>
              </w:rPr>
              <w:t xml:space="preserve">1、投标人配备</w:t>
            </w:r>
            <w:r>
              <w:rPr>
                <w:rFonts w:hint="eastAsia" w:ascii="宋体"/>
                <w:sz w:val="24"/>
                <w:szCs w:val="28"/>
                <w:lang w:val="en-US" w:eastAsia="zh-CN"/>
              </w:rPr>
              <w:t xml:space="preserve">维护车辆4辆，且具有</w:t>
            </w:r>
            <w:r>
              <w:rPr>
                <w:rFonts w:hint="eastAsia" w:ascii="宋体"/>
                <w:sz w:val="24"/>
                <w:szCs w:val="28"/>
              </w:rPr>
              <w:t xml:space="preserve">悬臂高空车1辆，巡视小型车2</w:t>
            </w:r>
            <w:r>
              <w:rPr>
                <w:rFonts w:hint="eastAsia" w:ascii="宋体"/>
                <w:sz w:val="24"/>
                <w:szCs w:val="28"/>
                <w:lang w:val="en-US" w:eastAsia="zh-CN"/>
              </w:rPr>
              <w:t xml:space="preserve">辆，调优车1辆</w:t>
            </w:r>
            <w:r>
              <w:rPr>
                <w:rFonts w:hint="eastAsia" w:ascii="宋体"/>
                <w:sz w:val="24"/>
                <w:szCs w:val="28"/>
                <w:lang w:eastAsia="zh-CN"/>
              </w:rPr>
              <w:t xml:space="preserve">。</w:t>
            </w:r>
            <w:r>
              <w:rPr>
                <w:rFonts w:hint="eastAsia" w:ascii="宋体"/>
                <w:sz w:val="24"/>
                <w:szCs w:val="28"/>
                <w:lang w:val="en-US" w:eastAsia="zh-CN"/>
              </w:rPr>
              <w:t xml:space="preserve">满足要求的得4分，</w:t>
            </w:r>
            <w:r>
              <w:rPr>
                <w:rFonts w:hint="eastAsia" w:ascii="宋体" w:hAnsi="Times New Roman" w:eastAsia="宋体" w:cs="Times New Roman"/>
                <w:sz w:val="24"/>
                <w:szCs w:val="28"/>
                <w:highlight w:val="none"/>
              </w:rPr>
              <w:t xml:space="preserve">每少一辆</w:t>
            </w:r>
            <w:r>
              <w:rPr>
                <w:rFonts w:hint="eastAsia" w:ascii="宋体" w:hAnsi="Times New Roman" w:eastAsia="宋体" w:cs="Times New Roman"/>
                <w:sz w:val="24"/>
                <w:szCs w:val="28"/>
                <w:highlight w:val="none"/>
                <w:lang w:val="en-US" w:eastAsia="zh-CN"/>
              </w:rPr>
              <w:t xml:space="preserve">扣1分，</w:t>
            </w:r>
            <w:r>
              <w:rPr>
                <w:rFonts w:hint="eastAsia" w:ascii="宋体"/>
                <w:sz w:val="24"/>
                <w:szCs w:val="28"/>
                <w:lang w:val="en-US" w:eastAsia="zh-CN"/>
              </w:rPr>
              <w:t xml:space="preserve">最低得0分。</w:t>
            </w:r>
            <w:r/>
          </w:p>
          <w:p>
            <w:pPr>
              <w:ind w:firstLine="0"/>
              <w:spacing w:line="300" w:lineRule="atLeast"/>
              <w:rPr>
                <w:rFonts w:hint="eastAsia" w:ascii="宋体" w:hAnsi="Times New Roman" w:eastAsia="宋体" w:cs="Times New Roman"/>
                <w:b w:val="0"/>
                <w:sz w:val="24"/>
                <w:szCs w:val="28"/>
                <w:highlight w:val="none"/>
              </w:rPr>
              <w:pBdr>
                <w:top w:val="none" w:color="000000" w:sz="0" w:space="0"/>
                <w:left w:val="none" w:color="000000" w:sz="0" w:space="0"/>
                <w:bottom w:val="none" w:color="000000" w:sz="0" w:space="0"/>
                <w:right w:val="none" w:color="000000" w:sz="0" w:space="0"/>
              </w:pBdr>
            </w:pPr>
            <w:r>
              <w:rPr>
                <w:rFonts w:hint="eastAsia" w:ascii="宋体" w:hAnsi="Times New Roman" w:eastAsia="宋体" w:cs="Times New Roman"/>
                <w:b w:val="0"/>
                <w:sz w:val="24"/>
                <w:szCs w:val="28"/>
                <w:highlight w:val="none"/>
                <w:lang w:val="en-US" w:eastAsia="zh-CN"/>
              </w:rPr>
              <w:t xml:space="preserve">车辆</w:t>
            </w:r>
            <w:r>
              <w:rPr>
                <w:rFonts w:hint="eastAsia" w:ascii="宋体" w:hAnsi="Times New Roman" w:eastAsia="宋体" w:cs="Times New Roman"/>
                <w:b w:val="0"/>
                <w:sz w:val="24"/>
                <w:szCs w:val="28"/>
                <w:highlight w:val="none"/>
              </w:rPr>
              <w:t xml:space="preserve">为投标人自有的，投标文件中需该提供该</w:t>
            </w:r>
            <w:r>
              <w:rPr>
                <w:rFonts w:hint="eastAsia" w:ascii="宋体" w:hAnsi="Times New Roman" w:eastAsia="宋体" w:cs="Times New Roman"/>
                <w:b w:val="0"/>
                <w:sz w:val="24"/>
                <w:szCs w:val="28"/>
                <w:highlight w:val="none"/>
                <w:lang w:val="en-US" w:eastAsia="zh-CN"/>
              </w:rPr>
              <w:t xml:space="preserve">车辆</w:t>
            </w:r>
            <w:r>
              <w:rPr>
                <w:rFonts w:hint="eastAsia" w:ascii="宋体" w:hAnsi="Times New Roman" w:eastAsia="宋体" w:cs="Times New Roman"/>
                <w:b w:val="0"/>
                <w:sz w:val="24"/>
                <w:szCs w:val="28"/>
                <w:highlight w:val="none"/>
              </w:rPr>
              <w:t xml:space="preserve">购置全额发票扫描件</w:t>
            </w:r>
            <w:r>
              <w:rPr>
                <w:rFonts w:hint="eastAsia" w:ascii="宋体" w:cs="Times New Roman"/>
                <w:b w:val="0"/>
                <w:sz w:val="24"/>
                <w:szCs w:val="28"/>
                <w:highlight w:val="none"/>
                <w:lang w:val="en-US" w:eastAsia="zh-CN"/>
              </w:rPr>
              <w:t xml:space="preserve">和行驶证</w:t>
            </w:r>
            <w:r>
              <w:rPr>
                <w:rFonts w:hint="eastAsia" w:ascii="宋体" w:hAnsi="Times New Roman" w:eastAsia="宋体" w:cs="Times New Roman"/>
                <w:b w:val="0"/>
                <w:sz w:val="24"/>
                <w:szCs w:val="28"/>
                <w:highlight w:val="none"/>
              </w:rPr>
              <w:t xml:space="preserve">。</w:t>
            </w:r>
            <w:r/>
          </w:p>
          <w:p>
            <w:pPr>
              <w:ind w:firstLine="0"/>
              <w:spacing w:line="300" w:lineRule="atLeast"/>
              <w:rPr>
                <w:rFonts w:hint="eastAsia" w:ascii="宋体" w:eastAsia="宋体"/>
                <w:sz w:val="24"/>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Times New Roman" w:eastAsia="宋体" w:cs="Times New Roman"/>
                <w:b w:val="0"/>
                <w:sz w:val="24"/>
                <w:szCs w:val="28"/>
                <w:highlight w:val="none"/>
                <w:lang w:val="en-US" w:eastAsia="zh-CN"/>
              </w:rPr>
              <w:t xml:space="preserve">车辆</w:t>
            </w:r>
            <w:r>
              <w:rPr>
                <w:rFonts w:hint="eastAsia" w:ascii="宋体" w:hAnsi="Times New Roman" w:eastAsia="宋体" w:cs="Times New Roman"/>
                <w:b w:val="0"/>
                <w:sz w:val="24"/>
                <w:szCs w:val="28"/>
                <w:highlight w:val="none"/>
              </w:rPr>
              <w:t xml:space="preserve">为租赁的，投标文件中需该提供该</w:t>
            </w:r>
            <w:r>
              <w:rPr>
                <w:rFonts w:hint="eastAsia" w:ascii="宋体" w:cs="Times New Roman"/>
                <w:b w:val="0"/>
                <w:sz w:val="24"/>
                <w:szCs w:val="28"/>
                <w:highlight w:val="none"/>
                <w:lang w:val="en-US" w:eastAsia="zh-CN"/>
              </w:rPr>
              <w:t xml:space="preserve">车辆</w:t>
            </w:r>
            <w:r>
              <w:rPr>
                <w:rFonts w:hint="eastAsia" w:ascii="宋体" w:hAnsi="Times New Roman" w:eastAsia="宋体" w:cs="Times New Roman"/>
                <w:b w:val="0"/>
                <w:sz w:val="24"/>
                <w:szCs w:val="28"/>
                <w:highlight w:val="none"/>
              </w:rPr>
              <w:t xml:space="preserve">租赁合同和发票扫描件</w:t>
            </w:r>
            <w:r>
              <w:rPr>
                <w:rFonts w:hint="eastAsia" w:ascii="宋体" w:cs="Times New Roman"/>
                <w:b w:val="0"/>
                <w:sz w:val="24"/>
                <w:szCs w:val="28"/>
                <w:highlight w:val="none"/>
                <w:lang w:val="en-US" w:eastAsia="zh-CN"/>
              </w:rPr>
              <w:t xml:space="preserve">和行驶证</w:t>
            </w:r>
            <w:r>
              <w:rPr>
                <w:rFonts w:hint="eastAsia" w:ascii="宋体" w:hAnsi="Times New Roman" w:eastAsia="宋体" w:cs="Times New Roman"/>
                <w:b w:val="0"/>
                <w:sz w:val="24"/>
                <w:szCs w:val="28"/>
                <w:highlight w:val="none"/>
              </w:rPr>
              <w:t xml:space="preserve">。</w:t>
            </w:r>
            <w:r/>
          </w:p>
          <w:p>
            <w:pPr>
              <w:ind w:firstLine="0"/>
              <w:spacing w:line="240" w:lineRule="auto"/>
              <w:rPr>
                <w:rFonts w:hint="eastAsia" w:ascii="宋体"/>
                <w:sz w:val="24"/>
                <w:szCs w:val="28"/>
                <w:highlight w:val="none"/>
                <w:lang w:val="en-US" w:eastAsia="zh-CN"/>
              </w:rPr>
            </w:pPr>
            <w:r>
              <w:rPr>
                <w:rFonts w:hint="eastAsia" w:ascii="宋体"/>
                <w:sz w:val="24"/>
                <w:szCs w:val="28"/>
                <w:highlight w:val="none"/>
              </w:rPr>
              <w:t xml:space="preserve">2、投标人</w:t>
            </w:r>
            <w:r>
              <w:rPr>
                <w:rFonts w:hint="eastAsia" w:ascii="宋体"/>
                <w:sz w:val="24"/>
                <w:szCs w:val="28"/>
                <w:highlight w:val="none"/>
                <w:lang w:val="en-US" w:eastAsia="zh-CN"/>
              </w:rPr>
              <w:t xml:space="preserve">具有道路交通运维管理软件的，提供相关检测报告。满足要求的得2分，不满足得0分。</w:t>
            </w:r>
            <w:r/>
          </w:p>
          <w:p>
            <w:pPr>
              <w:ind w:firstLine="0"/>
              <w:spacing w:line="240" w:lineRule="auto"/>
              <w:rPr>
                <w:rFonts w:hint="default" w:ascii="宋体"/>
                <w:color w:val="ff0000"/>
                <w:sz w:val="24"/>
                <w:szCs w:val="28"/>
              </w:rPr>
            </w:pPr>
            <w:r>
              <w:rPr>
                <w:rFonts w:hint="default" w:ascii="宋体"/>
                <w:color w:val="ff0000"/>
                <w:sz w:val="24"/>
                <w:szCs w:val="28"/>
              </w:rPr>
            </w:r>
            <w:r/>
          </w:p>
        </w:tc>
      </w:tr>
      <w:tr>
        <w:trPr>
          <w:jc w:val="center"/>
          <w:trHeight w:val="2939"/>
        </w:trPr>
        <w:tc>
          <w:tcPr>
            <w:tcBorders>
              <w:top w:val="none" w:color="000000" w:sz="4" w:space="0"/>
              <w:left w:val="single" w:color="auto" w:sz="4" w:space="0"/>
              <w:bottom w:val="single" w:color="auto" w:sz="4" w:space="0"/>
              <w:right w:val="single" w:color="auto" w:sz="4" w:space="0"/>
            </w:tcBorders>
            <w:tcW w:w="593" w:type="pct"/>
            <w:vAlign w:val="center"/>
            <w:vMerge w:val="continue"/>
            <w:textDirection w:val="lrTb"/>
            <w:noWrap w:val="false"/>
          </w:tcPr>
          <w:p>
            <w:pPr>
              <w:ind w:firstLine="0"/>
              <w:spacing w:line="240" w:lineRule="auto"/>
              <w:rPr>
                <w:rFonts w:hint="default" w:ascii="宋体"/>
                <w:sz w:val="24"/>
                <w:szCs w:val="28"/>
              </w:rPr>
            </w:pPr>
            <w:r>
              <w:rPr>
                <w:rFonts w:hint="default" w:ascii="宋体"/>
                <w:sz w:val="24"/>
                <w:szCs w:val="28"/>
              </w:rPr>
            </w:r>
            <w:r/>
          </w:p>
        </w:tc>
        <w:tc>
          <w:tcPr>
            <w:tcBorders>
              <w:top w:val="single" w:color="auto" w:sz="4" w:space="0"/>
              <w:left w:val="single" w:color="auto" w:sz="4" w:space="0"/>
              <w:bottom w:val="single" w:color="auto" w:sz="4" w:space="0"/>
              <w:right w:val="single" w:color="auto" w:sz="4" w:space="0"/>
            </w:tcBorders>
            <w:tcW w:w="736" w:type="pct"/>
            <w:vAlign w:val="center"/>
            <w:textDirection w:val="lrTb"/>
            <w:noWrap w:val="false"/>
          </w:tcPr>
          <w:p>
            <w:pPr>
              <w:ind w:firstLine="0"/>
              <w:jc w:val="center"/>
              <w:spacing w:line="240" w:lineRule="auto"/>
              <w:rPr>
                <w:rFonts w:hint="default" w:ascii="宋体"/>
                <w:sz w:val="24"/>
                <w:szCs w:val="28"/>
              </w:rPr>
            </w:pPr>
            <w:r>
              <w:rPr>
                <w:rFonts w:hint="eastAsia" w:ascii="宋体"/>
                <w:sz w:val="24"/>
                <w:szCs w:val="28"/>
              </w:rPr>
              <w:t xml:space="preserve">遇到重大紧急事项的应急预案</w:t>
            </w:r>
            <w:r/>
          </w:p>
          <w:p>
            <w:pPr>
              <w:ind w:firstLine="0"/>
              <w:jc w:val="center"/>
              <w:spacing w:line="240" w:lineRule="auto"/>
              <w:rPr>
                <w:rFonts w:hint="default" w:ascii="宋体"/>
                <w:sz w:val="24"/>
                <w:szCs w:val="28"/>
              </w:rPr>
            </w:pPr>
            <w:r>
              <w:rPr>
                <w:rFonts w:hint="eastAsia" w:ascii="宋体"/>
                <w:sz w:val="24"/>
                <w:szCs w:val="28"/>
              </w:rPr>
              <w:t xml:space="preserve">（</w:t>
            </w:r>
            <w:r>
              <w:rPr>
                <w:rFonts w:hint="eastAsia" w:ascii="宋体"/>
                <w:sz w:val="24"/>
                <w:szCs w:val="28"/>
                <w:lang w:val="en-US" w:eastAsia="zh-CN"/>
              </w:rPr>
              <w:t xml:space="preserve">12</w:t>
            </w:r>
            <w:r>
              <w:rPr>
                <w:rFonts w:hint="eastAsia" w:ascii="宋体"/>
                <w:sz w:val="24"/>
                <w:szCs w:val="28"/>
              </w:rPr>
              <w:t xml:space="preserve">分）</w:t>
            </w:r>
            <w:r/>
          </w:p>
        </w:tc>
        <w:tc>
          <w:tcPr>
            <w:tcBorders>
              <w:top w:val="single" w:color="auto" w:sz="4" w:space="0"/>
              <w:left w:val="single" w:color="auto" w:sz="4" w:space="0"/>
              <w:bottom w:val="single" w:color="auto" w:sz="4" w:space="0"/>
              <w:right w:val="single" w:color="auto" w:sz="4" w:space="0"/>
            </w:tcBorders>
            <w:tcW w:w="3669" w:type="pct"/>
            <w:vAlign w:val="center"/>
            <w:textDirection w:val="lrTb"/>
            <w:noWrap w:val="false"/>
          </w:tcPr>
          <w:p>
            <w:pPr>
              <w:ind w:firstLine="0"/>
              <w:spacing w:line="240" w:lineRule="auto"/>
              <w:rPr>
                <w:rFonts w:hint="default" w:ascii="宋体"/>
                <w:sz w:val="24"/>
                <w:szCs w:val="28"/>
              </w:rPr>
            </w:pPr>
            <w:r>
              <w:rPr>
                <w:rFonts w:hint="eastAsia" w:ascii="宋体"/>
                <w:sz w:val="24"/>
                <w:szCs w:val="28"/>
              </w:rPr>
              <w:t xml:space="preserve">根据提供的服务过程中根据投标人针对本项目的重大紧急事项的应急预案进行评分，内容至少包括：责任人和组织结构、应急通信和联络措施、资源调配和支持措施、交通事故应急措施、各类恶劣灾害性天气应急措施、突发事件应急措施等，对内容的全面性、可行性、针对性进行评价。</w:t>
            </w:r>
            <w:r/>
          </w:p>
          <w:p>
            <w:pPr>
              <w:ind w:firstLine="0"/>
              <w:spacing w:line="240" w:lineRule="auto"/>
              <w:rPr>
                <w:rFonts w:hint="default" w:ascii="宋体"/>
                <w:sz w:val="24"/>
                <w:szCs w:val="28"/>
              </w:rPr>
            </w:pPr>
            <w:r>
              <w:rPr>
                <w:rFonts w:hint="eastAsia" w:ascii="宋体"/>
                <w:sz w:val="24"/>
                <w:szCs w:val="28"/>
              </w:rPr>
              <w:t xml:space="preserve">全面性(</w:t>
            </w:r>
            <w:r>
              <w:rPr>
                <w:rFonts w:hint="eastAsia" w:ascii="宋体"/>
                <w:sz w:val="24"/>
                <w:szCs w:val="28"/>
                <w:lang w:val="en-US" w:eastAsia="zh-CN"/>
              </w:rPr>
              <w:t xml:space="preserve">4</w:t>
            </w:r>
            <w:r>
              <w:rPr>
                <w:rFonts w:hint="eastAsia" w:ascii="宋体"/>
                <w:sz w:val="24"/>
                <w:szCs w:val="28"/>
              </w:rPr>
              <w:t xml:space="preserve">分)：全面具体详实得</w:t>
            </w:r>
            <w:r>
              <w:rPr>
                <w:rFonts w:hint="eastAsia" w:ascii="宋体"/>
                <w:sz w:val="24"/>
                <w:szCs w:val="28"/>
                <w:lang w:val="en-US" w:eastAsia="zh-CN"/>
              </w:rPr>
              <w:t xml:space="preserve">4</w:t>
            </w:r>
            <w:r>
              <w:rPr>
                <w:rFonts w:hint="eastAsia" w:ascii="宋体"/>
                <w:sz w:val="24"/>
                <w:szCs w:val="28"/>
              </w:rPr>
              <w:t xml:space="preserve">分；全面但内容简单得</w:t>
            </w:r>
            <w:r>
              <w:rPr>
                <w:rFonts w:hint="eastAsia" w:ascii="宋体"/>
                <w:sz w:val="24"/>
                <w:szCs w:val="28"/>
                <w:lang w:val="en-US" w:eastAsia="zh-CN"/>
              </w:rPr>
              <w:t xml:space="preserve">2</w:t>
            </w:r>
            <w:r>
              <w:rPr>
                <w:rFonts w:hint="eastAsia" w:ascii="宋体"/>
                <w:sz w:val="24"/>
                <w:szCs w:val="28"/>
              </w:rPr>
              <w:t xml:space="preserve">分；存在较大漏项或缺陷得</w:t>
            </w:r>
            <w:r>
              <w:rPr>
                <w:rFonts w:hint="eastAsia" w:ascii="宋体"/>
                <w:sz w:val="24"/>
                <w:szCs w:val="28"/>
                <w:lang w:val="en-US" w:eastAsia="zh-CN"/>
              </w:rPr>
              <w:t xml:space="preserve">1</w:t>
            </w:r>
            <w:r>
              <w:rPr>
                <w:rFonts w:hint="eastAsia" w:ascii="宋体"/>
                <w:sz w:val="24"/>
                <w:szCs w:val="28"/>
              </w:rPr>
              <w:t xml:space="preserve">分。</w:t>
            </w:r>
            <w:r/>
          </w:p>
          <w:p>
            <w:pPr>
              <w:ind w:firstLine="0"/>
              <w:spacing w:line="240" w:lineRule="auto"/>
              <w:rPr>
                <w:rFonts w:hint="default" w:ascii="宋体"/>
                <w:sz w:val="24"/>
                <w:szCs w:val="28"/>
              </w:rPr>
            </w:pPr>
            <w:r>
              <w:rPr>
                <w:rFonts w:hint="eastAsia" w:ascii="宋体"/>
                <w:sz w:val="24"/>
                <w:szCs w:val="28"/>
              </w:rPr>
              <w:t xml:space="preserve">可行性(</w:t>
            </w:r>
            <w:r>
              <w:rPr>
                <w:rFonts w:hint="eastAsia" w:ascii="宋体"/>
                <w:sz w:val="24"/>
                <w:szCs w:val="28"/>
                <w:lang w:val="en-US" w:eastAsia="zh-CN"/>
              </w:rPr>
              <w:t xml:space="preserve">4</w:t>
            </w:r>
            <w:r>
              <w:rPr>
                <w:rFonts w:hint="eastAsia" w:ascii="宋体"/>
                <w:sz w:val="24"/>
                <w:szCs w:val="28"/>
              </w:rPr>
              <w:t xml:space="preserve">分)：切实可行具体详实得</w:t>
            </w:r>
            <w:r>
              <w:rPr>
                <w:rFonts w:hint="eastAsia" w:ascii="宋体"/>
                <w:sz w:val="24"/>
                <w:szCs w:val="28"/>
                <w:lang w:val="en-US" w:eastAsia="zh-CN"/>
              </w:rPr>
              <w:t xml:space="preserve">4</w:t>
            </w:r>
            <w:r>
              <w:rPr>
                <w:rFonts w:hint="eastAsia" w:ascii="宋体"/>
                <w:sz w:val="24"/>
                <w:szCs w:val="28"/>
              </w:rPr>
              <w:t xml:space="preserve">分；切实可行性一般得</w:t>
            </w:r>
            <w:r>
              <w:rPr>
                <w:rFonts w:hint="eastAsia" w:ascii="宋体"/>
                <w:sz w:val="24"/>
                <w:szCs w:val="28"/>
                <w:lang w:val="en-US" w:eastAsia="zh-CN"/>
              </w:rPr>
              <w:t xml:space="preserve">2</w:t>
            </w:r>
            <w:r>
              <w:rPr>
                <w:rFonts w:hint="eastAsia" w:ascii="宋体"/>
                <w:sz w:val="24"/>
                <w:szCs w:val="28"/>
              </w:rPr>
              <w:t xml:space="preserve">分；可行性差得</w:t>
            </w:r>
            <w:r>
              <w:rPr>
                <w:rFonts w:hint="eastAsia" w:ascii="宋体"/>
                <w:sz w:val="24"/>
                <w:szCs w:val="28"/>
                <w:lang w:val="en-US" w:eastAsia="zh-CN"/>
              </w:rPr>
              <w:t xml:space="preserve">1</w:t>
            </w:r>
            <w:r>
              <w:rPr>
                <w:rFonts w:hint="eastAsia" w:ascii="宋体"/>
                <w:sz w:val="24"/>
                <w:szCs w:val="28"/>
              </w:rPr>
              <w:t xml:space="preserve">分。</w:t>
            </w:r>
            <w:r/>
          </w:p>
          <w:p>
            <w:pPr>
              <w:ind w:firstLine="0"/>
              <w:spacing w:line="240" w:lineRule="auto"/>
              <w:rPr>
                <w:rFonts w:hint="default" w:ascii="宋体"/>
                <w:sz w:val="24"/>
                <w:szCs w:val="28"/>
              </w:rPr>
            </w:pPr>
            <w:r>
              <w:rPr>
                <w:rFonts w:hint="eastAsia" w:ascii="宋体"/>
                <w:sz w:val="24"/>
                <w:szCs w:val="28"/>
              </w:rPr>
              <w:t xml:space="preserve">针对性(</w:t>
            </w:r>
            <w:r>
              <w:rPr>
                <w:rFonts w:hint="eastAsia" w:ascii="宋体"/>
                <w:sz w:val="24"/>
                <w:szCs w:val="28"/>
                <w:lang w:val="en-US" w:eastAsia="zh-CN"/>
              </w:rPr>
              <w:t xml:space="preserve">4</w:t>
            </w:r>
            <w:r>
              <w:rPr>
                <w:rFonts w:hint="eastAsia" w:ascii="宋体"/>
                <w:sz w:val="24"/>
                <w:szCs w:val="28"/>
              </w:rPr>
              <w:t xml:space="preserve">分)：针对性强得</w:t>
            </w:r>
            <w:r>
              <w:rPr>
                <w:rFonts w:hint="eastAsia" w:ascii="宋体"/>
                <w:sz w:val="24"/>
                <w:szCs w:val="28"/>
                <w:lang w:val="en-US" w:eastAsia="zh-CN"/>
              </w:rPr>
              <w:t xml:space="preserve">4</w:t>
            </w:r>
            <w:r>
              <w:rPr>
                <w:rFonts w:hint="eastAsia" w:ascii="宋体"/>
                <w:sz w:val="24"/>
                <w:szCs w:val="28"/>
              </w:rPr>
              <w:t xml:space="preserve">分；针对性一般得</w:t>
            </w:r>
            <w:r>
              <w:rPr>
                <w:rFonts w:hint="eastAsia" w:ascii="宋体"/>
                <w:sz w:val="24"/>
                <w:szCs w:val="28"/>
                <w:lang w:val="en-US" w:eastAsia="zh-CN"/>
              </w:rPr>
              <w:t xml:space="preserve">2</w:t>
            </w:r>
            <w:r>
              <w:rPr>
                <w:rFonts w:hint="eastAsia" w:ascii="宋体"/>
                <w:sz w:val="24"/>
                <w:szCs w:val="28"/>
              </w:rPr>
              <w:t xml:space="preserve">分；针对性差得</w:t>
            </w:r>
            <w:r>
              <w:rPr>
                <w:rFonts w:hint="eastAsia" w:ascii="宋体"/>
                <w:sz w:val="24"/>
                <w:szCs w:val="28"/>
                <w:lang w:val="en-US" w:eastAsia="zh-CN"/>
              </w:rPr>
              <w:t xml:space="preserve">1</w:t>
            </w:r>
            <w:r>
              <w:rPr>
                <w:rFonts w:hint="eastAsia" w:ascii="宋体"/>
                <w:sz w:val="24"/>
                <w:szCs w:val="28"/>
              </w:rPr>
              <w:t xml:space="preserve">分。</w:t>
            </w:r>
            <w:r/>
          </w:p>
          <w:p>
            <w:pPr>
              <w:ind w:firstLine="0"/>
              <w:spacing w:line="240" w:lineRule="auto"/>
              <w:rPr>
                <w:rFonts w:hint="default" w:ascii="宋体"/>
                <w:sz w:val="24"/>
                <w:szCs w:val="28"/>
              </w:rPr>
            </w:pPr>
            <w:r>
              <w:rPr>
                <w:rFonts w:hint="eastAsia" w:ascii="宋体"/>
                <w:sz w:val="24"/>
                <w:szCs w:val="28"/>
              </w:rPr>
              <w:t xml:space="preserve">未提供的得0分。本项最高得</w:t>
            </w:r>
            <w:r>
              <w:rPr>
                <w:rFonts w:hint="eastAsia" w:ascii="宋体"/>
                <w:sz w:val="24"/>
                <w:szCs w:val="28"/>
                <w:lang w:val="en-US" w:eastAsia="zh-CN"/>
              </w:rPr>
              <w:t xml:space="preserve">12</w:t>
            </w:r>
            <w:r>
              <w:rPr>
                <w:rFonts w:hint="eastAsia" w:ascii="宋体"/>
                <w:sz w:val="24"/>
                <w:szCs w:val="28"/>
              </w:rPr>
              <w:t xml:space="preserve">分，最低得0分。</w:t>
            </w:r>
            <w:r/>
          </w:p>
        </w:tc>
      </w:tr>
    </w:tbl>
    <w:p>
      <w:pPr>
        <w:spacing w:line="360" w:lineRule="auto"/>
        <w:rPr>
          <w:rFonts w:ascii="宋体" w:hAnsi="宋体" w:cs="宋体"/>
          <w:b/>
          <w:bCs/>
        </w:rPr>
        <w:sectPr>
          <w:footerReference w:type="default" r:id="rId15"/>
          <w:footerReference w:type="first" r:id="rId16"/>
          <w:footnotePr/>
          <w:endnotePr/>
          <w:type w:val="nextPage"/>
          <w:pgSz w:w="11906" w:h="16838" w:orient="portrait"/>
          <w:pgMar w:top="1304" w:right="1304" w:bottom="1304" w:left="1304" w:header="851" w:footer="992" w:gutter="0"/>
          <w:pgNumType w:start="1"/>
          <w:cols w:num="1" w:sep="0" w:space="1701" w:equalWidth="1"/>
          <w:docGrid w:linePitch="360"/>
          <w:titlePg/>
        </w:sectPr>
      </w:pPr>
      <w:r>
        <w:rPr>
          <w:rFonts w:hint="eastAsia" w:ascii="宋体" w:hAnsi="宋体" w:cs="宋体"/>
          <w:b/>
          <w:bCs/>
        </w:rPr>
        <w:t xml:space="preserve">说明：本项目采用综合评分法，保留两位小数。 （供应商技术部分得分取磋商小组全体成员的平均值，保留小数点后二位）</w:t>
      </w:r>
      <w:r/>
    </w:p>
    <w:p>
      <w:pPr>
        <w:pStyle w:val="894"/>
        <w:ind w:firstLine="0"/>
        <w:jc w:val="center"/>
        <w:rPr>
          <w:rFonts w:eastAsia="宋体" w:cs="宋体"/>
          <w:b/>
          <w:sz w:val="30"/>
          <w:szCs w:val="30"/>
        </w:rPr>
        <w:outlineLvl w:val="0"/>
      </w:pPr>
      <w:r/>
      <w:bookmarkStart w:id="10" w:name="_Toc10082"/>
      <w:r>
        <w:rPr>
          <w:rFonts w:hint="eastAsia" w:eastAsia="宋体" w:cs="宋体"/>
          <w:b/>
          <w:sz w:val="30"/>
          <w:szCs w:val="30"/>
        </w:rPr>
        <w:t xml:space="preserve">2、项目要求（采购需求）</w:t>
      </w:r>
      <w:bookmarkEnd w:id="10"/>
      <w:r/>
      <w:r/>
    </w:p>
    <w:p>
      <w:pPr>
        <w:numPr>
          <w:ilvl w:val="0"/>
          <w:numId w:val="0"/>
        </w:numPr>
        <w:keepLines/>
        <w:keepNext/>
        <w:rPr>
          <w:rFonts w:ascii="宋体" w:hAnsi="Times New Roman" w:eastAsia="宋体" w:cs="Times New Roman"/>
          <w:b/>
          <w:bCs/>
          <w:sz w:val="32"/>
          <w:szCs w:val="44"/>
          <w:lang w:val="en-US" w:eastAsia="zh-CN" w:bidi="ar-SA"/>
        </w:rPr>
        <w:outlineLvl w:val="0"/>
      </w:pPr>
      <w:r/>
      <w:bookmarkStart w:id="11" w:name="_Toc16998"/>
      <w:r>
        <w:rPr>
          <w:rFonts w:hint="eastAsia" w:ascii="宋体" w:hAnsi="Times New Roman" w:eastAsia="宋体" w:cs="Times New Roman"/>
          <w:b/>
          <w:bCs/>
          <w:sz w:val="32"/>
          <w:szCs w:val="44"/>
          <w:lang w:val="en-US" w:eastAsia="zh-CN" w:bidi="ar-SA"/>
        </w:rPr>
        <w:t xml:space="preserve">采购项目说明</w:t>
      </w:r>
      <w:bookmarkEnd w:id="11"/>
      <w:r/>
      <w:r/>
    </w:p>
    <w:p>
      <w:pPr>
        <w:contextualSpacing/>
        <w:ind w:firstLine="480"/>
        <w:spacing w:before="240" w:line="440" w:lineRule="exact"/>
        <w:tabs>
          <w:tab w:val="left" w:pos="0" w:leader="none"/>
        </w:tabs>
        <w:rPr>
          <w:rFonts w:hint="eastAsia" w:ascii="宋体" w:hAnsi="宋体" w:eastAsia="宋体" w:cs="宋体"/>
          <w:sz w:val="24"/>
          <w:szCs w:val="28"/>
        </w:rPr>
      </w:pPr>
      <w:r>
        <w:rPr>
          <w:rFonts w:hint="eastAsia" w:ascii="宋体" w:hAnsi="宋体" w:eastAsia="宋体" w:cs="宋体"/>
          <w:sz w:val="24"/>
          <w:szCs w:val="28"/>
        </w:rPr>
        <w:t xml:space="preserve">（一）采购人：沛县公安局</w:t>
      </w:r>
      <w:r/>
    </w:p>
    <w:p>
      <w:pPr>
        <w:contextualSpacing/>
        <w:ind w:firstLine="480"/>
        <w:spacing w:before="240" w:line="440" w:lineRule="exact"/>
        <w:tabs>
          <w:tab w:val="left" w:pos="0" w:leader="none"/>
        </w:tabs>
        <w:rPr>
          <w:rFonts w:hint="eastAsia" w:ascii="宋体" w:hAnsi="宋体" w:eastAsia="宋体" w:cs="宋体"/>
          <w:sz w:val="24"/>
          <w:szCs w:val="28"/>
          <w:lang w:eastAsia="zh-CN"/>
        </w:rPr>
      </w:pPr>
      <w:r>
        <w:rPr>
          <w:rFonts w:hint="eastAsia" w:ascii="宋体" w:hAnsi="宋体" w:eastAsia="宋体" w:cs="宋体"/>
          <w:sz w:val="24"/>
          <w:szCs w:val="28"/>
        </w:rPr>
        <w:t xml:space="preserve">（二）采购项目名称：</w:t>
      </w:r>
      <w:r>
        <w:rPr>
          <w:rFonts w:hint="eastAsia" w:ascii="宋体"/>
          <w:sz w:val="24"/>
          <w:szCs w:val="28"/>
          <w:lang w:eastAsia="zh-CN"/>
        </w:rPr>
        <w:t xml:space="preserve">2026年度城区道路交通设施社会化管养服务</w:t>
      </w:r>
      <w:r/>
    </w:p>
    <w:p>
      <w:pPr>
        <w:ind w:firstLine="480"/>
        <w:spacing w:line="440" w:lineRule="exact"/>
        <w:rPr>
          <w:rFonts w:hint="eastAsia" w:ascii="宋体" w:hAnsi="宋体" w:eastAsia="宋体" w:cs="宋体"/>
          <w:sz w:val="24"/>
          <w:szCs w:val="28"/>
          <w:lang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4"/>
          <w:szCs w:val="28"/>
        </w:rPr>
        <w:t xml:space="preserve">（三）采购标的：</w:t>
      </w:r>
      <w:r>
        <w:rPr>
          <w:rFonts w:hint="eastAsia" w:ascii="宋体"/>
          <w:sz w:val="24"/>
          <w:szCs w:val="28"/>
          <w:lang w:eastAsia="zh-CN"/>
        </w:rPr>
        <w:t xml:space="preserve">2026年度城区道路交通设施社会化管养服务</w:t>
      </w:r>
      <w:r/>
    </w:p>
    <w:p>
      <w:pPr>
        <w:ind w:firstLine="480"/>
        <w:spacing w:line="440" w:lineRule="exact"/>
        <w:rPr>
          <w:rFonts w:hint="eastAsia" w:ascii="宋体" w:hAnsi="宋体" w:eastAsia="宋体" w:cs="宋体"/>
          <w:sz w:val="24"/>
          <w:szCs w:val="28"/>
          <w:lang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4"/>
          <w:szCs w:val="28"/>
        </w:rPr>
        <w:t xml:space="preserve">（四）预算金额：本项目</w:t>
      </w:r>
      <w:r>
        <w:rPr>
          <w:rFonts w:hint="eastAsia" w:ascii="宋体" w:hAnsi="宋体" w:eastAsia="宋体" w:cs="宋体"/>
          <w:sz w:val="24"/>
          <w:szCs w:val="28"/>
          <w:lang w:val="en-US" w:eastAsia="zh-CN"/>
        </w:rPr>
        <w:t xml:space="preserve">预算180万元人民币，本项目</w:t>
      </w:r>
      <w:r>
        <w:rPr>
          <w:rFonts w:hint="eastAsia" w:ascii="宋体" w:hAnsi="宋体" w:eastAsia="宋体" w:cs="宋体"/>
          <w:sz w:val="24"/>
          <w:szCs w:val="28"/>
        </w:rPr>
        <w:t xml:space="preserve">不接受单价超过限价</w:t>
      </w:r>
      <w:r>
        <w:rPr>
          <w:rFonts w:hint="eastAsia" w:ascii="宋体" w:hAnsi="宋体" w:eastAsia="宋体" w:cs="宋体"/>
          <w:sz w:val="24"/>
          <w:szCs w:val="28"/>
          <w:lang w:eastAsia="zh-CN"/>
        </w:rPr>
        <w:t xml:space="preserve">（</w:t>
      </w:r>
      <w:r>
        <w:rPr>
          <w:rFonts w:hint="eastAsia" w:ascii="宋体" w:hAnsi="宋体" w:eastAsia="宋体" w:cs="宋体"/>
          <w:i w:val="0"/>
          <w:iCs w:val="0"/>
          <w:sz w:val="24"/>
          <w:szCs w:val="28"/>
          <w:u w:val="none"/>
          <w:lang w:val="en-US" w:eastAsia="zh-CN" w:bidi="ar"/>
        </w:rPr>
        <w:t xml:space="preserve">35.2118万元</w:t>
      </w:r>
      <w:r>
        <w:rPr>
          <w:rFonts w:hint="eastAsia" w:ascii="宋体" w:hAnsi="宋体" w:eastAsia="宋体" w:cs="宋体"/>
          <w:sz w:val="24"/>
          <w:szCs w:val="28"/>
          <w:lang w:eastAsia="zh-CN"/>
        </w:rPr>
        <w:t xml:space="preserve">）</w:t>
      </w:r>
      <w:r>
        <w:rPr>
          <w:rFonts w:hint="eastAsia" w:ascii="宋体" w:hAnsi="宋体" w:eastAsia="宋体" w:cs="宋体"/>
          <w:sz w:val="24"/>
          <w:szCs w:val="28"/>
          <w:lang w:val="en-US" w:eastAsia="zh-CN"/>
        </w:rPr>
        <w:t xml:space="preserve">的</w:t>
      </w:r>
      <w:r>
        <w:rPr>
          <w:rFonts w:hint="eastAsia" w:ascii="宋体" w:hAnsi="宋体" w:eastAsia="宋体" w:cs="宋体"/>
          <w:sz w:val="24"/>
          <w:szCs w:val="28"/>
        </w:rPr>
        <w:t xml:space="preserve">投标报价</w:t>
      </w:r>
      <w:r>
        <w:rPr>
          <w:rFonts w:hint="eastAsia" w:ascii="宋体" w:hAnsi="宋体" w:eastAsia="宋体" w:cs="宋体"/>
          <w:sz w:val="24"/>
          <w:szCs w:val="28"/>
          <w:lang w:eastAsia="zh-CN"/>
        </w:rPr>
        <w:t xml:space="preserve">。</w:t>
      </w:r>
      <w:r/>
    </w:p>
    <w:p>
      <w:pPr>
        <w:contextualSpacing/>
        <w:ind w:firstLine="480"/>
        <w:spacing w:before="240" w:line="440" w:lineRule="exact"/>
        <w:tabs>
          <w:tab w:val="left" w:pos="0" w:leader="none"/>
        </w:tabs>
        <w:rPr>
          <w:rFonts w:hint="eastAsia" w:ascii="宋体" w:hAnsi="宋体" w:eastAsia="宋体" w:cs="宋体"/>
          <w:sz w:val="24"/>
          <w:szCs w:val="28"/>
        </w:rPr>
      </w:pPr>
      <w:r>
        <w:rPr>
          <w:rFonts w:hint="eastAsia" w:ascii="宋体" w:hAnsi="宋体" w:eastAsia="宋体" w:cs="宋体"/>
          <w:sz w:val="24"/>
          <w:szCs w:val="28"/>
        </w:rPr>
        <w:t xml:space="preserve">（本次报价项目完成所需全部费用及其它相关费用，采购人不再支付报价以外的任何费用。）</w:t>
      </w:r>
      <w:r/>
    </w:p>
    <w:p>
      <w:pPr>
        <w:ind w:firstLine="0"/>
        <w:spacing w:line="360" w:lineRule="auto"/>
        <w:rPr>
          <w:rFonts w:hint="default" w:ascii="宋体"/>
          <w:b/>
          <w:bCs/>
          <w:sz w:val="36"/>
          <w:szCs w:val="40"/>
        </w:rPr>
      </w:pPr>
      <w:r>
        <w:rPr>
          <w:rFonts w:hint="default" w:ascii="宋体"/>
          <w:b/>
          <w:bCs/>
          <w:sz w:val="36"/>
          <w:szCs w:val="40"/>
        </w:rPr>
      </w:r>
      <w:r/>
    </w:p>
    <w:p>
      <w:pPr>
        <w:numPr>
          <w:ilvl w:val="0"/>
          <w:numId w:val="3"/>
        </w:numPr>
        <w:keepLines/>
        <w:keepNext/>
        <w:rPr>
          <w:rFonts w:ascii="宋体" w:hAnsi="Times New Roman" w:eastAsia="宋体" w:cs="Times New Roman"/>
          <w:b/>
          <w:bCs/>
          <w:sz w:val="32"/>
          <w:szCs w:val="44"/>
          <w:lang w:val="en-US" w:eastAsia="zh-CN" w:bidi="ar-SA"/>
        </w:rPr>
        <w:outlineLvl w:val="0"/>
      </w:pPr>
      <w:r/>
      <w:bookmarkStart w:id="12" w:name="_Toc9996"/>
      <w:r>
        <w:rPr>
          <w:rFonts w:hint="eastAsia" w:ascii="宋体" w:hAnsi="Times New Roman" w:eastAsia="宋体" w:cs="Times New Roman"/>
          <w:b/>
          <w:bCs/>
          <w:sz w:val="32"/>
          <w:szCs w:val="44"/>
          <w:lang w:val="en-US" w:eastAsia="zh-CN" w:bidi="ar-SA"/>
        </w:rPr>
        <w:t xml:space="preserve">维护概述</w:t>
      </w:r>
      <w:bookmarkEnd w:id="12"/>
      <w:r/>
      <w:r/>
    </w:p>
    <w:p>
      <w:pPr>
        <w:ind w:firstLine="480"/>
        <w:spacing w:line="440" w:lineRule="exact"/>
        <w:rPr>
          <w:rFonts w:hint="eastAsia" w:ascii="宋体" w:hAnsi="宋体" w:eastAsia="宋体" w:cs="宋体"/>
          <w:sz w:val="24"/>
          <w:szCs w:val="28"/>
        </w:rPr>
      </w:pPr>
      <w:r>
        <w:rPr>
          <w:rFonts w:hint="eastAsia" w:ascii="宋体"/>
          <w:sz w:val="24"/>
          <w:szCs w:val="28"/>
        </w:rPr>
        <w:t xml:space="preserve">中标单位对纳入招标人管理的道路交通信号控制系统、视频监控系统（含电子警察系统、卡口系统等）、机房系统运行维护服务，服务内容包含交通信号控制设备、流量采集设备、电子警察设备、卡口设备、高空瞭望设备、视频监控设备、诱导设备、测速设备等设备的维护、保养、</w:t>
      </w:r>
      <w:r>
        <w:rPr>
          <w:rFonts w:hint="eastAsia" w:ascii="宋体" w:hAnsi="宋体" w:eastAsia="宋体" w:cs="宋体"/>
          <w:sz w:val="24"/>
          <w:szCs w:val="28"/>
        </w:rPr>
        <w:t xml:space="preserve">优化调试、故障处置和修复、升级改造和更新、应急处置等，</w:t>
      </w:r>
      <w:r>
        <w:rPr>
          <w:rFonts w:hint="eastAsia" w:ascii="宋体"/>
          <w:sz w:val="24"/>
          <w:szCs w:val="28"/>
        </w:rPr>
        <w:t xml:space="preserve">以及交通组织和交通信号配时的优化、机房集成平台软硬件维护等。按照专业化、精细化的标准，保障维保范围内的信号控制系统、视频监控系统、机房系统等高效稳定运行。</w:t>
      </w:r>
      <w:r>
        <w:rPr>
          <w:rFonts w:hint="eastAsia" w:ascii="宋体" w:hAnsi="宋体" w:eastAsia="宋体" w:cs="宋体"/>
          <w:b/>
          <w:sz w:val="24"/>
          <w:szCs w:val="28"/>
          <w:u w:val="single"/>
        </w:rPr>
        <w:t xml:space="preserve">本次维护采取包工包料的全包方式，由</w:t>
      </w:r>
      <w:r>
        <w:rPr>
          <w:rFonts w:hint="eastAsia" w:ascii="宋体" w:hAnsi="宋体" w:eastAsia="宋体" w:cs="宋体"/>
          <w:b/>
          <w:sz w:val="24"/>
          <w:szCs w:val="28"/>
          <w:u w:val="single"/>
          <w:lang w:eastAsia="zh-CN"/>
        </w:rPr>
        <w:t xml:space="preserve">中标人</w:t>
      </w:r>
      <w:r>
        <w:rPr>
          <w:rFonts w:hint="eastAsia" w:ascii="宋体" w:hAnsi="宋体" w:eastAsia="宋体" w:cs="宋体"/>
          <w:b/>
          <w:sz w:val="24"/>
          <w:szCs w:val="28"/>
          <w:u w:val="single"/>
        </w:rPr>
        <w:t xml:space="preserve">承担全部项目需求，不再增加额外费用。</w:t>
      </w:r>
      <w:r/>
    </w:p>
    <w:p>
      <w:pPr>
        <w:ind w:left="0" w:firstLine="480"/>
        <w:jc w:val="both"/>
        <w:spacing w:after="0" w:line="360" w:lineRule="auto"/>
        <w:widowControl w:val="off"/>
        <w:rPr>
          <w:rFonts w:hint="eastAsia" w:ascii="宋体" w:hAnsi="宋体" w:eastAsia="宋体" w:cs="Times New Roman"/>
          <w:sz w:val="24"/>
          <w:szCs w:val="28"/>
          <w:lang w:val="en-US" w:eastAsia="zh-CN" w:bidi="ar-SA"/>
        </w:rPr>
      </w:pPr>
      <w:r>
        <w:rPr>
          <w:rFonts w:hint="eastAsia" w:ascii="宋体" w:hAnsi="宋体" w:eastAsia="宋体" w:cs="Times New Roman"/>
          <w:sz w:val="24"/>
          <w:szCs w:val="28"/>
          <w:lang w:val="en-US" w:eastAsia="zh-CN" w:bidi="ar-SA"/>
        </w:rPr>
      </w:r>
      <w:r/>
    </w:p>
    <w:p>
      <w:pPr>
        <w:numPr>
          <w:ilvl w:val="0"/>
          <w:numId w:val="3"/>
        </w:numPr>
        <w:keepLines/>
        <w:keepNext/>
        <w:rPr>
          <w:rFonts w:ascii="宋体" w:hAnsi="Times New Roman" w:eastAsia="宋体" w:cs="Times New Roman"/>
          <w:b/>
          <w:bCs/>
          <w:sz w:val="32"/>
          <w:szCs w:val="44"/>
          <w:lang w:val="en-US" w:eastAsia="zh-CN" w:bidi="ar-SA"/>
        </w:rPr>
        <w:outlineLvl w:val="0"/>
      </w:pPr>
      <w:r/>
      <w:bookmarkStart w:id="13" w:name="_Toc24245"/>
      <w:r>
        <w:rPr>
          <w:rFonts w:hint="eastAsia" w:ascii="宋体" w:hAnsi="Times New Roman" w:eastAsia="宋体" w:cs="Times New Roman"/>
          <w:b/>
          <w:bCs/>
          <w:sz w:val="32"/>
          <w:szCs w:val="44"/>
          <w:lang w:val="en-US" w:eastAsia="zh-CN" w:bidi="ar-SA"/>
        </w:rPr>
        <w:t xml:space="preserve">维护整体要求</w:t>
      </w:r>
      <w:bookmarkEnd w:id="13"/>
      <w:r/>
      <w:r/>
    </w:p>
    <w:p>
      <w:pPr>
        <w:numPr>
          <w:ilvl w:val="0"/>
          <w:numId w:val="4"/>
        </w:numPr>
        <w:ind w:firstLine="480"/>
        <w:spacing w:line="440" w:lineRule="exact"/>
        <w:rPr>
          <w:rFonts w:hint="default" w:ascii="宋体"/>
          <w:sz w:val="24"/>
          <w:szCs w:val="28"/>
        </w:rPr>
      </w:pPr>
      <w:r>
        <w:rPr>
          <w:rFonts w:hint="eastAsia" w:ascii="宋体"/>
          <w:sz w:val="24"/>
          <w:szCs w:val="28"/>
        </w:rPr>
        <w:t xml:space="preserve">维护服务期</w:t>
      </w:r>
      <w:r/>
    </w:p>
    <w:p>
      <w:pPr>
        <w:ind w:firstLine="480"/>
        <w:spacing w:line="440" w:lineRule="exact"/>
        <w:rPr>
          <w:rFonts w:hint="default" w:ascii="宋体"/>
          <w:sz w:val="24"/>
          <w:szCs w:val="28"/>
        </w:rPr>
      </w:pPr>
      <w:r>
        <w:rPr>
          <w:rFonts w:hint="eastAsia" w:ascii="宋体"/>
          <w:sz w:val="24"/>
          <w:szCs w:val="28"/>
        </w:rPr>
        <w:t xml:space="preserve">12个月。</w:t>
      </w:r>
      <w:r/>
    </w:p>
    <w:p>
      <w:pPr>
        <w:ind w:firstLine="480"/>
        <w:spacing w:line="440" w:lineRule="exact"/>
        <w:rPr>
          <w:rFonts w:hint="default" w:ascii="宋体"/>
          <w:sz w:val="24"/>
          <w:szCs w:val="28"/>
        </w:rPr>
      </w:pPr>
      <w:r>
        <w:rPr>
          <w:rFonts w:hint="eastAsia" w:ascii="宋体"/>
          <w:sz w:val="24"/>
          <w:szCs w:val="28"/>
        </w:rPr>
        <w:t xml:space="preserve">（二）维护范围</w:t>
      </w:r>
      <w:r/>
    </w:p>
    <w:p>
      <w:pPr>
        <w:ind w:firstLine="480"/>
        <w:spacing w:line="440" w:lineRule="exact"/>
        <w:rPr>
          <w:rFonts w:hint="default" w:ascii="宋体"/>
          <w:sz w:val="24"/>
          <w:szCs w:val="28"/>
        </w:rPr>
      </w:pPr>
      <w:r>
        <w:rPr>
          <w:rFonts w:hint="eastAsia" w:ascii="宋体"/>
          <w:sz w:val="24"/>
          <w:szCs w:val="28"/>
        </w:rPr>
        <w:t xml:space="preserve">维保范围内所有采购人管辖的道路交通信号控制系统、视频监控系统、机房系统等相关软硬件设备。</w:t>
      </w:r>
      <w:r/>
    </w:p>
    <w:p>
      <w:pPr>
        <w:ind w:firstLine="480"/>
        <w:spacing w:line="440" w:lineRule="exact"/>
        <w:rPr>
          <w:rFonts w:hint="default" w:ascii="宋体"/>
          <w:sz w:val="24"/>
          <w:szCs w:val="28"/>
        </w:rPr>
      </w:pPr>
      <w:r>
        <w:rPr>
          <w:rFonts w:hint="eastAsia" w:ascii="宋体"/>
          <w:sz w:val="24"/>
          <w:szCs w:val="28"/>
        </w:rPr>
        <w:t xml:space="preserve">（三）维护</w:t>
      </w:r>
      <w:r>
        <w:rPr>
          <w:rFonts w:hint="eastAsia" w:ascii="宋体"/>
          <w:sz w:val="24"/>
          <w:szCs w:val="28"/>
          <w:lang w:val="en-US" w:eastAsia="zh-CN"/>
        </w:rPr>
        <w:t xml:space="preserve">整体</w:t>
      </w:r>
      <w:r>
        <w:rPr>
          <w:rFonts w:hint="eastAsia" w:ascii="宋体"/>
          <w:sz w:val="24"/>
          <w:szCs w:val="28"/>
        </w:rPr>
        <w:t xml:space="preserve">要求</w:t>
      </w:r>
      <w:r/>
    </w:p>
    <w:p>
      <w:pPr>
        <w:ind w:firstLine="480"/>
        <w:jc w:val="both"/>
        <w:spacing w:line="360" w:lineRule="auto"/>
        <w:widowControl w:val="off"/>
        <w:rPr>
          <w:rFonts w:ascii="宋体" w:hAnsi="Courier New" w:eastAsia="宋体" w:cs="Times New Roman"/>
          <w:sz w:val="24"/>
          <w:szCs w:val="20"/>
          <w:lang w:val="en-US" w:eastAsia="zh-CN" w:bidi="ar-SA"/>
        </w:rPr>
      </w:pPr>
      <w:r>
        <w:rPr>
          <w:rFonts w:hint="eastAsia" w:ascii="宋体" w:hAnsi="Courier New" w:eastAsia="宋体" w:cs="Times New Roman"/>
          <w:sz w:val="24"/>
          <w:szCs w:val="20"/>
          <w:lang w:val="en-US" w:eastAsia="zh-CN" w:bidi="ar-SA"/>
        </w:rPr>
        <w:t xml:space="preserve">1、信息安全要求</w:t>
      </w:r>
      <w:r/>
    </w:p>
    <w:p>
      <w:pPr>
        <w:contextualSpacing/>
        <w:ind w:firstLine="480"/>
        <w:spacing w:line="440" w:lineRule="exact"/>
        <w:rPr>
          <w:rFonts w:hint="eastAsia" w:ascii="宋体" w:hAnsi="宋体" w:eastAsia="宋体" w:cs="宋体"/>
          <w:bCs/>
          <w:sz w:val="24"/>
          <w:szCs w:val="28"/>
        </w:rPr>
      </w:pPr>
      <w:r>
        <w:rPr>
          <w:rFonts w:hint="eastAsia" w:ascii="宋体" w:hAnsi="宋体" w:eastAsia="宋体" w:cs="宋体"/>
          <w:bCs/>
          <w:sz w:val="24"/>
          <w:szCs w:val="28"/>
        </w:rPr>
        <w:t xml:space="preserve">（1）</w:t>
      </w:r>
      <w:r>
        <w:rPr>
          <w:rFonts w:hint="eastAsia" w:ascii="宋体" w:hAnsi="宋体" w:eastAsia="宋体" w:cs="宋体"/>
          <w:bCs/>
          <w:sz w:val="24"/>
          <w:szCs w:val="28"/>
          <w:lang w:eastAsia="zh-CN"/>
        </w:rPr>
        <w:t xml:space="preserve">中标人</w:t>
      </w:r>
      <w:r>
        <w:rPr>
          <w:rFonts w:hint="eastAsia" w:ascii="宋体" w:hAnsi="宋体" w:eastAsia="宋体" w:cs="宋体"/>
          <w:bCs/>
          <w:sz w:val="24"/>
          <w:szCs w:val="28"/>
        </w:rPr>
        <w:t xml:space="preserve">保证其公司人员在服务期间所接触的采购人各种文件、数据、资料、系统操作等严格遵守招标人保密制度，不得向第三方泄露。</w:t>
      </w:r>
      <w:r/>
    </w:p>
    <w:p>
      <w:pPr>
        <w:contextualSpacing/>
        <w:ind w:firstLine="480"/>
        <w:spacing w:line="440" w:lineRule="exact"/>
        <w:rPr>
          <w:rFonts w:hint="eastAsia" w:ascii="宋体" w:hAnsi="宋体" w:eastAsia="宋体" w:cs="宋体"/>
          <w:bCs/>
          <w:sz w:val="24"/>
          <w:szCs w:val="28"/>
        </w:rPr>
      </w:pPr>
      <w:r>
        <w:rPr>
          <w:rFonts w:hint="eastAsia" w:ascii="宋体" w:hAnsi="宋体" w:eastAsia="宋体" w:cs="宋体"/>
          <w:bCs/>
          <w:sz w:val="24"/>
          <w:szCs w:val="28"/>
        </w:rPr>
        <w:t xml:space="preserve">（2）</w:t>
      </w:r>
      <w:r>
        <w:rPr>
          <w:rFonts w:hint="eastAsia" w:ascii="宋体" w:hAnsi="宋体" w:eastAsia="宋体" w:cs="宋体"/>
          <w:bCs/>
          <w:sz w:val="24"/>
          <w:szCs w:val="28"/>
          <w:lang w:eastAsia="zh-CN"/>
        </w:rPr>
        <w:t xml:space="preserve">中标人</w:t>
      </w:r>
      <w:r>
        <w:rPr>
          <w:rFonts w:hint="eastAsia" w:ascii="宋体" w:hAnsi="宋体" w:eastAsia="宋体" w:cs="宋体"/>
          <w:bCs/>
          <w:sz w:val="24"/>
          <w:szCs w:val="28"/>
        </w:rPr>
        <w:t xml:space="preserve">应当严格遵守采购人内部的保密相关规定，严禁泄漏采购人秘密，未经采购人确认，</w:t>
      </w:r>
      <w:r>
        <w:rPr>
          <w:rFonts w:hint="eastAsia" w:ascii="宋体" w:hAnsi="宋体" w:eastAsia="宋体" w:cs="宋体"/>
          <w:bCs/>
          <w:sz w:val="24"/>
          <w:szCs w:val="28"/>
          <w:lang w:eastAsia="zh-CN"/>
        </w:rPr>
        <w:t xml:space="preserve">中标人</w:t>
      </w:r>
      <w:r>
        <w:rPr>
          <w:rFonts w:hint="eastAsia" w:ascii="宋体" w:hAnsi="宋体" w:eastAsia="宋体" w:cs="宋体"/>
          <w:bCs/>
          <w:sz w:val="24"/>
          <w:szCs w:val="28"/>
        </w:rPr>
        <w:t xml:space="preserve">的公司人员不得对采购人业务系统作任何操作，参与项目维保人员必须做到以下几点：</w:t>
      </w:r>
      <w:r/>
    </w:p>
    <w:p>
      <w:pPr>
        <w:contextualSpacing/>
        <w:ind w:firstLine="480"/>
        <w:spacing w:line="440" w:lineRule="exact"/>
        <w:rPr>
          <w:rFonts w:hint="eastAsia" w:ascii="宋体" w:hAnsi="宋体" w:eastAsia="宋体" w:cs="宋体"/>
          <w:bCs/>
          <w:sz w:val="24"/>
          <w:szCs w:val="28"/>
        </w:rPr>
      </w:pPr>
      <w:r>
        <w:rPr>
          <w:rFonts w:hint="eastAsia" w:ascii="宋体" w:hAnsi="宋体" w:eastAsia="宋体" w:cs="宋体"/>
          <w:bCs/>
          <w:sz w:val="24"/>
          <w:szCs w:val="28"/>
        </w:rPr>
        <w:t xml:space="preserve">a、只在规定的区域实行规定的工作，不得进入与之无关的工作区域；</w:t>
      </w:r>
      <w:r/>
    </w:p>
    <w:p>
      <w:pPr>
        <w:contextualSpacing/>
        <w:ind w:firstLine="480"/>
        <w:spacing w:line="440" w:lineRule="exact"/>
        <w:rPr>
          <w:rFonts w:hint="eastAsia" w:ascii="宋体" w:hAnsi="宋体" w:eastAsia="宋体" w:cs="宋体"/>
          <w:bCs/>
          <w:sz w:val="24"/>
          <w:szCs w:val="28"/>
        </w:rPr>
      </w:pPr>
      <w:r>
        <w:rPr>
          <w:rFonts w:hint="eastAsia" w:ascii="宋体" w:hAnsi="宋体" w:eastAsia="宋体" w:cs="宋体"/>
          <w:bCs/>
          <w:sz w:val="24"/>
          <w:szCs w:val="28"/>
        </w:rPr>
        <w:t xml:space="preserve">b、不得在任何设备上建立与工作无关的网站、网页和服务；不得在设备中传输、粘贴有害信息或与工作无关的信息；</w:t>
      </w:r>
      <w:r/>
    </w:p>
    <w:p>
      <w:pPr>
        <w:contextualSpacing/>
        <w:ind w:firstLine="480"/>
        <w:spacing w:line="440" w:lineRule="exact"/>
        <w:rPr>
          <w:rFonts w:hint="eastAsia" w:ascii="宋体" w:hAnsi="宋体" w:eastAsia="宋体" w:cs="宋体"/>
          <w:bCs/>
          <w:sz w:val="24"/>
          <w:szCs w:val="28"/>
        </w:rPr>
      </w:pPr>
      <w:r>
        <w:rPr>
          <w:rFonts w:hint="eastAsia" w:ascii="宋体" w:hAnsi="宋体" w:eastAsia="宋体" w:cs="宋体"/>
          <w:bCs/>
          <w:sz w:val="24"/>
          <w:szCs w:val="28"/>
        </w:rPr>
        <w:t xml:space="preserve">c、不得擅自对设备进行扫描、探测和入侵信息系统；</w:t>
      </w:r>
      <w:r/>
    </w:p>
    <w:p>
      <w:pPr>
        <w:contextualSpacing/>
        <w:ind w:firstLine="480"/>
        <w:spacing w:line="440" w:lineRule="exact"/>
        <w:rPr>
          <w:rFonts w:hint="eastAsia" w:ascii="宋体" w:hAnsi="宋体" w:eastAsia="宋体" w:cs="宋体"/>
          <w:bCs/>
          <w:sz w:val="24"/>
          <w:szCs w:val="28"/>
        </w:rPr>
      </w:pPr>
      <w:r>
        <w:rPr>
          <w:rFonts w:hint="eastAsia" w:ascii="宋体" w:hAnsi="宋体" w:eastAsia="宋体" w:cs="宋体"/>
          <w:bCs/>
          <w:sz w:val="24"/>
          <w:szCs w:val="28"/>
        </w:rPr>
        <w:t xml:space="preserve">d、不得对工作信息和资源越权访问、违规使用；</w:t>
      </w:r>
      <w:r/>
    </w:p>
    <w:p>
      <w:pPr>
        <w:contextualSpacing/>
        <w:ind w:firstLine="480"/>
        <w:spacing w:line="440" w:lineRule="exact"/>
        <w:rPr>
          <w:rFonts w:hint="eastAsia" w:ascii="宋体" w:hAnsi="宋体" w:eastAsia="宋体" w:cs="宋体"/>
          <w:bCs/>
          <w:sz w:val="24"/>
          <w:szCs w:val="28"/>
        </w:rPr>
      </w:pPr>
      <w:r>
        <w:rPr>
          <w:rFonts w:hint="eastAsia" w:ascii="宋体" w:hAnsi="宋体" w:eastAsia="宋体" w:cs="宋体"/>
          <w:bCs/>
          <w:sz w:val="24"/>
          <w:szCs w:val="28"/>
        </w:rPr>
        <w:t xml:space="preserve">e、不得私自允许无关人员接触和使用设备；</w:t>
      </w:r>
      <w:r/>
    </w:p>
    <w:p>
      <w:pPr>
        <w:contextualSpacing/>
        <w:ind w:firstLine="480"/>
        <w:spacing w:line="440" w:lineRule="exact"/>
        <w:rPr>
          <w:rFonts w:hint="eastAsia" w:ascii="宋体" w:hAnsi="宋体" w:eastAsia="宋体" w:cs="宋体"/>
          <w:bCs/>
          <w:sz w:val="24"/>
          <w:szCs w:val="28"/>
        </w:rPr>
      </w:pPr>
      <w:r>
        <w:rPr>
          <w:rFonts w:hint="eastAsia" w:ascii="宋体" w:hAnsi="宋体" w:eastAsia="宋体" w:cs="宋体"/>
          <w:bCs/>
          <w:sz w:val="24"/>
          <w:szCs w:val="28"/>
        </w:rPr>
        <w:t xml:space="preserve">f、严禁擅自将工作用设备和文件带离采购人指定地点；</w:t>
      </w:r>
      <w:r/>
    </w:p>
    <w:p>
      <w:pPr>
        <w:contextualSpacing/>
        <w:ind w:firstLine="480"/>
        <w:spacing w:line="440" w:lineRule="exact"/>
        <w:rPr>
          <w:rFonts w:hint="eastAsia" w:ascii="宋体" w:hAnsi="宋体" w:eastAsia="宋体" w:cs="宋体"/>
          <w:bCs/>
          <w:sz w:val="24"/>
          <w:szCs w:val="28"/>
        </w:rPr>
      </w:pPr>
      <w:r>
        <w:rPr>
          <w:rFonts w:hint="eastAsia" w:ascii="宋体" w:hAnsi="宋体" w:eastAsia="宋体" w:cs="宋体"/>
          <w:bCs/>
          <w:sz w:val="24"/>
          <w:szCs w:val="28"/>
        </w:rPr>
        <w:t xml:space="preserve">g、未经采购人同意，严禁以任何方式和介质拷贝任何信息及项目中涉及的信息；</w:t>
      </w:r>
      <w:r/>
    </w:p>
    <w:p>
      <w:pPr>
        <w:contextualSpacing/>
        <w:ind w:firstLine="480"/>
        <w:spacing w:line="440" w:lineRule="exact"/>
        <w:rPr>
          <w:rFonts w:hint="eastAsia" w:ascii="宋体" w:hAnsi="宋体" w:eastAsia="宋体" w:cs="宋体"/>
          <w:bCs/>
          <w:sz w:val="24"/>
          <w:szCs w:val="28"/>
        </w:rPr>
      </w:pPr>
      <w:r>
        <w:rPr>
          <w:rFonts w:hint="eastAsia" w:ascii="宋体" w:hAnsi="宋体" w:eastAsia="宋体" w:cs="宋体"/>
          <w:bCs/>
          <w:sz w:val="24"/>
          <w:szCs w:val="28"/>
        </w:rPr>
        <w:t xml:space="preserve">h、对工作中接触到的信息做到保密；</w:t>
      </w:r>
      <w:r/>
    </w:p>
    <w:p>
      <w:pPr>
        <w:contextualSpacing/>
        <w:ind w:firstLine="480"/>
        <w:spacing w:line="440" w:lineRule="exact"/>
        <w:rPr>
          <w:rFonts w:hint="eastAsia" w:ascii="宋体" w:hAnsi="宋体" w:eastAsia="宋体" w:cs="宋体"/>
          <w:bCs/>
          <w:sz w:val="24"/>
          <w:szCs w:val="28"/>
        </w:rPr>
      </w:pPr>
      <w:r>
        <w:rPr>
          <w:rFonts w:hint="eastAsia" w:ascii="宋体" w:hAnsi="宋体" w:eastAsia="宋体" w:cs="宋体"/>
          <w:bCs/>
          <w:sz w:val="24"/>
          <w:szCs w:val="28"/>
        </w:rPr>
        <w:t xml:space="preserve">i、不准擅自摘抄、下载、复制、拍摄、提供、销毁或私自留存相关文件、资料（含电子文档）；不准在私人交往中谈论相关工作；</w:t>
      </w:r>
      <w:r/>
    </w:p>
    <w:p>
      <w:pPr>
        <w:contextualSpacing/>
        <w:ind w:firstLine="480"/>
        <w:spacing w:line="440" w:lineRule="exact"/>
        <w:rPr>
          <w:rFonts w:hint="eastAsia" w:ascii="宋体" w:hAnsi="宋体" w:eastAsia="宋体" w:cs="宋体"/>
          <w:bCs/>
          <w:sz w:val="24"/>
          <w:szCs w:val="28"/>
        </w:rPr>
      </w:pPr>
      <w:r>
        <w:rPr>
          <w:rFonts w:hint="eastAsia" w:ascii="宋体" w:hAnsi="宋体" w:eastAsia="宋体" w:cs="宋体"/>
          <w:bCs/>
          <w:sz w:val="24"/>
          <w:szCs w:val="28"/>
        </w:rPr>
        <w:t xml:space="preserve">j、不得有其他任何危害采购人信息安全的行为。</w:t>
      </w:r>
      <w:r/>
    </w:p>
    <w:p>
      <w:pPr>
        <w:contextualSpacing/>
        <w:ind w:firstLine="480"/>
        <w:spacing w:line="440" w:lineRule="exact"/>
        <w:rPr>
          <w:rFonts w:hint="eastAsia" w:ascii="宋体" w:hAnsi="宋体" w:eastAsia="宋体" w:cs="宋体"/>
          <w:bCs/>
          <w:sz w:val="24"/>
          <w:szCs w:val="28"/>
        </w:rPr>
      </w:pPr>
      <w:r>
        <w:rPr>
          <w:rFonts w:hint="eastAsia" w:ascii="宋体" w:hAnsi="宋体" w:eastAsia="宋体" w:cs="宋体"/>
          <w:bCs/>
          <w:sz w:val="24"/>
          <w:szCs w:val="28"/>
        </w:rPr>
        <w:t xml:space="preserve">（3）按照采购人内部的信息网络的安全要求，由</w:t>
      </w:r>
      <w:r>
        <w:rPr>
          <w:rFonts w:hint="eastAsia" w:ascii="宋体" w:hAnsi="宋体" w:eastAsia="宋体" w:cs="宋体"/>
          <w:bCs/>
          <w:sz w:val="24"/>
          <w:szCs w:val="28"/>
          <w:lang w:eastAsia="zh-CN"/>
        </w:rPr>
        <w:t xml:space="preserve">中标人</w:t>
      </w:r>
      <w:r>
        <w:rPr>
          <w:rFonts w:hint="eastAsia" w:ascii="宋体" w:hAnsi="宋体" w:eastAsia="宋体" w:cs="宋体"/>
          <w:bCs/>
          <w:sz w:val="24"/>
          <w:szCs w:val="28"/>
        </w:rPr>
        <w:t xml:space="preserve">与采购人签定安全保密协议（</w:t>
      </w:r>
      <w:r>
        <w:rPr>
          <w:rFonts w:hint="eastAsia" w:ascii="宋体" w:hAnsi="宋体" w:eastAsia="宋体" w:cs="宋体"/>
          <w:bCs/>
          <w:sz w:val="24"/>
          <w:szCs w:val="28"/>
          <w:lang w:eastAsia="zh-CN"/>
        </w:rPr>
        <w:t xml:space="preserve">中标人</w:t>
      </w:r>
      <w:r>
        <w:rPr>
          <w:rFonts w:hint="eastAsia" w:ascii="宋体" w:hAnsi="宋体" w:eastAsia="宋体" w:cs="宋体"/>
          <w:bCs/>
          <w:sz w:val="24"/>
          <w:szCs w:val="28"/>
        </w:rPr>
        <w:t xml:space="preserve">和采购人在合同签订时一起签订保密协议），落实采购人网络安全及信息保密的各项规定。</w:t>
      </w:r>
      <w:r>
        <w:rPr>
          <w:rFonts w:hint="eastAsia" w:ascii="宋体" w:hAnsi="宋体" w:eastAsia="宋体" w:cs="宋体"/>
          <w:bCs/>
          <w:sz w:val="24"/>
          <w:szCs w:val="28"/>
          <w:lang w:eastAsia="zh-CN"/>
        </w:rPr>
        <w:t xml:space="preserve">中标人</w:t>
      </w:r>
      <w:r>
        <w:rPr>
          <w:rFonts w:hint="eastAsia" w:ascii="宋体" w:hAnsi="宋体" w:eastAsia="宋体" w:cs="宋体"/>
          <w:bCs/>
          <w:sz w:val="24"/>
          <w:szCs w:val="28"/>
        </w:rPr>
        <w:t xml:space="preserve">对本项目配备人员必须进行相关安全保密教育，与采购人签订保密协议，有履行保密的责任和义务。</w:t>
      </w:r>
      <w:r/>
    </w:p>
    <w:p>
      <w:pPr>
        <w:contextualSpacing/>
        <w:ind w:firstLine="480"/>
        <w:spacing w:line="440" w:lineRule="exact"/>
        <w:rPr>
          <w:rFonts w:hint="eastAsia" w:ascii="宋体" w:hAnsi="宋体" w:eastAsia="宋体" w:cs="宋体"/>
          <w:bCs/>
          <w:sz w:val="24"/>
          <w:szCs w:val="28"/>
        </w:rPr>
      </w:pPr>
      <w:r>
        <w:rPr>
          <w:rFonts w:hint="eastAsia" w:ascii="宋体" w:hAnsi="宋体" w:eastAsia="宋体" w:cs="宋体"/>
          <w:bCs/>
          <w:sz w:val="24"/>
          <w:szCs w:val="28"/>
        </w:rPr>
        <w:t xml:space="preserve">（4）凡以直接、间接、口头或书面等形式提供涉及保密内容的行为均属泄密，将追究当事人及维保单位的责任。</w:t>
      </w:r>
      <w:r/>
    </w:p>
    <w:p>
      <w:pPr>
        <w:contextualSpacing/>
        <w:ind w:firstLine="480"/>
        <w:spacing w:line="440" w:lineRule="exact"/>
        <w:rPr>
          <w:rFonts w:hint="default" w:ascii="宋体"/>
          <w:sz w:val="24"/>
          <w:szCs w:val="28"/>
        </w:rPr>
      </w:pPr>
      <w:r>
        <w:rPr>
          <w:rFonts w:hint="eastAsia" w:ascii="宋体" w:hAnsi="宋体" w:eastAsia="宋体" w:cs="宋体"/>
          <w:bCs/>
          <w:sz w:val="24"/>
          <w:szCs w:val="28"/>
        </w:rPr>
        <w:t xml:space="preserve">（5）项目结束后，所有资料全部移交给采购人。</w:t>
      </w:r>
      <w:r/>
    </w:p>
    <w:p>
      <w:pPr>
        <w:numPr>
          <w:ilvl w:val="0"/>
          <w:numId w:val="0"/>
        </w:numPr>
        <w:ind w:firstLine="480"/>
        <w:jc w:val="both"/>
        <w:spacing w:line="360" w:lineRule="auto"/>
        <w:widowControl w:val="off"/>
        <w:rPr>
          <w:rFonts w:ascii="宋体" w:hAnsi="Courier New" w:eastAsia="宋体" w:cs="Times New Roman"/>
          <w:sz w:val="24"/>
          <w:szCs w:val="20"/>
          <w:lang w:val="en-US" w:eastAsia="zh-CN" w:bidi="ar-SA"/>
        </w:rPr>
      </w:pPr>
      <w:r>
        <w:rPr>
          <w:rFonts w:hint="eastAsia" w:ascii="宋体" w:hAnsi="Courier New" w:eastAsia="宋体" w:cs="Times New Roman"/>
          <w:sz w:val="24"/>
          <w:szCs w:val="20"/>
          <w:lang w:val="en-US" w:eastAsia="zh-CN" w:bidi="ar-SA"/>
        </w:rPr>
        <w:t xml:space="preserve">2、人员及车辆要求</w:t>
      </w:r>
      <w:r/>
    </w:p>
    <w:p>
      <w:pPr>
        <w:ind w:firstLine="480"/>
        <w:spacing w:line="390" w:lineRule="exact"/>
        <w:rPr>
          <w:rFonts w:hint="eastAsia" w:ascii="宋体" w:hAnsi="宋体"/>
          <w:sz w:val="24"/>
          <w:szCs w:val="24"/>
        </w:rPr>
      </w:pPr>
      <w:r>
        <w:rPr>
          <w:rFonts w:hint="eastAsia" w:ascii="宋体" w:hAnsi="宋体"/>
          <w:sz w:val="24"/>
          <w:szCs w:val="28"/>
        </w:rPr>
        <w:t xml:space="preserve">（1）签订合同前，采购人核对投标人所投资料原件是否一致；如与投标文件不一致的视为虚假承诺，由此产生的一切后果由中标人承担。</w:t>
      </w:r>
      <w:r/>
    </w:p>
    <w:p>
      <w:pPr>
        <w:ind w:firstLine="480"/>
        <w:spacing w:line="390" w:lineRule="exact"/>
        <w:rPr>
          <w:rFonts w:hint="eastAsia" w:ascii="宋体" w:hAnsi="宋体"/>
          <w:sz w:val="24"/>
          <w:szCs w:val="28"/>
        </w:rPr>
      </w:pPr>
      <w:r>
        <w:rPr>
          <w:rFonts w:hint="eastAsia" w:ascii="宋体" w:hAnsi="宋体"/>
          <w:sz w:val="24"/>
          <w:szCs w:val="28"/>
        </w:rPr>
        <w:t xml:space="preserve">（2）合同签订后中标人立即组织人员、设备进场维护。</w:t>
      </w:r>
      <w:r/>
    </w:p>
    <w:p>
      <w:pPr>
        <w:ind w:firstLine="480"/>
        <w:spacing w:line="390" w:lineRule="exact"/>
        <w:rPr>
          <w:rFonts w:hint="eastAsia" w:ascii="宋体" w:hAnsi="宋体"/>
          <w:sz w:val="24"/>
          <w:szCs w:val="28"/>
        </w:rPr>
      </w:pPr>
      <w:r>
        <w:rPr>
          <w:rFonts w:hint="eastAsia" w:ascii="宋体" w:hAnsi="宋体"/>
          <w:sz w:val="24"/>
          <w:szCs w:val="28"/>
        </w:rPr>
        <w:t xml:space="preserve">（3）项目经理：项目经理要具有维护的实际工作经验，具有较强的信号灯和视频监控的施工、维护经验，具有协调组织能力，能指导信号优化技术人员、前端维护人员开展工作，按时参加采购人主持的会议。</w:t>
      </w:r>
      <w:r/>
    </w:p>
    <w:p>
      <w:pPr>
        <w:ind w:firstLine="480"/>
        <w:spacing w:line="390" w:lineRule="exact"/>
        <w:rPr>
          <w:rFonts w:hint="eastAsia" w:ascii="宋体" w:hAnsi="宋体"/>
          <w:sz w:val="24"/>
          <w:szCs w:val="28"/>
        </w:rPr>
      </w:pPr>
      <w:r>
        <w:rPr>
          <w:rFonts w:hint="eastAsia" w:ascii="宋体" w:hAnsi="宋体"/>
          <w:sz w:val="24"/>
          <w:szCs w:val="28"/>
        </w:rPr>
        <w:t xml:space="preserve">（4）技术支持人员：</w:t>
      </w:r>
      <w:r>
        <w:rPr>
          <w:rFonts w:hint="eastAsia" w:ascii="宋体" w:hAnsi="宋体"/>
          <w:sz w:val="24"/>
          <w:szCs w:val="28"/>
          <w:highlight w:val="none"/>
        </w:rPr>
        <w:t xml:space="preserve">技术支持人员需结合全县交通运行现状及存在问题，对既有路口交通组织方式及信号控制方案进行优化调整，提升路口交通组织的科学性</w:t>
      </w:r>
      <w:r>
        <w:rPr>
          <w:rFonts w:hint="eastAsia" w:ascii="宋体" w:hAnsi="宋体"/>
          <w:sz w:val="24"/>
          <w:szCs w:val="28"/>
          <w:highlight w:val="none"/>
          <w:lang w:eastAsia="zh-CN"/>
        </w:rPr>
        <w:t xml:space="preserve">，</w:t>
      </w:r>
      <w:r>
        <w:rPr>
          <w:rFonts w:hint="eastAsia" w:ascii="宋体" w:hAnsi="宋体"/>
          <w:sz w:val="24"/>
          <w:szCs w:val="28"/>
          <w:highlight w:val="none"/>
          <w:lang w:val="en-US" w:eastAsia="zh-CN"/>
        </w:rPr>
        <w:t xml:space="preserve">提高</w:t>
      </w:r>
      <w:r>
        <w:rPr>
          <w:rFonts w:hint="eastAsia" w:ascii="宋体" w:hAnsi="宋体"/>
          <w:sz w:val="24"/>
          <w:szCs w:val="28"/>
          <w:highlight w:val="none"/>
        </w:rPr>
        <w:t xml:space="preserve">通行效率。根据各时段交通流量变化，优化完善信号控制配置策略，精准匹配不同时段通行需求，统筹开展沛县全域道路交通组织专项规划。</w:t>
      </w:r>
      <w:r>
        <w:rPr>
          <w:rFonts w:hint="eastAsia" w:ascii="宋体" w:hAnsi="宋体"/>
          <w:sz w:val="24"/>
          <w:szCs w:val="28"/>
          <w:highlight w:val="none"/>
          <w:lang w:val="en-US" w:eastAsia="zh-CN"/>
        </w:rPr>
        <w:t xml:space="preserve">技术支持人员应</w:t>
      </w:r>
      <w:r>
        <w:rPr>
          <w:rFonts w:hint="eastAsia" w:ascii="宋体" w:hAnsi="宋体"/>
          <w:sz w:val="24"/>
          <w:szCs w:val="28"/>
          <w:highlight w:val="none"/>
        </w:rPr>
        <w:t xml:space="preserve">具备交通设施专业技术能力，协助参与交通工程方案论证、施工图纸审核及路口新建与改造交通设施布设复核工作。实行常态化驻点技术保障，定期对交通信号控制系统、视频监控系统</w:t>
      </w:r>
      <w:r>
        <w:rPr>
          <w:rFonts w:hint="eastAsia" w:ascii="宋体" w:hAnsi="宋体"/>
          <w:sz w:val="24"/>
          <w:szCs w:val="28"/>
          <w:highlight w:val="none"/>
          <w:lang w:eastAsia="zh-CN"/>
        </w:rPr>
        <w:t xml:space="preserve">、</w:t>
      </w:r>
      <w:r>
        <w:rPr>
          <w:rFonts w:hint="eastAsia" w:ascii="宋体" w:hAnsi="宋体"/>
          <w:sz w:val="24"/>
          <w:szCs w:val="28"/>
          <w:highlight w:val="none"/>
          <w:lang w:val="en-US" w:eastAsia="zh-CN"/>
        </w:rPr>
        <w:t xml:space="preserve">机房系统</w:t>
      </w:r>
      <w:r>
        <w:rPr>
          <w:rFonts w:hint="eastAsia" w:ascii="宋体" w:hAnsi="宋体"/>
          <w:sz w:val="24"/>
          <w:szCs w:val="28"/>
          <w:highlight w:val="none"/>
        </w:rPr>
        <w:t xml:space="preserve">及相关配套软件开展日常巡检、故障维护、功能升级与运维管控，确保各类软硬件系统安全可靠、稳定运行</w:t>
      </w:r>
      <w:r>
        <w:rPr>
          <w:rFonts w:hint="eastAsia" w:ascii="宋体" w:hAnsi="宋体"/>
          <w:sz w:val="24"/>
          <w:szCs w:val="28"/>
        </w:rPr>
        <w:t xml:space="preserve">。</w:t>
      </w:r>
      <w:r/>
    </w:p>
    <w:p>
      <w:pPr>
        <w:ind w:firstLine="480"/>
        <w:spacing w:line="400" w:lineRule="exact"/>
        <w:rPr>
          <w:rFonts w:hint="default" w:ascii="宋体" w:hAnsi="宋体"/>
          <w:sz w:val="24"/>
          <w:szCs w:val="28"/>
          <w:highlight w:val="yellow"/>
          <w:lang w:val="en-US"/>
        </w:rPr>
      </w:pPr>
      <w:r>
        <w:rPr>
          <w:rFonts w:hint="eastAsia" w:ascii="宋体" w:hAnsi="宋体"/>
          <w:sz w:val="24"/>
          <w:szCs w:val="28"/>
        </w:rPr>
        <w:t xml:space="preserve">（5）设备维护人员：</w:t>
      </w:r>
      <w:r>
        <w:rPr>
          <w:rFonts w:hint="eastAsia" w:ascii="宋体" w:hAnsi="宋体"/>
          <w:sz w:val="24"/>
          <w:szCs w:val="28"/>
          <w:lang w:val="en-US" w:eastAsia="zh-CN"/>
        </w:rPr>
        <w:t xml:space="preserve">中标人须根据从业人员专业技能合理科学配置人员，组建不少于3个设备维护工作班组，其中，前端设备维护工作班组不少于2组，每班组人员不少于2人，后台维护工作班组不少于1组，每班组人员不少于2人。前端</w:t>
      </w:r>
      <w:r>
        <w:rPr>
          <w:rFonts w:hint="eastAsia" w:ascii="宋体" w:hAnsi="宋体"/>
          <w:sz w:val="24"/>
          <w:szCs w:val="28"/>
          <w:highlight w:val="none"/>
          <w:lang w:val="en-US" w:eastAsia="zh-CN"/>
        </w:rPr>
        <w:t xml:space="preserve">维护班组人员须具备交通信号及监控设备安装调试、故障诊断、现场抢修与日常维修等专业技术保障能力，后台维护班组人员负责日常工单派发、故障受理、调度统筹、运行监测及信息汇总反馈。合同签订后须向采购人报备设备维护班组全体人员名单，明确各班组长及联系方式。班组负责人及联络方式一经确定，不得随意变更、更换或停用失联，确保能够及时接收工作指令、报送现场处置及工作反馈信息。</w:t>
      </w:r>
      <w:r/>
    </w:p>
    <w:p>
      <w:pPr>
        <w:ind w:firstLine="480"/>
        <w:spacing w:line="400" w:lineRule="exact"/>
        <w:rPr>
          <w:rFonts w:hint="eastAsia" w:ascii="宋体" w:hAnsi="宋体"/>
          <w:sz w:val="24"/>
          <w:szCs w:val="28"/>
        </w:rPr>
      </w:pPr>
      <w:r>
        <w:rPr>
          <w:rFonts w:hint="eastAsia" w:ascii="宋体" w:hAnsi="宋体"/>
          <w:sz w:val="24"/>
          <w:szCs w:val="28"/>
          <w:lang w:val="en-US" w:eastAsia="zh-CN"/>
        </w:rPr>
        <w:t xml:space="preserve">（6）中标人须对全体维护人员实行规范化统一管理，作业期间统一身着公司制式工装上岗，严格遵守作息及考勤管理制度，严禁出现脱岗、迟到早退、擅自离岗、工作失控、通讯失联等违规违纪行为。采购人对前端维护人员实行点名与随机抽查相结合的考勤管理方式，抽查及考勤结果严格执行本项目实时动态绩效考核管理办法</w:t>
      </w:r>
      <w:r>
        <w:rPr>
          <w:rFonts w:hint="eastAsia" w:ascii="宋体" w:hAnsi="宋体"/>
          <w:sz w:val="24"/>
          <w:szCs w:val="28"/>
        </w:rPr>
        <w:t xml:space="preserve">。</w:t>
      </w:r>
      <w:r/>
    </w:p>
    <w:p>
      <w:pPr>
        <w:ind w:firstLine="480"/>
        <w:spacing w:line="400" w:lineRule="exact"/>
        <w:tabs>
          <w:tab w:val="left" w:pos="2160" w:leader="none"/>
        </w:tabs>
        <w:rPr>
          <w:rFonts w:hint="eastAsia" w:ascii="宋体" w:hAnsi="宋体"/>
          <w:sz w:val="24"/>
          <w:szCs w:val="28"/>
        </w:rPr>
      </w:pPr>
      <w:r>
        <w:rPr>
          <w:rFonts w:hint="eastAsia" w:ascii="宋体" w:hAnsi="宋体"/>
          <w:sz w:val="24"/>
          <w:szCs w:val="28"/>
        </w:rPr>
        <w:t xml:space="preserve">（</w:t>
      </w:r>
      <w:r>
        <w:rPr>
          <w:rFonts w:hint="eastAsia" w:ascii="宋体" w:hAnsi="宋体"/>
          <w:sz w:val="24"/>
          <w:szCs w:val="28"/>
          <w:lang w:val="en-US" w:eastAsia="zh-CN"/>
        </w:rPr>
        <w:t xml:space="preserve">7</w:t>
      </w:r>
      <w:r>
        <w:rPr>
          <w:rFonts w:hint="eastAsia" w:ascii="宋体" w:hAnsi="宋体"/>
          <w:sz w:val="24"/>
          <w:szCs w:val="28"/>
        </w:rPr>
        <w:t xml:space="preserve">）</w:t>
      </w:r>
      <w:r>
        <w:rPr>
          <w:rFonts w:hint="eastAsia" w:ascii="宋体" w:hAnsi="宋体"/>
          <w:sz w:val="24"/>
          <w:szCs w:val="28"/>
          <w:lang w:val="en-US" w:eastAsia="zh-CN"/>
        </w:rPr>
        <w:t xml:space="preserve">车辆要求：</w:t>
      </w:r>
      <w:r>
        <w:rPr>
          <w:rFonts w:hint="eastAsia" w:ascii="宋体" w:hAnsi="宋体"/>
          <w:sz w:val="24"/>
          <w:szCs w:val="28"/>
        </w:rPr>
        <w:t xml:space="preserve">中标</w:t>
      </w:r>
      <w:r>
        <w:rPr>
          <w:rFonts w:hint="eastAsia" w:ascii="宋体" w:hAnsi="宋体"/>
          <w:sz w:val="24"/>
          <w:szCs w:val="28"/>
          <w:lang w:val="en-US" w:eastAsia="zh-CN"/>
        </w:rPr>
        <w:t xml:space="preserve">人</w:t>
      </w:r>
      <w:r>
        <w:rPr>
          <w:rFonts w:hint="eastAsia" w:ascii="宋体" w:hAnsi="宋体"/>
          <w:sz w:val="24"/>
          <w:szCs w:val="28"/>
        </w:rPr>
        <w:t xml:space="preserve">应在沛县配备以下车辆：4辆专用维护车辆（燃油、保养所有费用包含在本次报价内，不再增加额外费用），其中1辆维护车辆应为登高车，作业高度不低于6米、1辆调优</w:t>
      </w:r>
      <w:r>
        <w:rPr>
          <w:rFonts w:hint="eastAsia" w:ascii="宋体" w:hAnsi="宋体"/>
          <w:sz w:val="24"/>
          <w:szCs w:val="28"/>
          <w:lang w:val="en-US" w:eastAsia="zh-CN"/>
        </w:rPr>
        <w:t xml:space="preserve">车</w:t>
      </w:r>
      <w:r>
        <w:rPr>
          <w:rFonts w:hint="eastAsia" w:ascii="宋体" w:hAnsi="宋体"/>
          <w:sz w:val="24"/>
          <w:szCs w:val="28"/>
        </w:rPr>
        <w:t xml:space="preserve">辆</w:t>
      </w:r>
      <w:r>
        <w:rPr>
          <w:rFonts w:hint="eastAsia" w:ascii="宋体" w:hAnsi="宋体"/>
          <w:sz w:val="24"/>
          <w:szCs w:val="28"/>
          <w:lang w:val="en-US" w:eastAsia="zh-CN"/>
        </w:rPr>
        <w:t xml:space="preserve">、2辆巡视车</w:t>
      </w:r>
      <w:r>
        <w:rPr>
          <w:rFonts w:hint="eastAsia" w:ascii="宋体" w:hAnsi="宋体"/>
          <w:sz w:val="24"/>
          <w:szCs w:val="28"/>
        </w:rPr>
        <w:t xml:space="preserve">辆。</w:t>
      </w:r>
      <w:r/>
    </w:p>
    <w:p>
      <w:pPr>
        <w:ind w:left="0" w:firstLine="480"/>
        <w:jc w:val="both"/>
        <w:spacing w:after="0" w:line="360" w:lineRule="auto"/>
        <w:widowControl w:val="off"/>
        <w:rPr>
          <w:rFonts w:hint="eastAsia" w:ascii="宋体" w:hAnsi="宋体" w:eastAsia="宋体" w:cs="Times New Roman"/>
          <w:sz w:val="24"/>
          <w:szCs w:val="28"/>
          <w:highlight w:val="none"/>
          <w:lang w:val="en-US" w:eastAsia="zh-CN" w:bidi="ar-SA"/>
        </w:rPr>
      </w:pPr>
      <w:r>
        <w:rPr>
          <w:rFonts w:hint="eastAsia" w:ascii="宋体" w:hAnsi="宋体" w:eastAsia="宋体" w:cs="Times New Roman"/>
          <w:sz w:val="24"/>
          <w:szCs w:val="28"/>
          <w:highlight w:val="none"/>
          <w:lang w:val="en-US" w:eastAsia="zh-CN" w:bidi="ar-SA"/>
        </w:rPr>
        <w:t xml:space="preserve">3、道路交通运维管理软件要求</w:t>
      </w:r>
      <w:r/>
    </w:p>
    <w:p>
      <w:pPr>
        <w:ind w:firstLine="480"/>
        <w:spacing w:line="360" w:lineRule="auto"/>
        <w:rPr>
          <w:rFonts w:hint="default" w:ascii="宋体"/>
          <w:sz w:val="24"/>
          <w:szCs w:val="28"/>
          <w:lang w:val="en-US"/>
        </w:rPr>
      </w:pPr>
      <w:r>
        <w:rPr>
          <w:rFonts w:hint="default" w:ascii="宋体"/>
          <w:sz w:val="24"/>
          <w:szCs w:val="28"/>
          <w:lang w:val="en-US"/>
        </w:rPr>
        <w:t xml:space="preserve">道路交通运维管理软件依托物联网及智能传感技术，构建道路设施、交通设备、运维工单、故障处置、日常巡检、绩效考核一体化智能化管理平台。</w:t>
      </w:r>
      <w:r/>
    </w:p>
    <w:p>
      <w:pPr>
        <w:ind w:firstLine="480"/>
        <w:spacing w:line="360" w:lineRule="auto"/>
        <w:rPr>
          <w:rFonts w:hint="default" w:ascii="宋体"/>
          <w:sz w:val="24"/>
          <w:szCs w:val="28"/>
          <w:lang w:val="en-US"/>
        </w:rPr>
      </w:pPr>
      <w:r>
        <w:rPr>
          <w:rFonts w:hint="default" w:ascii="宋体"/>
          <w:sz w:val="24"/>
          <w:szCs w:val="28"/>
          <w:lang w:val="en-US"/>
        </w:rPr>
        <w:t xml:space="preserve">系统涵盖交通信号、视频监控、交通诱导、检测设备等前端设施资产台账管理，实现设备基础信息、安装点位、维保记录、运行状态全生命周期电子化建档。支持前后端系统在线状态全天候实时监测，自动捕捉设备离线、异常故障及运行隐患，实现问题自动预警、分级推送。</w:t>
      </w:r>
      <w:r/>
    </w:p>
    <w:p>
      <w:pPr>
        <w:ind w:firstLine="480"/>
        <w:spacing w:line="360" w:lineRule="auto"/>
        <w:rPr>
          <w:rFonts w:hint="default" w:ascii="宋体"/>
          <w:sz w:val="24"/>
          <w:szCs w:val="28"/>
          <w:lang w:val="en-US"/>
        </w:rPr>
      </w:pPr>
      <w:r>
        <w:rPr>
          <w:rFonts w:hint="default" w:ascii="宋体"/>
          <w:sz w:val="24"/>
          <w:szCs w:val="28"/>
          <w:lang w:val="en-US"/>
        </w:rPr>
        <w:t xml:space="preserve">平台内置巡检计划管理、故障报修、工单派发、现场处置、验收归档全闭环业务流程，可按区域、路段、设备类型统筹安排日常巡检与专项维护任务。配备移动端运维作业模块，支持现场打卡、问题拍照、故障上报、工单签收及处置回传，实现运维作业标准化、流程化、可溯源。</w:t>
      </w:r>
      <w:r/>
    </w:p>
    <w:p>
      <w:pPr>
        <w:ind w:firstLine="480"/>
        <w:spacing w:line="360" w:lineRule="auto"/>
        <w:rPr>
          <w:rFonts w:hint="default" w:ascii="宋体"/>
          <w:sz w:val="24"/>
          <w:szCs w:val="28"/>
          <w:lang w:val="en-US"/>
        </w:rPr>
      </w:pPr>
      <w:r>
        <w:rPr>
          <w:rFonts w:hint="default" w:ascii="宋体"/>
          <w:sz w:val="24"/>
          <w:szCs w:val="28"/>
          <w:lang w:val="en-US"/>
        </w:rPr>
        <w:t xml:space="preserve">具备运维数据统计分析、运行报表自动生成、人员出勤及工作成效考核功能，可多维度统计设备在线率、故障发生率、工单办结时效、巡检完成情况等关键指标，为道路交通设施运维调度、养护计划制定、人员绩效考核提供数据支撑。同时预留标准数据接口，可与现有交管平台、监控平台及相关业务系统无缝对接，兼容扩展后续新增设备及业务管理需求，全面提升辖区道路交通设施运维管理精细化、规范化、智能化水平。</w:t>
      </w:r>
      <w:r/>
    </w:p>
    <w:p>
      <w:pPr>
        <w:ind w:firstLine="480"/>
        <w:spacing w:line="360" w:lineRule="auto"/>
        <w:rPr>
          <w:rFonts w:hint="default" w:ascii="宋体"/>
          <w:sz w:val="24"/>
          <w:szCs w:val="28"/>
        </w:rPr>
      </w:pPr>
      <w:r>
        <w:rPr>
          <w:rFonts w:hint="eastAsia" w:ascii="宋体"/>
          <w:sz w:val="24"/>
          <w:szCs w:val="28"/>
          <w:lang w:val="en-US" w:eastAsia="zh-CN"/>
        </w:rPr>
        <w:t xml:space="preserve">4、</w:t>
      </w:r>
      <w:r>
        <w:rPr>
          <w:rFonts w:hint="eastAsia" w:ascii="宋体"/>
          <w:sz w:val="24"/>
          <w:szCs w:val="28"/>
        </w:rPr>
        <w:t xml:space="preserve">设备</w:t>
      </w:r>
      <w:r>
        <w:rPr>
          <w:rFonts w:hint="eastAsia" w:ascii="宋体"/>
          <w:sz w:val="24"/>
          <w:szCs w:val="28"/>
          <w:lang w:val="en-US" w:eastAsia="zh-CN"/>
        </w:rPr>
        <w:t xml:space="preserve">更换及</w:t>
      </w:r>
      <w:r>
        <w:rPr>
          <w:rFonts w:hint="eastAsia" w:ascii="宋体"/>
          <w:sz w:val="24"/>
          <w:szCs w:val="28"/>
        </w:rPr>
        <w:t xml:space="preserve">新增要求</w:t>
      </w:r>
      <w:r/>
    </w:p>
    <w:p>
      <w:pPr>
        <w:ind w:firstLine="480"/>
        <w:spacing w:line="360" w:lineRule="auto"/>
        <w:rPr>
          <w:rFonts w:hint="eastAsia" w:ascii="宋体"/>
          <w:sz w:val="24"/>
          <w:szCs w:val="28"/>
        </w:rPr>
      </w:pPr>
      <w:r>
        <w:rPr>
          <w:rFonts w:hint="eastAsia" w:ascii="宋体"/>
          <w:sz w:val="24"/>
          <w:szCs w:val="28"/>
        </w:rPr>
        <w:t xml:space="preserve">对于需要更换或新增设备的（采购人安排或中标人申请），负责设备诊断、拍照取证，对照中标设备更新报价清单，报采购人同意后（同时报请监理单位要求旁站监督施工）更换和安装调试，批次施工完毕后3日内制作工程量确认单报采购人审核确认。硬件设备的更新必须与被维修设备同品牌、同等档次，如原有型号已停产，须由业主单位确认后更新更高档次的设备；如原有设备破损、老旧、色弱、缺字段等情况影响安全、使用和市容的，且无法获得该设备配件的，也可报采购人同意更换新设备。</w:t>
      </w:r>
      <w:r/>
    </w:p>
    <w:p>
      <w:pPr>
        <w:ind w:firstLine="480"/>
        <w:jc w:val="left"/>
        <w:spacing w:line="400" w:lineRule="exact"/>
        <w:widowControl/>
        <w:rPr>
          <w:rFonts w:hint="eastAsia" w:ascii="宋体" w:hAnsi="宋体" w:eastAsia="宋体" w:cs="Times New Roman"/>
          <w:sz w:val="24"/>
          <w:szCs w:val="24"/>
          <w:lang w:val="en-US" w:eastAsia="zh-CN" w:bidi="ar-SA"/>
        </w:rPr>
      </w:pPr>
      <w:r>
        <w:rPr>
          <w:rFonts w:hint="eastAsia" w:ascii="宋体" w:hAnsi="宋体" w:eastAsia="宋体" w:cs="Times New Roman"/>
          <w:bCs/>
          <w:sz w:val="24"/>
          <w:szCs w:val="24"/>
          <w:lang w:val="en-US" w:eastAsia="zh-CN" w:bidi="ar-SA"/>
        </w:rPr>
        <w:t xml:space="preserve">同一路口同一故障一个月内出现3次及以上的，不能再次维修解决，没有及时更换设备解决问题也未及时上报采购人，出现交通事故或交通拥堵等情况的，确认一次，</w:t>
      </w:r>
      <w:r>
        <w:rPr>
          <w:rFonts w:hint="eastAsia" w:ascii="宋体" w:hAnsi="宋体" w:eastAsia="宋体" w:cs="Times New Roman"/>
          <w:sz w:val="24"/>
          <w:szCs w:val="24"/>
          <w:lang w:val="en-US" w:eastAsia="zh-CN" w:bidi="ar-SA"/>
        </w:rPr>
        <w:t xml:space="preserve">除扣分外，还扣除工程款人民币2000元。</w:t>
      </w:r>
      <w:r/>
    </w:p>
    <w:p>
      <w:pPr>
        <w:ind w:firstLine="480"/>
        <w:spacing w:line="400" w:lineRule="exact"/>
        <w:rPr>
          <w:rFonts w:hint="eastAsia" w:ascii="宋体" w:hAnsi="宋体"/>
          <w:sz w:val="24"/>
          <w:szCs w:val="28"/>
        </w:rPr>
      </w:pPr>
      <w:r>
        <w:rPr>
          <w:rFonts w:hint="eastAsia" w:ascii="宋体" w:hAnsi="宋体"/>
          <w:sz w:val="24"/>
          <w:szCs w:val="28"/>
        </w:rPr>
        <w:t xml:space="preserve">发现杆件歪斜和杆件上设备坠落隐患时，要立即先期采取紧急施救并同时报采购人，检查后设备完好的，采取合理规范的矫正或紧固措施恢复；如设备折断、损坏严重等有安全隐患和不能继续使用的，经采购人同意后拆除、更换。</w:t>
      </w:r>
      <w:r/>
    </w:p>
    <w:p>
      <w:pPr>
        <w:ind w:left="0" w:firstLine="480"/>
        <w:jc w:val="both"/>
        <w:spacing w:after="0" w:line="360" w:lineRule="auto"/>
        <w:widowControl w:val="off"/>
        <w:rPr>
          <w:rFonts w:hint="default" w:ascii="宋体" w:hAnsi="宋体" w:eastAsia="宋体" w:cs="Times New Roman"/>
          <w:sz w:val="24"/>
          <w:szCs w:val="28"/>
          <w:lang w:val="en-US" w:eastAsia="zh-CN" w:bidi="ar-SA"/>
        </w:rPr>
      </w:pPr>
      <w:r>
        <w:rPr>
          <w:rFonts w:hint="eastAsia" w:ascii="宋体" w:hAnsi="宋体" w:eastAsia="宋体" w:cs="Times New Roman"/>
          <w:sz w:val="24"/>
          <w:szCs w:val="28"/>
          <w:lang w:val="en-US" w:eastAsia="zh-CN" w:bidi="ar-SA"/>
        </w:rPr>
        <w:t xml:space="preserve">设备能修复，中标人不能恶意更换。中标人恶意要更换的，确认一次，除扣分外，还扣除工程款5000元，确认二次终止合同。</w:t>
      </w:r>
      <w:r/>
    </w:p>
    <w:p>
      <w:pPr>
        <w:numPr>
          <w:ilvl w:val="0"/>
          <w:numId w:val="0"/>
        </w:numPr>
        <w:ind w:firstLine="480"/>
        <w:jc w:val="both"/>
        <w:spacing w:line="360" w:lineRule="auto"/>
        <w:widowControl w:val="off"/>
        <w:rPr>
          <w:rFonts w:ascii="宋体" w:hAnsi="Courier New" w:eastAsia="宋体" w:cs="Times New Roman"/>
          <w:sz w:val="24"/>
          <w:szCs w:val="20"/>
          <w:lang w:val="en-US" w:eastAsia="zh-CN" w:bidi="ar-SA"/>
        </w:rPr>
      </w:pPr>
      <w:r>
        <w:rPr>
          <w:rFonts w:hint="eastAsia" w:ascii="宋体" w:hAnsi="Courier New" w:eastAsia="宋体" w:cs="Times New Roman"/>
          <w:sz w:val="24"/>
          <w:szCs w:val="20"/>
          <w:lang w:val="en-US" w:eastAsia="zh-CN" w:bidi="ar-SA"/>
        </w:rPr>
        <w:t xml:space="preserve">5、其他要求</w:t>
      </w:r>
      <w:r/>
    </w:p>
    <w:p>
      <w:pPr>
        <w:ind w:firstLine="480"/>
        <w:keepLines w:val="0"/>
        <w:keepNext w:val="0"/>
        <w:pageBreakBefore w:val="0"/>
        <w:spacing w:line="360" w:lineRule="auto"/>
        <w:widowControl w:val="off"/>
        <w:rPr>
          <w:rFonts w:hint="eastAsia" w:ascii="宋体" w:hAnsi="宋体"/>
          <w:sz w:val="24"/>
          <w:szCs w:val="28"/>
        </w:rPr>
      </w:pPr>
      <w:r>
        <w:rPr>
          <w:rFonts w:hint="eastAsia" w:ascii="宋体" w:hAnsi="宋体"/>
          <w:sz w:val="24"/>
          <w:szCs w:val="28"/>
        </w:rPr>
        <w:t xml:space="preserve">（1）合同签订后15日内，中标人应学习了解现有控制系统操作要领，培训所有维保员工都能熟练进行信号优化配时调整、故障诊断排除和中心控制等工作；学习监控系统操作要领，熟悉设备性能、系统功能等。项目负责人和优化人员在合同签订后一个月内如不能单独熟练操作现有信号控制系统，采购人有权解除合同。</w:t>
      </w:r>
      <w:r/>
    </w:p>
    <w:p>
      <w:pPr>
        <w:ind w:firstLine="480"/>
        <w:keepLines w:val="0"/>
        <w:keepNext w:val="0"/>
        <w:pageBreakBefore w:val="0"/>
        <w:spacing w:line="360" w:lineRule="auto"/>
        <w:widowControl w:val="off"/>
        <w:rPr>
          <w:rFonts w:hint="eastAsia" w:ascii="宋体" w:hAnsi="宋体"/>
          <w:bCs/>
          <w:sz w:val="24"/>
          <w:szCs w:val="28"/>
        </w:rPr>
      </w:pPr>
      <w:r>
        <w:rPr>
          <w:rFonts w:hint="eastAsia" w:ascii="宋体" w:hAnsi="宋体"/>
          <w:bCs/>
          <w:sz w:val="24"/>
          <w:szCs w:val="28"/>
        </w:rPr>
        <w:t xml:space="preserve">中标人应依据系统运行维护工作规范，结合业务工作需求和系统运行保障要求，制定系统运行维护制度，明确人员和职责，强化考核与监督，并建立日报、周报、月报的台帐管理机制，落实各项维护工作事项。</w:t>
      </w:r>
      <w:r/>
    </w:p>
    <w:p>
      <w:pPr>
        <w:ind w:firstLine="480"/>
        <w:spacing w:line="400" w:lineRule="exact"/>
        <w:rPr>
          <w:rFonts w:hint="eastAsia" w:ascii="宋体" w:hAnsi="宋体"/>
          <w:sz w:val="24"/>
          <w:szCs w:val="28"/>
        </w:rPr>
      </w:pPr>
      <w:r>
        <w:rPr>
          <w:rFonts w:hint="eastAsia" w:ascii="宋体" w:hAnsi="宋体"/>
          <w:bCs/>
          <w:sz w:val="24"/>
          <w:szCs w:val="28"/>
        </w:rPr>
        <w:t xml:space="preserve">（2）对于每次故障信息必须在12小时内反馈处理结果及意见，更换设备还需填写联系单及维护表。</w:t>
      </w:r>
      <w:r/>
    </w:p>
    <w:p>
      <w:pPr>
        <w:ind w:firstLine="480"/>
        <w:spacing w:line="360" w:lineRule="auto"/>
        <w:rPr>
          <w:rFonts w:hint="eastAsia" w:ascii="宋体" w:hAnsi="宋体"/>
          <w:sz w:val="24"/>
          <w:szCs w:val="28"/>
        </w:rPr>
      </w:pPr>
      <w:r>
        <w:rPr>
          <w:rFonts w:hint="eastAsia" w:ascii="宋体" w:hAnsi="宋体"/>
          <w:sz w:val="24"/>
          <w:szCs w:val="28"/>
        </w:rPr>
        <w:t xml:space="preserve">（3）投标人应依据系统运行维护工作规范，结合业务工作需求和系统运行保障要求，建立完善的基于互联网的系统维保管理软件。维保管理软件应具备台帐管理、维护派单、维护进度完成程度跟踪、维保质量跟踪、维保设备运行情况跟踪、维保配件进出库、维保考核评价及信息查询统计等功能，维保软件开发应用费用由投标人自行承担。</w:t>
      </w:r>
      <w:r/>
    </w:p>
    <w:p>
      <w:pPr>
        <w:ind w:firstLine="480"/>
        <w:spacing w:line="390" w:lineRule="exact"/>
        <w:rPr>
          <w:rFonts w:hint="default" w:ascii="宋体"/>
          <w:bCs/>
          <w:sz w:val="24"/>
          <w:szCs w:val="28"/>
        </w:rPr>
      </w:pPr>
      <w:r>
        <w:rPr>
          <w:rFonts w:hint="eastAsia" w:ascii="宋体"/>
          <w:bCs/>
          <w:sz w:val="24"/>
          <w:szCs w:val="28"/>
        </w:rPr>
        <w:t xml:space="preserve">（4）招标人认为设备破损、老旧、色弱、生锈、污损等情况影响安全、使用和市容的，中标人必须在接通知后无条件及时维修、更换、保洁。</w:t>
      </w:r>
      <w:r/>
    </w:p>
    <w:p>
      <w:pPr>
        <w:ind w:firstLine="480"/>
        <w:spacing w:line="390" w:lineRule="exact"/>
        <w:rPr>
          <w:rFonts w:hint="default" w:ascii="宋体"/>
          <w:bCs/>
          <w:sz w:val="24"/>
          <w:szCs w:val="28"/>
        </w:rPr>
      </w:pPr>
      <w:r>
        <w:rPr>
          <w:rFonts w:hint="eastAsia" w:ascii="宋体"/>
          <w:bCs/>
          <w:sz w:val="24"/>
          <w:szCs w:val="28"/>
        </w:rPr>
        <w:t xml:space="preserve">（5）投标人针对大型活动、法定假日、突发事件等情况，制定维护服务应急处突预案上报采购人。预案中需明确处突人员、车辆、联系方式、机具配置等保障措施，并按采购人要求按时到达处置现场。</w:t>
      </w:r>
      <w:r/>
    </w:p>
    <w:p>
      <w:pPr>
        <w:ind w:firstLine="480"/>
        <w:spacing w:line="390" w:lineRule="exact"/>
        <w:rPr>
          <w:rFonts w:hint="default" w:ascii="宋体"/>
          <w:bCs/>
          <w:sz w:val="24"/>
          <w:szCs w:val="28"/>
        </w:rPr>
      </w:pPr>
      <w:r>
        <w:rPr>
          <w:rFonts w:hint="eastAsia" w:ascii="宋体"/>
          <w:bCs/>
          <w:sz w:val="24"/>
          <w:szCs w:val="28"/>
        </w:rPr>
        <w:t xml:space="preserve">（6）维保安全</w:t>
      </w:r>
      <w:r/>
    </w:p>
    <w:p>
      <w:pPr>
        <w:ind w:firstLine="480"/>
        <w:spacing w:line="390" w:lineRule="exact"/>
        <w:rPr>
          <w:rFonts w:hint="default" w:ascii="宋体"/>
          <w:bCs/>
          <w:sz w:val="24"/>
          <w:szCs w:val="28"/>
        </w:rPr>
      </w:pPr>
      <w:r>
        <w:rPr>
          <w:rFonts w:hint="eastAsia" w:ascii="宋体"/>
          <w:sz w:val="24"/>
          <w:szCs w:val="28"/>
          <w:lang w:eastAsia="zh-CN"/>
        </w:rPr>
        <w:t xml:space="preserve">中标人</w:t>
      </w:r>
      <w:r>
        <w:rPr>
          <w:rFonts w:hint="eastAsia" w:ascii="宋体"/>
          <w:bCs/>
          <w:sz w:val="24"/>
          <w:szCs w:val="28"/>
        </w:rPr>
        <w:t xml:space="preserve">在运维服务期内所有安全事故由中标方承担全部责任并处理相关事宜，所有因触电、漏电、设备掉落或倒塌、井盖缺失损坏、机箱门未关等一切原因造成的第三方损失、事故、诉讼、赔偿，相关法律、经济、社会等一切责任均由</w:t>
      </w:r>
      <w:r>
        <w:rPr>
          <w:rFonts w:hint="eastAsia" w:ascii="宋体"/>
          <w:bCs/>
          <w:sz w:val="24"/>
          <w:szCs w:val="28"/>
          <w:lang w:eastAsia="zh-CN"/>
        </w:rPr>
        <w:t xml:space="preserve">中标人</w:t>
      </w:r>
      <w:r>
        <w:rPr>
          <w:rFonts w:hint="eastAsia" w:ascii="宋体"/>
          <w:bCs/>
          <w:sz w:val="24"/>
          <w:szCs w:val="28"/>
        </w:rPr>
        <w:t xml:space="preserve">承担，由此产生的费用由</w:t>
      </w:r>
      <w:r>
        <w:rPr>
          <w:rFonts w:hint="eastAsia" w:ascii="宋体"/>
          <w:bCs/>
          <w:sz w:val="24"/>
          <w:szCs w:val="28"/>
          <w:lang w:eastAsia="zh-CN"/>
        </w:rPr>
        <w:t xml:space="preserve">中标人</w:t>
      </w:r>
      <w:r>
        <w:rPr>
          <w:rFonts w:hint="eastAsia" w:ascii="宋体"/>
          <w:bCs/>
          <w:sz w:val="24"/>
          <w:szCs w:val="28"/>
        </w:rPr>
        <w:t xml:space="preserve">承担，相关设备由</w:t>
      </w:r>
      <w:r>
        <w:rPr>
          <w:rFonts w:hint="eastAsia" w:ascii="宋体"/>
          <w:bCs/>
          <w:sz w:val="24"/>
          <w:szCs w:val="28"/>
          <w:lang w:eastAsia="zh-CN"/>
        </w:rPr>
        <w:t xml:space="preserve">中标人</w:t>
      </w:r>
      <w:r>
        <w:rPr>
          <w:rFonts w:hint="eastAsia" w:ascii="宋体"/>
          <w:bCs/>
          <w:sz w:val="24"/>
          <w:szCs w:val="28"/>
        </w:rPr>
        <w:t xml:space="preserve">免费修复，采购人不支付任何费用。</w:t>
      </w:r>
      <w:r/>
    </w:p>
    <w:p>
      <w:pPr>
        <w:ind w:firstLine="480"/>
        <w:spacing w:line="390" w:lineRule="exact"/>
        <w:rPr>
          <w:rFonts w:hint="default" w:ascii="宋体"/>
          <w:bCs/>
          <w:sz w:val="24"/>
          <w:szCs w:val="28"/>
        </w:rPr>
      </w:pPr>
      <w:r>
        <w:rPr>
          <w:rFonts w:hint="eastAsia" w:ascii="宋体" w:hAnsi="宋体"/>
          <w:sz w:val="24"/>
          <w:szCs w:val="28"/>
        </w:rPr>
        <w:t xml:space="preserve">在施工现场必须设置“交通设施抢修”标志及围栏、路锥等明显的防护设施，夜间施工还要安装施工警示灯，交通立锥要粘贴白色反光膜，施工人员应着反光作业服，应遵守有关安全规定，安全员全程负责道路通行安全及施工人员安全等监护。投标人在报价中应充分考虑到保洁、安全文明施工等措施的费用。除抢修外，施工尽可能减小对正常道路通行带来的影响，施工前报告现场交警并服从管理及指挥。</w:t>
      </w:r>
      <w:r/>
    </w:p>
    <w:p>
      <w:pPr>
        <w:ind w:firstLine="480"/>
        <w:jc w:val="left"/>
        <w:spacing w:line="400" w:lineRule="exact"/>
        <w:widowControl/>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（7）维护团队服务工作所需的各类维护工具及其使用费用（包括交通工具、施工器具、办公桌椅、电脑、打印机等）由中标人自行承担。</w:t>
      </w:r>
      <w:r/>
    </w:p>
    <w:p>
      <w:pPr>
        <w:ind w:firstLine="480"/>
        <w:jc w:val="left"/>
        <w:spacing w:line="400" w:lineRule="exact"/>
        <w:widowControl/>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（8）如遇市政道路改扩建等施工，影响信号系统正常工作（含基础、管线、线缆等）时，需配合采购人明确施工单位责任和方案，共同确认修复或恢复情况。</w:t>
      </w:r>
      <w:r/>
    </w:p>
    <w:p>
      <w:pPr>
        <w:ind w:firstLine="482"/>
        <w:jc w:val="left"/>
        <w:spacing w:line="400" w:lineRule="exact"/>
        <w:widowControl/>
        <w:rPr>
          <w:rFonts w:hint="eastAsia" w:ascii="宋体" w:hAnsi="宋体" w:eastAsia="宋体" w:cs="Times New Roman"/>
          <w:b/>
          <w:sz w:val="24"/>
          <w:szCs w:val="24"/>
          <w:lang w:val="en-US" w:eastAsia="zh-CN" w:bidi="ar-SA"/>
        </w:rPr>
      </w:pPr>
      <w:r>
        <w:rPr>
          <w:rFonts w:hint="eastAsia" w:ascii="宋体" w:hAnsi="宋体" w:eastAsia="宋体" w:cs="Times New Roman"/>
          <w:b/>
          <w:sz w:val="24"/>
          <w:szCs w:val="24"/>
          <w:lang w:val="en-US" w:eastAsia="zh-CN" w:bidi="ar-SA"/>
        </w:rPr>
        <w:t xml:space="preserve">（9）在交通信号设备进行维修时必须做好安全防护措施，由此引发的任何安全事故均由中标人承担全部责任。在运维合作期间，因信号灯故障未能及时发现和排除而引起的第三方安全事故，也由中标人承担相应的法律责任。(投标人需提供承诺书）</w:t>
      </w:r>
      <w:r/>
    </w:p>
    <w:p>
      <w:pPr>
        <w:ind w:firstLine="480"/>
        <w:jc w:val="left"/>
        <w:spacing w:line="400" w:lineRule="exact"/>
        <w:widowControl/>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10）在遇到台风、暴雨、雷击等各种非正常情况时，中标人必须立即出动值班巡逻队伍，加强外场设备和工程的巡视，发现损坏情况时要立即报告。在突发大面积故障时，中标人能够启动应急机制，至少可同时进行3个工作点的维护抢修。</w:t>
      </w:r>
      <w:r/>
    </w:p>
    <w:p>
      <w:pPr>
        <w:ind w:firstLine="480"/>
        <w:jc w:val="left"/>
        <w:spacing w:line="400" w:lineRule="exact"/>
        <w:widowControl/>
        <w:rPr>
          <w:rFonts w:hint="eastAsia" w:ascii="Times New Roman"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（11）中标人在合同履行期间必须随时无条件接受采购人的业务指导、工作安排（含配时优化调整、配合采购人完成紧急任务）和监督管理，并及时、按质完成信号灯、监控设备维修任务，工作信息无缝对接。</w:t>
      </w:r>
      <w:r/>
    </w:p>
    <w:p>
      <w:pPr>
        <w:ind w:firstLine="480"/>
        <w:jc w:val="left"/>
        <w:spacing w:line="400" w:lineRule="exact"/>
        <w:widowControl/>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（12）合同签订后，中标人不得有工程转包、分包的行为，如有违反，终止合同，已维护的费用不予支付。</w:t>
      </w:r>
      <w:r/>
    </w:p>
    <w:p>
      <w:pPr>
        <w:ind w:firstLine="480"/>
        <w:jc w:val="left"/>
        <w:spacing w:line="400" w:lineRule="exact"/>
        <w:widowControl/>
        <w:rPr>
          <w:rFonts w:ascii="Times New Roman" w:hAnsi="Times New Roman"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（13）路口发生故障无法恢复，经采购人多次督促（三次）仍无法修复的，招标人可通过第三方修复，维修费用从当年度运维费用内直接扣除。</w:t>
      </w:r>
      <w:r/>
    </w:p>
    <w:p>
      <w:pPr>
        <w:ind w:firstLine="480"/>
        <w:spacing w:line="400" w:lineRule="exact"/>
        <w:rPr>
          <w:rFonts w:hint="eastAsia" w:ascii="宋体" w:hAnsi="宋体"/>
          <w:sz w:val="24"/>
          <w:szCs w:val="28"/>
        </w:rPr>
      </w:pPr>
      <w:r>
        <w:rPr>
          <w:rFonts w:hint="eastAsia" w:ascii="宋体" w:hAnsi="宋体"/>
          <w:sz w:val="24"/>
          <w:szCs w:val="28"/>
        </w:rPr>
      </w:r>
      <w:r/>
    </w:p>
    <w:p>
      <w:pPr>
        <w:numPr>
          <w:ilvl w:val="0"/>
          <w:numId w:val="3"/>
        </w:numPr>
        <w:keepLines/>
        <w:keepNext/>
        <w:rPr>
          <w:rFonts w:ascii="宋体" w:hAnsi="Times New Roman" w:eastAsia="宋体" w:cs="Times New Roman"/>
          <w:b/>
          <w:bCs/>
          <w:sz w:val="32"/>
          <w:szCs w:val="44"/>
          <w:lang w:val="en-US" w:eastAsia="zh-CN" w:bidi="ar-SA"/>
        </w:rPr>
        <w:outlineLvl w:val="0"/>
      </w:pPr>
      <w:r/>
      <w:bookmarkStart w:id="14" w:name="_Toc13020"/>
      <w:r>
        <w:rPr>
          <w:rFonts w:hint="eastAsia" w:ascii="宋体" w:hAnsi="Times New Roman" w:eastAsia="宋体" w:cs="Times New Roman"/>
          <w:b/>
          <w:bCs/>
          <w:sz w:val="32"/>
          <w:szCs w:val="44"/>
          <w:lang w:val="en-US" w:eastAsia="zh-CN" w:bidi="ar-SA"/>
        </w:rPr>
        <w:t xml:space="preserve">交通信号控制系统维护要求</w:t>
      </w:r>
      <w:bookmarkEnd w:id="14"/>
      <w:r/>
      <w:r/>
    </w:p>
    <w:p>
      <w:pPr>
        <w:numPr>
          <w:ilvl w:val="2"/>
          <w:numId w:val="0"/>
        </w:numPr>
        <w:keepLines/>
        <w:keepNext/>
        <w:rPr>
          <w:rFonts w:ascii="宋体" w:hAnsi="Calibri Light" w:eastAsia="宋体" w:cs="Times New Roman"/>
          <w:b/>
          <w:bCs/>
          <w:sz w:val="32"/>
          <w:szCs w:val="32"/>
          <w:lang w:val="en-US" w:eastAsia="zh-CN" w:bidi="ar-SA"/>
        </w:rPr>
        <w:outlineLvl w:val="1"/>
      </w:pPr>
      <w:r>
        <w:rPr>
          <w:rFonts w:hint="eastAsia" w:ascii="宋体" w:hAnsi="Calibri Light" w:eastAsia="宋体" w:cs="Times New Roman"/>
          <w:b/>
          <w:bCs/>
          <w:sz w:val="32"/>
          <w:szCs w:val="32"/>
          <w:lang w:val="en-US" w:eastAsia="zh-CN" w:bidi="ar-SA"/>
        </w:rPr>
        <w:t xml:space="preserve">（一）维护范围</w:t>
      </w:r>
      <w:r/>
    </w:p>
    <w:p>
      <w:pPr>
        <w:ind w:firstLine="480"/>
        <w:spacing w:line="360" w:lineRule="auto"/>
        <w:rPr>
          <w:rFonts w:hint="default" w:ascii="宋体"/>
          <w:sz w:val="24"/>
          <w:szCs w:val="28"/>
        </w:rPr>
      </w:pPr>
      <w:r>
        <w:rPr>
          <w:rFonts w:hint="eastAsia" w:ascii="宋体"/>
          <w:sz w:val="24"/>
          <w:szCs w:val="28"/>
        </w:rPr>
        <w:t xml:space="preserve">沛县公安局交管大队管辖范围内的交通信号控制系统的抢修、维护和调整（设备包括：信号灯具、信号机、机箱、杆件、流量检测设备、各类线缆、供电线路、管道、接线手井、通信设备等）。</w:t>
      </w:r>
      <w:r/>
    </w:p>
    <w:p>
      <w:pPr>
        <w:numPr>
          <w:ilvl w:val="2"/>
          <w:numId w:val="0"/>
        </w:numPr>
        <w:keepLines/>
        <w:keepNext/>
        <w:rPr>
          <w:rFonts w:ascii="宋体" w:hAnsi="Calibri Light" w:eastAsia="宋体" w:cs="Times New Roman"/>
          <w:b/>
          <w:bCs/>
          <w:sz w:val="32"/>
          <w:szCs w:val="32"/>
          <w:lang w:val="en-US" w:eastAsia="zh-CN" w:bidi="ar-SA"/>
        </w:rPr>
        <w:outlineLvl w:val="1"/>
      </w:pPr>
      <w:r>
        <w:rPr>
          <w:rFonts w:hint="eastAsia" w:ascii="宋体" w:hAnsi="Calibri Light" w:eastAsia="宋体" w:cs="Times New Roman"/>
          <w:b/>
          <w:bCs/>
          <w:sz w:val="32"/>
          <w:szCs w:val="32"/>
          <w:lang w:val="en-US" w:eastAsia="zh-CN" w:bidi="ar-SA"/>
        </w:rPr>
        <w:t xml:space="preserve">（二）维护内容</w:t>
      </w:r>
      <w:r/>
    </w:p>
    <w:p>
      <w:pPr>
        <w:ind w:firstLine="480"/>
        <w:spacing w:line="360" w:lineRule="auto"/>
        <w:rPr>
          <w:rFonts w:hint="default" w:ascii="宋体"/>
          <w:sz w:val="24"/>
          <w:szCs w:val="28"/>
        </w:rPr>
      </w:pPr>
      <w:r>
        <w:rPr>
          <w:rFonts w:hint="eastAsia" w:ascii="宋体"/>
          <w:sz w:val="24"/>
          <w:szCs w:val="28"/>
        </w:rPr>
        <w:t xml:space="preserve">1、基础资料建立和更新</w:t>
      </w:r>
      <w:r/>
    </w:p>
    <w:p>
      <w:pPr>
        <w:ind w:firstLine="480"/>
        <w:spacing w:line="360" w:lineRule="auto"/>
        <w:rPr>
          <w:rFonts w:hint="eastAsia" w:ascii="宋体" w:hAnsi="宋体" w:cs="宋体"/>
          <w:bCs/>
          <w:sz w:val="24"/>
          <w:szCs w:val="24"/>
        </w:rPr>
      </w:pPr>
      <w:r>
        <w:rPr>
          <w:rFonts w:hint="eastAsia" w:ascii="宋体" w:hAnsi="宋体"/>
          <w:sz w:val="24"/>
          <w:szCs w:val="28"/>
        </w:rPr>
        <w:t xml:space="preserve">对前端信号控制系统进行排查，对信号系统涉及的所有软件和硬件设备建档与管理，</w:t>
      </w:r>
      <w:r>
        <w:rPr>
          <w:rFonts w:hint="eastAsia" w:ascii="宋体" w:hAnsi="宋体" w:cs="宋体"/>
          <w:bCs/>
          <w:sz w:val="24"/>
          <w:szCs w:val="24"/>
        </w:rPr>
        <w:t xml:space="preserve">基础数据调查、采集和录入，具体内容包括：维护服务区域所有交通信号灯控路口的所处地理位置、路口类型、信号机的类型及组件序列号、杆件类型、灯具类型、管道位置及数量、窨井的位置、数量等；数据更新对信号灯及附属设施所有的动态变化（位置变化、管线变化、性能变化以及设备变换等）数据进行采集、录入、统计和系统更新。</w:t>
      </w:r>
      <w:r/>
    </w:p>
    <w:p>
      <w:pPr>
        <w:ind w:firstLine="480"/>
        <w:spacing w:line="400" w:lineRule="exact"/>
        <w:rPr>
          <w:rFonts w:hint="eastAsia" w:ascii="宋体" w:hAnsi="宋体"/>
          <w:sz w:val="24"/>
          <w:szCs w:val="28"/>
        </w:rPr>
      </w:pPr>
      <w:r>
        <w:rPr>
          <w:rFonts w:hint="eastAsia" w:ascii="宋体" w:hAnsi="宋体"/>
          <w:sz w:val="24"/>
          <w:szCs w:val="28"/>
          <w:lang w:val="en-US" w:eastAsia="zh-CN"/>
        </w:rPr>
        <w:t xml:space="preserve">2</w:t>
      </w:r>
      <w:r>
        <w:rPr>
          <w:rFonts w:hint="eastAsia" w:ascii="宋体" w:hAnsi="宋体"/>
          <w:sz w:val="24"/>
          <w:szCs w:val="28"/>
        </w:rPr>
        <w:t xml:space="preserve">、信号系统控制平台及应用软件运行保障服务</w:t>
      </w:r>
      <w:r/>
    </w:p>
    <w:p>
      <w:pPr>
        <w:ind w:firstLine="480"/>
        <w:spacing w:line="400" w:lineRule="exact"/>
        <w:rPr>
          <w:rFonts w:hint="eastAsia" w:ascii="宋体" w:hAnsi="宋体"/>
          <w:sz w:val="24"/>
          <w:szCs w:val="28"/>
        </w:rPr>
      </w:pPr>
      <w:r>
        <w:rPr>
          <w:rFonts w:hint="eastAsia" w:ascii="宋体" w:hAnsi="宋体"/>
          <w:sz w:val="24"/>
          <w:szCs w:val="28"/>
        </w:rPr>
        <w:t xml:space="preserve">（1）协助完成信号控制平台的优化调试、系统配置、补丁升级及安全防护，保障系统运行；</w:t>
      </w:r>
      <w:r/>
    </w:p>
    <w:p>
      <w:pPr>
        <w:ind w:firstLine="480"/>
        <w:spacing w:line="400" w:lineRule="exact"/>
        <w:rPr>
          <w:rFonts w:hint="eastAsia" w:ascii="宋体" w:hAnsi="宋体"/>
          <w:sz w:val="24"/>
          <w:szCs w:val="28"/>
        </w:rPr>
      </w:pPr>
      <w:r>
        <w:rPr>
          <w:rFonts w:hint="eastAsia" w:ascii="宋体" w:hAnsi="宋体"/>
          <w:sz w:val="24"/>
          <w:szCs w:val="28"/>
        </w:rPr>
        <w:t xml:space="preserve">（2）系统运行效果调查、分析与调整。包括：系统协调，主动进行实时跟踪、实测与调整，维护单位根据大队要求对信号控制点进行实时跟踪、实测与调整，始终保持信号控制方案合理，减少绿灯损失，降低延误、发挥路口最大实际通行能力等。</w:t>
      </w:r>
      <w:r/>
    </w:p>
    <w:p>
      <w:pPr>
        <w:ind w:firstLine="480"/>
        <w:spacing w:line="400" w:lineRule="exact"/>
        <w:rPr>
          <w:rFonts w:hint="default" w:ascii="宋体"/>
          <w:sz w:val="24"/>
          <w:szCs w:val="28"/>
        </w:rPr>
      </w:pPr>
      <w:r>
        <w:rPr>
          <w:rFonts w:hint="eastAsia" w:ascii="宋体" w:hAnsi="宋体"/>
          <w:sz w:val="24"/>
          <w:szCs w:val="28"/>
        </w:rPr>
        <w:t xml:space="preserve">（3）配合采购方完成特勤任务线路</w:t>
      </w:r>
      <w:r>
        <w:rPr>
          <w:rFonts w:hint="eastAsia" w:ascii="宋体" w:hAnsi="宋体"/>
          <w:sz w:val="24"/>
          <w:szCs w:val="28"/>
          <w:lang w:val="en-US" w:eastAsia="zh-CN"/>
        </w:rPr>
        <w:t xml:space="preserve">绿波</w:t>
      </w:r>
      <w:r>
        <w:rPr>
          <w:rFonts w:hint="eastAsia" w:ascii="宋体" w:hAnsi="宋体"/>
          <w:sz w:val="24"/>
          <w:szCs w:val="28"/>
        </w:rPr>
        <w:t xml:space="preserve">控制方案编制、管理和实施工作，遇紧急任务，在接到采购方通知后需1小时内达到指定位置。</w:t>
      </w:r>
      <w:r/>
    </w:p>
    <w:p>
      <w:pPr>
        <w:ind w:firstLine="480"/>
        <w:spacing w:line="400" w:lineRule="exact"/>
        <w:rPr>
          <w:rFonts w:hint="default" w:ascii="宋体"/>
          <w:sz w:val="24"/>
          <w:szCs w:val="28"/>
        </w:rPr>
      </w:pPr>
      <w:r>
        <w:rPr>
          <w:rFonts w:hint="eastAsia" w:ascii="宋体" w:hAnsi="宋体"/>
          <w:sz w:val="24"/>
          <w:szCs w:val="28"/>
          <w:lang w:val="en-US" w:eastAsia="zh-CN"/>
        </w:rPr>
        <w:t xml:space="preserve">3</w:t>
      </w:r>
      <w:r>
        <w:rPr>
          <w:rFonts w:hint="eastAsia" w:ascii="宋体" w:hAnsi="宋体"/>
          <w:sz w:val="24"/>
          <w:szCs w:val="28"/>
        </w:rPr>
        <w:t xml:space="preserve">、开展主动性维护工作，定期对设备进行维护和保养，对系统使用情况进行巡查、培训和指导,定期开展核心平台、辅助软件及链路、接口常规检查维护服务，并向采购人提交维护报告。同时按要求做好相关安全保密工作，严禁出现安全漏洞。</w:t>
      </w:r>
      <w:r/>
    </w:p>
    <w:p>
      <w:pPr>
        <w:ind w:firstLine="480"/>
        <w:spacing w:line="360" w:lineRule="auto"/>
        <w:rPr>
          <w:rFonts w:hint="eastAsia" w:ascii="宋体" w:hAnsi="宋体" w:eastAsia="宋体" w:cs="宋体"/>
          <w:bCs/>
          <w:sz w:val="24"/>
          <w:szCs w:val="24"/>
          <w:lang w:eastAsia="zh-CN"/>
        </w:rPr>
      </w:pPr>
      <w:r>
        <w:rPr>
          <w:rFonts w:hint="eastAsia" w:ascii="宋体" w:hAnsi="宋体" w:cs="宋体"/>
          <w:bCs/>
          <w:sz w:val="24"/>
          <w:szCs w:val="24"/>
          <w:lang w:val="en-US" w:eastAsia="zh-CN"/>
        </w:rPr>
        <w:t xml:space="preserve">4</w:t>
      </w:r>
      <w:r>
        <w:rPr>
          <w:rFonts w:hint="eastAsia" w:ascii="宋体" w:hAnsi="宋体" w:cs="宋体"/>
          <w:bCs/>
          <w:sz w:val="24"/>
          <w:szCs w:val="24"/>
          <w:lang w:eastAsia="zh-CN"/>
        </w:rPr>
        <w:t xml:space="preserve">、</w:t>
      </w:r>
      <w:r>
        <w:rPr>
          <w:rFonts w:hint="eastAsia" w:ascii="宋体" w:hAnsi="宋体" w:cs="宋体"/>
          <w:bCs/>
          <w:sz w:val="24"/>
          <w:szCs w:val="24"/>
        </w:rPr>
        <w:t xml:space="preserve">新改建道路信号灯及其附属设施的接收维管工作</w:t>
      </w:r>
      <w:r>
        <w:rPr>
          <w:rFonts w:hint="eastAsia" w:ascii="宋体" w:hAnsi="宋体" w:cs="宋体"/>
          <w:bCs/>
          <w:sz w:val="24"/>
          <w:szCs w:val="24"/>
          <w:lang w:eastAsia="zh-CN"/>
        </w:rPr>
        <w:t xml:space="preserve">。</w:t>
      </w:r>
      <w:r/>
    </w:p>
    <w:p>
      <w:pPr>
        <w:ind w:firstLine="480"/>
        <w:spacing w:line="360" w:lineRule="auto"/>
        <w:rPr>
          <w:rFonts w:hint="eastAsia" w:ascii="宋体" w:hAnsi="宋体" w:cs="宋体"/>
          <w:bCs/>
          <w:sz w:val="24"/>
          <w:szCs w:val="24"/>
        </w:rPr>
      </w:pPr>
      <w:r>
        <w:rPr>
          <w:rFonts w:hint="eastAsia" w:ascii="宋体" w:hAnsi="宋体" w:cs="宋体"/>
          <w:bCs/>
          <w:sz w:val="24"/>
          <w:szCs w:val="24"/>
          <w:lang w:val="en-US" w:eastAsia="zh-CN"/>
        </w:rPr>
        <w:t xml:space="preserve">5</w:t>
      </w:r>
      <w:r>
        <w:rPr>
          <w:rFonts w:hint="eastAsia" w:ascii="宋体" w:hAnsi="宋体" w:cs="宋体"/>
          <w:bCs/>
          <w:sz w:val="24"/>
          <w:szCs w:val="24"/>
          <w:lang w:eastAsia="zh-CN"/>
        </w:rPr>
        <w:t xml:space="preserve">、</w:t>
      </w:r>
      <w:r>
        <w:rPr>
          <w:rFonts w:hint="eastAsia" w:ascii="宋体" w:hAnsi="宋体" w:cs="宋体"/>
          <w:bCs/>
          <w:sz w:val="24"/>
          <w:szCs w:val="24"/>
        </w:rPr>
        <w:t xml:space="preserve">对电力电源及控制电缆管道调查，形成地下管网图，提出管道埋设需求。</w:t>
      </w:r>
      <w:r/>
    </w:p>
    <w:p>
      <w:pPr>
        <w:ind w:firstLine="480"/>
        <w:spacing w:line="360" w:lineRule="auto"/>
        <w:rPr>
          <w:rFonts w:hint="default" w:ascii="宋体"/>
          <w:sz w:val="24"/>
          <w:szCs w:val="28"/>
        </w:rPr>
      </w:pPr>
      <w:r>
        <w:rPr>
          <w:rFonts w:hint="eastAsia" w:ascii="宋体" w:hAnsi="宋体" w:cs="宋体"/>
          <w:bCs/>
          <w:sz w:val="24"/>
          <w:szCs w:val="24"/>
          <w:lang w:val="en-US" w:eastAsia="zh-CN"/>
        </w:rPr>
        <w:t xml:space="preserve">6</w:t>
      </w:r>
      <w:r>
        <w:rPr>
          <w:rFonts w:hint="eastAsia" w:ascii="宋体" w:hAnsi="宋体" w:cs="宋体"/>
          <w:bCs/>
          <w:sz w:val="24"/>
          <w:szCs w:val="24"/>
          <w:lang w:eastAsia="zh-CN"/>
        </w:rPr>
        <w:t xml:space="preserve">、</w:t>
      </w:r>
      <w:r>
        <w:rPr>
          <w:rFonts w:hint="eastAsia" w:ascii="宋体" w:hAnsi="宋体" w:cs="宋体"/>
          <w:bCs/>
          <w:sz w:val="24"/>
          <w:szCs w:val="24"/>
        </w:rPr>
        <w:t xml:space="preserve">信号灯及其附属设施的安全性检查。</w:t>
      </w:r>
      <w:r>
        <w:rPr>
          <w:rFonts w:hint="eastAsia" w:ascii="宋体" w:hAnsi="宋体"/>
          <w:sz w:val="24"/>
          <w:szCs w:val="28"/>
        </w:rPr>
        <w:t xml:space="preserve">对维保范围内的信号灯设备、流量检测设备、杆件</w:t>
      </w:r>
      <w:r>
        <w:rPr>
          <w:rFonts w:hint="eastAsia" w:ascii="宋体" w:hAnsi="宋体"/>
          <w:sz w:val="24"/>
          <w:szCs w:val="28"/>
        </w:rPr>
        <w:t xml:space="preserve">、管线、手井、机箱、控制机及太阳能移动信号灯设备进行安全性检查工作。检查信号灯有无缺灯，路口信号灯是否运转正常且有无灯具老化或有色差现象；检查灯具是否齐全，有无歪斜。信号灯帽檐、裙边是否松动、破损；检查灯杆是否歪斜，观察孔盖板是否齐全，灯杆是否被刮蹭或被撞现象，路口是否缺少灯杆及灯具，路口有无废弃信号灯杆。信号灯是否被遮挡现象；检查信号灯电缆井是否有塌陷、井圈外露、井盖破碎、检查信号灯管线是否外露或因施工被拆除、损毁；检查机箱、电源箱门是否关好，有无被撬、被撞。电源网络是否正常运行，发现问题或故障及时解决（</w:t>
      </w:r>
      <w:r>
        <w:rPr>
          <w:rFonts w:hint="eastAsia" w:ascii="宋体" w:hAnsi="宋体"/>
          <w:sz w:val="24"/>
          <w:szCs w:val="28"/>
        </w:rPr>
        <w:t xml:space="preserve">非更换设备部分）；对于需更换部件的，负责设备诊断、拍照取证，对照投标设备更新报价清单，报招标人同意后（制作更换设备申请单或联系单）更换和安装调试，紧急情况下，为保障通行和设备安全需要，可在更换设备的同时报招标人或临时采取安全有效措施。对需要更换而暂没有备用设备的，应明确设备到货及更换维护期限。更换下的设备当日内送招标人指定的地方存放备查；检查信号灯指示与标志标线匹配等情况，发现问题立即向招标人报告。数字城管发现并通知的信号外场设备有问题或者损坏，也必须在第一时间内解决，如不能解决必须给出解决方案及完成时间。</w:t>
      </w:r>
      <w:r/>
    </w:p>
    <w:p>
      <w:pPr>
        <w:ind w:left="0" w:firstLine="480"/>
        <w:jc w:val="both"/>
        <w:spacing w:after="0" w:line="360" w:lineRule="auto"/>
        <w:widowControl w:val="off"/>
        <w:rPr>
          <w:rFonts w:hint="eastAsia" w:ascii="宋体" w:hAnsi="宋体" w:eastAsia="宋体" w:cs="Times New Roman"/>
          <w:sz w:val="24"/>
          <w:szCs w:val="28"/>
          <w:lang w:val="en-US" w:eastAsia="zh-CN" w:bidi="ar-SA"/>
        </w:rPr>
      </w:pPr>
      <w:r>
        <w:rPr>
          <w:rFonts w:hint="eastAsia" w:ascii="宋体" w:hAnsi="宋体" w:eastAsia="宋体" w:cs="宋体"/>
          <w:bCs/>
          <w:sz w:val="24"/>
          <w:szCs w:val="24"/>
          <w:lang w:val="en-US" w:eastAsia="zh-CN" w:bidi="ar-SA"/>
        </w:rPr>
        <w:t xml:space="preserve">7、及时维修、调整交通交通信号灯设施。</w:t>
      </w:r>
      <w:r/>
    </w:p>
    <w:p>
      <w:pPr>
        <w:numPr>
          <w:ilvl w:val="2"/>
          <w:numId w:val="0"/>
        </w:numPr>
        <w:keepLines/>
        <w:keepNext/>
        <w:rPr>
          <w:rFonts w:ascii="宋体" w:hAnsi="Calibri Light" w:eastAsia="宋体" w:cs="Times New Roman"/>
          <w:b/>
          <w:bCs/>
          <w:sz w:val="32"/>
          <w:szCs w:val="32"/>
          <w:lang w:val="en-US" w:eastAsia="zh-CN" w:bidi="ar-SA"/>
        </w:rPr>
        <w:outlineLvl w:val="1"/>
      </w:pPr>
      <w:r>
        <w:rPr>
          <w:rFonts w:hint="eastAsia" w:ascii="宋体" w:hAnsi="Calibri Light" w:eastAsia="宋体" w:cs="Times New Roman"/>
          <w:b/>
          <w:bCs/>
          <w:sz w:val="32"/>
          <w:szCs w:val="32"/>
          <w:lang w:val="en-US" w:eastAsia="zh-CN" w:bidi="ar-SA"/>
        </w:rPr>
        <w:t xml:space="preserve">（三）维护要求</w:t>
      </w:r>
      <w:r/>
    </w:p>
    <w:p>
      <w:pPr>
        <w:ind w:firstLine="480"/>
        <w:spacing w:line="400" w:lineRule="exact"/>
        <w:rPr>
          <w:rFonts w:hint="eastAsia" w:ascii="宋体" w:hAnsi="宋体"/>
          <w:sz w:val="24"/>
          <w:szCs w:val="28"/>
        </w:rPr>
      </w:pPr>
      <w:r>
        <w:rPr>
          <w:rFonts w:hint="eastAsia" w:ascii="宋体" w:hAnsi="宋体"/>
          <w:sz w:val="24"/>
          <w:szCs w:val="28"/>
        </w:rPr>
        <w:t xml:space="preserve">1、每日登录信号灯故障检测系统，查看当前的设备故障及修复情况；每日检查太阳能移动信号灯带电情况，按时充电、保养；每日登录信号控制系统，检查信号机在线情况及流量检测设备的在线情况、设备是否异常。发现问题及时汇报、记录，并安排维护人员进行设备维护。</w:t>
      </w:r>
      <w:r/>
    </w:p>
    <w:p>
      <w:pPr>
        <w:ind w:firstLine="480"/>
        <w:spacing w:line="400" w:lineRule="exact"/>
        <w:rPr>
          <w:rFonts w:hint="default" w:ascii="宋体"/>
          <w:sz w:val="24"/>
          <w:szCs w:val="28"/>
        </w:rPr>
      </w:pPr>
      <w:r>
        <w:rPr>
          <w:rFonts w:hint="eastAsia" w:ascii="宋体" w:hAnsi="宋体"/>
          <w:sz w:val="24"/>
          <w:szCs w:val="28"/>
        </w:rPr>
        <w:t xml:space="preserve">2、</w:t>
      </w:r>
      <w:r>
        <w:rPr>
          <w:rFonts w:hint="default" w:ascii="宋体" w:hAnsi="宋体" w:cs="宋体"/>
          <w:sz w:val="24"/>
          <w:szCs w:val="24"/>
        </w:rPr>
        <w:t xml:space="preserve">每两周对城区范围（南至南环路、西至西环路、东至东环路、北至北京路）交通信号设备开展全覆盖巡检，如实记录各路口巡检时间。重点排查信号灯具完好情况、井盖有无缺失、设备是否存在漏电等安全隐患，巡检完成后汇总问题、梳理情况，按期形成工作周报。</w:t>
      </w:r>
      <w:r/>
    </w:p>
    <w:p>
      <w:pPr>
        <w:ind w:firstLine="480"/>
        <w:spacing w:line="400" w:lineRule="exact"/>
        <w:rPr>
          <w:rFonts w:hint="eastAsia" w:ascii="宋体" w:hAnsi="宋体"/>
          <w:sz w:val="24"/>
          <w:szCs w:val="28"/>
        </w:rPr>
      </w:pPr>
      <w:r>
        <w:rPr>
          <w:rFonts w:hint="eastAsia" w:ascii="宋体" w:hAnsi="宋体"/>
          <w:sz w:val="24"/>
          <w:szCs w:val="28"/>
        </w:rPr>
        <w:t xml:space="preserve">3、每月集中开展一次全方位外场设备的大检查，包括信号灯、信号机、流量采集设备、杆件、管线、手工井等设备的安全性、适配性、老旧性等内容，并根据检查结果向招标人提出整改建议，并形成月度总结。</w:t>
      </w:r>
      <w:r/>
    </w:p>
    <w:p>
      <w:pPr>
        <w:ind w:firstLine="480"/>
        <w:spacing w:line="400" w:lineRule="exact"/>
        <w:rPr>
          <w:rFonts w:hint="eastAsia" w:ascii="宋体" w:hAnsi="宋体" w:eastAsia="宋体"/>
          <w:sz w:val="24"/>
          <w:szCs w:val="28"/>
          <w:lang w:eastAsia="zh-CN"/>
        </w:rPr>
      </w:pPr>
      <w:r>
        <w:rPr>
          <w:rFonts w:hint="eastAsia" w:ascii="宋体" w:hAnsi="宋体"/>
          <w:sz w:val="24"/>
          <w:szCs w:val="28"/>
        </w:rPr>
        <w:t xml:space="preserve">4、确保信号设备应急处置，在电力供应缺失、故障不能立即排除或其他因素造成信号不能正常运转，影响通行需求时，负责投放、回收临时移动信号灯或使用临时电源予以保障，直至供电恢复或故障排除</w:t>
      </w:r>
      <w:r>
        <w:rPr>
          <w:rFonts w:hint="eastAsia" w:ascii="宋体" w:hAnsi="宋体"/>
          <w:sz w:val="24"/>
          <w:szCs w:val="28"/>
          <w:lang w:eastAsia="zh-CN"/>
        </w:rPr>
        <w:t xml:space="preserve">。</w:t>
      </w:r>
      <w:r/>
    </w:p>
    <w:p>
      <w:pPr>
        <w:ind w:firstLine="480"/>
        <w:spacing w:line="400" w:lineRule="exact"/>
        <w:rPr>
          <w:rFonts w:hint="eastAsia" w:ascii="宋体" w:hAnsi="宋体" w:eastAsia="宋体"/>
          <w:sz w:val="24"/>
          <w:szCs w:val="28"/>
          <w:lang w:eastAsia="zh-CN"/>
        </w:rPr>
      </w:pPr>
      <w:r>
        <w:rPr>
          <w:rFonts w:hint="eastAsia" w:ascii="宋体" w:hAnsi="宋体"/>
          <w:sz w:val="24"/>
          <w:szCs w:val="28"/>
        </w:rPr>
        <w:t xml:space="preserve">5、按期完成招标人交办的与信号控制有关的电力供应更改（取电位置到信号机）、设备升级、联网、电警匹配、后台管控等排查工作</w:t>
      </w:r>
      <w:r>
        <w:rPr>
          <w:rFonts w:hint="eastAsia" w:ascii="宋体" w:hAnsi="宋体"/>
          <w:sz w:val="24"/>
          <w:szCs w:val="28"/>
          <w:lang w:eastAsia="zh-CN"/>
        </w:rPr>
        <w:t xml:space="preserve">。</w:t>
      </w:r>
      <w:r/>
    </w:p>
    <w:p>
      <w:pPr>
        <w:ind w:firstLine="480"/>
        <w:spacing w:line="400" w:lineRule="exact"/>
        <w:rPr>
          <w:rFonts w:hint="eastAsia" w:ascii="宋体" w:hAnsi="宋体"/>
          <w:sz w:val="24"/>
          <w:szCs w:val="28"/>
        </w:rPr>
      </w:pPr>
      <w:r>
        <w:rPr>
          <w:rFonts w:hint="eastAsia" w:ascii="宋体" w:hAnsi="宋体"/>
          <w:sz w:val="24"/>
          <w:szCs w:val="28"/>
        </w:rPr>
        <w:t xml:space="preserve">6、完成招标人安排的紧急任务及特勤保障等信号控制措施。</w:t>
      </w:r>
      <w:r/>
    </w:p>
    <w:p>
      <w:pPr>
        <w:ind w:firstLine="480"/>
        <w:spacing w:line="400" w:lineRule="exact"/>
        <w:rPr>
          <w:rFonts w:hint="eastAsia" w:ascii="宋体" w:hAnsi="宋体"/>
          <w:sz w:val="24"/>
          <w:szCs w:val="24"/>
        </w:rPr>
      </w:pPr>
      <w:r>
        <w:rPr>
          <w:rFonts w:hint="eastAsia" w:ascii="宋体" w:hAnsi="宋体"/>
          <w:sz w:val="24"/>
          <w:szCs w:val="28"/>
        </w:rPr>
        <w:t xml:space="preserve">7、接到信号灯故障后30分钟内必须响应，对于一般故障要求3小时内修复完毕，对于前端点断电的在供电恢复后1小时内修复完毕，对于信号灯故障无法及时排除故障的，需采取临时安全措施，确保不因故障未及时排除引发交通事故。</w:t>
      </w:r>
      <w:r/>
    </w:p>
    <w:p>
      <w:pPr>
        <w:ind w:firstLine="480"/>
        <w:spacing w:line="400" w:lineRule="exact"/>
        <w:rPr>
          <w:rFonts w:hint="eastAsia" w:ascii="宋体" w:hAnsi="宋体"/>
          <w:sz w:val="24"/>
          <w:szCs w:val="28"/>
        </w:rPr>
      </w:pPr>
      <w:r>
        <w:rPr>
          <w:rFonts w:hint="eastAsia" w:ascii="宋体" w:hAnsi="宋体"/>
          <w:sz w:val="24"/>
          <w:szCs w:val="28"/>
        </w:rPr>
        <w:t xml:space="preserve">8、对于故障信息必须在24小时内反馈处理结果及意见，并填写故障申报表及维护表。</w:t>
      </w:r>
      <w:r/>
    </w:p>
    <w:p>
      <w:pPr>
        <w:ind w:firstLine="480"/>
        <w:spacing w:line="400" w:lineRule="exact"/>
        <w:rPr>
          <w:rFonts w:hint="eastAsia" w:ascii="宋体" w:hAnsi="宋体"/>
          <w:sz w:val="24"/>
          <w:szCs w:val="28"/>
        </w:rPr>
      </w:pPr>
      <w:r>
        <w:rPr>
          <w:rFonts w:hint="eastAsia" w:ascii="宋体" w:hAnsi="宋体"/>
          <w:sz w:val="24"/>
          <w:szCs w:val="28"/>
        </w:rPr>
        <w:t xml:space="preserve">9、跟进上级工作要求，定期排查井盖缺失、树枝遮挡、杆件漏电情况，并形成档案。</w:t>
      </w:r>
      <w:r/>
    </w:p>
    <w:p>
      <w:pPr>
        <w:ind w:firstLine="480"/>
        <w:spacing w:line="400" w:lineRule="exact"/>
        <w:rPr>
          <w:rFonts w:hint="eastAsia" w:ascii="宋体" w:hAnsi="宋体"/>
          <w:sz w:val="24"/>
          <w:szCs w:val="28"/>
        </w:rPr>
      </w:pPr>
      <w:r>
        <w:rPr>
          <w:rFonts w:hint="eastAsia" w:ascii="宋体" w:hAnsi="宋体"/>
          <w:sz w:val="24"/>
          <w:szCs w:val="28"/>
        </w:rPr>
        <w:t xml:space="preserve">10、对于接通知（书面、电话、短信、微信等方式）的故障排除及其他应急任务须做到5分钟内响应，城区范围内的路口30分钟内到达，其他路口60分钟内到达。对于一般性故障要求1小时内修复完毕，供电缺失或故障不能在规定时间内排除的立即投放移动信号灯或临时电源予以保障，涉及辅管及顶管施工的需按采购方要求修复完毕。</w:t>
      </w:r>
      <w:r/>
    </w:p>
    <w:p>
      <w:pPr>
        <w:numPr>
          <w:ilvl w:val="0"/>
          <w:numId w:val="3"/>
        </w:numPr>
        <w:keepLines/>
        <w:keepNext/>
        <w:rPr>
          <w:rFonts w:ascii="宋体" w:hAnsi="Times New Roman" w:eastAsia="宋体" w:cs="Times New Roman"/>
          <w:b/>
          <w:bCs/>
          <w:sz w:val="32"/>
          <w:szCs w:val="44"/>
          <w:lang w:val="en-US" w:eastAsia="zh-CN" w:bidi="ar-SA"/>
        </w:rPr>
        <w:outlineLvl w:val="0"/>
      </w:pPr>
      <w:r/>
      <w:bookmarkStart w:id="15" w:name="_Toc308"/>
      <w:r>
        <w:rPr>
          <w:rFonts w:hint="eastAsia" w:ascii="宋体" w:hAnsi="Times New Roman" w:eastAsia="宋体" w:cs="Times New Roman"/>
          <w:b/>
          <w:bCs/>
          <w:sz w:val="32"/>
          <w:szCs w:val="44"/>
          <w:lang w:val="en-US" w:eastAsia="zh-CN" w:bidi="ar-SA"/>
        </w:rPr>
        <w:t xml:space="preserve">视频监控系统维护要求</w:t>
      </w:r>
      <w:bookmarkEnd w:id="15"/>
      <w:r/>
      <w:r/>
    </w:p>
    <w:p>
      <w:pPr>
        <w:numPr>
          <w:ilvl w:val="2"/>
          <w:numId w:val="0"/>
        </w:numPr>
        <w:keepLines/>
        <w:keepNext/>
        <w:rPr>
          <w:rFonts w:ascii="宋体" w:hAnsi="Calibri Light" w:eastAsia="宋体" w:cs="Times New Roman"/>
          <w:b/>
          <w:bCs/>
          <w:sz w:val="32"/>
          <w:szCs w:val="32"/>
          <w:lang w:val="en-US" w:eastAsia="zh-CN" w:bidi="ar-SA"/>
        </w:rPr>
        <w:outlineLvl w:val="1"/>
      </w:pPr>
      <w:r>
        <w:rPr>
          <w:rFonts w:hint="eastAsia" w:ascii="宋体" w:hAnsi="Calibri Light" w:eastAsia="宋体" w:cs="Times New Roman"/>
          <w:b/>
          <w:bCs/>
          <w:sz w:val="32"/>
          <w:szCs w:val="32"/>
          <w:lang w:val="en-US" w:eastAsia="zh-CN" w:bidi="ar-SA"/>
        </w:rPr>
        <w:t xml:space="preserve">（一）维护范围</w:t>
      </w:r>
      <w:r/>
    </w:p>
    <w:p>
      <w:pPr>
        <w:ind w:firstLine="480"/>
        <w:spacing w:line="360" w:lineRule="auto"/>
        <w:rPr>
          <w:rFonts w:hint="eastAsia" w:ascii="宋体"/>
          <w:sz w:val="24"/>
          <w:szCs w:val="28"/>
        </w:rPr>
      </w:pPr>
      <w:r>
        <w:rPr>
          <w:rFonts w:hint="eastAsia" w:ascii="宋体"/>
          <w:sz w:val="24"/>
          <w:szCs w:val="28"/>
        </w:rPr>
        <w:t xml:space="preserve">沛县公安局交管大队管辖范围内的电子警察设备、卡口设备、高空瞭望设备、监控设备、诱导设备、测速等设备的抢修、维护和调整（设备包括：频闪灯、闪光灯、智能终端、交换机、光纤收发器、机箱、杆件、各类线缆、供电线路、管道、接线手井等）。</w:t>
      </w:r>
      <w:r/>
    </w:p>
    <w:p>
      <w:pPr>
        <w:numPr>
          <w:ilvl w:val="2"/>
          <w:numId w:val="0"/>
        </w:numPr>
        <w:keepLines/>
        <w:keepNext/>
        <w:rPr>
          <w:rFonts w:hint="eastAsia" w:ascii="宋体" w:hAnsi="Calibri Light" w:eastAsia="宋体" w:cs="Times New Roman"/>
          <w:b/>
          <w:bCs/>
          <w:sz w:val="32"/>
          <w:szCs w:val="32"/>
          <w:lang w:val="en-US" w:eastAsia="zh-CN" w:bidi="ar-SA"/>
        </w:rPr>
        <w:outlineLvl w:val="1"/>
      </w:pPr>
      <w:r>
        <w:rPr>
          <w:rFonts w:hint="eastAsia" w:ascii="宋体" w:hAnsi="Calibri Light" w:eastAsia="宋体" w:cs="Times New Roman"/>
          <w:b/>
          <w:bCs/>
          <w:sz w:val="32"/>
          <w:szCs w:val="32"/>
          <w:lang w:val="en-US" w:eastAsia="zh-CN" w:bidi="ar-SA"/>
        </w:rPr>
        <w:t xml:space="preserve">（二）维护内容</w:t>
      </w:r>
      <w:r/>
    </w:p>
    <w:p>
      <w:pPr>
        <w:contextualSpacing/>
        <w:ind w:firstLine="480"/>
        <w:spacing w:line="440" w:lineRule="exact"/>
        <w:rPr>
          <w:rFonts w:hint="eastAsia" w:ascii="宋体" w:hAnsi="宋体" w:eastAsia="宋体" w:cs="宋体"/>
          <w:bCs/>
          <w:sz w:val="24"/>
          <w:szCs w:val="28"/>
          <w:highlight w:val="yellow"/>
          <w:lang w:val="en-US" w:eastAsia="zh-CN"/>
        </w:rPr>
      </w:pPr>
      <w:r>
        <w:rPr>
          <w:rFonts w:hint="eastAsia" w:ascii="宋体" w:hAnsi="宋体" w:eastAsia="宋体" w:cs="宋体"/>
          <w:bCs/>
          <w:sz w:val="24"/>
          <w:szCs w:val="28"/>
          <w:lang w:val="en-US" w:eastAsia="zh-CN"/>
        </w:rPr>
        <w:t xml:space="preserve">1</w:t>
      </w:r>
      <w:r>
        <w:rPr>
          <w:rFonts w:hint="eastAsia" w:ascii="宋体" w:hAnsi="宋体" w:eastAsia="宋体" w:cs="宋体"/>
          <w:bCs/>
          <w:sz w:val="24"/>
          <w:szCs w:val="28"/>
        </w:rPr>
        <w:t xml:space="preserve">、</w:t>
      </w:r>
      <w:r>
        <w:rPr>
          <w:rFonts w:hint="eastAsia" w:ascii="宋体" w:hAnsi="宋体" w:eastAsia="宋体" w:cs="宋体"/>
          <w:bCs/>
          <w:sz w:val="24"/>
          <w:szCs w:val="28"/>
          <w:highlight w:val="none"/>
          <w:lang w:val="en-US" w:eastAsia="zh-CN"/>
        </w:rPr>
        <w:t xml:space="preserve">前端设备维护内容</w:t>
      </w:r>
      <w:r/>
    </w:p>
    <w:p>
      <w:pPr>
        <w:ind w:left="0" w:firstLine="480"/>
        <w:jc w:val="both"/>
        <w:spacing w:after="0" w:line="360" w:lineRule="auto"/>
        <w:widowControl w:val="off"/>
        <w:rPr>
          <w:rFonts w:hint="default" w:ascii="宋体" w:hAnsi="宋体" w:eastAsia="宋体" w:cs="Times New Roman"/>
          <w:sz w:val="24"/>
          <w:szCs w:val="28"/>
          <w:lang w:val="en-US" w:eastAsia="zh-CN" w:bidi="ar-SA"/>
        </w:rPr>
      </w:pPr>
      <w:r>
        <w:rPr>
          <w:rFonts w:hint="eastAsia" w:ascii="宋体" w:hAnsi="宋体" w:eastAsia="宋体" w:cs="Times New Roman"/>
          <w:sz w:val="24"/>
          <w:szCs w:val="28"/>
          <w:lang w:val="en-US" w:eastAsia="zh-CN" w:bidi="ar-SA"/>
        </w:rPr>
        <w:t xml:space="preserve">（1）</w:t>
      </w:r>
      <w:r>
        <w:rPr>
          <w:rFonts w:hint="default" w:ascii="宋体" w:hAnsi="宋体" w:eastAsia="宋体" w:cs="Times New Roman"/>
          <w:sz w:val="24"/>
          <w:szCs w:val="28"/>
          <w:lang w:val="en-US" w:eastAsia="zh-CN" w:bidi="ar-SA"/>
        </w:rPr>
        <w:t xml:space="preserve">日常巡检与故障处置</w:t>
      </w:r>
      <w:r/>
    </w:p>
    <w:p>
      <w:pPr>
        <w:ind w:left="0" w:firstLine="480"/>
        <w:jc w:val="both"/>
        <w:spacing w:after="0" w:line="360" w:lineRule="auto"/>
        <w:widowControl w:val="off"/>
        <w:rPr>
          <w:rFonts w:hint="default" w:ascii="宋体" w:hAnsi="宋体" w:eastAsia="宋体" w:cs="Times New Roman"/>
          <w:sz w:val="24"/>
          <w:szCs w:val="28"/>
          <w:lang w:val="en-US" w:eastAsia="zh-CN" w:bidi="ar-SA"/>
        </w:rPr>
      </w:pPr>
      <w:r>
        <w:rPr>
          <w:rFonts w:hint="default" w:ascii="宋体" w:hAnsi="宋体" w:eastAsia="宋体" w:cs="Times New Roman"/>
          <w:sz w:val="24"/>
          <w:szCs w:val="28"/>
          <w:lang w:val="en-US" w:eastAsia="zh-CN" w:bidi="ar-SA"/>
        </w:rPr>
        <w:t xml:space="preserve">对前端设备外观、运行状态及安全工况开展全面检查，及时排查各类安全隐患并处置已发生故障；定期对设备、杆件、机箱进行清洁养护，道路监控等视频类设备按需清洗防雨罩及防雨镜片；维保期内按需更换易损耗材，所换配件规格及质量须等同或高于原设备标准，确保设备全程正常运行；对自然老化严重、影响使用安全的设备及构件，及时向采购人提交更换申请。</w:t>
      </w:r>
      <w:r/>
    </w:p>
    <w:p>
      <w:pPr>
        <w:ind w:left="0" w:firstLine="480"/>
        <w:jc w:val="both"/>
        <w:spacing w:after="0" w:line="360" w:lineRule="auto"/>
        <w:widowControl w:val="off"/>
        <w:rPr>
          <w:rFonts w:hint="default" w:ascii="宋体" w:hAnsi="宋体" w:eastAsia="宋体" w:cs="Times New Roman"/>
          <w:sz w:val="24"/>
          <w:szCs w:val="28"/>
          <w:lang w:val="en-US" w:eastAsia="zh-CN" w:bidi="ar-SA"/>
        </w:rPr>
      </w:pPr>
      <w:r>
        <w:rPr>
          <w:rFonts w:hint="eastAsia" w:ascii="宋体" w:hAnsi="宋体" w:eastAsia="宋体" w:cs="Times New Roman"/>
          <w:sz w:val="24"/>
          <w:szCs w:val="28"/>
          <w:lang w:val="en-US" w:eastAsia="zh-CN" w:bidi="ar-SA"/>
        </w:rPr>
        <w:t xml:space="preserve">（2）</w:t>
      </w:r>
      <w:r>
        <w:rPr>
          <w:rFonts w:hint="default" w:ascii="宋体" w:hAnsi="宋体" w:eastAsia="宋体" w:cs="Times New Roman"/>
          <w:sz w:val="24"/>
          <w:szCs w:val="28"/>
          <w:lang w:val="en-US" w:eastAsia="zh-CN" w:bidi="ar-SA"/>
        </w:rPr>
        <w:t xml:space="preserve">管线井室与设备管控</w:t>
      </w:r>
      <w:r/>
    </w:p>
    <w:p>
      <w:pPr>
        <w:ind w:left="0" w:firstLine="480"/>
        <w:jc w:val="both"/>
        <w:spacing w:after="0" w:line="360" w:lineRule="auto"/>
        <w:widowControl w:val="off"/>
        <w:rPr>
          <w:rFonts w:hint="default" w:ascii="宋体" w:hAnsi="宋体" w:eastAsia="宋体" w:cs="Times New Roman"/>
          <w:sz w:val="24"/>
          <w:szCs w:val="28"/>
          <w:lang w:val="en-US" w:eastAsia="zh-CN" w:bidi="ar-SA"/>
        </w:rPr>
      </w:pPr>
      <w:r>
        <w:rPr>
          <w:rFonts w:hint="default" w:ascii="宋体" w:hAnsi="宋体" w:eastAsia="宋体" w:cs="Times New Roman"/>
          <w:sz w:val="24"/>
          <w:szCs w:val="28"/>
          <w:lang w:val="en-US" w:eastAsia="zh-CN" w:bidi="ar-SA"/>
        </w:rPr>
        <w:t xml:space="preserve">定期排查管线、通讯井运行状况，及时发现并消除安全隐患；核查并优化设备运行参数，保障设备处于最优工作状态；同步检查设备口令、隐藏账户及系统漏洞，完善安全防护机制，防范安全风险。</w:t>
      </w:r>
      <w:r/>
    </w:p>
    <w:p>
      <w:pPr>
        <w:ind w:left="0" w:firstLine="480"/>
        <w:jc w:val="both"/>
        <w:spacing w:after="0" w:line="360" w:lineRule="auto"/>
        <w:widowControl w:val="off"/>
        <w:rPr>
          <w:rFonts w:hint="default" w:ascii="宋体" w:hAnsi="宋体" w:eastAsia="宋体" w:cs="Times New Roman"/>
          <w:sz w:val="24"/>
          <w:szCs w:val="28"/>
          <w:lang w:val="en-US" w:eastAsia="zh-CN" w:bidi="ar-SA"/>
        </w:rPr>
      </w:pPr>
      <w:r>
        <w:rPr>
          <w:rFonts w:hint="eastAsia" w:ascii="宋体" w:hAnsi="宋体" w:eastAsia="宋体" w:cs="Times New Roman"/>
          <w:sz w:val="24"/>
          <w:szCs w:val="28"/>
          <w:lang w:val="en-US" w:eastAsia="zh-CN" w:bidi="ar-SA"/>
        </w:rPr>
        <w:t xml:space="preserve">（3）</w:t>
      </w:r>
      <w:r>
        <w:rPr>
          <w:rFonts w:hint="default" w:ascii="宋体" w:hAnsi="宋体" w:eastAsia="宋体" w:cs="Times New Roman"/>
          <w:sz w:val="24"/>
          <w:szCs w:val="28"/>
          <w:lang w:val="en-US" w:eastAsia="zh-CN" w:bidi="ar-SA"/>
        </w:rPr>
        <w:t xml:space="preserve">档案与登记管理</w:t>
      </w:r>
      <w:r/>
    </w:p>
    <w:p>
      <w:pPr>
        <w:ind w:left="0" w:firstLine="480"/>
        <w:jc w:val="both"/>
        <w:spacing w:after="0" w:line="360" w:lineRule="auto"/>
        <w:widowControl w:val="off"/>
        <w:rPr>
          <w:rFonts w:hint="default" w:ascii="宋体" w:hAnsi="宋体" w:eastAsia="宋体" w:cs="Times New Roman"/>
          <w:sz w:val="24"/>
          <w:szCs w:val="28"/>
          <w:lang w:val="en-US" w:eastAsia="zh-CN" w:bidi="ar-SA"/>
        </w:rPr>
      </w:pPr>
      <w:r>
        <w:rPr>
          <w:rFonts w:hint="default" w:ascii="宋体" w:hAnsi="宋体" w:eastAsia="宋体" w:cs="Times New Roman"/>
          <w:sz w:val="24"/>
          <w:szCs w:val="28"/>
          <w:lang w:val="en-US" w:eastAsia="zh-CN" w:bidi="ar-SA"/>
        </w:rPr>
        <w:t xml:space="preserve">建立并动态更新前端设备保养电子及纸质档案，完善各类运维记录台账</w:t>
      </w:r>
      <w:r>
        <w:rPr>
          <w:rFonts w:hint="eastAsia" w:ascii="宋体" w:hAnsi="宋体" w:eastAsia="宋体" w:cs="Times New Roman"/>
          <w:sz w:val="24"/>
          <w:szCs w:val="28"/>
          <w:lang w:val="en-US" w:eastAsia="zh-CN" w:bidi="ar-SA"/>
        </w:rPr>
        <w:t xml:space="preserve">，</w:t>
      </w:r>
      <w:r>
        <w:rPr>
          <w:rFonts w:hint="default" w:ascii="宋体" w:hAnsi="宋体" w:eastAsia="宋体" w:cs="Times New Roman"/>
          <w:sz w:val="24"/>
          <w:szCs w:val="28"/>
          <w:lang w:val="en-US" w:eastAsia="zh-CN" w:bidi="ar-SA"/>
        </w:rPr>
        <w:t xml:space="preserve">接受采购人日常检查核验，确保运维过程可追溯。</w:t>
      </w:r>
      <w:r/>
    </w:p>
    <w:p>
      <w:pPr>
        <w:ind w:left="0" w:firstLine="480"/>
        <w:jc w:val="both"/>
        <w:spacing w:after="0" w:line="360" w:lineRule="auto"/>
        <w:widowControl w:val="off"/>
        <w:rPr>
          <w:rFonts w:hint="default" w:ascii="宋体" w:hAnsi="宋体" w:eastAsia="宋体" w:cs="Times New Roman"/>
          <w:sz w:val="24"/>
          <w:szCs w:val="28"/>
          <w:lang w:val="en-US" w:eastAsia="zh-CN" w:bidi="ar-SA"/>
        </w:rPr>
      </w:pPr>
      <w:r>
        <w:rPr>
          <w:rFonts w:hint="eastAsia" w:ascii="宋体" w:hAnsi="宋体" w:eastAsia="宋体" w:cs="Times New Roman"/>
          <w:sz w:val="24"/>
          <w:szCs w:val="28"/>
          <w:lang w:val="en-US" w:eastAsia="zh-CN" w:bidi="ar-SA"/>
        </w:rPr>
        <w:t xml:space="preserve">（4）</w:t>
      </w:r>
      <w:r>
        <w:rPr>
          <w:rFonts w:hint="default" w:ascii="宋体" w:hAnsi="宋体" w:eastAsia="宋体" w:cs="Times New Roman"/>
          <w:sz w:val="24"/>
          <w:szCs w:val="28"/>
          <w:lang w:val="en-US" w:eastAsia="zh-CN" w:bidi="ar-SA"/>
        </w:rPr>
        <w:t xml:space="preserve">设备移位与责任认定</w:t>
      </w:r>
      <w:r/>
    </w:p>
    <w:p>
      <w:pPr>
        <w:ind w:left="0" w:firstLine="480"/>
        <w:jc w:val="both"/>
        <w:spacing w:after="0" w:line="360" w:lineRule="auto"/>
        <w:widowControl w:val="off"/>
        <w:rPr>
          <w:rFonts w:hint="default" w:ascii="宋体" w:hAnsi="宋体" w:eastAsia="宋体" w:cs="Times New Roman"/>
          <w:sz w:val="24"/>
          <w:szCs w:val="28"/>
          <w:lang w:val="en-US" w:eastAsia="zh-CN" w:bidi="ar-SA"/>
        </w:rPr>
      </w:pPr>
      <w:r>
        <w:rPr>
          <w:rFonts w:hint="default" w:ascii="宋体" w:hAnsi="宋体" w:eastAsia="宋体" w:cs="Times New Roman"/>
          <w:sz w:val="24"/>
          <w:szCs w:val="28"/>
          <w:lang w:val="en-US" w:eastAsia="zh-CN" w:bidi="ar-SA"/>
        </w:rPr>
        <w:t xml:space="preserve">按采购人需求完成杆件上设备的拆除、入库、清洗、移机、复位等相关作业；维保期内，维护范围内所有设备、设施、杆件及附属构件发生丢失、损毁等情况，由中标人承担全部责任及经济损失，并妥善处置后续相关事宜。</w:t>
      </w:r>
      <w:r/>
    </w:p>
    <w:p>
      <w:pPr>
        <w:ind w:left="0" w:firstLine="480"/>
        <w:jc w:val="both"/>
        <w:spacing w:after="0" w:line="360" w:lineRule="auto"/>
        <w:widowControl w:val="off"/>
        <w:rPr>
          <w:rFonts w:hint="default" w:ascii="宋体" w:hAnsi="宋体" w:eastAsia="宋体" w:cs="Times New Roman"/>
          <w:sz w:val="24"/>
          <w:szCs w:val="28"/>
          <w:lang w:val="en-US" w:eastAsia="zh-CN" w:bidi="ar-SA"/>
        </w:rPr>
      </w:pPr>
      <w:r>
        <w:rPr>
          <w:rFonts w:hint="eastAsia" w:ascii="宋体" w:hAnsi="宋体" w:eastAsia="宋体" w:cs="Times New Roman"/>
          <w:sz w:val="24"/>
          <w:szCs w:val="28"/>
          <w:lang w:val="en-US" w:eastAsia="zh-CN" w:bidi="ar-SA"/>
        </w:rPr>
        <w:t xml:space="preserve">（5）</w:t>
      </w:r>
      <w:r>
        <w:rPr>
          <w:rFonts w:hint="default" w:ascii="宋体" w:hAnsi="宋体" w:eastAsia="宋体" w:cs="Times New Roman"/>
          <w:sz w:val="24"/>
          <w:szCs w:val="28"/>
          <w:lang w:val="en-US" w:eastAsia="zh-CN" w:bidi="ar-SA"/>
        </w:rPr>
        <w:t xml:space="preserve">旧设备管理与安装调试</w:t>
      </w:r>
      <w:r/>
    </w:p>
    <w:p>
      <w:pPr>
        <w:ind w:left="0" w:firstLine="480"/>
        <w:jc w:val="both"/>
        <w:spacing w:after="0" w:line="360" w:lineRule="auto"/>
        <w:widowControl w:val="off"/>
        <w:rPr>
          <w:rFonts w:hint="default" w:ascii="宋体" w:hAnsi="宋体" w:eastAsia="宋体" w:cs="Times New Roman"/>
          <w:sz w:val="24"/>
          <w:szCs w:val="28"/>
          <w:lang w:val="en-US" w:eastAsia="zh-CN" w:bidi="ar-SA"/>
        </w:rPr>
      </w:pPr>
      <w:r>
        <w:rPr>
          <w:rFonts w:hint="default" w:ascii="宋体" w:hAnsi="宋体" w:eastAsia="宋体" w:cs="Times New Roman"/>
          <w:sz w:val="24"/>
          <w:szCs w:val="28"/>
          <w:lang w:val="en-US" w:eastAsia="zh-CN" w:bidi="ar-SA"/>
        </w:rPr>
        <w:t xml:space="preserve">所有更换的旧设备须登记入库，详实备注更换时间、设备状态、品牌型号等关键信息，严格按照固定资产管理规定履行相关手续，以备办理固定资产报废流程；同时完成采购人非现场执法设备升级项目采购设备的安装调试工作，确保新增设备顺利投运。</w:t>
      </w:r>
      <w:r/>
    </w:p>
    <w:p>
      <w:pPr>
        <w:ind w:firstLine="480"/>
        <w:spacing w:line="400" w:lineRule="exact"/>
        <w:rPr>
          <w:rFonts w:hint="default" w:ascii="宋体" w:hAnsi="宋体" w:eastAsia="宋体"/>
          <w:sz w:val="24"/>
          <w:szCs w:val="28"/>
          <w:highlight w:val="none"/>
          <w:lang w:val="en-US" w:eastAsia="zh-CN"/>
        </w:rPr>
      </w:pPr>
      <w:r>
        <w:rPr>
          <w:rFonts w:hint="eastAsia" w:ascii="宋体" w:hAnsi="宋体"/>
          <w:sz w:val="24"/>
          <w:szCs w:val="28"/>
          <w:highlight w:val="none"/>
          <w:lang w:val="en-US" w:eastAsia="zh-CN"/>
        </w:rPr>
        <w:t xml:space="preserve">2</w:t>
      </w:r>
      <w:r>
        <w:rPr>
          <w:rFonts w:hint="eastAsia" w:ascii="宋体" w:hAnsi="宋体"/>
          <w:sz w:val="24"/>
          <w:szCs w:val="28"/>
          <w:highlight w:val="none"/>
        </w:rPr>
        <w:t xml:space="preserve">、非现场执法设备</w:t>
      </w:r>
      <w:r>
        <w:rPr>
          <w:rFonts w:hint="eastAsia" w:ascii="宋体" w:hAnsi="宋体"/>
          <w:sz w:val="24"/>
          <w:szCs w:val="28"/>
          <w:highlight w:val="none"/>
          <w:lang w:val="en-US" w:eastAsia="zh-CN"/>
        </w:rPr>
        <w:t xml:space="preserve">后台巡检内容</w:t>
      </w:r>
      <w:r/>
    </w:p>
    <w:p>
      <w:pPr>
        <w:ind w:firstLine="480"/>
        <w:spacing w:line="400" w:lineRule="exact"/>
        <w:rPr>
          <w:rFonts w:hint="eastAsia" w:ascii="宋体" w:hAnsi="宋体"/>
          <w:sz w:val="24"/>
          <w:szCs w:val="28"/>
        </w:rPr>
      </w:pPr>
      <w:r>
        <w:rPr>
          <w:rFonts w:hint="eastAsia" w:ascii="宋体" w:hAnsi="宋体"/>
          <w:sz w:val="24"/>
          <w:szCs w:val="28"/>
        </w:rPr>
        <w:t xml:space="preserve">（1）视频图像数据质量考核保障服务</w:t>
      </w:r>
      <w:r/>
    </w:p>
    <w:p>
      <w:pPr>
        <w:ind w:firstLine="480"/>
        <w:spacing w:line="360" w:lineRule="auto"/>
        <w:rPr>
          <w:rFonts w:hint="default" w:ascii="宋体"/>
          <w:sz w:val="24"/>
          <w:szCs w:val="28"/>
        </w:rPr>
      </w:pPr>
      <w:r>
        <w:rPr>
          <w:rFonts w:hint="eastAsia" w:ascii="宋体"/>
          <w:sz w:val="24"/>
          <w:szCs w:val="28"/>
        </w:rPr>
        <w:t xml:space="preserve">中标单位需通过视频图像数据质量运维保障服务，梳理系统现状，遵循《关于规范推进GA视频图像智能化应用建设的通知》、《2021年全国GA视频图像数据治理专项行动工作方案》要求，通过设备基础信息管理服务、视频诊断服务、数据监测服务、联网监测服务、考核指标量化服务、可视化展现优化服务、告警提醒优化服务、系统管理服务等八类服务。</w:t>
      </w:r>
      <w:r/>
    </w:p>
    <w:p>
      <w:pPr>
        <w:ind w:firstLine="480"/>
        <w:spacing w:line="400" w:lineRule="exact"/>
        <w:rPr>
          <w:rFonts w:hint="eastAsia" w:ascii="宋体" w:hAnsi="宋体"/>
          <w:sz w:val="24"/>
          <w:szCs w:val="28"/>
        </w:rPr>
      </w:pPr>
      <w:r>
        <w:rPr>
          <w:rFonts w:hint="eastAsia" w:ascii="宋体" w:hAnsi="宋体"/>
          <w:sz w:val="24"/>
          <w:szCs w:val="28"/>
        </w:rPr>
        <w:t xml:space="preserve">（2）设备基础信息管理服务</w:t>
      </w:r>
      <w:r/>
    </w:p>
    <w:p>
      <w:pPr>
        <w:ind w:firstLine="480"/>
        <w:spacing w:line="360" w:lineRule="auto"/>
        <w:rPr>
          <w:rFonts w:hint="default" w:ascii="宋体"/>
          <w:sz w:val="24"/>
          <w:szCs w:val="28"/>
        </w:rPr>
      </w:pPr>
      <w:r>
        <w:rPr>
          <w:rFonts w:hint="eastAsia" w:ascii="宋体"/>
          <w:sz w:val="24"/>
          <w:szCs w:val="28"/>
        </w:rPr>
        <w:t xml:space="preserve">提供汇聚本县区的车辆卡口、人员卡口、一体化卡口、视频监控等各类视频图像设备的基础信息，包括设备编码、设备名称、功能类型、设备厂家、型号、行政区域、监控点位类型、设备经纬度、设备IP地址等，建立一台设备一个档案服务。</w:t>
      </w:r>
      <w:r/>
    </w:p>
    <w:p>
      <w:pPr>
        <w:ind w:firstLine="480"/>
        <w:spacing w:line="360" w:lineRule="auto"/>
        <w:rPr>
          <w:rFonts w:hint="default" w:ascii="宋体"/>
          <w:sz w:val="24"/>
          <w:szCs w:val="28"/>
        </w:rPr>
      </w:pPr>
      <w:r>
        <w:rPr>
          <w:rFonts w:hint="eastAsia" w:ascii="宋体"/>
          <w:sz w:val="24"/>
          <w:szCs w:val="28"/>
        </w:rPr>
        <w:t xml:space="preserve">提供非现场执法设备管理服务，实时显示设备在线状态、网络状态、位置信息、设备型号、序列号、所属终端等必要信息，依据上述信息形成设备性能评分。</w:t>
      </w:r>
      <w:r/>
    </w:p>
    <w:p>
      <w:pPr>
        <w:ind w:firstLine="480"/>
        <w:spacing w:line="400" w:lineRule="exact"/>
        <w:rPr>
          <w:rFonts w:hint="eastAsia" w:ascii="宋体" w:hAnsi="宋体"/>
          <w:sz w:val="24"/>
          <w:szCs w:val="28"/>
        </w:rPr>
      </w:pPr>
      <w:r>
        <w:rPr>
          <w:rFonts w:hint="eastAsia" w:ascii="宋体" w:hAnsi="宋体"/>
          <w:sz w:val="24"/>
          <w:szCs w:val="28"/>
        </w:rPr>
        <w:t xml:space="preserve">（3）视频诊断服务</w:t>
      </w:r>
      <w:r/>
    </w:p>
    <w:p>
      <w:pPr>
        <w:ind w:firstLine="480"/>
        <w:spacing w:line="360" w:lineRule="auto"/>
        <w:rPr>
          <w:rFonts w:hint="default" w:ascii="宋体"/>
          <w:sz w:val="24"/>
          <w:szCs w:val="28"/>
        </w:rPr>
      </w:pPr>
      <w:r>
        <w:rPr>
          <w:rFonts w:hint="eastAsia" w:ascii="宋体"/>
          <w:sz w:val="24"/>
          <w:szCs w:val="28"/>
        </w:rPr>
        <w:t xml:space="preserve">提供各类状态监控类的应用，主要包括：联网点位运行状态监控、图像质量、编码设备运行状态监控、解码设备运行状态监控、存储设备运行状态监控。</w:t>
      </w:r>
      <w:r/>
    </w:p>
    <w:p>
      <w:pPr>
        <w:ind w:firstLine="480"/>
        <w:spacing w:line="400" w:lineRule="exact"/>
        <w:rPr>
          <w:rFonts w:hint="eastAsia" w:ascii="宋体" w:hAnsi="宋体"/>
          <w:sz w:val="24"/>
          <w:szCs w:val="28"/>
        </w:rPr>
      </w:pPr>
      <w:r>
        <w:rPr>
          <w:rFonts w:hint="eastAsia" w:ascii="宋体" w:hAnsi="宋体"/>
          <w:sz w:val="24"/>
          <w:szCs w:val="28"/>
        </w:rPr>
        <w:t xml:space="preserve">（4）数据监测总览</w:t>
      </w:r>
      <w:r/>
    </w:p>
    <w:p>
      <w:pPr>
        <w:ind w:firstLine="480"/>
        <w:spacing w:line="360" w:lineRule="auto"/>
        <w:rPr>
          <w:rFonts w:hint="default" w:ascii="宋体"/>
          <w:sz w:val="24"/>
          <w:szCs w:val="28"/>
        </w:rPr>
      </w:pPr>
      <w:r>
        <w:rPr>
          <w:rFonts w:hint="eastAsia" w:ascii="宋体"/>
          <w:sz w:val="24"/>
          <w:szCs w:val="28"/>
        </w:rPr>
        <w:t xml:space="preserve">提供以组织的维度展示卡口总数、抓拍数据总量、无抓拍数据卡口数、平均识别率、识别率过低卡口数、昼夜识别率突变卡口数、图片访问异常占比、数据倒挂率、数据延迟率。点击统计结果能跳转到对应的检测页面。提供全局报表和具体异常数据的导出。</w:t>
      </w:r>
      <w:r/>
    </w:p>
    <w:p>
      <w:pPr>
        <w:ind w:firstLine="480"/>
        <w:spacing w:line="400" w:lineRule="exact"/>
        <w:rPr>
          <w:rFonts w:hint="eastAsia" w:ascii="宋体" w:hAnsi="宋体"/>
          <w:sz w:val="24"/>
          <w:szCs w:val="28"/>
        </w:rPr>
      </w:pPr>
      <w:r>
        <w:rPr>
          <w:rFonts w:hint="eastAsia" w:ascii="宋体" w:hAnsi="宋体"/>
          <w:sz w:val="24"/>
          <w:szCs w:val="28"/>
        </w:rPr>
        <w:t xml:space="preserve">（5）数据量监测</w:t>
      </w:r>
      <w:r/>
    </w:p>
    <w:p>
      <w:pPr>
        <w:ind w:firstLine="480"/>
        <w:spacing w:line="360" w:lineRule="auto"/>
        <w:rPr>
          <w:rFonts w:hint="default" w:ascii="宋体"/>
          <w:sz w:val="24"/>
          <w:szCs w:val="28"/>
        </w:rPr>
      </w:pPr>
      <w:r>
        <w:rPr>
          <w:rFonts w:hint="eastAsia" w:ascii="宋体"/>
          <w:sz w:val="24"/>
          <w:szCs w:val="28"/>
        </w:rPr>
        <w:t xml:space="preserve">提供对卡口的数据量进行监测，找出无抓拍数据、抓拍数据突降和抓拍数据量过少的卡口。</w:t>
      </w:r>
      <w:r/>
    </w:p>
    <w:p>
      <w:pPr>
        <w:ind w:firstLine="480"/>
        <w:spacing w:line="360" w:lineRule="auto"/>
        <w:rPr>
          <w:rFonts w:hint="default" w:ascii="宋体"/>
          <w:sz w:val="24"/>
          <w:szCs w:val="28"/>
        </w:rPr>
      </w:pPr>
      <w:r>
        <w:rPr>
          <w:rFonts w:hint="eastAsia" w:ascii="宋体"/>
          <w:sz w:val="24"/>
          <w:szCs w:val="28"/>
        </w:rPr>
        <w:t xml:space="preserve">提供按设备名称、异常类型筛选，提供筛选数据的导出。提供展示持续无数据的天数和近七天抓拍数据量。</w:t>
      </w:r>
      <w:r/>
    </w:p>
    <w:p>
      <w:pPr>
        <w:ind w:firstLine="480"/>
        <w:spacing w:line="400" w:lineRule="exact"/>
        <w:rPr>
          <w:rFonts w:hint="eastAsia" w:ascii="宋体" w:hAnsi="宋体"/>
          <w:sz w:val="24"/>
          <w:szCs w:val="28"/>
        </w:rPr>
      </w:pPr>
      <w:r>
        <w:rPr>
          <w:rFonts w:hint="eastAsia" w:ascii="宋体" w:hAnsi="宋体"/>
          <w:sz w:val="24"/>
          <w:szCs w:val="28"/>
        </w:rPr>
        <w:t xml:space="preserve">（6）图片访问监测</w:t>
      </w:r>
      <w:r/>
    </w:p>
    <w:p>
      <w:pPr>
        <w:ind w:firstLine="480"/>
        <w:spacing w:line="360" w:lineRule="auto"/>
        <w:rPr>
          <w:rFonts w:hint="default" w:ascii="宋体"/>
          <w:sz w:val="24"/>
          <w:szCs w:val="28"/>
        </w:rPr>
      </w:pPr>
      <w:r>
        <w:rPr>
          <w:rFonts w:hint="eastAsia" w:ascii="宋体"/>
          <w:sz w:val="24"/>
          <w:szCs w:val="28"/>
        </w:rPr>
        <w:t xml:space="preserve">提供对卡口抓拍的车牌图片和背景图片进行抽检，看其图片能否访问。提供按组织统计抽检占比、图片访问异常占比等。提供按异常占比、监测资源筛选，提供筛选数据的导出。</w:t>
      </w:r>
      <w:r/>
    </w:p>
    <w:p>
      <w:pPr>
        <w:ind w:firstLine="480"/>
        <w:spacing w:line="400" w:lineRule="exact"/>
        <w:rPr>
          <w:rFonts w:hint="eastAsia" w:ascii="宋体" w:hAnsi="宋体"/>
          <w:sz w:val="24"/>
          <w:szCs w:val="28"/>
        </w:rPr>
      </w:pPr>
      <w:r>
        <w:rPr>
          <w:rFonts w:hint="eastAsia" w:ascii="宋体" w:hAnsi="宋体"/>
          <w:sz w:val="24"/>
          <w:szCs w:val="28"/>
        </w:rPr>
        <w:t xml:space="preserve">（7）车牌识别监测</w:t>
      </w:r>
      <w:r/>
    </w:p>
    <w:p>
      <w:pPr>
        <w:ind w:firstLine="480"/>
        <w:spacing w:line="360" w:lineRule="auto"/>
        <w:rPr>
          <w:rFonts w:hint="default" w:ascii="宋体"/>
          <w:sz w:val="24"/>
          <w:szCs w:val="28"/>
        </w:rPr>
      </w:pPr>
      <w:r>
        <w:rPr>
          <w:rFonts w:hint="eastAsia" w:ascii="宋体"/>
          <w:sz w:val="24"/>
          <w:szCs w:val="28"/>
        </w:rPr>
        <w:t xml:space="preserve">提供对车牌识别率的分析，找出异常的卡口。</w:t>
      </w:r>
      <w:r/>
    </w:p>
    <w:p>
      <w:pPr>
        <w:ind w:firstLine="480"/>
        <w:spacing w:line="360" w:lineRule="auto"/>
        <w:rPr>
          <w:rFonts w:hint="default" w:ascii="宋体"/>
          <w:sz w:val="24"/>
          <w:szCs w:val="28"/>
        </w:rPr>
      </w:pPr>
      <w:r>
        <w:rPr>
          <w:rFonts w:hint="eastAsia" w:ascii="宋体"/>
          <w:sz w:val="24"/>
          <w:szCs w:val="28"/>
        </w:rPr>
        <w:t xml:space="preserve">提供按组织展示低识别率卡口数和昼夜识别率突变卡口数，并以饼图整体展示识别率的占比情况。提供按异常类型、识别率对卡口进行筛选，提供按识别率排序。并可以跳转到相应卡口，查看实际抓拍数据。</w:t>
      </w:r>
      <w:r/>
    </w:p>
    <w:p>
      <w:pPr>
        <w:ind w:firstLine="480"/>
        <w:spacing w:line="400" w:lineRule="exact"/>
        <w:rPr>
          <w:rFonts w:hint="eastAsia" w:ascii="宋体" w:hAnsi="宋体"/>
          <w:sz w:val="24"/>
          <w:szCs w:val="28"/>
        </w:rPr>
      </w:pPr>
      <w:r>
        <w:rPr>
          <w:rFonts w:hint="eastAsia" w:ascii="宋体" w:hAnsi="宋体"/>
          <w:sz w:val="24"/>
          <w:szCs w:val="28"/>
        </w:rPr>
        <w:t xml:space="preserve">（8）数据时效性监测</w:t>
      </w:r>
      <w:r/>
    </w:p>
    <w:p>
      <w:pPr>
        <w:ind w:firstLine="480"/>
        <w:spacing w:line="360" w:lineRule="auto"/>
        <w:rPr>
          <w:rFonts w:hint="default" w:ascii="宋体"/>
          <w:sz w:val="24"/>
          <w:szCs w:val="28"/>
        </w:rPr>
      </w:pPr>
      <w:r>
        <w:rPr>
          <w:rFonts w:hint="eastAsia" w:ascii="宋体"/>
          <w:sz w:val="24"/>
          <w:szCs w:val="28"/>
        </w:rPr>
        <w:t xml:space="preserve">提供对每条抓拍数据的抓拍时间和接收时间进行检测，找出时效异常的数据，再通过统计每个卡口异常数据的分布，来找出异常的卡口。</w:t>
      </w:r>
      <w:r/>
    </w:p>
    <w:p>
      <w:pPr>
        <w:ind w:firstLine="480"/>
        <w:spacing w:line="360" w:lineRule="auto"/>
        <w:rPr>
          <w:rFonts w:hint="default" w:ascii="宋体"/>
          <w:sz w:val="24"/>
          <w:szCs w:val="28"/>
        </w:rPr>
      </w:pPr>
      <w:r>
        <w:rPr>
          <w:rFonts w:hint="eastAsia" w:ascii="宋体"/>
          <w:sz w:val="24"/>
          <w:szCs w:val="28"/>
        </w:rPr>
        <w:t xml:space="preserve">提供按组织展示延迟倒挂数据的比例，并以饼图整体数据时效的占比情况，从宏观了解数据的时延情况。提供按设备名称、延迟率、倒挂率进行筛选，提供按抓拍数据量、延迟率、倒挂率等进行排序。</w:t>
      </w:r>
      <w:r/>
    </w:p>
    <w:p>
      <w:pPr>
        <w:ind w:firstLine="480"/>
        <w:spacing w:line="400" w:lineRule="exact"/>
        <w:rPr>
          <w:rFonts w:hint="eastAsia" w:ascii="宋体" w:hAnsi="宋体"/>
          <w:sz w:val="24"/>
          <w:szCs w:val="28"/>
        </w:rPr>
      </w:pPr>
      <w:r>
        <w:rPr>
          <w:rFonts w:hint="eastAsia" w:ascii="宋体" w:hAnsi="宋体"/>
          <w:sz w:val="24"/>
          <w:szCs w:val="28"/>
        </w:rPr>
        <w:t xml:space="preserve">（9）数据一致性</w:t>
      </w:r>
      <w:r/>
    </w:p>
    <w:p>
      <w:pPr>
        <w:ind w:firstLine="480"/>
        <w:spacing w:line="360" w:lineRule="auto"/>
        <w:rPr>
          <w:rFonts w:hint="default" w:ascii="宋体"/>
          <w:sz w:val="24"/>
          <w:szCs w:val="28"/>
        </w:rPr>
      </w:pPr>
      <w:r>
        <w:rPr>
          <w:rFonts w:hint="eastAsia" w:ascii="宋体"/>
          <w:sz w:val="24"/>
          <w:szCs w:val="28"/>
        </w:rPr>
        <w:t xml:space="preserve">提供设备未上报的监测功能，从而找出有抓拍数据，无设备信息的卡口。</w:t>
      </w:r>
      <w:r/>
    </w:p>
    <w:p>
      <w:pPr>
        <w:ind w:firstLine="480"/>
        <w:spacing w:line="400" w:lineRule="exact"/>
        <w:rPr>
          <w:rFonts w:hint="eastAsia" w:ascii="宋体" w:hAnsi="宋体"/>
          <w:sz w:val="24"/>
          <w:szCs w:val="28"/>
        </w:rPr>
      </w:pPr>
      <w:r>
        <w:rPr>
          <w:rFonts w:hint="eastAsia" w:ascii="宋体" w:hAnsi="宋体"/>
          <w:sz w:val="24"/>
          <w:szCs w:val="28"/>
        </w:rPr>
        <w:t xml:space="preserve">（10）非现场执法设备备案工作</w:t>
      </w:r>
      <w:r/>
    </w:p>
    <w:p>
      <w:pPr>
        <w:ind w:left="0" w:firstLine="480"/>
        <w:jc w:val="both"/>
        <w:spacing w:after="0" w:line="360" w:lineRule="auto"/>
        <w:widowControl w:val="off"/>
        <w:rPr>
          <w:rFonts w:ascii="宋体" w:hAnsi="宋体" w:eastAsia="宋体" w:cs="Times New Roman"/>
          <w:sz w:val="24"/>
          <w:szCs w:val="28"/>
          <w:lang w:val="en-US" w:eastAsia="zh-CN" w:bidi="ar-SA"/>
        </w:rPr>
      </w:pPr>
      <w:r>
        <w:rPr>
          <w:rFonts w:hint="eastAsia" w:ascii="宋体" w:hAnsi="宋体" w:eastAsia="宋体" w:cs="宋体"/>
          <w:sz w:val="24"/>
          <w:szCs w:val="24"/>
          <w:lang w:val="en-US" w:eastAsia="zh-CN" w:bidi="ar-SA"/>
        </w:rPr>
        <w:t xml:space="preserve">中标人</w:t>
      </w:r>
      <w:r>
        <w:rPr>
          <w:rFonts w:ascii="宋体" w:hAnsi="宋体" w:eastAsia="宋体" w:cs="宋体"/>
          <w:sz w:val="24"/>
          <w:szCs w:val="24"/>
          <w:lang w:val="en-US" w:eastAsia="zh-CN" w:bidi="ar-SA"/>
        </w:rPr>
        <w:t xml:space="preserve">在合同期内，需按照采购人要求协助开展非现场执法设备备案材料制作工作，配合完成非现场执法设备备案相关流程</w:t>
      </w:r>
      <w:r>
        <w:rPr>
          <w:rFonts w:hint="eastAsia" w:ascii="宋体" w:hAnsi="宋体" w:eastAsia="宋体" w:cs="Times New Roman"/>
          <w:sz w:val="24"/>
          <w:szCs w:val="28"/>
          <w:lang w:val="en-US" w:eastAsia="zh-CN" w:bidi="ar-SA"/>
        </w:rPr>
        <w:t xml:space="preserve">。</w:t>
      </w:r>
      <w:r/>
    </w:p>
    <w:p>
      <w:pPr>
        <w:numPr>
          <w:ilvl w:val="2"/>
          <w:numId w:val="0"/>
        </w:numPr>
        <w:keepLines/>
        <w:keepNext/>
        <w:rPr>
          <w:rFonts w:hint="eastAsia" w:ascii="宋体" w:hAnsi="Calibri Light" w:eastAsia="宋体" w:cs="Times New Roman"/>
          <w:b/>
          <w:bCs/>
          <w:sz w:val="32"/>
          <w:szCs w:val="32"/>
          <w:lang w:val="en-US" w:eastAsia="zh-CN" w:bidi="ar-SA"/>
        </w:rPr>
        <w:outlineLvl w:val="1"/>
      </w:pPr>
      <w:r>
        <w:rPr>
          <w:rFonts w:hint="eastAsia" w:ascii="宋体" w:hAnsi="Calibri Light" w:eastAsia="宋体" w:cs="Times New Roman"/>
          <w:b/>
          <w:bCs/>
          <w:sz w:val="32"/>
          <w:szCs w:val="32"/>
          <w:lang w:val="en-US" w:eastAsia="zh-CN" w:bidi="ar-SA"/>
        </w:rPr>
        <w:t xml:space="preserve">（三）维护要求</w:t>
      </w:r>
      <w:r/>
    </w:p>
    <w:p>
      <w:pPr>
        <w:contextualSpacing/>
        <w:ind w:firstLine="480"/>
        <w:spacing w:line="440" w:lineRule="exact"/>
        <w:rPr>
          <w:rFonts w:hint="eastAsia" w:ascii="宋体" w:hAnsi="宋体" w:eastAsia="宋体" w:cs="宋体"/>
          <w:bCs/>
          <w:sz w:val="24"/>
          <w:szCs w:val="28"/>
        </w:rPr>
      </w:pPr>
      <w:r>
        <w:rPr>
          <w:rFonts w:hint="eastAsia" w:ascii="宋体" w:hAnsi="宋体" w:eastAsia="宋体" w:cs="宋体"/>
          <w:bCs/>
          <w:sz w:val="24"/>
          <w:szCs w:val="28"/>
          <w:lang w:val="en-US" w:eastAsia="zh-CN"/>
        </w:rPr>
        <w:t xml:space="preserve">1</w:t>
      </w:r>
      <w:r>
        <w:rPr>
          <w:rFonts w:hint="eastAsia" w:ascii="宋体" w:hAnsi="宋体" w:eastAsia="宋体" w:cs="宋体"/>
          <w:bCs/>
          <w:sz w:val="24"/>
          <w:szCs w:val="28"/>
        </w:rPr>
        <w:t xml:space="preserve">、</w:t>
      </w:r>
      <w:r>
        <w:rPr>
          <w:rFonts w:hint="eastAsia" w:ascii="宋体" w:hAnsi="宋体" w:cs="宋体"/>
          <w:sz w:val="24"/>
          <w:szCs w:val="24"/>
          <w:lang w:eastAsia="zh-CN"/>
        </w:rPr>
        <w:t xml:space="preserve">中标人</w:t>
      </w:r>
      <w:r>
        <w:rPr>
          <w:rFonts w:hint="default" w:ascii="宋体" w:hAnsi="宋体" w:eastAsia="宋体" w:cs="宋体"/>
          <w:sz w:val="24"/>
          <w:szCs w:val="24"/>
        </w:rPr>
        <w:t xml:space="preserve">应对前后端系统开展每日巡检，及时排查可能引发故障的安全隐患、修复已存在的系统及设备故障，做好每日巡检详细记录。每周汇总巡检情况、隐患处置结果及故障修复详情，形成《周巡检工作报告》（一式两份），经采购人确认后存档</w:t>
      </w:r>
      <w:r>
        <w:rPr>
          <w:rFonts w:hint="eastAsia" w:ascii="宋体" w:hAnsi="宋体" w:eastAsia="宋体" w:cs="宋体"/>
          <w:bCs/>
          <w:sz w:val="24"/>
          <w:szCs w:val="28"/>
        </w:rPr>
        <w:t xml:space="preserve">。</w:t>
      </w:r>
      <w:r/>
    </w:p>
    <w:p>
      <w:pPr>
        <w:contextualSpacing/>
        <w:ind w:firstLine="480"/>
        <w:spacing w:line="440" w:lineRule="exact"/>
        <w:rPr>
          <w:rFonts w:hint="eastAsia" w:ascii="宋体" w:hAnsi="宋体" w:eastAsia="宋体" w:cs="宋体"/>
          <w:bCs/>
          <w:sz w:val="24"/>
          <w:szCs w:val="28"/>
        </w:rPr>
      </w:pPr>
      <w:r>
        <w:rPr>
          <w:rFonts w:hint="eastAsia" w:ascii="宋体" w:hAnsi="宋体" w:eastAsia="宋体" w:cs="宋体"/>
          <w:bCs/>
          <w:sz w:val="24"/>
          <w:szCs w:val="28"/>
        </w:rPr>
        <w:t xml:space="preserve">每日巡检内容包括但不限于前后端系统在线状态、资产在位状态、各类视频图像和数据质量、各类数据数量波动情况、后端环境供配电系统运行状态、消防系统运行状态、系统内各服务保活状态、内部系统与外部系统数据交互服务保活状态，其他需要巡检的事项和异常信息。</w:t>
      </w:r>
      <w:r/>
    </w:p>
    <w:p>
      <w:pPr>
        <w:contextualSpacing/>
        <w:ind w:firstLine="480"/>
        <w:spacing w:line="440" w:lineRule="exact"/>
        <w:rPr>
          <w:rFonts w:hint="eastAsia" w:ascii="宋体" w:hAnsi="宋体" w:eastAsia="宋体" w:cs="宋体"/>
          <w:bCs/>
          <w:sz w:val="24"/>
          <w:szCs w:val="28"/>
        </w:rPr>
      </w:pPr>
      <w:r>
        <w:rPr>
          <w:rFonts w:hint="eastAsia" w:ascii="宋体" w:hAnsi="宋体" w:eastAsia="宋体" w:cs="宋体"/>
          <w:bCs/>
          <w:sz w:val="24"/>
          <w:szCs w:val="28"/>
          <w:lang w:val="en-US" w:eastAsia="zh-CN"/>
        </w:rPr>
        <w:t xml:space="preserve">2</w:t>
      </w:r>
      <w:r>
        <w:rPr>
          <w:rFonts w:hint="eastAsia" w:ascii="宋体" w:hAnsi="宋体" w:eastAsia="宋体" w:cs="宋体"/>
          <w:bCs/>
          <w:sz w:val="24"/>
          <w:szCs w:val="28"/>
        </w:rPr>
        <w:t xml:space="preserve">、</w:t>
      </w:r>
      <w:r>
        <w:rPr>
          <w:rFonts w:hint="eastAsia" w:ascii="宋体" w:hAnsi="宋体" w:eastAsia="宋体" w:cs="宋体"/>
          <w:bCs/>
          <w:sz w:val="24"/>
          <w:szCs w:val="28"/>
          <w:lang w:eastAsia="zh-CN"/>
        </w:rPr>
        <w:t xml:space="preserve">中标人</w:t>
      </w:r>
      <w:r>
        <w:rPr>
          <w:rFonts w:hint="eastAsia" w:ascii="宋体" w:hAnsi="宋体" w:eastAsia="宋体" w:cs="宋体"/>
          <w:bCs/>
          <w:sz w:val="24"/>
          <w:szCs w:val="28"/>
        </w:rPr>
        <w:t xml:space="preserve">应</w:t>
      </w:r>
      <w:r>
        <w:rPr>
          <w:rFonts w:hint="eastAsia" w:ascii="宋体" w:hAnsi="宋体" w:eastAsia="宋体" w:cs="宋体"/>
          <w:bCs/>
          <w:sz w:val="24"/>
          <w:szCs w:val="28"/>
          <w:lang w:val="en-US" w:eastAsia="zh-CN"/>
        </w:rPr>
        <w:t xml:space="preserve">开展</w:t>
      </w:r>
      <w:r>
        <w:rPr>
          <w:rFonts w:hint="eastAsia" w:ascii="宋体" w:hAnsi="宋体" w:eastAsia="宋体" w:cs="宋体"/>
          <w:bCs/>
          <w:sz w:val="24"/>
          <w:szCs w:val="28"/>
        </w:rPr>
        <w:t xml:space="preserve">月度例行巡检，对前端设施安全性、可用性进行检查，对发现的问题及时处理；对全部补光灯进行无遗漏检查，对发现的故障灯具及时更换；对前端设备箱及箱内设备进行检查和清洁，确保箱内整洁、环境可控、设备稳定运行。</w:t>
      </w:r>
      <w:r/>
    </w:p>
    <w:p>
      <w:pPr>
        <w:numPr>
          <w:ilvl w:val="0"/>
          <w:numId w:val="3"/>
        </w:numPr>
        <w:keepLines/>
        <w:keepNext/>
        <w:rPr>
          <w:rFonts w:ascii="宋体" w:hAnsi="Times New Roman" w:eastAsia="宋体" w:cs="Times New Roman"/>
          <w:b/>
          <w:bCs/>
          <w:sz w:val="32"/>
          <w:szCs w:val="44"/>
          <w:lang w:val="en-US" w:eastAsia="zh-CN" w:bidi="ar-SA"/>
        </w:rPr>
        <w:outlineLvl w:val="0"/>
      </w:pPr>
      <w:r/>
      <w:bookmarkStart w:id="16" w:name="_Toc16695"/>
      <w:r>
        <w:rPr>
          <w:rFonts w:hint="eastAsia" w:ascii="宋体" w:hAnsi="Times New Roman" w:eastAsia="宋体" w:cs="Times New Roman"/>
          <w:b/>
          <w:bCs/>
          <w:sz w:val="32"/>
          <w:szCs w:val="44"/>
          <w:lang w:val="en-US" w:eastAsia="zh-CN" w:bidi="ar-SA"/>
        </w:rPr>
        <w:t xml:space="preserve">机房系统维护</w:t>
      </w:r>
      <w:bookmarkEnd w:id="16"/>
      <w:r/>
      <w:r/>
    </w:p>
    <w:p>
      <w:pPr>
        <w:numPr>
          <w:ilvl w:val="2"/>
          <w:numId w:val="0"/>
        </w:numPr>
        <w:keepLines/>
        <w:keepNext/>
        <w:rPr>
          <w:rFonts w:ascii="宋体" w:hAnsi="Calibri Light" w:eastAsia="宋体" w:cs="Times New Roman"/>
          <w:b/>
          <w:bCs/>
          <w:sz w:val="32"/>
          <w:szCs w:val="32"/>
          <w:lang w:val="en-US" w:eastAsia="zh-CN" w:bidi="ar-SA"/>
        </w:rPr>
        <w:outlineLvl w:val="1"/>
      </w:pPr>
      <w:r>
        <w:rPr>
          <w:rFonts w:hint="eastAsia" w:ascii="宋体" w:hAnsi="Calibri Light" w:eastAsia="宋体" w:cs="Times New Roman"/>
          <w:b/>
          <w:bCs/>
          <w:sz w:val="32"/>
          <w:szCs w:val="32"/>
          <w:lang w:val="en-US" w:eastAsia="zh-CN" w:bidi="ar-SA"/>
        </w:rPr>
        <w:t xml:space="preserve">（一）维护范围</w:t>
      </w:r>
      <w:r/>
    </w:p>
    <w:p>
      <w:pPr>
        <w:ind w:firstLine="480"/>
        <w:spacing w:line="360" w:lineRule="auto"/>
        <w:rPr>
          <w:rFonts w:hint="eastAsia" w:ascii="宋体" w:hAnsi="宋体" w:eastAsia="宋体" w:cs="宋体"/>
          <w:bCs/>
          <w:sz w:val="24"/>
          <w:szCs w:val="28"/>
        </w:rPr>
      </w:pPr>
      <w:r>
        <w:rPr>
          <w:rFonts w:hint="eastAsia" w:ascii="宋体"/>
          <w:sz w:val="24"/>
          <w:szCs w:val="28"/>
        </w:rPr>
        <w:t xml:space="preserve">沛县公安局交管大队的机房服务器、存储、电源等</w:t>
      </w:r>
      <w:r>
        <w:rPr>
          <w:rFonts w:hint="eastAsia" w:ascii="宋体"/>
          <w:sz w:val="24"/>
          <w:szCs w:val="28"/>
          <w:lang w:val="en-US" w:eastAsia="zh-CN"/>
        </w:rPr>
        <w:t xml:space="preserve">后台</w:t>
      </w:r>
      <w:r>
        <w:rPr>
          <w:rFonts w:hint="eastAsia" w:ascii="宋体"/>
          <w:sz w:val="24"/>
          <w:szCs w:val="28"/>
        </w:rPr>
        <w:t xml:space="preserve">设备，信号控制系统软件、非现场执法设备软件的维护、升级、优化、以及</w:t>
      </w:r>
      <w:r>
        <w:rPr>
          <w:rFonts w:hint="eastAsia" w:ascii="宋体" w:hAnsi="宋体" w:eastAsia="宋体" w:cs="宋体"/>
          <w:bCs/>
          <w:sz w:val="24"/>
          <w:szCs w:val="28"/>
        </w:rPr>
        <w:t xml:space="preserve">发生故障时（含效果优化、参数调整）进行维修。</w:t>
      </w:r>
      <w:r/>
    </w:p>
    <w:p>
      <w:pPr>
        <w:ind w:firstLine="480"/>
        <w:spacing w:line="360" w:lineRule="auto"/>
        <w:rPr>
          <w:rFonts w:hint="default" w:ascii="宋体"/>
          <w:bCs/>
          <w:sz w:val="24"/>
          <w:szCs w:val="28"/>
        </w:rPr>
      </w:pPr>
      <w:r>
        <w:rPr>
          <w:rFonts w:hint="eastAsia" w:ascii="宋体"/>
          <w:bCs/>
          <w:sz w:val="24"/>
          <w:szCs w:val="28"/>
          <w:lang w:eastAsia="zh-CN"/>
        </w:rPr>
        <w:t xml:space="preserve">中标人</w:t>
      </w:r>
      <w:r>
        <w:rPr>
          <w:rFonts w:hint="eastAsia" w:ascii="宋体"/>
          <w:bCs/>
          <w:sz w:val="24"/>
          <w:szCs w:val="28"/>
        </w:rPr>
        <w:t xml:space="preserve">需</w:t>
      </w:r>
      <w:r>
        <w:rPr>
          <w:rFonts w:hint="eastAsia" w:ascii="宋体"/>
          <w:sz w:val="24"/>
          <w:szCs w:val="28"/>
        </w:rPr>
        <w:t xml:space="preserve">对采购人指定的机房内相关的视频专网服务器、应用平台、视频分析、核心交换机等设备实施安全巡查、故障处置、有效运行、系统优化调试等工作；进行视频专网的网络路由、交换调整优化，IP地址规划管理，网络安全管理，安全防护，视频专网图像的接入推送、存储规划配置</w:t>
      </w:r>
      <w:r>
        <w:rPr>
          <w:rFonts w:hint="eastAsia" w:ascii="宋体"/>
          <w:bCs/>
          <w:sz w:val="24"/>
          <w:szCs w:val="28"/>
        </w:rPr>
        <w:t xml:space="preserve">。</w:t>
      </w:r>
      <w:r/>
    </w:p>
    <w:p>
      <w:pPr>
        <w:numPr>
          <w:ilvl w:val="2"/>
          <w:numId w:val="0"/>
        </w:numPr>
        <w:keepLines/>
        <w:keepNext/>
        <w:rPr>
          <w:rFonts w:ascii="宋体" w:hAnsi="Calibri Light" w:eastAsia="宋体" w:cs="Times New Roman"/>
          <w:b/>
          <w:bCs/>
          <w:sz w:val="32"/>
          <w:szCs w:val="32"/>
          <w:lang w:val="en-US" w:eastAsia="zh-CN" w:bidi="ar-SA"/>
        </w:rPr>
        <w:outlineLvl w:val="1"/>
      </w:pPr>
      <w:r>
        <w:rPr>
          <w:rFonts w:hint="eastAsia" w:ascii="宋体" w:hAnsi="Calibri Light" w:eastAsia="宋体" w:cs="Times New Roman"/>
          <w:b/>
          <w:bCs/>
          <w:sz w:val="32"/>
          <w:szCs w:val="32"/>
          <w:lang w:val="en-US" w:eastAsia="zh-CN" w:bidi="ar-SA"/>
        </w:rPr>
        <w:t xml:space="preserve">（二）维护内容</w:t>
      </w:r>
      <w:r/>
    </w:p>
    <w:p>
      <w:pPr>
        <w:ind w:firstLine="480"/>
        <w:spacing w:line="360" w:lineRule="auto"/>
        <w:rPr>
          <w:rFonts w:hint="default" w:ascii="宋体" w:eastAsia="宋体"/>
          <w:sz w:val="24"/>
          <w:szCs w:val="28"/>
        </w:rPr>
      </w:pPr>
      <w:r>
        <w:rPr>
          <w:rFonts w:hint="eastAsia" w:ascii="宋体" w:hAnsi="宋体" w:eastAsia="宋体" w:cs="宋体"/>
          <w:bCs/>
          <w:sz w:val="24"/>
          <w:szCs w:val="28"/>
        </w:rPr>
        <w:t xml:space="preserve">1、</w:t>
      </w:r>
      <w:r>
        <w:rPr>
          <w:rFonts w:hint="eastAsia" w:ascii="宋体" w:hAnsi="宋体" w:eastAsia="宋体" w:cs="宋体"/>
          <w:bCs/>
          <w:sz w:val="24"/>
          <w:szCs w:val="28"/>
          <w:lang w:eastAsia="zh-CN"/>
        </w:rPr>
        <w:t xml:space="preserve">中标人</w:t>
      </w:r>
      <w:r>
        <w:rPr>
          <w:rFonts w:hint="eastAsia" w:ascii="宋体" w:hAnsi="宋体" w:eastAsia="宋体" w:cs="宋体"/>
          <w:bCs/>
          <w:sz w:val="24"/>
          <w:szCs w:val="28"/>
        </w:rPr>
        <w:t xml:space="preserve">对维护范围内的</w:t>
      </w:r>
      <w:r>
        <w:rPr>
          <w:rFonts w:hint="eastAsia" w:ascii="宋体"/>
          <w:sz w:val="24"/>
          <w:szCs w:val="28"/>
        </w:rPr>
        <w:t xml:space="preserve">机房服务器、存储、电源等后端设备，</w:t>
      </w:r>
      <w:r>
        <w:rPr>
          <w:rFonts w:hint="eastAsia" w:ascii="宋体" w:hAnsi="宋体"/>
          <w:sz w:val="24"/>
          <w:szCs w:val="28"/>
        </w:rPr>
        <w:t xml:space="preserve">集成指挥管理平台、</w:t>
      </w:r>
      <w:r>
        <w:rPr>
          <w:rFonts w:hint="eastAsia" w:ascii="宋体"/>
          <w:sz w:val="24"/>
          <w:szCs w:val="28"/>
        </w:rPr>
        <w:t xml:space="preserve">非现场执法设备软件及相关辅助系统应用软件的维护、升级、优化、以及</w:t>
      </w:r>
      <w:r>
        <w:rPr>
          <w:rFonts w:hint="eastAsia" w:ascii="宋体" w:hAnsi="宋体" w:eastAsia="宋体" w:cs="宋体"/>
          <w:bCs/>
          <w:sz w:val="24"/>
          <w:szCs w:val="28"/>
        </w:rPr>
        <w:t xml:space="preserve">发生故障时（含效果优化、参数调整）进行维修。登录相关系统软件、检查功能及应用情况。</w:t>
      </w:r>
      <w:r/>
    </w:p>
    <w:p>
      <w:pPr>
        <w:ind w:firstLine="480"/>
        <w:spacing w:line="400" w:lineRule="exact"/>
        <w:rPr>
          <w:rFonts w:hint="default" w:ascii="宋体"/>
          <w:sz w:val="24"/>
          <w:szCs w:val="28"/>
        </w:rPr>
      </w:pPr>
      <w:r>
        <w:rPr>
          <w:rFonts w:hint="eastAsia" w:ascii="宋体" w:hAnsi="宋体"/>
          <w:sz w:val="24"/>
          <w:szCs w:val="28"/>
        </w:rPr>
        <w:t xml:space="preserve">2、协助对服务器硬件设备、操作系统、存储设备、非现场处罚类设备集成管理平台、非现场处罚证据录入平台、辅助应用软件以及各种链路和接口的故障进行诊断和排除</w:t>
      </w:r>
      <w:r>
        <w:rPr>
          <w:rFonts w:hint="eastAsia" w:ascii="宋体" w:hAnsi="宋体"/>
          <w:sz w:val="24"/>
          <w:szCs w:val="28"/>
          <w:lang w:eastAsia="zh-CN"/>
        </w:rPr>
        <w:t xml:space="preserve">。</w:t>
      </w:r>
      <w:r/>
    </w:p>
    <w:p>
      <w:pPr>
        <w:numPr>
          <w:ilvl w:val="2"/>
          <w:numId w:val="0"/>
        </w:numPr>
        <w:keepLines/>
        <w:keepNext/>
        <w:rPr>
          <w:rFonts w:ascii="宋体" w:hAnsi="Calibri Light" w:eastAsia="宋体" w:cs="Times New Roman"/>
          <w:b/>
          <w:bCs/>
          <w:sz w:val="32"/>
          <w:szCs w:val="32"/>
          <w:lang w:val="en-US" w:eastAsia="zh-CN" w:bidi="ar-SA"/>
        </w:rPr>
        <w:outlineLvl w:val="1"/>
      </w:pPr>
      <w:r>
        <w:rPr>
          <w:rFonts w:hint="eastAsia" w:ascii="宋体" w:hAnsi="Calibri Light" w:eastAsia="宋体" w:cs="Times New Roman"/>
          <w:b/>
          <w:bCs/>
          <w:sz w:val="32"/>
          <w:szCs w:val="32"/>
          <w:lang w:val="en-US" w:eastAsia="zh-CN" w:bidi="ar-SA"/>
        </w:rPr>
        <w:t xml:space="preserve">（三）维护要求</w:t>
      </w:r>
      <w:r/>
    </w:p>
    <w:p>
      <w:pPr>
        <w:ind w:firstLine="480"/>
        <w:spacing w:line="400" w:lineRule="exact"/>
        <w:rPr>
          <w:rFonts w:hint="eastAsia" w:ascii="宋体" w:hAnsi="宋体"/>
          <w:sz w:val="24"/>
          <w:szCs w:val="28"/>
        </w:rPr>
      </w:pPr>
      <w:r>
        <w:rPr>
          <w:rFonts w:hint="eastAsia" w:ascii="宋体" w:hAnsi="宋体"/>
          <w:sz w:val="24"/>
          <w:szCs w:val="28"/>
        </w:rPr>
        <w:t xml:space="preserve">1、对服务器设备、操作系统、存储设备、非现场处罚类设备集成管理平台、非现场处罚证据录入平台、辅助应用软件以及各种链路和接口的运行进行日常检查；</w:t>
      </w:r>
      <w:r/>
    </w:p>
    <w:p>
      <w:pPr>
        <w:ind w:firstLine="480"/>
        <w:spacing w:line="400" w:lineRule="exact"/>
        <w:rPr>
          <w:rFonts w:hint="eastAsia" w:ascii="宋体" w:hAnsi="宋体"/>
          <w:sz w:val="24"/>
          <w:szCs w:val="28"/>
        </w:rPr>
      </w:pPr>
      <w:r>
        <w:rPr>
          <w:rFonts w:hint="eastAsia" w:ascii="宋体" w:hAnsi="宋体"/>
          <w:sz w:val="24"/>
          <w:szCs w:val="28"/>
        </w:rPr>
        <w:t xml:space="preserve">2、按采购人需求提供对数据的查询、统计、分析和数据交换；</w:t>
      </w:r>
      <w:r/>
    </w:p>
    <w:p>
      <w:pPr>
        <w:ind w:firstLine="480"/>
        <w:spacing w:line="400" w:lineRule="exact"/>
        <w:rPr>
          <w:rFonts w:hint="eastAsia" w:ascii="宋体" w:hAnsi="宋体"/>
          <w:sz w:val="24"/>
          <w:szCs w:val="28"/>
        </w:rPr>
      </w:pPr>
      <w:r>
        <w:rPr>
          <w:rFonts w:hint="eastAsia" w:ascii="宋体" w:hAnsi="宋体"/>
          <w:sz w:val="24"/>
          <w:szCs w:val="28"/>
        </w:rPr>
        <w:t xml:space="preserve">3、投标人提供7×24小时响应服务，对于不影响采购人业务工作的一般性故障，投标人工程师将首先向业主提供故障热线电话支持服务或现场响应服务；对于已导致或影响业务工作不能正常进行的系统故障，投标人工作人员应在1小时内响应，提交故障解决措施，并协助完成故障的诊断和排除。</w:t>
      </w:r>
      <w:r/>
    </w:p>
    <w:p>
      <w:pPr>
        <w:ind w:firstLine="480"/>
        <w:spacing w:line="400" w:lineRule="exact"/>
        <w:rPr>
          <w:rFonts w:hint="eastAsia" w:ascii="宋体" w:hAnsi="宋体"/>
          <w:sz w:val="24"/>
          <w:szCs w:val="28"/>
        </w:rPr>
      </w:pPr>
      <w:r>
        <w:rPr>
          <w:rFonts w:hint="eastAsia" w:ascii="宋体" w:hAnsi="宋体"/>
          <w:sz w:val="24"/>
          <w:szCs w:val="28"/>
        </w:rPr>
        <w:t xml:space="preserve">4、投标人应根据业主要求和系统运行情况，向采购人提供有关系统使用管理、性能优化等方面的技术咨询。</w:t>
      </w:r>
      <w:r/>
    </w:p>
    <w:p>
      <w:pPr>
        <w:ind w:firstLine="480"/>
        <w:spacing w:line="400" w:lineRule="exact"/>
        <w:rPr>
          <w:rFonts w:hint="eastAsia" w:ascii="宋体" w:hAnsi="宋体"/>
          <w:sz w:val="24"/>
          <w:szCs w:val="28"/>
        </w:rPr>
      </w:pPr>
      <w:r>
        <w:rPr>
          <w:rFonts w:hint="eastAsia" w:ascii="宋体" w:hAnsi="宋体"/>
          <w:sz w:val="24"/>
          <w:szCs w:val="28"/>
        </w:rPr>
        <w:t xml:space="preserve">5、投标人提供7×24小时服务热线电话，在采购人发现系统故障或遇到疑难问题时给予立即响应。</w:t>
      </w:r>
      <w:r/>
    </w:p>
    <w:p>
      <w:pPr>
        <w:ind w:firstLine="480"/>
        <w:spacing w:line="360" w:lineRule="auto"/>
        <w:rPr>
          <w:rFonts w:hint="default" w:ascii="宋体"/>
          <w:sz w:val="24"/>
          <w:szCs w:val="28"/>
        </w:rPr>
      </w:pPr>
      <w:r>
        <w:rPr>
          <w:rFonts w:hint="default" w:ascii="宋体"/>
          <w:sz w:val="24"/>
          <w:szCs w:val="28"/>
        </w:rPr>
      </w:r>
      <w:r/>
    </w:p>
    <w:p>
      <w:pPr>
        <w:numPr>
          <w:ilvl w:val="0"/>
          <w:numId w:val="3"/>
        </w:numPr>
        <w:keepLines/>
        <w:keepNext/>
        <w:rPr>
          <w:rFonts w:ascii="宋体" w:hAnsi="Times New Roman" w:eastAsia="宋体" w:cs="Times New Roman"/>
          <w:b/>
          <w:bCs/>
          <w:sz w:val="32"/>
          <w:szCs w:val="44"/>
          <w:lang w:val="en-US" w:eastAsia="zh-CN" w:bidi="ar-SA"/>
        </w:rPr>
        <w:outlineLvl w:val="0"/>
      </w:pPr>
      <w:r/>
      <w:bookmarkStart w:id="17" w:name="_Toc7610"/>
      <w:r>
        <w:rPr>
          <w:rFonts w:hint="eastAsia" w:ascii="宋体" w:hAnsi="Times New Roman" w:eastAsia="宋体" w:cs="Times New Roman"/>
          <w:b/>
          <w:bCs/>
          <w:sz w:val="32"/>
          <w:szCs w:val="44"/>
          <w:lang w:val="en-US" w:eastAsia="zh-CN" w:bidi="ar-SA"/>
        </w:rPr>
        <w:t xml:space="preserve">信号调优</w:t>
      </w:r>
      <w:bookmarkEnd w:id="17"/>
      <w:r/>
      <w:r/>
    </w:p>
    <w:p>
      <w:pPr>
        <w:ind w:firstLine="480"/>
        <w:spacing w:line="360" w:lineRule="auto"/>
        <w:rPr>
          <w:rFonts w:hint="default" w:ascii="宋体"/>
          <w:sz w:val="24"/>
          <w:szCs w:val="28"/>
        </w:rPr>
      </w:pPr>
      <w:r>
        <w:rPr>
          <w:rFonts w:hint="eastAsia" w:ascii="宋体"/>
          <w:bCs/>
          <w:sz w:val="24"/>
          <w:szCs w:val="28"/>
        </w:rPr>
        <w:t xml:space="preserve">根据《全省城市道路交通信号灯设置和配时优化工作方案》（苏公交[2020]155号）精神，制订本项目。</w:t>
      </w:r>
      <w:r/>
    </w:p>
    <w:p>
      <w:pPr>
        <w:ind w:firstLine="0"/>
        <w:jc w:val="both"/>
        <w:spacing w:line="360" w:lineRule="auto"/>
        <w:widowControl w:val="off"/>
        <w:rPr>
          <w:rFonts w:ascii="宋体" w:hAnsi="Times New Roman" w:eastAsia="宋体" w:cs="Times New Roman"/>
          <w:sz w:val="24"/>
          <w:szCs w:val="20"/>
          <w:lang w:val="en-US" w:eastAsia="zh-CN" w:bidi="ar-SA"/>
        </w:rPr>
        <w:outlineLvl w:val="1"/>
      </w:pPr>
      <w:r>
        <w:rPr>
          <w:rFonts w:hint="eastAsia" w:ascii="宋体" w:hAnsi="Times New Roman" w:eastAsia="宋体" w:cs="Times New Roman"/>
          <w:b/>
          <w:bCs/>
          <w:sz w:val="32"/>
          <w:szCs w:val="32"/>
          <w:lang w:val="en-US" w:eastAsia="zh-CN" w:bidi="ar-SA"/>
        </w:rPr>
        <w:t xml:space="preserve">（一）服务范围</w:t>
      </w:r>
      <w:r/>
    </w:p>
    <w:p>
      <w:pPr>
        <w:ind w:firstLine="480"/>
        <w:spacing w:line="360" w:lineRule="auto"/>
        <w:rPr>
          <w:rFonts w:hint="default" w:ascii="宋体"/>
          <w:sz w:val="24"/>
          <w:szCs w:val="28"/>
        </w:rPr>
      </w:pPr>
      <w:r>
        <w:rPr>
          <w:rFonts w:hint="eastAsia" w:ascii="宋体"/>
          <w:sz w:val="24"/>
          <w:szCs w:val="28"/>
        </w:rPr>
        <w:t xml:space="preserve">收集沛县交通信号灯控路口基础信息（信息包括交叉口渠化情况、车道分配情况、检测器、灯具类型、人行横道宽度、路口设施配置等）及运行方案（主要包括信号控制类型、相位、相序、配时方案等），建立档案。</w:t>
      </w:r>
      <w:r/>
    </w:p>
    <w:p>
      <w:pPr>
        <w:ind w:firstLine="0"/>
        <w:jc w:val="both"/>
        <w:spacing w:line="360" w:lineRule="auto"/>
        <w:widowControl w:val="off"/>
        <w:rPr>
          <w:rFonts w:ascii="宋体" w:hAnsi="Times New Roman" w:eastAsia="宋体" w:cs="Times New Roman"/>
          <w:b/>
          <w:bCs/>
          <w:sz w:val="32"/>
          <w:szCs w:val="32"/>
          <w:lang w:val="en-US" w:eastAsia="zh-CN" w:bidi="ar-SA"/>
        </w:rPr>
        <w:outlineLvl w:val="1"/>
      </w:pPr>
      <w:r>
        <w:rPr>
          <w:rFonts w:hint="eastAsia" w:ascii="宋体" w:hAnsi="Times New Roman" w:eastAsia="宋体" w:cs="Times New Roman"/>
          <w:b/>
          <w:bCs/>
          <w:sz w:val="32"/>
          <w:szCs w:val="32"/>
          <w:lang w:val="en-US" w:eastAsia="zh-CN" w:bidi="ar-SA"/>
        </w:rPr>
        <w:t xml:space="preserve">（二）服务内容</w:t>
      </w:r>
      <w:r/>
    </w:p>
    <w:p>
      <w:pPr>
        <w:ind w:firstLine="480"/>
        <w:spacing w:line="360" w:lineRule="auto"/>
        <w:rPr>
          <w:rFonts w:hint="default" w:ascii="宋体"/>
          <w:sz w:val="24"/>
          <w:szCs w:val="28"/>
        </w:rPr>
      </w:pPr>
      <w:r>
        <w:rPr>
          <w:rFonts w:hint="eastAsia" w:ascii="宋体"/>
          <w:sz w:val="24"/>
          <w:szCs w:val="28"/>
        </w:rPr>
        <w:t xml:space="preserve">1、交通信号</w:t>
      </w:r>
      <w:r>
        <w:rPr>
          <w:rFonts w:hint="eastAsia" w:ascii="宋体"/>
          <w:sz w:val="24"/>
          <w:szCs w:val="28"/>
          <w:lang w:val="en-US" w:eastAsia="zh-CN"/>
        </w:rPr>
        <w:t xml:space="preserve">配时</w:t>
      </w:r>
      <w:r>
        <w:rPr>
          <w:rFonts w:hint="eastAsia" w:ascii="宋体"/>
          <w:sz w:val="24"/>
          <w:szCs w:val="28"/>
        </w:rPr>
        <w:t xml:space="preserve">优化服务</w:t>
      </w:r>
      <w:r/>
    </w:p>
    <w:p>
      <w:pPr>
        <w:ind w:firstLine="480"/>
        <w:spacing w:line="360" w:lineRule="auto"/>
        <w:rPr>
          <w:rFonts w:hint="default" w:ascii="宋体"/>
          <w:sz w:val="24"/>
          <w:szCs w:val="28"/>
        </w:rPr>
      </w:pPr>
      <w:r>
        <w:rPr>
          <w:rFonts w:hint="eastAsia" w:ascii="宋体"/>
          <w:sz w:val="24"/>
          <w:szCs w:val="28"/>
        </w:rPr>
        <w:t xml:space="preserve">交通信号配时优化及调整通过现场巡查、系统巡查、视频巡查、舆情收集、问卷调查等方式，及时发现、处置信号灯配时不合理、信号灯设置与交通标志标线矛盾、与交通组织不匹配等问题，优化、调整信号配时方案，并对优化效果进行跟踪。信号配时优化及调整分为单交叉口配时优化、路段绿波协调优化、重点路口信号配时优化、区域交通控制优化。</w:t>
      </w:r>
      <w:r/>
    </w:p>
    <w:p>
      <w:pPr>
        <w:ind w:firstLine="480"/>
        <w:spacing w:line="360" w:lineRule="auto"/>
        <w:rPr>
          <w:rFonts w:hint="default" w:ascii="宋体"/>
          <w:sz w:val="24"/>
          <w:szCs w:val="28"/>
        </w:rPr>
      </w:pPr>
      <w:r>
        <w:rPr>
          <w:rFonts w:hint="eastAsia" w:ascii="宋体"/>
          <w:sz w:val="24"/>
          <w:szCs w:val="28"/>
        </w:rPr>
        <w:t xml:space="preserve">路口基础资料全面采集、信息化建档和滚动更新等基础工作，当前交通状态的评价：从多个方面对路口的交通状态进行综合评价；路段基础资料全面采集、信息化建档和滚动更新等基础工作，当前路段交通状态的评价：行程时间、停车次数、控制方案。对路口或路段制定针对性的改进方案，并通过技术评审，实施、优化，达到预定的目标，并对实施后的改善效果进行评价、对比，形成分析报告；每次方案建立完善的档案管理体系，定期对优化过程中形成的文件进行归档整理、备份。</w:t>
      </w:r>
      <w:r/>
    </w:p>
    <w:p>
      <w:pPr>
        <w:ind w:firstLine="480"/>
        <w:spacing w:line="360" w:lineRule="auto"/>
        <w:rPr>
          <w:rFonts w:hint="default" w:ascii="宋体"/>
          <w:sz w:val="24"/>
          <w:szCs w:val="28"/>
        </w:rPr>
      </w:pPr>
      <w:r>
        <w:rPr>
          <w:rFonts w:hint="eastAsia" w:ascii="宋体"/>
          <w:sz w:val="24"/>
          <w:szCs w:val="28"/>
        </w:rPr>
        <w:t xml:space="preserve">对日常巡查中发现的不合理路口，道路施工、修缮等引起的交通组织发生变化的路口，以及市民、媒体等反映的问题路口，进行必要的补充调查，并根据实际情况对路口信号控制方案进行优化。主要工作包括现状调查、配时方案设计、仿真分析及优化、实施、跟踪、再优化等。</w:t>
      </w:r>
      <w:r/>
    </w:p>
    <w:p>
      <w:pPr>
        <w:ind w:firstLine="480"/>
        <w:spacing w:line="360" w:lineRule="auto"/>
        <w:rPr>
          <w:rFonts w:hint="default" w:ascii="宋体"/>
          <w:sz w:val="24"/>
          <w:szCs w:val="28"/>
        </w:rPr>
      </w:pPr>
      <w:r>
        <w:rPr>
          <w:rFonts w:hint="eastAsia" w:ascii="宋体"/>
          <w:sz w:val="24"/>
          <w:szCs w:val="28"/>
        </w:rPr>
        <w:t xml:space="preserve">重点路口信号配时方案优化需采集优化前后各流向流量、排队长度变化情况，并形成专项分析报告报招标方备档。</w:t>
      </w:r>
      <w:r/>
    </w:p>
    <w:p>
      <w:pPr>
        <w:ind w:firstLine="480"/>
        <w:spacing w:line="360" w:lineRule="auto"/>
        <w:rPr>
          <w:rFonts w:hint="default" w:ascii="宋体"/>
          <w:sz w:val="24"/>
          <w:szCs w:val="28"/>
        </w:rPr>
      </w:pPr>
      <w:r>
        <w:rPr>
          <w:rFonts w:hint="eastAsia" w:ascii="宋体"/>
          <w:sz w:val="24"/>
          <w:szCs w:val="28"/>
        </w:rPr>
        <w:t xml:space="preserve">2、交通组织设计服务</w:t>
      </w:r>
      <w:r/>
    </w:p>
    <w:p>
      <w:pPr>
        <w:ind w:firstLine="480"/>
        <w:spacing w:line="360" w:lineRule="auto"/>
        <w:rPr>
          <w:rFonts w:hint="default" w:ascii="宋体"/>
          <w:sz w:val="24"/>
          <w:szCs w:val="28"/>
        </w:rPr>
      </w:pPr>
      <w:r>
        <w:rPr>
          <w:rFonts w:hint="eastAsia" w:ascii="宋体"/>
          <w:sz w:val="24"/>
          <w:szCs w:val="28"/>
        </w:rPr>
        <w:t xml:space="preserve">根据信号配时优化需到的实际交通问题，选取交通关键节点路口，开展信号主导下的新技术交通组织设计工作，充分利用时空资源深度挖掘等多元交通组织技术，同时，配合改造的方案公示宣传、实施后的运行效果宣传以及技术科普宣传等手段，让交通参与者能够更快的了解、应用潮汐车道、可变车道、借道通行、交替通行等多种先进交通组织措施，深入挖掘时空资源，减少交叉口交通冲突，保障交通安全。</w:t>
      </w:r>
      <w:r/>
    </w:p>
    <w:p>
      <w:pPr>
        <w:ind w:firstLine="0"/>
        <w:jc w:val="both"/>
        <w:spacing w:line="360" w:lineRule="auto"/>
        <w:widowControl w:val="off"/>
        <w:rPr>
          <w:rFonts w:ascii="宋体" w:hAnsi="Times New Roman" w:eastAsia="宋体" w:cs="Times New Roman"/>
          <w:b/>
          <w:bCs/>
          <w:sz w:val="32"/>
          <w:szCs w:val="32"/>
          <w:lang w:val="en-US" w:eastAsia="zh-CN" w:bidi="ar-SA"/>
        </w:rPr>
        <w:outlineLvl w:val="1"/>
      </w:pPr>
      <w:r>
        <w:rPr>
          <w:rFonts w:hint="eastAsia" w:ascii="宋体" w:hAnsi="Times New Roman" w:eastAsia="宋体" w:cs="Times New Roman"/>
          <w:b/>
          <w:bCs/>
          <w:sz w:val="32"/>
          <w:szCs w:val="32"/>
          <w:lang w:val="en-US" w:eastAsia="zh-CN" w:bidi="ar-SA"/>
        </w:rPr>
        <w:t xml:space="preserve">（三）服务要求</w:t>
      </w:r>
      <w:r/>
    </w:p>
    <w:p>
      <w:pPr>
        <w:ind w:firstLine="480"/>
        <w:spacing w:line="360" w:lineRule="auto"/>
        <w:rPr>
          <w:rFonts w:hint="eastAsia" w:ascii="宋体" w:eastAsia="宋体"/>
          <w:sz w:val="24"/>
          <w:szCs w:val="28"/>
          <w:lang w:val="en-US" w:eastAsia="zh-CN"/>
        </w:rPr>
      </w:pPr>
      <w:r>
        <w:rPr>
          <w:rFonts w:hint="eastAsia" w:ascii="宋体"/>
          <w:sz w:val="24"/>
          <w:szCs w:val="28"/>
        </w:rPr>
        <w:t xml:space="preserve">1、交通信号配时优化</w:t>
      </w:r>
      <w:r>
        <w:rPr>
          <w:rFonts w:hint="eastAsia" w:ascii="宋体"/>
          <w:sz w:val="24"/>
          <w:szCs w:val="28"/>
          <w:lang w:val="en-US" w:eastAsia="zh-CN"/>
        </w:rPr>
        <w:t xml:space="preserve">服务</w:t>
      </w:r>
      <w:r/>
    </w:p>
    <w:p>
      <w:pPr>
        <w:ind w:firstLine="480"/>
        <w:spacing w:line="360" w:lineRule="auto"/>
        <w:rPr>
          <w:rFonts w:hint="default" w:ascii="宋体"/>
          <w:sz w:val="24"/>
          <w:szCs w:val="28"/>
        </w:rPr>
      </w:pPr>
      <w:r>
        <w:rPr>
          <w:rFonts w:hint="eastAsia" w:ascii="宋体"/>
          <w:sz w:val="24"/>
          <w:szCs w:val="28"/>
        </w:rPr>
        <w:t xml:space="preserve">（1）单路口配时，信号灯配时应与流量相匹配，拥堵路口排队次数（除特殊情况外）不得超过两次，单路口方案数不少于五时段三方案；</w:t>
      </w:r>
      <w:r/>
    </w:p>
    <w:p>
      <w:pPr>
        <w:ind w:firstLine="480"/>
        <w:spacing w:line="360" w:lineRule="auto"/>
        <w:rPr>
          <w:rFonts w:hint="default" w:ascii="宋体"/>
          <w:sz w:val="24"/>
          <w:szCs w:val="28"/>
        </w:rPr>
      </w:pPr>
      <w:r>
        <w:rPr>
          <w:rFonts w:hint="eastAsia" w:ascii="宋体"/>
          <w:sz w:val="24"/>
          <w:szCs w:val="28"/>
        </w:rPr>
        <w:t xml:space="preserve">（2）信号灯放行方式规范化整改（按国标）；</w:t>
      </w:r>
      <w:r/>
    </w:p>
    <w:p>
      <w:pPr>
        <w:ind w:firstLine="480"/>
        <w:spacing w:line="360" w:lineRule="auto"/>
        <w:rPr>
          <w:rFonts w:hint="default" w:ascii="宋体"/>
          <w:sz w:val="24"/>
          <w:szCs w:val="28"/>
        </w:rPr>
      </w:pPr>
      <w:r>
        <w:rPr>
          <w:rFonts w:hint="eastAsia" w:ascii="宋体"/>
          <w:sz w:val="24"/>
          <w:szCs w:val="28"/>
        </w:rPr>
        <w:t xml:space="preserve">（3）交通优化策略设计，每条路，每片区域；</w:t>
      </w:r>
      <w:r/>
    </w:p>
    <w:p>
      <w:pPr>
        <w:ind w:firstLine="480"/>
        <w:spacing w:line="360" w:lineRule="auto"/>
        <w:rPr>
          <w:rFonts w:hint="default" w:ascii="宋体"/>
          <w:sz w:val="24"/>
          <w:szCs w:val="28"/>
        </w:rPr>
      </w:pPr>
      <w:r>
        <w:rPr>
          <w:rFonts w:hint="eastAsia" w:ascii="宋体"/>
          <w:sz w:val="24"/>
          <w:szCs w:val="28"/>
        </w:rPr>
        <w:t xml:space="preserve">（4）绿波方案，提供绿波方案设计，包括前期调研、方案设计、效果优化等内容，并提供优化报告。主干道覆盖率不低于90%，其他路段覆盖率不低于70%。</w:t>
      </w:r>
      <w:r/>
    </w:p>
    <w:p>
      <w:pPr>
        <w:ind w:firstLine="480"/>
        <w:spacing w:line="360" w:lineRule="auto"/>
        <w:rPr>
          <w:rFonts w:hint="eastAsia" w:ascii="宋体" w:eastAsia="宋体"/>
          <w:sz w:val="24"/>
          <w:szCs w:val="28"/>
          <w:lang w:val="en-US" w:eastAsia="zh-CN"/>
        </w:rPr>
      </w:pPr>
      <w:r>
        <w:rPr>
          <w:rFonts w:hint="eastAsia" w:ascii="宋体"/>
          <w:sz w:val="24"/>
          <w:szCs w:val="28"/>
        </w:rPr>
        <w:t xml:space="preserve">2、路口日常运行巡查</w:t>
      </w:r>
      <w:r>
        <w:rPr>
          <w:rFonts w:hint="eastAsia" w:ascii="宋体"/>
          <w:sz w:val="24"/>
          <w:szCs w:val="28"/>
          <w:lang w:val="en-US" w:eastAsia="zh-CN"/>
        </w:rPr>
        <w:t xml:space="preserve">服务</w:t>
      </w:r>
      <w:r/>
    </w:p>
    <w:p>
      <w:pPr>
        <w:ind w:firstLine="480"/>
        <w:spacing w:line="360" w:lineRule="auto"/>
        <w:rPr>
          <w:rFonts w:hint="default" w:ascii="宋体"/>
          <w:sz w:val="24"/>
          <w:szCs w:val="28"/>
        </w:rPr>
      </w:pPr>
      <w:r>
        <w:rPr>
          <w:rFonts w:hint="eastAsia" w:ascii="宋体"/>
          <w:sz w:val="24"/>
          <w:szCs w:val="28"/>
        </w:rPr>
        <w:t xml:space="preserve">在不能通过信号配时或交通组织解决交通问题时，能够提供利用信号配时和交通安全设备设施组合应用的设计方案，如利用诱导屏、非机动车信号灯、交通检测器、行人触摸按钮等设备来辅助优化。</w:t>
      </w:r>
      <w:r/>
    </w:p>
    <w:p>
      <w:pPr>
        <w:ind w:firstLine="480"/>
        <w:spacing w:line="360" w:lineRule="auto"/>
        <w:rPr>
          <w:rFonts w:hint="eastAsia" w:ascii="宋体" w:eastAsia="宋体"/>
          <w:sz w:val="24"/>
          <w:szCs w:val="28"/>
          <w:lang w:val="en-US" w:eastAsia="zh-CN"/>
        </w:rPr>
      </w:pPr>
      <w:r>
        <w:rPr>
          <w:rFonts w:hint="eastAsia" w:ascii="宋体"/>
          <w:sz w:val="24"/>
          <w:szCs w:val="28"/>
        </w:rPr>
        <w:t xml:space="preserve">3、交通信号运行状况巡查</w:t>
      </w:r>
      <w:r>
        <w:rPr>
          <w:rFonts w:hint="eastAsia" w:ascii="宋体"/>
          <w:sz w:val="24"/>
          <w:szCs w:val="28"/>
          <w:lang w:val="en-US" w:eastAsia="zh-CN"/>
        </w:rPr>
        <w:t xml:space="preserve">服务</w:t>
      </w:r>
      <w:r/>
    </w:p>
    <w:p>
      <w:pPr>
        <w:ind w:firstLine="480"/>
        <w:spacing w:line="360" w:lineRule="auto"/>
        <w:rPr>
          <w:rFonts w:hint="default" w:ascii="宋体"/>
          <w:sz w:val="24"/>
          <w:szCs w:val="28"/>
        </w:rPr>
      </w:pPr>
      <w:r>
        <w:rPr>
          <w:rFonts w:hint="eastAsia" w:ascii="宋体"/>
          <w:sz w:val="24"/>
          <w:szCs w:val="28"/>
        </w:rPr>
        <w:t xml:space="preserve">为提高对信号控制系统运行状态的动态把握和快速反应，需定期对所有路口进行巡查，及时发现责任区域内信号配时存在的问题，为信号配时参数优化调整提供依据。</w:t>
      </w:r>
      <w:r/>
    </w:p>
    <w:p>
      <w:pPr>
        <w:ind w:firstLine="480"/>
        <w:spacing w:line="360" w:lineRule="auto"/>
        <w:rPr>
          <w:rFonts w:hint="eastAsia" w:ascii="宋体" w:eastAsia="宋体"/>
          <w:sz w:val="24"/>
          <w:szCs w:val="28"/>
          <w:lang w:val="en-US" w:eastAsia="zh-CN"/>
        </w:rPr>
      </w:pPr>
      <w:r>
        <w:rPr>
          <w:rFonts w:hint="eastAsia" w:ascii="宋体"/>
          <w:sz w:val="24"/>
          <w:szCs w:val="28"/>
        </w:rPr>
        <w:t xml:space="preserve">4、优化方案</w:t>
      </w:r>
      <w:r>
        <w:rPr>
          <w:rFonts w:hint="eastAsia" w:ascii="宋体"/>
          <w:sz w:val="24"/>
          <w:szCs w:val="28"/>
          <w:lang w:val="en-US" w:eastAsia="zh-CN"/>
        </w:rPr>
        <w:t xml:space="preserve">服务</w:t>
      </w:r>
      <w:r/>
    </w:p>
    <w:p>
      <w:pPr>
        <w:ind w:firstLine="480"/>
        <w:spacing w:line="360" w:lineRule="auto"/>
        <w:rPr>
          <w:rFonts w:hint="default" w:ascii="宋体"/>
          <w:sz w:val="24"/>
          <w:szCs w:val="28"/>
        </w:rPr>
      </w:pPr>
      <w:r>
        <w:rPr>
          <w:rFonts w:hint="eastAsia" w:ascii="宋体"/>
          <w:sz w:val="24"/>
          <w:szCs w:val="28"/>
        </w:rPr>
        <w:t xml:space="preserve">对日常巡查中发现的不合理路口，道路施工、修缮等引起的交通组织发生变化的路口，以及市民、媒体等反映的问题路口，进行必要的补充调查，并根据实际情况对路口信号控制方案进行优化。对交通信号实现精准控制，开展撤灯熄屏、简化相位、缩短周期措施优化夜间、流量较小时段信号控制。主要工作包括现状调查、配时方案设计、仿真分析及优化、实施、跟踪、再优化等。</w:t>
      </w:r>
      <w:r/>
    </w:p>
    <w:p>
      <w:pPr>
        <w:ind w:firstLine="480"/>
        <w:spacing w:line="360" w:lineRule="auto"/>
        <w:rPr>
          <w:rFonts w:hint="eastAsia" w:ascii="宋体" w:eastAsia="宋体"/>
          <w:sz w:val="24"/>
          <w:szCs w:val="28"/>
          <w:lang w:eastAsia="zh-CN"/>
        </w:rPr>
      </w:pPr>
      <w:r>
        <w:rPr>
          <w:rFonts w:hint="eastAsia" w:ascii="宋体"/>
          <w:sz w:val="24"/>
          <w:szCs w:val="28"/>
        </w:rPr>
        <w:t xml:space="preserve">5、信号优化其他</w:t>
      </w:r>
      <w:r>
        <w:rPr>
          <w:rFonts w:hint="eastAsia" w:ascii="宋体"/>
          <w:sz w:val="24"/>
          <w:szCs w:val="28"/>
          <w:lang w:val="en-US" w:eastAsia="zh-CN"/>
        </w:rPr>
        <w:t xml:space="preserve">服务</w:t>
      </w:r>
      <w:r/>
    </w:p>
    <w:p>
      <w:pPr>
        <w:ind w:firstLine="480"/>
        <w:spacing w:line="360" w:lineRule="auto"/>
        <w:rPr>
          <w:rFonts w:hint="default" w:ascii="宋体"/>
          <w:sz w:val="24"/>
          <w:szCs w:val="28"/>
        </w:rPr>
      </w:pPr>
      <w:r>
        <w:rPr>
          <w:rFonts w:hint="eastAsia" w:ascii="宋体"/>
          <w:sz w:val="24"/>
          <w:szCs w:val="28"/>
        </w:rPr>
        <w:t xml:space="preserve">（1）信号配时可根据路口需求及时调整，相位更改需报招标方批准，并现场观察确保路口运行正常、合理；</w:t>
      </w:r>
      <w:r/>
    </w:p>
    <w:p>
      <w:pPr>
        <w:ind w:firstLine="480"/>
        <w:spacing w:line="360" w:lineRule="auto"/>
        <w:rPr>
          <w:rFonts w:hint="default" w:ascii="宋体"/>
          <w:sz w:val="24"/>
          <w:szCs w:val="28"/>
        </w:rPr>
      </w:pPr>
      <w:r>
        <w:rPr>
          <w:rFonts w:hint="eastAsia" w:ascii="宋体"/>
          <w:sz w:val="24"/>
          <w:szCs w:val="28"/>
        </w:rPr>
        <w:t xml:space="preserve">（2）重点路口信号配时方案优化需采集优化前后各流向流量、排队长度变化情况，并形成专项分析报告报招标方备档；</w:t>
      </w:r>
      <w:r/>
    </w:p>
    <w:p>
      <w:pPr>
        <w:ind w:firstLine="480"/>
        <w:spacing w:line="360" w:lineRule="auto"/>
        <w:rPr>
          <w:rFonts w:hint="default" w:ascii="宋体"/>
          <w:sz w:val="24"/>
          <w:szCs w:val="28"/>
        </w:rPr>
      </w:pPr>
      <w:r>
        <w:rPr>
          <w:rFonts w:hint="eastAsia" w:ascii="宋体"/>
          <w:sz w:val="24"/>
          <w:szCs w:val="28"/>
        </w:rPr>
        <w:t xml:space="preserve">（3）每周一提交上周信号配时优化小结报告。报告内容需含上周配时优化概况、交办任务、路口主要优化情况以及下周工作计划，内容尽量简洁，格式规范统一。</w:t>
      </w:r>
      <w:r/>
    </w:p>
    <w:p>
      <w:pPr>
        <w:ind w:firstLine="480"/>
        <w:spacing w:line="360" w:lineRule="auto"/>
        <w:rPr>
          <w:rFonts w:hint="default" w:ascii="宋体"/>
          <w:sz w:val="24"/>
          <w:szCs w:val="28"/>
        </w:rPr>
      </w:pPr>
      <w:r>
        <w:rPr>
          <w:rFonts w:hint="eastAsia" w:ascii="宋体"/>
          <w:sz w:val="24"/>
          <w:szCs w:val="28"/>
        </w:rPr>
        <w:t xml:space="preserve">（4）每月提交上月度信号配时优化小结报告。报告内容需含上月配时优化概况、交办任务及计划完成情况、路口主要优化情况以及本月工作计划，报告以图表为主，内容尽量简洁，格式规范统一。</w:t>
      </w:r>
      <w:r/>
    </w:p>
    <w:p>
      <w:pPr>
        <w:ind w:firstLine="480"/>
        <w:spacing w:line="360" w:lineRule="auto"/>
        <w:rPr>
          <w:rFonts w:hint="eastAsia" w:ascii="宋体" w:eastAsia="宋体"/>
          <w:sz w:val="24"/>
          <w:szCs w:val="28"/>
          <w:lang w:val="en-US" w:eastAsia="zh-CN"/>
        </w:rPr>
      </w:pPr>
      <w:r>
        <w:rPr>
          <w:rFonts w:hint="eastAsia" w:ascii="宋体"/>
          <w:sz w:val="24"/>
          <w:szCs w:val="28"/>
        </w:rPr>
        <w:t xml:space="preserve">6、交通组织方案设计</w:t>
      </w:r>
      <w:r>
        <w:rPr>
          <w:rFonts w:hint="eastAsia" w:ascii="宋体"/>
          <w:sz w:val="24"/>
          <w:szCs w:val="28"/>
          <w:lang w:val="en-US" w:eastAsia="zh-CN"/>
        </w:rPr>
        <w:t xml:space="preserve">服务</w:t>
      </w:r>
      <w:r/>
    </w:p>
    <w:p>
      <w:pPr>
        <w:ind w:firstLine="480"/>
        <w:spacing w:line="360" w:lineRule="auto"/>
        <w:rPr>
          <w:rFonts w:hint="default" w:ascii="宋体"/>
          <w:sz w:val="24"/>
          <w:szCs w:val="28"/>
        </w:rPr>
      </w:pPr>
      <w:r>
        <w:rPr>
          <w:rFonts w:hint="eastAsia" w:ascii="宋体"/>
          <w:sz w:val="24"/>
          <w:szCs w:val="28"/>
        </w:rPr>
        <w:t xml:space="preserve">（1）交通组织优化提升示范设计必须在详实的交通调查基础上进行，需调研各时段的方向流量，方案必须切合实地实际。</w:t>
      </w:r>
      <w:r/>
    </w:p>
    <w:p>
      <w:pPr>
        <w:ind w:firstLine="480"/>
        <w:spacing w:line="360" w:lineRule="auto"/>
        <w:rPr>
          <w:rFonts w:hint="default" w:ascii="宋体"/>
          <w:sz w:val="24"/>
          <w:szCs w:val="28"/>
        </w:rPr>
      </w:pPr>
      <w:r>
        <w:rPr>
          <w:rFonts w:hint="eastAsia" w:ascii="宋体"/>
          <w:sz w:val="24"/>
          <w:szCs w:val="28"/>
        </w:rPr>
        <w:t xml:space="preserve">（2）交通组织优化提升示范设计必须包含交通标志设计方案，实现禁停、减速、让行、出入口等交通标志的连续性。</w:t>
      </w:r>
      <w:r/>
    </w:p>
    <w:p>
      <w:pPr>
        <w:ind w:firstLine="480"/>
        <w:spacing w:line="360" w:lineRule="auto"/>
        <w:rPr>
          <w:rFonts w:hint="eastAsia" w:ascii="宋体"/>
          <w:sz w:val="24"/>
          <w:szCs w:val="28"/>
        </w:rPr>
      </w:pPr>
      <w:r>
        <w:rPr>
          <w:rFonts w:hint="eastAsia" w:ascii="宋体"/>
          <w:sz w:val="24"/>
          <w:szCs w:val="28"/>
        </w:rPr>
        <w:t xml:space="preserve">（3）交通组织优化提升示范设计必须包含重要交叉口的交通组织改造设计方案，交通组织改造设计方案应至少包含标准方案、实用方案、动土方案的一种或几种，必须能够有效解决原交叉口的交通问题。</w:t>
      </w:r>
      <w:r/>
    </w:p>
    <w:p>
      <w:pPr>
        <w:ind w:left="0" w:firstLine="480"/>
        <w:jc w:val="both"/>
        <w:spacing w:after="0" w:line="360" w:lineRule="auto"/>
        <w:widowControl w:val="off"/>
        <w:rPr>
          <w:rFonts w:ascii="宋体" w:hAnsi="宋体" w:eastAsia="宋体" w:cs="Times New Roman"/>
          <w:sz w:val="24"/>
          <w:szCs w:val="28"/>
          <w:lang w:val="en-US" w:eastAsia="zh-CN" w:bidi="ar-SA"/>
        </w:rPr>
      </w:pPr>
      <w:r>
        <w:rPr>
          <w:rFonts w:ascii="宋体" w:hAnsi="宋体" w:eastAsia="宋体" w:cs="Times New Roman"/>
          <w:sz w:val="24"/>
          <w:szCs w:val="28"/>
          <w:lang w:val="en-US" w:eastAsia="zh-CN" w:bidi="ar-SA"/>
        </w:rPr>
      </w:r>
      <w:r/>
    </w:p>
    <w:p>
      <w:pPr>
        <w:numPr>
          <w:ilvl w:val="0"/>
          <w:numId w:val="3"/>
        </w:numPr>
        <w:keepLines/>
        <w:keepNext/>
        <w:rPr>
          <w:rFonts w:ascii="宋体" w:hAnsi="Times New Roman" w:eastAsia="宋体" w:cs="Times New Roman"/>
          <w:b/>
          <w:bCs/>
          <w:sz w:val="32"/>
          <w:szCs w:val="44"/>
          <w:lang w:val="en-US" w:eastAsia="zh-CN" w:bidi="ar-SA"/>
        </w:rPr>
        <w:outlineLvl w:val="0"/>
      </w:pPr>
      <w:r/>
      <w:bookmarkStart w:id="18" w:name="_Toc6523"/>
      <w:r>
        <w:rPr>
          <w:rFonts w:hint="eastAsia" w:ascii="宋体" w:hAnsi="Times New Roman" w:eastAsia="宋体" w:cs="Times New Roman"/>
          <w:b/>
          <w:bCs/>
          <w:sz w:val="32"/>
          <w:szCs w:val="44"/>
          <w:lang w:val="en-US" w:eastAsia="zh-CN" w:bidi="ar-SA"/>
        </w:rPr>
        <w:t xml:space="preserve">维保金额组成及结算</w:t>
      </w:r>
      <w:bookmarkEnd w:id="18"/>
      <w:r/>
      <w:r/>
    </w:p>
    <w:p>
      <w:pPr>
        <w:ind w:firstLine="480"/>
        <w:jc w:val="both"/>
        <w:spacing w:line="360" w:lineRule="auto"/>
        <w:widowControl w:val="off"/>
        <w:rPr>
          <w:rFonts w:hint="eastAsia" w:ascii="宋体" w:hAnsi="Courier New" w:eastAsia="宋体" w:cs="Times New Roman"/>
          <w:sz w:val="24"/>
          <w:szCs w:val="20"/>
          <w:highlight w:val="none"/>
          <w:lang w:val="en-US" w:eastAsia="zh-CN" w:bidi="ar-SA"/>
        </w:rPr>
        <w:outlineLvl w:val="1"/>
      </w:pPr>
      <w:r>
        <w:rPr>
          <w:rFonts w:hint="eastAsia" w:ascii="宋体" w:hAnsi="Courier New" w:eastAsia="宋体" w:cs="Times New Roman"/>
          <w:sz w:val="24"/>
          <w:szCs w:val="20"/>
          <w:highlight w:val="none"/>
          <w:lang w:val="en-US" w:eastAsia="zh-CN" w:bidi="ar-SA"/>
        </w:rPr>
        <w:t xml:space="preserve">（一）维保金额组成</w:t>
      </w:r>
      <w:r/>
    </w:p>
    <w:p>
      <w:pPr>
        <w:ind w:firstLine="480"/>
        <w:spacing w:line="360" w:lineRule="auto"/>
        <w:rPr>
          <w:rFonts w:hint="default" w:ascii="宋体"/>
          <w:sz w:val="24"/>
          <w:szCs w:val="28"/>
          <w:lang w:val="zh-CN"/>
        </w:rPr>
      </w:pPr>
      <w:r>
        <w:rPr>
          <w:rFonts w:hint="eastAsia" w:ascii="宋体"/>
          <w:sz w:val="24"/>
          <w:szCs w:val="28"/>
          <w:lang w:val="en-US" w:eastAsia="zh-CN"/>
        </w:rPr>
        <w:t xml:space="preserve">1、</w:t>
      </w:r>
      <w:r>
        <w:rPr>
          <w:rFonts w:hint="eastAsia" w:ascii="宋体"/>
          <w:sz w:val="24"/>
          <w:szCs w:val="28"/>
          <w:lang w:val="zh-CN"/>
        </w:rPr>
        <w:t xml:space="preserve">日常</w:t>
      </w:r>
      <w:r>
        <w:rPr>
          <w:rFonts w:hint="eastAsia" w:ascii="宋体"/>
          <w:sz w:val="24"/>
          <w:szCs w:val="28"/>
          <w:lang w:val="en-US" w:eastAsia="zh-CN"/>
        </w:rPr>
        <w:t xml:space="preserve">基本</w:t>
      </w:r>
      <w:r>
        <w:rPr>
          <w:rFonts w:hint="eastAsia" w:ascii="宋体"/>
          <w:sz w:val="24"/>
          <w:szCs w:val="28"/>
          <w:lang w:val="zh-CN"/>
        </w:rPr>
        <w:t xml:space="preserve">巡检维护费用</w:t>
      </w:r>
      <w:r/>
    </w:p>
    <w:p>
      <w:pPr>
        <w:ind w:firstLine="480"/>
        <w:jc w:val="both"/>
        <w:spacing w:line="360" w:lineRule="auto"/>
        <w:widowControl w:val="off"/>
        <w:rPr>
          <w:rFonts w:hint="eastAsia" w:ascii="宋体" w:hAnsi="Courier New" w:eastAsia="宋体" w:cs="Times New Roman"/>
          <w:sz w:val="24"/>
          <w:szCs w:val="20"/>
          <w:lang w:val="zh-CN" w:eastAsia="zh-CN" w:bidi="ar-SA"/>
        </w:rPr>
      </w:pPr>
      <w:r>
        <w:rPr>
          <w:rFonts w:hint="eastAsia" w:ascii="宋体" w:hAnsi="Courier New" w:eastAsia="宋体" w:cs="Times New Roman"/>
          <w:sz w:val="24"/>
          <w:szCs w:val="20"/>
          <w:lang w:val="zh-CN" w:eastAsia="zh-CN" w:bidi="ar-SA"/>
        </w:rPr>
        <w:t xml:space="preserve">根据日常维护工作的内容、要求和范围进行</w:t>
      </w:r>
      <w:r>
        <w:rPr>
          <w:rFonts w:hint="eastAsia" w:ascii="宋体" w:hAnsi="Courier New" w:eastAsia="宋体" w:cs="Times New Roman"/>
          <w:sz w:val="24"/>
          <w:szCs w:val="20"/>
          <w:lang w:val="en-US" w:eastAsia="zh-CN" w:bidi="ar-SA"/>
        </w:rPr>
        <w:t xml:space="preserve">带电类及相关软硬件</w:t>
      </w:r>
      <w:r>
        <w:rPr>
          <w:rFonts w:hint="eastAsia" w:ascii="宋体" w:hAnsi="Courier New" w:eastAsia="宋体" w:cs="Times New Roman"/>
          <w:sz w:val="24"/>
          <w:szCs w:val="20"/>
          <w:lang w:val="zh-CN" w:eastAsia="zh-CN" w:bidi="ar-SA"/>
        </w:rPr>
        <w:t xml:space="preserve">巡检维保及信号优化</w:t>
      </w:r>
      <w:r>
        <w:rPr>
          <w:rFonts w:hint="eastAsia" w:ascii="宋体" w:hAnsi="Courier New" w:eastAsia="宋体" w:cs="Times New Roman"/>
          <w:sz w:val="24"/>
          <w:szCs w:val="20"/>
          <w:lang w:val="en-US" w:eastAsia="zh-CN" w:bidi="ar-SA"/>
        </w:rPr>
        <w:t xml:space="preserve">服务</w:t>
      </w:r>
      <w:r>
        <w:rPr>
          <w:rFonts w:hint="eastAsia" w:ascii="宋体" w:hAnsi="Courier New" w:eastAsia="宋体" w:cs="Times New Roman"/>
          <w:sz w:val="24"/>
          <w:szCs w:val="20"/>
          <w:lang w:val="zh-CN" w:eastAsia="zh-CN" w:bidi="ar-SA"/>
        </w:rPr>
        <w:t xml:space="preserve">，日常维保费用包含：</w:t>
      </w:r>
      <w:r>
        <w:rPr>
          <w:rFonts w:hint="eastAsia" w:ascii="宋体" w:hAnsi="Courier New" w:eastAsia="宋体" w:cs="Times New Roman"/>
          <w:sz w:val="24"/>
          <w:szCs w:val="20"/>
          <w:lang w:val="en-US" w:eastAsia="zh-CN" w:bidi="ar-SA"/>
        </w:rPr>
        <w:t xml:space="preserve">人工</w:t>
      </w:r>
      <w:r>
        <w:rPr>
          <w:rFonts w:hint="eastAsia" w:ascii="宋体" w:hAnsi="Courier New" w:eastAsia="宋体" w:cs="Times New Roman"/>
          <w:sz w:val="24"/>
          <w:szCs w:val="20"/>
          <w:lang w:val="zh-CN" w:eastAsia="zh-CN" w:bidi="ar-SA"/>
        </w:rPr>
        <w:t xml:space="preserve">、设备巡检、点位迁移、旧设备拆除运输、调试、修剪绿化、</w:t>
      </w:r>
      <w:r>
        <w:rPr>
          <w:rFonts w:hint="eastAsia" w:ascii="宋体" w:hAnsi="Courier New" w:eastAsia="宋体" w:cs="Times New Roman"/>
          <w:sz w:val="24"/>
          <w:szCs w:val="20"/>
          <w:lang w:val="en-US" w:eastAsia="zh-CN" w:bidi="ar-SA"/>
        </w:rPr>
        <w:t xml:space="preserve">车辆、</w:t>
      </w:r>
      <w:r>
        <w:rPr>
          <w:rFonts w:hint="eastAsia" w:ascii="宋体" w:hAnsi="Courier New" w:eastAsia="宋体" w:cs="Times New Roman"/>
          <w:sz w:val="24"/>
          <w:szCs w:val="20"/>
          <w:lang w:val="zh-CN" w:eastAsia="zh-CN" w:bidi="ar-SA"/>
        </w:rPr>
        <w:t xml:space="preserve">机具费用（设备清单以外的所有费用）等，费用总额实行年度包干制，以百分制考核计算（</w:t>
      </w:r>
      <w:r>
        <w:rPr>
          <w:rFonts w:hint="eastAsia" w:ascii="宋体" w:hAnsi="Courier New" w:eastAsia="宋体" w:cs="Times New Roman"/>
          <w:sz w:val="24"/>
          <w:szCs w:val="20"/>
          <w:lang w:val="en-US" w:eastAsia="zh-CN" w:bidi="ar-SA"/>
        </w:rPr>
        <w:t xml:space="preserve">详见考核办法</w:t>
      </w:r>
      <w:r>
        <w:rPr>
          <w:rFonts w:hint="eastAsia" w:ascii="宋体" w:hAnsi="Courier New" w:eastAsia="宋体" w:cs="Times New Roman"/>
          <w:sz w:val="24"/>
          <w:szCs w:val="20"/>
          <w:lang w:val="zh-CN" w:eastAsia="zh-CN" w:bidi="ar-SA"/>
        </w:rPr>
        <w:t xml:space="preserve">）。</w:t>
      </w:r>
      <w:r/>
    </w:p>
    <w:p>
      <w:pPr>
        <w:ind w:firstLine="480"/>
        <w:spacing w:line="360" w:lineRule="auto"/>
        <w:rPr>
          <w:rFonts w:hint="default" w:ascii="宋体"/>
          <w:sz w:val="24"/>
          <w:szCs w:val="28"/>
          <w:lang w:val="zh-CN"/>
        </w:rPr>
      </w:pPr>
      <w:r>
        <w:rPr>
          <w:rFonts w:hint="eastAsia" w:ascii="宋体"/>
          <w:sz w:val="24"/>
          <w:szCs w:val="28"/>
          <w:lang w:val="en-US" w:eastAsia="zh-CN"/>
        </w:rPr>
        <w:t xml:space="preserve">2、维修配件更换</w:t>
      </w:r>
      <w:r>
        <w:rPr>
          <w:rFonts w:hint="eastAsia" w:ascii="宋体"/>
          <w:sz w:val="24"/>
          <w:szCs w:val="28"/>
          <w:lang w:val="zh-CN"/>
        </w:rPr>
        <w:t xml:space="preserve">费用</w:t>
      </w:r>
      <w:r/>
    </w:p>
    <w:p>
      <w:pPr>
        <w:ind w:firstLine="480"/>
        <w:spacing w:line="360" w:lineRule="auto"/>
        <w:rPr>
          <w:rFonts w:hint="default" w:ascii="宋体" w:hAnsi="Courier New" w:eastAsia="宋体" w:cs="Times New Roman"/>
          <w:sz w:val="24"/>
          <w:szCs w:val="20"/>
          <w:lang w:val="en-US" w:eastAsia="zh-CN" w:bidi="ar-SA"/>
        </w:rPr>
      </w:pPr>
      <w:r>
        <w:rPr>
          <w:rFonts w:hint="eastAsia" w:ascii="宋体" w:hAnsi="Courier New" w:cs="Times New Roman"/>
          <w:sz w:val="24"/>
          <w:szCs w:val="20"/>
          <w:lang w:val="en-US" w:eastAsia="zh-CN" w:bidi="ar-SA"/>
        </w:rPr>
        <w:t xml:space="preserve">设备更换相关费用按附件《设备更换清单》约定单价执行，结算金额按照对应清单单价乘以实际更换数量据实核算，最终依据实际发生工程量办理项目结算。</w:t>
      </w:r>
      <w:r/>
    </w:p>
    <w:p>
      <w:pPr>
        <w:ind w:firstLine="480"/>
        <w:jc w:val="both"/>
        <w:spacing w:line="360" w:lineRule="auto"/>
        <w:widowControl w:val="off"/>
        <w:rPr>
          <w:rFonts w:hint="eastAsia" w:ascii="宋体" w:hAnsi="Courier New" w:eastAsia="宋体" w:cs="Times New Roman"/>
          <w:sz w:val="24"/>
          <w:szCs w:val="20"/>
          <w:highlight w:val="none"/>
          <w:lang w:val="en-US" w:eastAsia="zh-CN" w:bidi="ar-SA"/>
        </w:rPr>
        <w:outlineLvl w:val="1"/>
      </w:pPr>
      <w:r>
        <w:rPr>
          <w:rFonts w:hint="eastAsia" w:ascii="宋体" w:hAnsi="Courier New" w:eastAsia="宋体" w:cs="Times New Roman"/>
          <w:sz w:val="24"/>
          <w:szCs w:val="20"/>
          <w:highlight w:val="none"/>
          <w:lang w:val="en-US" w:eastAsia="zh-CN" w:bidi="ar-SA"/>
        </w:rPr>
        <w:t xml:space="preserve">（二）维保金额结算</w:t>
      </w:r>
      <w:r/>
    </w:p>
    <w:p>
      <w:pPr>
        <w:ind w:firstLine="480"/>
        <w:spacing w:line="360" w:lineRule="auto"/>
        <w:rPr>
          <w:rFonts w:hint="default" w:ascii="宋体"/>
          <w:sz w:val="24"/>
          <w:szCs w:val="28"/>
          <w:highlight w:val="yellow"/>
        </w:rPr>
      </w:pPr>
      <w:r>
        <w:rPr>
          <w:rFonts w:hint="eastAsia" w:ascii="宋体"/>
          <w:sz w:val="24"/>
          <w:szCs w:val="28"/>
        </w:rPr>
        <w:t xml:space="preserve">1、对“（</w:t>
      </w:r>
      <w:r>
        <w:rPr>
          <w:rFonts w:hint="eastAsia" w:ascii="宋体"/>
          <w:sz w:val="24"/>
          <w:szCs w:val="28"/>
          <w:lang w:val="en-US" w:eastAsia="zh-CN"/>
        </w:rPr>
        <w:t xml:space="preserve">1</w:t>
      </w:r>
      <w:r>
        <w:rPr>
          <w:rFonts w:hint="eastAsia" w:ascii="宋体"/>
          <w:sz w:val="24"/>
          <w:szCs w:val="28"/>
        </w:rPr>
        <w:t xml:space="preserve">）</w:t>
      </w:r>
      <w:r>
        <w:rPr>
          <w:rFonts w:hint="eastAsia" w:ascii="宋体" w:cs="仿宋"/>
          <w:sz w:val="24"/>
          <w:szCs w:val="24"/>
          <w:lang w:val="zh-CN"/>
        </w:rPr>
        <w:t xml:space="preserve">日常</w:t>
      </w:r>
      <w:r>
        <w:rPr>
          <w:rFonts w:hint="eastAsia" w:ascii="宋体" w:cs="仿宋"/>
          <w:sz w:val="24"/>
          <w:szCs w:val="24"/>
          <w:lang w:val="en-US" w:eastAsia="zh-CN"/>
        </w:rPr>
        <w:t xml:space="preserve">基本</w:t>
      </w:r>
      <w:r>
        <w:rPr>
          <w:rFonts w:hint="eastAsia" w:ascii="宋体" w:cs="仿宋"/>
          <w:sz w:val="24"/>
          <w:szCs w:val="24"/>
          <w:lang w:val="zh-CN"/>
        </w:rPr>
        <w:t xml:space="preserve">巡检维护费用</w:t>
      </w:r>
      <w:r>
        <w:rPr>
          <w:rFonts w:hint="eastAsia" w:ascii="宋体"/>
          <w:sz w:val="24"/>
          <w:szCs w:val="28"/>
        </w:rPr>
        <w:t xml:space="preserve">”以月为单位进行考核，月考评总分为100分，月得分90分以上为合格，89-70分的按照的百分比支付维护费，70分以下为不合格</w:t>
      </w:r>
      <w:r>
        <w:rPr>
          <w:rFonts w:hint="eastAsia" w:ascii="宋体"/>
          <w:sz w:val="24"/>
          <w:szCs w:val="28"/>
          <w:lang w:eastAsia="zh-CN"/>
        </w:rPr>
        <w:t xml:space="preserve">，</w:t>
      </w:r>
      <w:r>
        <w:rPr>
          <w:rFonts w:hint="eastAsia" w:ascii="宋体"/>
          <w:sz w:val="24"/>
          <w:szCs w:val="28"/>
        </w:rPr>
        <w:t xml:space="preserve">扣除当月维护费用</w:t>
      </w:r>
      <w:r>
        <w:rPr>
          <w:rFonts w:hint="eastAsia" w:ascii="宋体"/>
          <w:sz w:val="24"/>
          <w:szCs w:val="28"/>
          <w:lang w:eastAsia="zh-CN"/>
        </w:rPr>
        <w:t xml:space="preserve">，</w:t>
      </w:r>
      <w:r>
        <w:rPr>
          <w:rFonts w:hint="eastAsia" w:ascii="宋体"/>
          <w:sz w:val="24"/>
          <w:szCs w:val="28"/>
        </w:rPr>
        <w:t xml:space="preserve">月考核次月按照考核结果进行结算；</w:t>
      </w:r>
      <w:r>
        <w:rPr>
          <w:rFonts w:hint="eastAsia" w:ascii="宋体"/>
          <w:sz w:val="24"/>
          <w:szCs w:val="28"/>
          <w:lang w:val="en-US" w:eastAsia="zh-CN"/>
        </w:rPr>
        <w:t xml:space="preserve">设备</w:t>
      </w:r>
      <w:r>
        <w:rPr>
          <w:rFonts w:hint="eastAsia" w:ascii="宋体"/>
          <w:sz w:val="24"/>
          <w:szCs w:val="28"/>
        </w:rPr>
        <w:t xml:space="preserve">更换</w:t>
      </w:r>
      <w:r>
        <w:rPr>
          <w:rFonts w:hint="eastAsia" w:ascii="宋体"/>
          <w:sz w:val="24"/>
          <w:szCs w:val="28"/>
          <w:lang w:val="en-US" w:eastAsia="zh-CN"/>
        </w:rPr>
        <w:t xml:space="preserve">费用</w:t>
      </w:r>
      <w:r>
        <w:rPr>
          <w:rFonts w:hint="eastAsia" w:ascii="宋体"/>
          <w:sz w:val="24"/>
          <w:szCs w:val="28"/>
        </w:rPr>
        <w:t xml:space="preserve">依据相关清单进行结算。</w:t>
      </w:r>
      <w:r/>
    </w:p>
    <w:p>
      <w:pPr>
        <w:ind w:firstLine="480"/>
        <w:spacing w:line="360" w:lineRule="auto"/>
        <w:rPr>
          <w:rFonts w:hint="default" w:ascii="宋体"/>
          <w:sz w:val="24"/>
          <w:szCs w:val="28"/>
        </w:rPr>
      </w:pPr>
      <w:r>
        <w:rPr>
          <w:rFonts w:hint="eastAsia" w:ascii="宋体"/>
          <w:sz w:val="24"/>
          <w:szCs w:val="28"/>
        </w:rPr>
        <w:t xml:space="preserve">2、维护工作中，维保备件清单以外的所有辅件辅材、土建等支出包括在日常巡检维护费中，采购人不再</w:t>
      </w:r>
      <w:r>
        <w:rPr>
          <w:rFonts w:hint="eastAsia" w:ascii="宋体"/>
          <w:sz w:val="24"/>
          <w:szCs w:val="28"/>
          <w:lang w:val="en-US" w:eastAsia="zh-CN"/>
        </w:rPr>
        <w:t xml:space="preserve">另行</w:t>
      </w:r>
      <w:r>
        <w:rPr>
          <w:rFonts w:hint="eastAsia" w:ascii="宋体"/>
          <w:sz w:val="24"/>
          <w:szCs w:val="28"/>
        </w:rPr>
        <w:t xml:space="preserve">支付费用；设备因人为损坏或被盗、遗失的，查不到责任人的，中标人在及时抢修后制作抢修工程量确认清单（含照片）报采购人，费用由采购人按合同内容承担。有责任人的，中标人在及时抢修后（含照片、清单）向责任人追偿（追偿价设备部分不得高于投标报价），采购人不再支付费用。无法追偿或追偿不到的报采购人确认后计量；</w:t>
      </w:r>
      <w:r/>
    </w:p>
    <w:p>
      <w:pPr>
        <w:ind w:firstLine="480"/>
        <w:spacing w:line="360" w:lineRule="auto"/>
        <w:rPr>
          <w:rFonts w:hint="default" w:ascii="宋体"/>
          <w:sz w:val="24"/>
          <w:szCs w:val="28"/>
        </w:rPr>
      </w:pPr>
      <w:r>
        <w:rPr>
          <w:rFonts w:hint="eastAsia" w:ascii="宋体"/>
          <w:sz w:val="24"/>
          <w:szCs w:val="28"/>
        </w:rPr>
        <w:t xml:space="preserve">3、信号优化工作验收需提供验收报告，验收报告包括按月提交的月度总结报告、阶段报告及综合成果。月度总结报告包括：配时数据库建档、交通信号巡查、单个路口优化、协调路段巡查及优化工作的工作内容及进度，以及其它当月开展的信号优化工作等，以word格式呈现，需装订成册。阶段成果报告以汇报ppt的形式呈现，分年中汇报、年终汇报两次，内容包括阶段工作成果、总体任务完成进度等。</w:t>
      </w:r>
      <w:r/>
    </w:p>
    <w:p>
      <w:pPr>
        <w:ind w:firstLine="480"/>
        <w:spacing w:line="360" w:lineRule="auto"/>
        <w:rPr>
          <w:rFonts w:hint="default" w:ascii="宋体"/>
          <w:sz w:val="24"/>
          <w:szCs w:val="28"/>
        </w:rPr>
      </w:pPr>
      <w:r>
        <w:rPr>
          <w:rFonts w:hint="eastAsia" w:ascii="宋体"/>
          <w:sz w:val="24"/>
          <w:szCs w:val="28"/>
        </w:rPr>
        <w:t xml:space="preserve">4、在验收前，中标人应对已施工的工程质量、规格、数量等进行详细而全面的自行检验，汇总施工量确认单、累计施工量清单、打印施工照片。施工量确认单、施工量累计清单、照片等作为采购人验收、审计的基础资料，但不能作为最终验收结果。</w:t>
      </w:r>
      <w:r/>
    </w:p>
    <w:p>
      <w:pPr>
        <w:ind w:firstLine="480"/>
        <w:spacing w:line="360" w:lineRule="auto"/>
        <w:rPr>
          <w:rFonts w:hint="default" w:ascii="宋体"/>
          <w:sz w:val="24"/>
          <w:szCs w:val="28"/>
        </w:rPr>
      </w:pPr>
      <w:r>
        <w:rPr>
          <w:rFonts w:hint="eastAsia" w:ascii="宋体"/>
          <w:sz w:val="24"/>
          <w:szCs w:val="28"/>
        </w:rPr>
        <w:t xml:space="preserve">5、采购人在收到中标人验收申请、汇总施工量确认单、累计施工量清单、打印施工照片等结算资料后，5日内组织有关人员、单位开始按程序进行质量验收，验收不合格的部分，中标人需重新提供符合标准的施工内容，质保期为验收合格后的12个月。</w:t>
      </w:r>
      <w:r/>
    </w:p>
    <w:p>
      <w:pPr>
        <w:ind w:firstLine="480"/>
        <w:spacing w:line="360" w:lineRule="auto"/>
        <w:rPr>
          <w:rFonts w:hint="default" w:ascii="宋体"/>
          <w:sz w:val="24"/>
          <w:szCs w:val="28"/>
        </w:rPr>
      </w:pPr>
      <w:r>
        <w:rPr>
          <w:rFonts w:hint="eastAsia" w:ascii="宋体"/>
          <w:sz w:val="24"/>
          <w:szCs w:val="28"/>
        </w:rPr>
        <w:t xml:space="preserve">6、</w:t>
      </w:r>
      <w:r>
        <w:rPr>
          <w:rFonts w:hint="eastAsia" w:ascii="宋体"/>
          <w:sz w:val="24"/>
          <w:szCs w:val="28"/>
          <w:lang w:val="en-US" w:eastAsia="zh-CN"/>
        </w:rPr>
        <w:t xml:space="preserve">工程量决算以</w:t>
      </w:r>
      <w:r>
        <w:rPr>
          <w:rFonts w:hint="eastAsia" w:ascii="宋体"/>
          <w:sz w:val="24"/>
          <w:szCs w:val="28"/>
          <w:lang w:eastAsia="zh-CN"/>
        </w:rPr>
        <w:t xml:space="preserve">沛县公安局</w:t>
      </w:r>
      <w:r>
        <w:rPr>
          <w:rFonts w:hint="eastAsia" w:ascii="宋体"/>
          <w:sz w:val="24"/>
          <w:szCs w:val="28"/>
          <w:lang w:val="en-US" w:eastAsia="zh-CN"/>
        </w:rPr>
        <w:t xml:space="preserve">交通管理大队</w:t>
      </w:r>
      <w:r>
        <w:rPr>
          <w:rFonts w:hint="eastAsia" w:ascii="宋体"/>
          <w:sz w:val="24"/>
          <w:szCs w:val="28"/>
        </w:rPr>
        <w:t xml:space="preserve">会同</w:t>
      </w:r>
      <w:r>
        <w:rPr>
          <w:rFonts w:hint="eastAsia" w:ascii="宋体"/>
          <w:sz w:val="24"/>
          <w:szCs w:val="28"/>
          <w:lang w:eastAsia="zh-CN"/>
        </w:rPr>
        <w:t xml:space="preserve">沛县公安局</w:t>
      </w:r>
      <w:r>
        <w:rPr>
          <w:rFonts w:hint="eastAsia" w:ascii="宋体"/>
          <w:sz w:val="24"/>
          <w:szCs w:val="28"/>
        </w:rPr>
        <w:t xml:space="preserve">委托的</w:t>
      </w:r>
      <w:r>
        <w:rPr>
          <w:rFonts w:hint="eastAsia" w:ascii="宋体"/>
          <w:sz w:val="24"/>
          <w:szCs w:val="28"/>
          <w:lang w:val="en-US" w:eastAsia="zh-CN"/>
        </w:rPr>
        <w:t xml:space="preserve">监理机构和县审计局委托的</w:t>
      </w:r>
      <w:r>
        <w:rPr>
          <w:rFonts w:hint="eastAsia" w:ascii="宋体"/>
          <w:sz w:val="24"/>
          <w:szCs w:val="28"/>
        </w:rPr>
        <w:t xml:space="preserve">第三方审计</w:t>
      </w:r>
      <w:r>
        <w:rPr>
          <w:rFonts w:hint="eastAsia" w:ascii="宋体"/>
          <w:sz w:val="24"/>
          <w:szCs w:val="28"/>
          <w:lang w:val="en-US"/>
        </w:rPr>
        <w:t xml:space="preserve">机构</w:t>
      </w:r>
      <w:r>
        <w:rPr>
          <w:rFonts w:hint="eastAsia" w:ascii="宋体"/>
          <w:sz w:val="24"/>
          <w:szCs w:val="28"/>
          <w:lang w:val="en-US" w:eastAsia="zh-CN"/>
        </w:rPr>
        <w:t xml:space="preserve">决算为准</w:t>
      </w:r>
      <w:r>
        <w:rPr>
          <w:rFonts w:hint="eastAsia" w:ascii="宋体"/>
          <w:sz w:val="24"/>
          <w:szCs w:val="28"/>
        </w:rPr>
        <w:t xml:space="preserve">，审计开始时间在质量验收合格后进行。</w:t>
      </w:r>
      <w:r/>
    </w:p>
    <w:p>
      <w:pPr>
        <w:ind w:firstLine="480"/>
        <w:spacing w:line="360" w:lineRule="auto"/>
        <w:rPr>
          <w:rFonts w:hint="default" w:ascii="宋体"/>
          <w:sz w:val="24"/>
          <w:szCs w:val="28"/>
        </w:rPr>
      </w:pPr>
      <w:r>
        <w:rPr>
          <w:rFonts w:hint="eastAsia" w:ascii="宋体"/>
          <w:sz w:val="24"/>
          <w:szCs w:val="28"/>
        </w:rPr>
        <w:t xml:space="preserve">7、如双方对项目验收结果存在争议，以沛县相关行业主管监督部门的检验鉴定结论为最终依据，所产生的检验检测费用由责任过失方承担。</w:t>
      </w:r>
      <w:r/>
    </w:p>
    <w:p>
      <w:pPr>
        <w:ind w:firstLine="480"/>
        <w:spacing w:line="360" w:lineRule="auto"/>
        <w:rPr>
          <w:rFonts w:hint="eastAsia" w:ascii="宋体"/>
          <w:sz w:val="24"/>
          <w:szCs w:val="28"/>
        </w:rPr>
      </w:pPr>
      <w:r>
        <w:rPr>
          <w:rFonts w:hint="eastAsia" w:ascii="宋体"/>
          <w:sz w:val="24"/>
          <w:szCs w:val="28"/>
        </w:rPr>
        <w:t xml:space="preserve">8、验收合格后签署“验收报告”，采购人将验收单上交本单位财务部门，同发票一起入帐，作为采购人执行了政府采购的凭证。</w:t>
      </w:r>
      <w:r/>
    </w:p>
    <w:p>
      <w:pPr>
        <w:ind w:left="0" w:firstLine="480"/>
        <w:jc w:val="both"/>
        <w:spacing w:after="0" w:line="360" w:lineRule="auto"/>
        <w:widowControl w:val="off"/>
        <w:rPr>
          <w:rFonts w:hint="eastAsia" w:ascii="宋体" w:hAnsi="宋体" w:eastAsia="宋体" w:cs="Times New Roman"/>
          <w:sz w:val="24"/>
          <w:szCs w:val="28"/>
          <w:lang w:val="en-US" w:eastAsia="zh-CN" w:bidi="ar-SA"/>
        </w:rPr>
      </w:pPr>
      <w:r>
        <w:rPr>
          <w:rFonts w:hint="eastAsia" w:ascii="宋体" w:hAnsi="宋体" w:eastAsia="宋体" w:cs="Times New Roman"/>
          <w:sz w:val="24"/>
          <w:szCs w:val="28"/>
          <w:lang w:val="en-US" w:eastAsia="zh-CN" w:bidi="ar-SA"/>
        </w:rPr>
      </w:r>
      <w:r/>
    </w:p>
    <w:p>
      <w:pPr>
        <w:numPr>
          <w:ilvl w:val="0"/>
          <w:numId w:val="3"/>
        </w:numPr>
        <w:keepLines/>
        <w:keepNext/>
        <w:rPr>
          <w:rFonts w:ascii="宋体" w:hAnsi="Times New Roman" w:eastAsia="宋体" w:cs="Times New Roman"/>
          <w:b/>
          <w:bCs/>
          <w:sz w:val="32"/>
          <w:szCs w:val="44"/>
          <w:lang w:val="en-US" w:eastAsia="zh-CN" w:bidi="ar-SA"/>
        </w:rPr>
        <w:outlineLvl w:val="0"/>
      </w:pPr>
      <w:r/>
      <w:bookmarkStart w:id="19" w:name="_Toc32141"/>
      <w:r>
        <w:rPr>
          <w:rFonts w:hint="eastAsia" w:ascii="宋体" w:hAnsi="Times New Roman" w:eastAsia="宋体" w:cs="Times New Roman"/>
          <w:b/>
          <w:bCs/>
          <w:sz w:val="32"/>
          <w:szCs w:val="44"/>
          <w:lang w:val="en-US" w:eastAsia="zh-CN" w:bidi="ar-SA"/>
        </w:rPr>
        <w:t xml:space="preserve">考核办法</w:t>
      </w:r>
      <w:bookmarkEnd w:id="19"/>
      <w:r/>
      <w:r/>
    </w:p>
    <w:p>
      <w:pPr>
        <w:ind w:firstLine="0"/>
        <w:jc w:val="center"/>
        <w:spacing w:line="360" w:lineRule="auto"/>
        <w:rPr>
          <w:rFonts w:hint="default" w:ascii="宋体"/>
          <w:b/>
          <w:sz w:val="32"/>
          <w:szCs w:val="36"/>
        </w:rPr>
      </w:pPr>
      <w:r>
        <w:rPr>
          <w:rFonts w:hint="eastAsia" w:ascii="宋体"/>
          <w:b/>
          <w:sz w:val="32"/>
          <w:szCs w:val="36"/>
        </w:rPr>
        <w:t xml:space="preserve">维护考核方案</w:t>
      </w:r>
      <w:r/>
    </w:p>
    <w:p>
      <w:pPr>
        <w:ind w:firstLine="480"/>
        <w:spacing w:line="360" w:lineRule="auto"/>
        <w:rPr>
          <w:rFonts w:hint="default" w:ascii="宋体"/>
          <w:bCs/>
          <w:sz w:val="24"/>
          <w:szCs w:val="28"/>
        </w:rPr>
      </w:pPr>
      <w:r>
        <w:rPr>
          <w:rFonts w:hint="eastAsia" w:ascii="宋体"/>
          <w:bCs/>
          <w:sz w:val="24"/>
          <w:szCs w:val="28"/>
        </w:rPr>
        <w:t xml:space="preserve">一、考核主体</w:t>
      </w:r>
      <w:r/>
    </w:p>
    <w:p>
      <w:pPr>
        <w:ind w:left="0" w:firstLine="480"/>
        <w:jc w:val="both"/>
        <w:spacing w:after="0" w:line="360" w:lineRule="auto"/>
        <w:widowControl w:val="off"/>
        <w:rPr>
          <w:rFonts w:hint="eastAsia" w:ascii="宋体" w:hAnsi="宋体" w:eastAsia="宋体" w:cs="Times New Roman"/>
          <w:sz w:val="24"/>
          <w:szCs w:val="28"/>
          <w:lang w:val="en-US" w:eastAsia="zh-CN" w:bidi="ar-SA"/>
        </w:rPr>
      </w:pPr>
      <w:r>
        <w:rPr>
          <w:rFonts w:hint="eastAsia" w:ascii="宋体" w:hAnsi="宋体" w:eastAsia="宋体" w:cs="Times New Roman"/>
          <w:sz w:val="24"/>
          <w:szCs w:val="28"/>
          <w:lang w:val="en-US" w:eastAsia="zh-CN" w:bidi="ar-SA"/>
        </w:rPr>
        <w:t xml:space="preserve">考核主体为沛县公安局交通管理大队。</w:t>
      </w:r>
      <w:r/>
    </w:p>
    <w:p>
      <w:pPr>
        <w:ind w:firstLine="480"/>
        <w:spacing w:line="360" w:lineRule="auto"/>
        <w:rPr>
          <w:rFonts w:hint="default" w:ascii="宋体"/>
          <w:bCs/>
          <w:sz w:val="24"/>
          <w:szCs w:val="28"/>
        </w:rPr>
      </w:pPr>
      <w:r>
        <w:rPr>
          <w:rFonts w:hint="eastAsia" w:ascii="宋体"/>
          <w:bCs/>
          <w:sz w:val="24"/>
          <w:szCs w:val="28"/>
        </w:rPr>
        <w:t xml:space="preserve">二、考核内容</w:t>
      </w:r>
      <w:r/>
    </w:p>
    <w:p>
      <w:pPr>
        <w:ind w:firstLine="480"/>
        <w:spacing w:line="360" w:lineRule="auto"/>
        <w:rPr>
          <w:rFonts w:hint="default" w:ascii="宋体"/>
          <w:bCs/>
          <w:sz w:val="24"/>
          <w:szCs w:val="28"/>
        </w:rPr>
      </w:pPr>
      <w:r>
        <w:rPr>
          <w:rFonts w:hint="eastAsia" w:ascii="宋体"/>
          <w:bCs/>
          <w:sz w:val="24"/>
          <w:szCs w:val="28"/>
        </w:rPr>
        <w:t xml:space="preserve">1、人员车辆在岗情况。按规定配备车辆人员巡查轨迹，巡查记录，值班人员到位，通讯联络，任务响应，接任务派遣后的到场、处置效率。</w:t>
      </w:r>
      <w:r/>
    </w:p>
    <w:p>
      <w:pPr>
        <w:ind w:firstLine="480"/>
        <w:spacing w:line="360" w:lineRule="auto"/>
        <w:rPr>
          <w:rFonts w:hint="default" w:ascii="宋体"/>
          <w:bCs/>
          <w:sz w:val="24"/>
          <w:szCs w:val="28"/>
        </w:rPr>
      </w:pPr>
      <w:r>
        <w:rPr>
          <w:rFonts w:hint="eastAsia" w:ascii="宋体"/>
          <w:bCs/>
          <w:sz w:val="24"/>
          <w:szCs w:val="28"/>
        </w:rPr>
        <w:t xml:space="preserve">2、维修、更换备品仓储情况</w:t>
      </w:r>
      <w:r/>
    </w:p>
    <w:p>
      <w:pPr>
        <w:ind w:firstLine="480"/>
        <w:spacing w:line="360" w:lineRule="auto"/>
        <w:rPr>
          <w:rFonts w:hint="default" w:ascii="宋体"/>
          <w:bCs/>
          <w:sz w:val="24"/>
          <w:szCs w:val="28"/>
        </w:rPr>
      </w:pPr>
      <w:r>
        <w:rPr>
          <w:rFonts w:hint="eastAsia" w:ascii="宋体"/>
          <w:bCs/>
          <w:sz w:val="24"/>
          <w:szCs w:val="28"/>
        </w:rPr>
        <w:t xml:space="preserve">3、工作确认单填写、计算的规范性。</w:t>
      </w:r>
      <w:r/>
    </w:p>
    <w:p>
      <w:pPr>
        <w:ind w:firstLine="480"/>
        <w:spacing w:line="360" w:lineRule="auto"/>
        <w:rPr>
          <w:rFonts w:hint="default" w:ascii="宋体"/>
          <w:bCs/>
          <w:sz w:val="24"/>
          <w:szCs w:val="28"/>
        </w:rPr>
      </w:pPr>
      <w:r>
        <w:rPr>
          <w:rFonts w:hint="eastAsia" w:ascii="宋体"/>
          <w:bCs/>
          <w:sz w:val="24"/>
          <w:szCs w:val="28"/>
        </w:rPr>
        <w:t xml:space="preserve">4、工作任务的完成效率，维保、施工质量和时效。</w:t>
      </w:r>
      <w:r/>
    </w:p>
    <w:p>
      <w:pPr>
        <w:ind w:firstLine="480"/>
        <w:spacing w:line="360" w:lineRule="auto"/>
        <w:rPr>
          <w:rFonts w:hint="default" w:ascii="宋体"/>
          <w:bCs/>
          <w:sz w:val="24"/>
          <w:szCs w:val="28"/>
        </w:rPr>
      </w:pPr>
      <w:r>
        <w:rPr>
          <w:rFonts w:hint="eastAsia" w:ascii="宋体"/>
          <w:bCs/>
          <w:sz w:val="24"/>
          <w:szCs w:val="28"/>
        </w:rPr>
        <w:t xml:space="preserve">5、投诉情况。如涉信号灯维保方面引起的采购人不满和市（网）民投诉、新闻媒体曝光。</w:t>
      </w:r>
      <w:r/>
    </w:p>
    <w:p>
      <w:pPr>
        <w:ind w:firstLine="480"/>
        <w:spacing w:line="360" w:lineRule="auto"/>
        <w:rPr>
          <w:rFonts w:hint="default" w:ascii="宋体"/>
          <w:bCs/>
          <w:sz w:val="24"/>
          <w:szCs w:val="28"/>
        </w:rPr>
      </w:pPr>
      <w:r>
        <w:rPr>
          <w:rFonts w:hint="eastAsia" w:ascii="宋体"/>
          <w:bCs/>
          <w:sz w:val="24"/>
          <w:szCs w:val="28"/>
        </w:rPr>
        <w:t xml:space="preserve">6、服从采购人指挥的情况</w:t>
      </w:r>
      <w:r/>
    </w:p>
    <w:p>
      <w:pPr>
        <w:ind w:firstLine="480"/>
        <w:spacing w:line="360" w:lineRule="auto"/>
        <w:rPr>
          <w:rFonts w:hint="default" w:ascii="宋体"/>
          <w:bCs/>
          <w:sz w:val="24"/>
          <w:szCs w:val="28"/>
        </w:rPr>
      </w:pPr>
      <w:r>
        <w:rPr>
          <w:rFonts w:hint="eastAsia" w:ascii="宋体"/>
          <w:bCs/>
          <w:sz w:val="24"/>
          <w:szCs w:val="28"/>
        </w:rPr>
        <w:t xml:space="preserve">7、文明施工及安全防护等情况。</w:t>
      </w:r>
      <w:r/>
    </w:p>
    <w:p>
      <w:pPr>
        <w:ind w:firstLine="480"/>
        <w:spacing w:line="360" w:lineRule="auto"/>
        <w:rPr>
          <w:rFonts w:hint="default" w:ascii="宋体"/>
          <w:bCs/>
          <w:sz w:val="24"/>
          <w:szCs w:val="28"/>
        </w:rPr>
      </w:pPr>
      <w:r>
        <w:rPr>
          <w:rFonts w:hint="eastAsia" w:ascii="宋体"/>
          <w:bCs/>
          <w:sz w:val="24"/>
          <w:szCs w:val="28"/>
        </w:rPr>
        <w:t xml:space="preserve">8、落实节假日及恶劣天气应急处置措施的加强和完成情况。</w:t>
      </w:r>
      <w:r/>
    </w:p>
    <w:p>
      <w:pPr>
        <w:ind w:firstLine="480"/>
        <w:spacing w:line="360" w:lineRule="auto"/>
        <w:rPr>
          <w:rFonts w:hint="default" w:ascii="宋体"/>
          <w:bCs/>
          <w:sz w:val="24"/>
          <w:szCs w:val="28"/>
        </w:rPr>
      </w:pPr>
      <w:r>
        <w:rPr>
          <w:rFonts w:hint="eastAsia" w:ascii="宋体"/>
          <w:bCs/>
          <w:sz w:val="24"/>
          <w:szCs w:val="28"/>
        </w:rPr>
        <w:t xml:space="preserve">三、考核方式</w:t>
      </w:r>
      <w:r/>
    </w:p>
    <w:p>
      <w:pPr>
        <w:ind w:firstLine="480"/>
        <w:spacing w:line="360" w:lineRule="auto"/>
        <w:rPr>
          <w:rFonts w:hint="default" w:ascii="宋体"/>
          <w:bCs/>
          <w:sz w:val="24"/>
          <w:szCs w:val="28"/>
        </w:rPr>
      </w:pPr>
      <w:r>
        <w:rPr>
          <w:rFonts w:hint="eastAsia" w:ascii="宋体"/>
          <w:bCs/>
          <w:sz w:val="24"/>
          <w:szCs w:val="28"/>
        </w:rPr>
        <w:t xml:space="preserve">1、上路实地检查。交通信号设备完好率，维护修复情况，以上路巡查实地抽检记录为主，同时收集整理社会不同渠道对信号灯管理、使用、维护的反映和投诉。</w:t>
      </w:r>
      <w:r/>
    </w:p>
    <w:p>
      <w:pPr>
        <w:ind w:firstLine="480"/>
        <w:spacing w:line="360" w:lineRule="auto"/>
        <w:rPr>
          <w:rFonts w:hint="default" w:ascii="宋体"/>
          <w:bCs/>
          <w:sz w:val="24"/>
          <w:szCs w:val="28"/>
        </w:rPr>
      </w:pPr>
      <w:r>
        <w:rPr>
          <w:rFonts w:hint="eastAsia" w:ascii="宋体"/>
          <w:bCs/>
          <w:sz w:val="24"/>
          <w:szCs w:val="28"/>
        </w:rPr>
        <w:t xml:space="preserve">2、收集整理对维护工作的意见。</w:t>
      </w:r>
      <w:r/>
    </w:p>
    <w:p>
      <w:pPr>
        <w:ind w:firstLine="480"/>
        <w:spacing w:line="360" w:lineRule="auto"/>
        <w:rPr>
          <w:rFonts w:hint="default" w:ascii="宋体"/>
          <w:bCs/>
          <w:sz w:val="24"/>
          <w:szCs w:val="28"/>
        </w:rPr>
      </w:pPr>
      <w:r>
        <w:rPr>
          <w:rFonts w:hint="eastAsia" w:ascii="宋体"/>
          <w:bCs/>
          <w:sz w:val="24"/>
          <w:szCs w:val="28"/>
        </w:rPr>
        <w:t xml:space="preserve">3、核对中标人需要报送的各种资料、报表记录。</w:t>
      </w:r>
      <w:r/>
    </w:p>
    <w:p>
      <w:pPr>
        <w:ind w:firstLine="480"/>
        <w:spacing w:line="360" w:lineRule="auto"/>
        <w:rPr>
          <w:rFonts w:hint="default" w:ascii="宋体"/>
          <w:bCs/>
          <w:sz w:val="24"/>
          <w:szCs w:val="28"/>
        </w:rPr>
      </w:pPr>
      <w:r>
        <w:rPr>
          <w:rFonts w:hint="eastAsia" w:ascii="宋体"/>
          <w:bCs/>
          <w:sz w:val="24"/>
          <w:szCs w:val="28"/>
        </w:rPr>
        <w:t xml:space="preserve">4、核对工作任务完成记录。</w:t>
      </w:r>
      <w:r/>
    </w:p>
    <w:p>
      <w:pPr>
        <w:ind w:firstLine="480"/>
        <w:spacing w:line="360" w:lineRule="auto"/>
        <w:rPr>
          <w:rFonts w:hint="default" w:ascii="宋体"/>
          <w:bCs/>
          <w:sz w:val="24"/>
          <w:szCs w:val="28"/>
        </w:rPr>
      </w:pPr>
      <w:r>
        <w:rPr>
          <w:rFonts w:hint="eastAsia" w:ascii="宋体"/>
          <w:bCs/>
          <w:sz w:val="24"/>
          <w:szCs w:val="28"/>
        </w:rPr>
        <w:t xml:space="preserve">四、考核周期</w:t>
      </w:r>
      <w:r/>
    </w:p>
    <w:p>
      <w:pPr>
        <w:ind w:firstLine="480"/>
        <w:spacing w:line="360" w:lineRule="auto"/>
        <w:rPr>
          <w:rFonts w:hint="default" w:ascii="宋体"/>
          <w:bCs/>
          <w:sz w:val="24"/>
          <w:szCs w:val="28"/>
        </w:rPr>
      </w:pPr>
      <w:r>
        <w:rPr>
          <w:rFonts w:hint="eastAsia" w:ascii="宋体"/>
          <w:bCs/>
          <w:sz w:val="24"/>
          <w:szCs w:val="28"/>
          <w:lang w:val="en-US" w:eastAsia="zh-CN"/>
        </w:rPr>
        <w:t xml:space="preserve">采购人</w:t>
      </w:r>
      <w:r>
        <w:rPr>
          <w:rFonts w:hint="eastAsia" w:ascii="宋体"/>
          <w:bCs/>
          <w:sz w:val="24"/>
          <w:szCs w:val="28"/>
        </w:rPr>
        <w:t xml:space="preserve">对</w:t>
      </w:r>
      <w:r>
        <w:rPr>
          <w:rFonts w:hint="eastAsia" w:ascii="宋体"/>
          <w:bCs/>
          <w:sz w:val="24"/>
          <w:szCs w:val="28"/>
          <w:lang w:val="en-US" w:eastAsia="zh-CN"/>
        </w:rPr>
        <w:t xml:space="preserve">中标人</w:t>
      </w:r>
      <w:r>
        <w:rPr>
          <w:rFonts w:hint="eastAsia" w:ascii="宋体"/>
          <w:bCs/>
          <w:sz w:val="24"/>
          <w:szCs w:val="28"/>
        </w:rPr>
        <w:t xml:space="preserve">的</w:t>
      </w:r>
      <w:r>
        <w:rPr>
          <w:rFonts w:hint="eastAsia" w:ascii="宋体"/>
          <w:bCs/>
          <w:sz w:val="24"/>
          <w:szCs w:val="28"/>
          <w:lang w:val="en-US" w:eastAsia="zh-CN"/>
        </w:rPr>
        <w:t xml:space="preserve">考核</w:t>
      </w:r>
      <w:r>
        <w:rPr>
          <w:rFonts w:hint="eastAsia" w:ascii="宋体"/>
          <w:bCs/>
          <w:sz w:val="24"/>
          <w:szCs w:val="28"/>
        </w:rPr>
        <w:t xml:space="preserve">按月进行。</w:t>
      </w:r>
      <w:r/>
    </w:p>
    <w:p>
      <w:pPr>
        <w:ind w:firstLine="480"/>
        <w:spacing w:line="360" w:lineRule="auto"/>
        <w:rPr>
          <w:rFonts w:hint="default" w:ascii="宋体"/>
          <w:bCs/>
          <w:sz w:val="24"/>
          <w:szCs w:val="28"/>
        </w:rPr>
      </w:pPr>
      <w:r>
        <w:rPr>
          <w:rFonts w:hint="eastAsia" w:ascii="宋体"/>
          <w:bCs/>
          <w:sz w:val="24"/>
          <w:szCs w:val="28"/>
        </w:rPr>
        <w:t xml:space="preserve">若完成任务差，绩效考核综合评价低，招标方将视情况保留采取扣减服务费、通报公司、终止合同</w:t>
      </w:r>
      <w:r>
        <w:rPr>
          <w:rFonts w:hint="eastAsia" w:ascii="宋体"/>
          <w:bCs/>
          <w:sz w:val="24"/>
          <w:szCs w:val="28"/>
          <w:lang w:val="en-US" w:eastAsia="zh-CN"/>
        </w:rPr>
        <w:t xml:space="preserve">等措施</w:t>
      </w:r>
      <w:r>
        <w:rPr>
          <w:rFonts w:hint="eastAsia" w:ascii="宋体"/>
          <w:bCs/>
          <w:sz w:val="24"/>
          <w:szCs w:val="28"/>
        </w:rPr>
        <w:t xml:space="preserve">并要求赔偿。</w:t>
      </w:r>
      <w:r/>
    </w:p>
    <w:p>
      <w:pPr>
        <w:ind w:firstLine="480"/>
        <w:spacing w:line="360" w:lineRule="auto"/>
        <w:rPr>
          <w:rFonts w:hint="default" w:ascii="宋体"/>
          <w:sz w:val="24"/>
          <w:szCs w:val="28"/>
        </w:rPr>
      </w:pPr>
      <w:r>
        <w:rPr>
          <w:rFonts w:hint="eastAsia" w:ascii="宋体"/>
          <w:bCs/>
          <w:sz w:val="24"/>
          <w:szCs w:val="28"/>
        </w:rPr>
        <w:t xml:space="preserve">五、考核扣、加分值</w:t>
      </w:r>
      <w:r/>
    </w:p>
    <w:p>
      <w:pPr>
        <w:ind w:firstLine="480"/>
        <w:spacing w:line="360" w:lineRule="auto"/>
        <w:rPr>
          <w:rFonts w:hint="default" w:ascii="宋体"/>
          <w:sz w:val="24"/>
          <w:szCs w:val="28"/>
        </w:rPr>
      </w:pPr>
      <w:r>
        <w:rPr>
          <w:rFonts w:hint="eastAsia" w:ascii="宋体"/>
          <w:sz w:val="24"/>
          <w:szCs w:val="28"/>
        </w:rPr>
        <w:t xml:space="preserve">1、考核扣分</w:t>
      </w:r>
      <w:r/>
    </w:p>
    <w:tbl>
      <w:tblPr>
        <w:tblStyle w:val="88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7"/>
        <w:gridCol w:w="1587"/>
        <w:gridCol w:w="5297"/>
        <w:gridCol w:w="773"/>
        <w:gridCol w:w="1010"/>
      </w:tblGrid>
      <w:tr>
        <w:trPr>
          <w:jc w:val="center"/>
        </w:trPr>
        <w:tc>
          <w:tcPr>
            <w:tcBorders>
              <w:top w:val="single" w:color="auto" w:sz="4" w:space="0"/>
              <w:left w:val="single" w:color="auto" w:sz="4" w:space="0"/>
              <w:bottom w:val="single" w:color="auto" w:sz="4" w:space="0"/>
              <w:right w:val="single" w:color="auto" w:sz="4" w:space="0"/>
            </w:tcBorders>
            <w:tcW w:w="445" w:type="pct"/>
            <w:vAlign w:val="center"/>
            <w:textDirection w:val="lrTb"/>
            <w:noWrap w:val="false"/>
          </w:tcPr>
          <w:p>
            <w:pPr>
              <w:ind w:firstLine="0"/>
              <w:jc w:val="center"/>
              <w:spacing w:line="240" w:lineRule="auto"/>
              <w:rPr>
                <w:rFonts w:hint="default" w:ascii="宋体"/>
                <w:b/>
                <w:bCs/>
                <w:sz w:val="21"/>
                <w:szCs w:val="21"/>
              </w:rPr>
            </w:pPr>
            <w:r>
              <w:rPr>
                <w:rFonts w:hint="eastAsia" w:ascii="宋体"/>
                <w:b/>
                <w:bCs/>
                <w:sz w:val="21"/>
                <w:szCs w:val="21"/>
              </w:rPr>
              <w:t xml:space="preserve">序号</w:t>
            </w:r>
            <w:r/>
          </w:p>
        </w:tc>
        <w:tc>
          <w:tcPr>
            <w:tcBorders>
              <w:top w:val="single" w:color="auto" w:sz="4" w:space="0"/>
              <w:left w:val="single" w:color="auto" w:sz="4" w:space="0"/>
              <w:bottom w:val="single" w:color="auto" w:sz="4" w:space="0"/>
              <w:right w:val="single" w:color="auto" w:sz="4" w:space="0"/>
            </w:tcBorders>
            <w:tcW w:w="834" w:type="pct"/>
            <w:vAlign w:val="center"/>
            <w:textDirection w:val="lrTb"/>
            <w:noWrap w:val="false"/>
          </w:tcPr>
          <w:p>
            <w:pPr>
              <w:ind w:firstLine="0"/>
              <w:jc w:val="center"/>
              <w:spacing w:line="240" w:lineRule="auto"/>
              <w:rPr>
                <w:rFonts w:hint="default" w:ascii="宋体"/>
                <w:b/>
                <w:bCs/>
                <w:sz w:val="21"/>
                <w:szCs w:val="21"/>
              </w:rPr>
            </w:pPr>
            <w:r>
              <w:rPr>
                <w:rFonts w:hint="eastAsia" w:ascii="宋体"/>
                <w:b/>
                <w:bCs/>
                <w:sz w:val="21"/>
                <w:szCs w:val="21"/>
              </w:rPr>
              <w:t xml:space="preserve">指标</w:t>
            </w:r>
            <w:r/>
          </w:p>
        </w:tc>
        <w:tc>
          <w:tcPr>
            <w:tcBorders>
              <w:top w:val="single" w:color="auto" w:sz="4" w:space="0"/>
              <w:left w:val="single" w:color="auto" w:sz="4" w:space="0"/>
              <w:bottom w:val="single" w:color="auto" w:sz="4" w:space="0"/>
              <w:right w:val="single" w:color="auto" w:sz="4" w:space="0"/>
            </w:tcBorders>
            <w:tcW w:w="2784" w:type="pct"/>
            <w:vAlign w:val="center"/>
            <w:textDirection w:val="lrTb"/>
            <w:noWrap w:val="false"/>
          </w:tcPr>
          <w:p>
            <w:pPr>
              <w:ind w:firstLine="0"/>
              <w:jc w:val="center"/>
              <w:spacing w:line="240" w:lineRule="auto"/>
              <w:rPr>
                <w:rFonts w:hint="default" w:ascii="宋体"/>
                <w:b/>
                <w:bCs/>
                <w:sz w:val="21"/>
                <w:szCs w:val="21"/>
              </w:rPr>
            </w:pPr>
            <w:r>
              <w:rPr>
                <w:rFonts w:hint="eastAsia" w:ascii="宋体"/>
                <w:b/>
                <w:bCs/>
                <w:sz w:val="21"/>
                <w:szCs w:val="21"/>
              </w:rPr>
              <w:t xml:space="preserve">检查、考核情况</w:t>
            </w:r>
            <w:r/>
          </w:p>
        </w:tc>
        <w:tc>
          <w:tcPr>
            <w:tcBorders>
              <w:top w:val="single" w:color="auto" w:sz="4" w:space="0"/>
              <w:left w:val="single" w:color="auto" w:sz="4" w:space="0"/>
              <w:bottom w:val="single" w:color="auto" w:sz="4" w:space="0"/>
              <w:right w:val="single" w:color="auto" w:sz="4" w:space="0"/>
            </w:tcBorders>
            <w:tcW w:w="406" w:type="pct"/>
            <w:vAlign w:val="center"/>
            <w:textDirection w:val="lrTb"/>
            <w:noWrap w:val="false"/>
          </w:tcPr>
          <w:p>
            <w:pPr>
              <w:ind w:firstLine="0"/>
              <w:jc w:val="center"/>
              <w:spacing w:line="240" w:lineRule="auto"/>
              <w:rPr>
                <w:rFonts w:hint="default" w:ascii="宋体"/>
                <w:b/>
                <w:bCs/>
                <w:sz w:val="21"/>
                <w:szCs w:val="21"/>
              </w:rPr>
            </w:pPr>
            <w:r>
              <w:rPr>
                <w:rFonts w:hint="eastAsia" w:ascii="宋体"/>
                <w:b/>
                <w:bCs/>
                <w:sz w:val="21"/>
                <w:szCs w:val="21"/>
              </w:rPr>
              <w:t xml:space="preserve">单位</w:t>
            </w:r>
            <w:r/>
          </w:p>
        </w:tc>
        <w:tc>
          <w:tcPr>
            <w:tcBorders>
              <w:top w:val="single" w:color="auto" w:sz="4" w:space="0"/>
              <w:left w:val="single" w:color="auto" w:sz="4" w:space="0"/>
              <w:bottom w:val="single" w:color="auto" w:sz="4" w:space="0"/>
              <w:right w:val="single" w:color="auto" w:sz="4" w:space="0"/>
            </w:tcBorders>
            <w:tcW w:w="531" w:type="pct"/>
            <w:vAlign w:val="center"/>
            <w:textDirection w:val="lrTb"/>
            <w:noWrap w:val="false"/>
          </w:tcPr>
          <w:p>
            <w:pPr>
              <w:ind w:firstLine="0"/>
              <w:jc w:val="center"/>
              <w:spacing w:line="240" w:lineRule="auto"/>
              <w:rPr>
                <w:rFonts w:hint="default" w:ascii="宋体"/>
                <w:b/>
                <w:bCs/>
                <w:sz w:val="21"/>
                <w:szCs w:val="21"/>
              </w:rPr>
            </w:pPr>
            <w:r>
              <w:rPr>
                <w:rFonts w:hint="eastAsia" w:ascii="宋体"/>
                <w:b/>
                <w:bCs/>
                <w:sz w:val="21"/>
                <w:szCs w:val="21"/>
              </w:rPr>
              <w:t xml:space="preserve">扣分</w:t>
            </w:r>
            <w:r/>
          </w:p>
        </w:tc>
      </w:tr>
      <w:tr>
        <w:trPr>
          <w:jc w:val="center"/>
          <w:trHeight w:val="325"/>
        </w:trPr>
        <w:tc>
          <w:tcPr>
            <w:tcBorders>
              <w:top w:val="single" w:color="auto" w:sz="4" w:space="0"/>
              <w:left w:val="single" w:color="auto" w:sz="4" w:space="0"/>
              <w:bottom w:val="single" w:color="auto" w:sz="4" w:space="0"/>
              <w:right w:val="single" w:color="auto" w:sz="4" w:space="0"/>
            </w:tcBorders>
            <w:tcW w:w="445" w:type="pct"/>
            <w:vAlign w:val="center"/>
            <w:textDirection w:val="lrTb"/>
            <w:noWrap w:val="false"/>
          </w:tcPr>
          <w:p>
            <w:pPr>
              <w:ind w:firstLine="0"/>
              <w:jc w:val="center"/>
              <w:spacing w:line="240" w:lineRule="auto"/>
              <w:rPr>
                <w:rFonts w:hint="default" w:ascii="宋体"/>
                <w:sz w:val="21"/>
                <w:szCs w:val="21"/>
              </w:rPr>
            </w:pPr>
            <w:r>
              <w:rPr>
                <w:rFonts w:hint="eastAsia" w:ascii="宋体"/>
                <w:sz w:val="21"/>
                <w:szCs w:val="21"/>
              </w:rPr>
              <w:t xml:space="preserve">1</w:t>
            </w:r>
            <w:r/>
          </w:p>
        </w:tc>
        <w:tc>
          <w:tcPr>
            <w:tcBorders>
              <w:top w:val="none" w:color="000000" w:sz="4" w:space="0"/>
              <w:left w:val="single" w:color="auto" w:sz="4" w:space="0"/>
              <w:bottom w:val="single" w:color="auto" w:sz="4" w:space="0"/>
              <w:right w:val="single" w:color="auto" w:sz="4" w:space="0"/>
            </w:tcBorders>
            <w:tcW w:w="834" w:type="pct"/>
            <w:vAlign w:val="center"/>
            <w:vMerge w:val="restart"/>
            <w:textDirection w:val="lrTb"/>
            <w:noWrap w:val="false"/>
          </w:tcPr>
          <w:p>
            <w:pPr>
              <w:ind w:firstLine="0"/>
              <w:jc w:val="center"/>
              <w:spacing w:line="240" w:lineRule="auto"/>
              <w:rPr>
                <w:rFonts w:hint="default" w:ascii="宋体"/>
                <w:sz w:val="21"/>
                <w:szCs w:val="21"/>
              </w:rPr>
            </w:pPr>
            <w:r>
              <w:rPr>
                <w:rFonts w:hint="eastAsia" w:ascii="宋体"/>
                <w:bCs/>
                <w:sz w:val="21"/>
                <w:szCs w:val="21"/>
              </w:rPr>
              <w:t xml:space="preserve">人员车辆在岗情况</w:t>
            </w:r>
            <w:r/>
          </w:p>
        </w:tc>
        <w:tc>
          <w:tcPr>
            <w:tcBorders>
              <w:top w:val="single" w:color="auto" w:sz="4" w:space="0"/>
              <w:left w:val="single" w:color="auto" w:sz="4" w:space="0"/>
              <w:bottom w:val="single" w:color="auto" w:sz="4" w:space="0"/>
              <w:right w:val="single" w:color="auto" w:sz="4" w:space="0"/>
            </w:tcBorders>
            <w:tcW w:w="2784" w:type="pct"/>
            <w:vAlign w:val="center"/>
            <w:textDirection w:val="lrTb"/>
            <w:noWrap w:val="false"/>
          </w:tcPr>
          <w:p>
            <w:pPr>
              <w:ind w:firstLine="0"/>
              <w:jc w:val="left"/>
              <w:spacing w:line="240" w:lineRule="auto"/>
              <w:rPr>
                <w:rFonts w:hint="default" w:ascii="宋体"/>
                <w:sz w:val="21"/>
                <w:szCs w:val="21"/>
              </w:rPr>
            </w:pPr>
            <w:r>
              <w:rPr>
                <w:rFonts w:hint="eastAsia" w:ascii="宋体"/>
                <w:sz w:val="21"/>
                <w:szCs w:val="21"/>
              </w:rPr>
              <w:t xml:space="preserve">维护人员不在岗</w:t>
            </w:r>
            <w:r/>
          </w:p>
        </w:tc>
        <w:tc>
          <w:tcPr>
            <w:tcBorders>
              <w:top w:val="single" w:color="auto" w:sz="4" w:space="0"/>
              <w:left w:val="single" w:color="auto" w:sz="4" w:space="0"/>
              <w:bottom w:val="single" w:color="auto" w:sz="4" w:space="0"/>
              <w:right w:val="single" w:color="auto" w:sz="4" w:space="0"/>
            </w:tcBorders>
            <w:tcW w:w="406" w:type="pct"/>
            <w:vAlign w:val="center"/>
            <w:textDirection w:val="lrTb"/>
            <w:noWrap w:val="false"/>
          </w:tcPr>
          <w:p>
            <w:pPr>
              <w:ind w:firstLine="0"/>
              <w:jc w:val="center"/>
              <w:spacing w:line="240" w:lineRule="auto"/>
              <w:rPr>
                <w:rFonts w:hint="default" w:ascii="宋体"/>
                <w:sz w:val="21"/>
                <w:szCs w:val="21"/>
              </w:rPr>
            </w:pPr>
            <w:r>
              <w:rPr>
                <w:rFonts w:hint="eastAsia" w:ascii="宋体"/>
                <w:sz w:val="21"/>
                <w:szCs w:val="21"/>
              </w:rPr>
              <w:t xml:space="preserve">次</w:t>
            </w:r>
            <w:r/>
          </w:p>
        </w:tc>
        <w:tc>
          <w:tcPr>
            <w:tcBorders>
              <w:top w:val="single" w:color="auto" w:sz="4" w:space="0"/>
              <w:left w:val="single" w:color="auto" w:sz="4" w:space="0"/>
              <w:bottom w:val="single" w:color="auto" w:sz="4" w:space="0"/>
              <w:right w:val="single" w:color="auto" w:sz="4" w:space="0"/>
            </w:tcBorders>
            <w:tcW w:w="531" w:type="pct"/>
            <w:vAlign w:val="center"/>
            <w:textDirection w:val="lrTb"/>
            <w:noWrap w:val="false"/>
          </w:tcPr>
          <w:p>
            <w:pPr>
              <w:ind w:firstLine="0"/>
              <w:jc w:val="center"/>
              <w:spacing w:line="240" w:lineRule="auto"/>
              <w:rPr>
                <w:rFonts w:hint="default" w:ascii="宋体"/>
                <w:sz w:val="21"/>
                <w:szCs w:val="21"/>
              </w:rPr>
            </w:pPr>
            <w:r>
              <w:rPr>
                <w:rFonts w:hint="eastAsia" w:ascii="宋体"/>
                <w:sz w:val="21"/>
                <w:szCs w:val="21"/>
              </w:rPr>
              <w:t xml:space="preserve">0.3</w:t>
            </w:r>
            <w:r/>
          </w:p>
        </w:tc>
      </w:tr>
      <w:tr>
        <w:trPr>
          <w:jc w:val="center"/>
          <w:trHeight w:val="90"/>
        </w:trPr>
        <w:tc>
          <w:tcPr>
            <w:tcBorders>
              <w:top w:val="single" w:color="auto" w:sz="4" w:space="0"/>
              <w:left w:val="single" w:color="auto" w:sz="4" w:space="0"/>
              <w:bottom w:val="single" w:color="auto" w:sz="4" w:space="0"/>
              <w:right w:val="single" w:color="auto" w:sz="4" w:space="0"/>
            </w:tcBorders>
            <w:tcW w:w="445" w:type="pct"/>
            <w:vAlign w:val="center"/>
            <w:textDirection w:val="lrTb"/>
            <w:noWrap w:val="false"/>
          </w:tcPr>
          <w:p>
            <w:pPr>
              <w:ind w:firstLine="0"/>
              <w:jc w:val="center"/>
              <w:spacing w:line="240" w:lineRule="auto"/>
              <w:rPr>
                <w:rFonts w:hint="default" w:ascii="宋体"/>
                <w:sz w:val="21"/>
                <w:szCs w:val="21"/>
              </w:rPr>
            </w:pPr>
            <w:r>
              <w:rPr>
                <w:rFonts w:hint="eastAsia" w:ascii="宋体"/>
                <w:sz w:val="21"/>
                <w:szCs w:val="21"/>
              </w:rPr>
              <w:t xml:space="preserve">2</w:t>
            </w:r>
            <w:r/>
          </w:p>
        </w:tc>
        <w:tc>
          <w:tcPr>
            <w:tcBorders>
              <w:top w:val="none" w:color="000000" w:sz="4" w:space="0"/>
              <w:left w:val="single" w:color="auto" w:sz="4" w:space="0"/>
              <w:bottom w:val="single" w:color="auto" w:sz="4" w:space="0"/>
              <w:right w:val="single" w:color="auto" w:sz="4" w:space="0"/>
            </w:tcBorders>
            <w:tcW w:w="834" w:type="pct"/>
            <w:vAlign w:val="center"/>
            <w:vMerge w:val="continue"/>
            <w:textDirection w:val="lrTb"/>
            <w:noWrap w:val="false"/>
          </w:tcPr>
          <w:p>
            <w:pPr>
              <w:ind w:firstLine="0"/>
              <w:jc w:val="center"/>
              <w:spacing w:line="240" w:lineRule="auto"/>
              <w:rPr>
                <w:rFonts w:hint="default" w:ascii="宋体"/>
                <w:sz w:val="21"/>
                <w:szCs w:val="21"/>
              </w:rPr>
            </w:pPr>
            <w:r>
              <w:rPr>
                <w:rFonts w:hint="default" w:ascii="宋体"/>
                <w:sz w:val="21"/>
                <w:szCs w:val="21"/>
              </w:rPr>
            </w:r>
            <w:r/>
          </w:p>
        </w:tc>
        <w:tc>
          <w:tcPr>
            <w:tcBorders>
              <w:top w:val="single" w:color="auto" w:sz="4" w:space="0"/>
              <w:left w:val="single" w:color="auto" w:sz="4" w:space="0"/>
              <w:bottom w:val="single" w:color="auto" w:sz="4" w:space="0"/>
              <w:right w:val="single" w:color="auto" w:sz="4" w:space="0"/>
            </w:tcBorders>
            <w:tcW w:w="2784" w:type="pct"/>
            <w:vAlign w:val="center"/>
            <w:textDirection w:val="lrTb"/>
            <w:noWrap w:val="false"/>
          </w:tcPr>
          <w:p>
            <w:pPr>
              <w:ind w:firstLine="0"/>
              <w:jc w:val="left"/>
              <w:spacing w:line="240" w:lineRule="auto"/>
              <w:rPr>
                <w:rFonts w:hint="default" w:ascii="宋体"/>
                <w:sz w:val="21"/>
                <w:szCs w:val="21"/>
              </w:rPr>
            </w:pPr>
            <w:r>
              <w:rPr>
                <w:rFonts w:hint="eastAsia" w:ascii="宋体"/>
                <w:sz w:val="21"/>
                <w:szCs w:val="21"/>
              </w:rPr>
              <w:t xml:space="preserve">巡检车辆运行轨迹不完整或缺失</w:t>
            </w:r>
            <w:r/>
          </w:p>
        </w:tc>
        <w:tc>
          <w:tcPr>
            <w:tcBorders>
              <w:top w:val="single" w:color="auto" w:sz="4" w:space="0"/>
              <w:left w:val="single" w:color="auto" w:sz="4" w:space="0"/>
              <w:bottom w:val="single" w:color="auto" w:sz="4" w:space="0"/>
              <w:right w:val="single" w:color="auto" w:sz="4" w:space="0"/>
            </w:tcBorders>
            <w:tcW w:w="406" w:type="pct"/>
            <w:vAlign w:val="center"/>
            <w:textDirection w:val="lrTb"/>
            <w:noWrap w:val="false"/>
          </w:tcPr>
          <w:p>
            <w:pPr>
              <w:ind w:firstLine="0"/>
              <w:jc w:val="center"/>
              <w:spacing w:line="240" w:lineRule="auto"/>
              <w:rPr>
                <w:rFonts w:hint="default" w:ascii="宋体"/>
                <w:sz w:val="21"/>
                <w:szCs w:val="21"/>
              </w:rPr>
            </w:pPr>
            <w:r>
              <w:rPr>
                <w:rFonts w:hint="eastAsia" w:ascii="宋体"/>
                <w:sz w:val="21"/>
                <w:szCs w:val="21"/>
              </w:rPr>
              <w:t xml:space="preserve">次</w:t>
            </w:r>
            <w:r/>
          </w:p>
        </w:tc>
        <w:tc>
          <w:tcPr>
            <w:tcBorders>
              <w:top w:val="single" w:color="auto" w:sz="4" w:space="0"/>
              <w:left w:val="single" w:color="auto" w:sz="4" w:space="0"/>
              <w:bottom w:val="single" w:color="auto" w:sz="4" w:space="0"/>
              <w:right w:val="single" w:color="auto" w:sz="4" w:space="0"/>
            </w:tcBorders>
            <w:tcW w:w="531" w:type="pct"/>
            <w:vAlign w:val="center"/>
            <w:textDirection w:val="lrTb"/>
            <w:noWrap w:val="false"/>
          </w:tcPr>
          <w:p>
            <w:pPr>
              <w:ind w:firstLine="0"/>
              <w:jc w:val="center"/>
              <w:spacing w:line="240" w:lineRule="auto"/>
              <w:rPr>
                <w:rFonts w:hint="default" w:ascii="宋体"/>
                <w:sz w:val="21"/>
                <w:szCs w:val="21"/>
              </w:rPr>
            </w:pPr>
            <w:r>
              <w:rPr>
                <w:rFonts w:hint="eastAsia" w:ascii="宋体"/>
                <w:sz w:val="21"/>
                <w:szCs w:val="21"/>
              </w:rPr>
              <w:t xml:space="preserve">0.1</w:t>
            </w:r>
            <w:r/>
          </w:p>
        </w:tc>
      </w:tr>
      <w:tr>
        <w:trPr>
          <w:jc w:val="center"/>
        </w:trPr>
        <w:tc>
          <w:tcPr>
            <w:tcBorders>
              <w:top w:val="single" w:color="auto" w:sz="4" w:space="0"/>
              <w:left w:val="single" w:color="auto" w:sz="4" w:space="0"/>
              <w:bottom w:val="single" w:color="auto" w:sz="4" w:space="0"/>
              <w:right w:val="single" w:color="auto" w:sz="4" w:space="0"/>
            </w:tcBorders>
            <w:tcW w:w="445" w:type="pct"/>
            <w:vAlign w:val="center"/>
            <w:textDirection w:val="lrTb"/>
            <w:noWrap w:val="false"/>
          </w:tcPr>
          <w:p>
            <w:pPr>
              <w:ind w:firstLine="0"/>
              <w:jc w:val="center"/>
              <w:spacing w:line="240" w:lineRule="auto"/>
              <w:rPr>
                <w:rFonts w:hint="default" w:ascii="宋体"/>
                <w:sz w:val="21"/>
                <w:szCs w:val="21"/>
              </w:rPr>
            </w:pPr>
            <w:r>
              <w:rPr>
                <w:rFonts w:hint="eastAsia" w:ascii="宋体"/>
                <w:sz w:val="21"/>
                <w:szCs w:val="21"/>
              </w:rPr>
              <w:t xml:space="preserve">3</w:t>
            </w:r>
            <w:r/>
          </w:p>
        </w:tc>
        <w:tc>
          <w:tcPr>
            <w:tcBorders>
              <w:top w:val="none" w:color="000000" w:sz="4" w:space="0"/>
              <w:left w:val="single" w:color="auto" w:sz="4" w:space="0"/>
              <w:bottom w:val="single" w:color="auto" w:sz="4" w:space="0"/>
              <w:right w:val="single" w:color="auto" w:sz="4" w:space="0"/>
            </w:tcBorders>
            <w:tcW w:w="834" w:type="pct"/>
            <w:vAlign w:val="center"/>
            <w:vMerge w:val="continue"/>
            <w:textDirection w:val="lrTb"/>
            <w:noWrap w:val="false"/>
          </w:tcPr>
          <w:p>
            <w:pPr>
              <w:ind w:firstLine="0"/>
              <w:jc w:val="center"/>
              <w:spacing w:line="240" w:lineRule="auto"/>
              <w:rPr>
                <w:rFonts w:hint="default" w:ascii="宋体"/>
                <w:sz w:val="21"/>
                <w:szCs w:val="21"/>
              </w:rPr>
            </w:pPr>
            <w:r>
              <w:rPr>
                <w:rFonts w:hint="default" w:ascii="宋体"/>
                <w:sz w:val="21"/>
                <w:szCs w:val="21"/>
              </w:rPr>
            </w:r>
            <w:r/>
          </w:p>
        </w:tc>
        <w:tc>
          <w:tcPr>
            <w:tcBorders>
              <w:top w:val="single" w:color="auto" w:sz="4" w:space="0"/>
              <w:left w:val="single" w:color="auto" w:sz="4" w:space="0"/>
              <w:bottom w:val="single" w:color="auto" w:sz="4" w:space="0"/>
              <w:right w:val="single" w:color="auto" w:sz="4" w:space="0"/>
            </w:tcBorders>
            <w:tcW w:w="2784" w:type="pct"/>
            <w:vAlign w:val="center"/>
            <w:textDirection w:val="lrTb"/>
            <w:noWrap w:val="false"/>
          </w:tcPr>
          <w:p>
            <w:pPr>
              <w:ind w:firstLine="0"/>
              <w:jc w:val="left"/>
              <w:spacing w:line="240" w:lineRule="auto"/>
              <w:rPr>
                <w:rFonts w:hint="default" w:ascii="宋体"/>
                <w:sz w:val="21"/>
                <w:szCs w:val="21"/>
              </w:rPr>
            </w:pPr>
            <w:r>
              <w:rPr>
                <w:rFonts w:hint="eastAsia" w:ascii="宋体"/>
                <w:sz w:val="21"/>
                <w:szCs w:val="21"/>
              </w:rPr>
              <w:t xml:space="preserve">路口巡检频次不达标的</w:t>
            </w:r>
            <w:r/>
          </w:p>
        </w:tc>
        <w:tc>
          <w:tcPr>
            <w:tcBorders>
              <w:top w:val="single" w:color="auto" w:sz="4" w:space="0"/>
              <w:left w:val="single" w:color="auto" w:sz="4" w:space="0"/>
              <w:bottom w:val="single" w:color="auto" w:sz="4" w:space="0"/>
              <w:right w:val="single" w:color="auto" w:sz="4" w:space="0"/>
            </w:tcBorders>
            <w:tcW w:w="406" w:type="pct"/>
            <w:vAlign w:val="center"/>
            <w:textDirection w:val="lrTb"/>
            <w:noWrap w:val="false"/>
          </w:tcPr>
          <w:p>
            <w:pPr>
              <w:ind w:firstLine="0"/>
              <w:jc w:val="center"/>
              <w:spacing w:line="240" w:lineRule="auto"/>
              <w:rPr>
                <w:rFonts w:hint="default" w:ascii="宋体"/>
                <w:sz w:val="21"/>
                <w:szCs w:val="21"/>
              </w:rPr>
            </w:pPr>
            <w:r>
              <w:rPr>
                <w:rFonts w:hint="eastAsia" w:ascii="宋体"/>
                <w:sz w:val="21"/>
                <w:szCs w:val="21"/>
              </w:rPr>
              <w:t xml:space="preserve">天</w:t>
            </w:r>
            <w:r/>
          </w:p>
        </w:tc>
        <w:tc>
          <w:tcPr>
            <w:tcBorders>
              <w:top w:val="single" w:color="auto" w:sz="4" w:space="0"/>
              <w:left w:val="single" w:color="auto" w:sz="4" w:space="0"/>
              <w:bottom w:val="single" w:color="auto" w:sz="4" w:space="0"/>
              <w:right w:val="single" w:color="auto" w:sz="4" w:space="0"/>
            </w:tcBorders>
            <w:tcW w:w="531" w:type="pct"/>
            <w:vAlign w:val="center"/>
            <w:textDirection w:val="lrTb"/>
            <w:noWrap w:val="false"/>
          </w:tcPr>
          <w:p>
            <w:pPr>
              <w:ind w:firstLine="0"/>
              <w:jc w:val="center"/>
              <w:spacing w:line="240" w:lineRule="auto"/>
              <w:rPr>
                <w:rFonts w:hint="default" w:ascii="宋体"/>
                <w:sz w:val="21"/>
                <w:szCs w:val="21"/>
              </w:rPr>
            </w:pPr>
            <w:r>
              <w:rPr>
                <w:rFonts w:hint="eastAsia" w:ascii="宋体"/>
                <w:sz w:val="21"/>
                <w:szCs w:val="21"/>
              </w:rPr>
              <w:t xml:space="preserve">0.1</w:t>
            </w:r>
            <w:r/>
          </w:p>
        </w:tc>
      </w:tr>
      <w:tr>
        <w:trPr>
          <w:jc w:val="center"/>
        </w:trPr>
        <w:tc>
          <w:tcPr>
            <w:tcBorders>
              <w:top w:val="single" w:color="auto" w:sz="4" w:space="0"/>
              <w:left w:val="single" w:color="auto" w:sz="4" w:space="0"/>
              <w:bottom w:val="single" w:color="auto" w:sz="4" w:space="0"/>
              <w:right w:val="single" w:color="auto" w:sz="4" w:space="0"/>
            </w:tcBorders>
            <w:tcW w:w="445" w:type="pct"/>
            <w:vAlign w:val="center"/>
            <w:textDirection w:val="lrTb"/>
            <w:noWrap w:val="false"/>
          </w:tcPr>
          <w:p>
            <w:pPr>
              <w:ind w:firstLine="0"/>
              <w:jc w:val="center"/>
              <w:spacing w:line="240" w:lineRule="auto"/>
              <w:rPr>
                <w:rFonts w:hint="default" w:ascii="宋体"/>
                <w:sz w:val="21"/>
                <w:szCs w:val="21"/>
              </w:rPr>
            </w:pPr>
            <w:r>
              <w:rPr>
                <w:rFonts w:hint="eastAsia" w:ascii="宋体"/>
                <w:sz w:val="21"/>
                <w:szCs w:val="21"/>
              </w:rPr>
              <w:t xml:space="preserve">4</w:t>
            </w:r>
            <w:r/>
          </w:p>
        </w:tc>
        <w:tc>
          <w:tcPr>
            <w:tcBorders>
              <w:top w:val="none" w:color="000000" w:sz="4" w:space="0"/>
              <w:left w:val="single" w:color="auto" w:sz="4" w:space="0"/>
              <w:bottom w:val="single" w:color="auto" w:sz="4" w:space="0"/>
              <w:right w:val="single" w:color="auto" w:sz="4" w:space="0"/>
            </w:tcBorders>
            <w:tcW w:w="834" w:type="pct"/>
            <w:vAlign w:val="center"/>
            <w:vMerge w:val="continue"/>
            <w:textDirection w:val="lrTb"/>
            <w:noWrap w:val="false"/>
          </w:tcPr>
          <w:p>
            <w:pPr>
              <w:ind w:firstLine="0"/>
              <w:jc w:val="center"/>
              <w:spacing w:line="240" w:lineRule="auto"/>
              <w:rPr>
                <w:rFonts w:hint="default" w:ascii="宋体"/>
                <w:sz w:val="21"/>
                <w:szCs w:val="21"/>
              </w:rPr>
            </w:pPr>
            <w:r>
              <w:rPr>
                <w:rFonts w:hint="default" w:ascii="宋体"/>
                <w:sz w:val="21"/>
                <w:szCs w:val="21"/>
              </w:rPr>
            </w:r>
            <w:r/>
          </w:p>
        </w:tc>
        <w:tc>
          <w:tcPr>
            <w:tcBorders>
              <w:top w:val="single" w:color="auto" w:sz="4" w:space="0"/>
              <w:left w:val="single" w:color="auto" w:sz="4" w:space="0"/>
              <w:bottom w:val="single" w:color="auto" w:sz="4" w:space="0"/>
              <w:right w:val="single" w:color="auto" w:sz="4" w:space="0"/>
            </w:tcBorders>
            <w:tcW w:w="2784" w:type="pct"/>
            <w:vAlign w:val="center"/>
            <w:textDirection w:val="lrTb"/>
            <w:noWrap w:val="false"/>
          </w:tcPr>
          <w:p>
            <w:pPr>
              <w:ind w:firstLine="0"/>
              <w:jc w:val="left"/>
              <w:spacing w:line="240" w:lineRule="auto"/>
              <w:rPr>
                <w:rFonts w:hint="default" w:ascii="宋体"/>
                <w:sz w:val="21"/>
                <w:szCs w:val="21"/>
              </w:rPr>
            </w:pPr>
            <w:r>
              <w:rPr>
                <w:rFonts w:hint="eastAsia" w:ascii="宋体"/>
                <w:sz w:val="21"/>
                <w:szCs w:val="21"/>
              </w:rPr>
              <w:t xml:space="preserve">巡检车辆无故驶离服务范围</w:t>
            </w:r>
            <w:r/>
          </w:p>
        </w:tc>
        <w:tc>
          <w:tcPr>
            <w:tcBorders>
              <w:top w:val="single" w:color="auto" w:sz="4" w:space="0"/>
              <w:left w:val="single" w:color="auto" w:sz="4" w:space="0"/>
              <w:bottom w:val="single" w:color="auto" w:sz="4" w:space="0"/>
              <w:right w:val="single" w:color="auto" w:sz="4" w:space="0"/>
            </w:tcBorders>
            <w:tcW w:w="406" w:type="pct"/>
            <w:vAlign w:val="center"/>
            <w:textDirection w:val="lrTb"/>
            <w:noWrap w:val="false"/>
          </w:tcPr>
          <w:p>
            <w:pPr>
              <w:ind w:firstLine="0"/>
              <w:jc w:val="center"/>
              <w:spacing w:line="240" w:lineRule="auto"/>
              <w:rPr>
                <w:rFonts w:hint="default" w:ascii="宋体"/>
                <w:sz w:val="21"/>
                <w:szCs w:val="21"/>
              </w:rPr>
            </w:pPr>
            <w:r>
              <w:rPr>
                <w:rFonts w:hint="eastAsia" w:ascii="宋体"/>
                <w:sz w:val="21"/>
                <w:szCs w:val="21"/>
              </w:rPr>
              <w:t xml:space="preserve">次</w:t>
            </w:r>
            <w:r/>
          </w:p>
        </w:tc>
        <w:tc>
          <w:tcPr>
            <w:tcBorders>
              <w:top w:val="single" w:color="auto" w:sz="4" w:space="0"/>
              <w:left w:val="single" w:color="auto" w:sz="4" w:space="0"/>
              <w:bottom w:val="single" w:color="auto" w:sz="4" w:space="0"/>
              <w:right w:val="single" w:color="auto" w:sz="4" w:space="0"/>
            </w:tcBorders>
            <w:tcW w:w="531" w:type="pct"/>
            <w:vAlign w:val="center"/>
            <w:textDirection w:val="lrTb"/>
            <w:noWrap w:val="false"/>
          </w:tcPr>
          <w:p>
            <w:pPr>
              <w:ind w:firstLine="0"/>
              <w:jc w:val="center"/>
              <w:spacing w:line="240" w:lineRule="auto"/>
              <w:rPr>
                <w:rFonts w:hint="default" w:ascii="宋体"/>
                <w:sz w:val="21"/>
                <w:szCs w:val="21"/>
              </w:rPr>
            </w:pPr>
            <w:r>
              <w:rPr>
                <w:rFonts w:hint="eastAsia" w:ascii="宋体"/>
                <w:sz w:val="21"/>
                <w:szCs w:val="21"/>
              </w:rPr>
              <w:t xml:space="preserve">0.2</w:t>
            </w:r>
            <w:r/>
          </w:p>
        </w:tc>
      </w:tr>
      <w:tr>
        <w:trPr>
          <w:jc w:val="center"/>
        </w:trPr>
        <w:tc>
          <w:tcPr>
            <w:tcBorders>
              <w:top w:val="single" w:color="auto" w:sz="4" w:space="0"/>
              <w:left w:val="single" w:color="auto" w:sz="4" w:space="0"/>
              <w:bottom w:val="single" w:color="auto" w:sz="4" w:space="0"/>
              <w:right w:val="single" w:color="auto" w:sz="4" w:space="0"/>
            </w:tcBorders>
            <w:tcW w:w="445" w:type="pct"/>
            <w:vAlign w:val="center"/>
            <w:textDirection w:val="lrTb"/>
            <w:noWrap w:val="false"/>
          </w:tcPr>
          <w:p>
            <w:pPr>
              <w:ind w:firstLine="0"/>
              <w:jc w:val="center"/>
              <w:spacing w:line="240" w:lineRule="auto"/>
              <w:rPr>
                <w:rFonts w:hint="default" w:ascii="宋体"/>
                <w:sz w:val="21"/>
                <w:szCs w:val="21"/>
              </w:rPr>
            </w:pPr>
            <w:r>
              <w:rPr>
                <w:rFonts w:hint="eastAsia" w:ascii="宋体"/>
                <w:sz w:val="21"/>
                <w:szCs w:val="21"/>
              </w:rPr>
              <w:t xml:space="preserve">5</w:t>
            </w:r>
            <w:r/>
          </w:p>
        </w:tc>
        <w:tc>
          <w:tcPr>
            <w:tcBorders>
              <w:top w:val="none" w:color="000000" w:sz="4" w:space="0"/>
              <w:left w:val="single" w:color="auto" w:sz="4" w:space="0"/>
              <w:bottom w:val="single" w:color="auto" w:sz="4" w:space="0"/>
              <w:right w:val="single" w:color="auto" w:sz="4" w:space="0"/>
            </w:tcBorders>
            <w:tcW w:w="834" w:type="pct"/>
            <w:vAlign w:val="center"/>
            <w:vMerge w:val="continue"/>
            <w:textDirection w:val="lrTb"/>
            <w:noWrap w:val="false"/>
          </w:tcPr>
          <w:p>
            <w:pPr>
              <w:ind w:firstLine="0"/>
              <w:jc w:val="center"/>
              <w:spacing w:line="240" w:lineRule="auto"/>
              <w:rPr>
                <w:rFonts w:hint="default" w:ascii="宋体"/>
                <w:sz w:val="21"/>
                <w:szCs w:val="21"/>
              </w:rPr>
            </w:pPr>
            <w:r>
              <w:rPr>
                <w:rFonts w:hint="default" w:ascii="宋体"/>
                <w:sz w:val="21"/>
                <w:szCs w:val="21"/>
              </w:rPr>
            </w:r>
            <w:r/>
          </w:p>
        </w:tc>
        <w:tc>
          <w:tcPr>
            <w:tcBorders>
              <w:top w:val="single" w:color="auto" w:sz="4" w:space="0"/>
              <w:left w:val="single" w:color="auto" w:sz="4" w:space="0"/>
              <w:bottom w:val="single" w:color="auto" w:sz="4" w:space="0"/>
              <w:right w:val="single" w:color="auto" w:sz="4" w:space="0"/>
            </w:tcBorders>
            <w:tcW w:w="2784" w:type="pct"/>
            <w:vAlign w:val="center"/>
            <w:textDirection w:val="lrTb"/>
            <w:noWrap w:val="false"/>
          </w:tcPr>
          <w:p>
            <w:pPr>
              <w:ind w:firstLine="0"/>
              <w:jc w:val="left"/>
              <w:spacing w:line="240" w:lineRule="auto"/>
              <w:rPr>
                <w:rFonts w:hint="default" w:ascii="宋体"/>
                <w:sz w:val="21"/>
                <w:szCs w:val="21"/>
              </w:rPr>
            </w:pPr>
            <w:r>
              <w:rPr>
                <w:rFonts w:hint="eastAsia" w:ascii="宋体"/>
                <w:sz w:val="21"/>
                <w:szCs w:val="21"/>
              </w:rPr>
              <w:t xml:space="preserve">巡检车辆从事与本项目无关的业务</w:t>
            </w:r>
            <w:r/>
          </w:p>
        </w:tc>
        <w:tc>
          <w:tcPr>
            <w:tcBorders>
              <w:top w:val="single" w:color="auto" w:sz="4" w:space="0"/>
              <w:left w:val="single" w:color="auto" w:sz="4" w:space="0"/>
              <w:bottom w:val="single" w:color="auto" w:sz="4" w:space="0"/>
              <w:right w:val="single" w:color="auto" w:sz="4" w:space="0"/>
            </w:tcBorders>
            <w:tcW w:w="406" w:type="pct"/>
            <w:vAlign w:val="center"/>
            <w:textDirection w:val="lrTb"/>
            <w:noWrap w:val="false"/>
          </w:tcPr>
          <w:p>
            <w:pPr>
              <w:ind w:firstLine="0"/>
              <w:jc w:val="center"/>
              <w:spacing w:line="240" w:lineRule="auto"/>
              <w:rPr>
                <w:rFonts w:hint="default" w:ascii="宋体"/>
                <w:sz w:val="21"/>
                <w:szCs w:val="21"/>
              </w:rPr>
            </w:pPr>
            <w:r>
              <w:rPr>
                <w:rFonts w:hint="eastAsia" w:ascii="宋体"/>
                <w:sz w:val="21"/>
                <w:szCs w:val="21"/>
              </w:rPr>
              <w:t xml:space="preserve">次</w:t>
            </w:r>
            <w:r/>
          </w:p>
        </w:tc>
        <w:tc>
          <w:tcPr>
            <w:tcBorders>
              <w:top w:val="single" w:color="auto" w:sz="4" w:space="0"/>
              <w:left w:val="single" w:color="auto" w:sz="4" w:space="0"/>
              <w:bottom w:val="single" w:color="auto" w:sz="4" w:space="0"/>
              <w:right w:val="single" w:color="auto" w:sz="4" w:space="0"/>
            </w:tcBorders>
            <w:tcW w:w="531" w:type="pct"/>
            <w:vAlign w:val="center"/>
            <w:textDirection w:val="lrTb"/>
            <w:noWrap w:val="false"/>
          </w:tcPr>
          <w:p>
            <w:pPr>
              <w:ind w:firstLine="0"/>
              <w:jc w:val="center"/>
              <w:spacing w:line="240" w:lineRule="auto"/>
              <w:rPr>
                <w:rFonts w:hint="default" w:ascii="宋体"/>
                <w:sz w:val="21"/>
                <w:szCs w:val="21"/>
              </w:rPr>
            </w:pPr>
            <w:r>
              <w:rPr>
                <w:rFonts w:hint="eastAsia" w:ascii="宋体"/>
                <w:sz w:val="21"/>
                <w:szCs w:val="21"/>
              </w:rPr>
              <w:t xml:space="preserve">0.1</w:t>
            </w:r>
            <w:r/>
          </w:p>
        </w:tc>
      </w:tr>
      <w:tr>
        <w:trPr>
          <w:jc w:val="center"/>
        </w:trPr>
        <w:tc>
          <w:tcPr>
            <w:tcBorders>
              <w:top w:val="single" w:color="auto" w:sz="4" w:space="0"/>
              <w:left w:val="single" w:color="auto" w:sz="4" w:space="0"/>
              <w:bottom w:val="single" w:color="auto" w:sz="4" w:space="0"/>
              <w:right w:val="single" w:color="auto" w:sz="4" w:space="0"/>
            </w:tcBorders>
            <w:tcW w:w="445" w:type="pct"/>
            <w:vAlign w:val="center"/>
            <w:textDirection w:val="lrTb"/>
            <w:noWrap w:val="false"/>
          </w:tcPr>
          <w:p>
            <w:pPr>
              <w:ind w:firstLine="0"/>
              <w:jc w:val="center"/>
              <w:spacing w:line="240" w:lineRule="auto"/>
              <w:rPr>
                <w:rFonts w:hint="default" w:ascii="宋体"/>
                <w:sz w:val="21"/>
                <w:szCs w:val="21"/>
              </w:rPr>
            </w:pPr>
            <w:r>
              <w:rPr>
                <w:rFonts w:hint="eastAsia" w:ascii="宋体"/>
                <w:sz w:val="21"/>
                <w:szCs w:val="21"/>
              </w:rPr>
              <w:t xml:space="preserve">6</w:t>
            </w:r>
            <w:r/>
          </w:p>
        </w:tc>
        <w:tc>
          <w:tcPr>
            <w:tcBorders>
              <w:top w:val="none" w:color="000000" w:sz="4" w:space="0"/>
              <w:left w:val="single" w:color="auto" w:sz="4" w:space="0"/>
              <w:bottom w:val="single" w:color="auto" w:sz="4" w:space="0"/>
              <w:right w:val="single" w:color="auto" w:sz="4" w:space="0"/>
            </w:tcBorders>
            <w:tcW w:w="834" w:type="pct"/>
            <w:vAlign w:val="center"/>
            <w:vMerge w:val="continue"/>
            <w:textDirection w:val="lrTb"/>
            <w:noWrap w:val="false"/>
          </w:tcPr>
          <w:p>
            <w:pPr>
              <w:ind w:firstLine="0"/>
              <w:jc w:val="center"/>
              <w:spacing w:line="240" w:lineRule="auto"/>
              <w:rPr>
                <w:rFonts w:hint="default" w:ascii="宋体"/>
                <w:sz w:val="21"/>
                <w:szCs w:val="21"/>
              </w:rPr>
            </w:pPr>
            <w:r>
              <w:rPr>
                <w:rFonts w:hint="default" w:ascii="宋体"/>
                <w:sz w:val="21"/>
                <w:szCs w:val="21"/>
              </w:rPr>
            </w:r>
            <w:r/>
          </w:p>
        </w:tc>
        <w:tc>
          <w:tcPr>
            <w:tcBorders>
              <w:top w:val="single" w:color="auto" w:sz="4" w:space="0"/>
              <w:left w:val="single" w:color="auto" w:sz="4" w:space="0"/>
              <w:bottom w:val="single" w:color="auto" w:sz="4" w:space="0"/>
              <w:right w:val="single" w:color="auto" w:sz="4" w:space="0"/>
            </w:tcBorders>
            <w:tcW w:w="2784" w:type="pct"/>
            <w:vAlign w:val="center"/>
            <w:textDirection w:val="lrTb"/>
            <w:noWrap w:val="false"/>
          </w:tcPr>
          <w:p>
            <w:pPr>
              <w:ind w:firstLine="0"/>
              <w:jc w:val="left"/>
              <w:spacing w:line="240" w:lineRule="auto"/>
              <w:rPr>
                <w:rFonts w:hint="default" w:ascii="宋体"/>
                <w:sz w:val="21"/>
                <w:szCs w:val="21"/>
              </w:rPr>
            </w:pPr>
            <w:r>
              <w:rPr>
                <w:rFonts w:hint="eastAsia" w:ascii="宋体"/>
                <w:sz w:val="21"/>
                <w:szCs w:val="21"/>
              </w:rPr>
              <w:t xml:space="preserve">维保团队人员通讯失联超过5分钟</w:t>
            </w:r>
            <w:r/>
          </w:p>
        </w:tc>
        <w:tc>
          <w:tcPr>
            <w:tcBorders>
              <w:top w:val="single" w:color="auto" w:sz="4" w:space="0"/>
              <w:left w:val="single" w:color="auto" w:sz="4" w:space="0"/>
              <w:bottom w:val="single" w:color="auto" w:sz="4" w:space="0"/>
              <w:right w:val="single" w:color="auto" w:sz="4" w:space="0"/>
            </w:tcBorders>
            <w:tcW w:w="406" w:type="pct"/>
            <w:vAlign w:val="center"/>
            <w:textDirection w:val="lrTb"/>
            <w:noWrap w:val="false"/>
          </w:tcPr>
          <w:p>
            <w:pPr>
              <w:ind w:firstLine="0"/>
              <w:jc w:val="center"/>
              <w:spacing w:line="240" w:lineRule="auto"/>
              <w:rPr>
                <w:rFonts w:hint="default" w:ascii="宋体"/>
                <w:sz w:val="21"/>
                <w:szCs w:val="21"/>
              </w:rPr>
            </w:pPr>
            <w:r>
              <w:rPr>
                <w:rFonts w:hint="eastAsia" w:ascii="宋体"/>
                <w:sz w:val="21"/>
                <w:szCs w:val="21"/>
              </w:rPr>
              <w:t xml:space="preserve">次</w:t>
            </w:r>
            <w:r/>
          </w:p>
        </w:tc>
        <w:tc>
          <w:tcPr>
            <w:tcBorders>
              <w:top w:val="single" w:color="auto" w:sz="4" w:space="0"/>
              <w:left w:val="single" w:color="auto" w:sz="4" w:space="0"/>
              <w:bottom w:val="single" w:color="auto" w:sz="4" w:space="0"/>
              <w:right w:val="single" w:color="auto" w:sz="4" w:space="0"/>
            </w:tcBorders>
            <w:tcW w:w="531" w:type="pct"/>
            <w:vAlign w:val="center"/>
            <w:textDirection w:val="lrTb"/>
            <w:noWrap w:val="false"/>
          </w:tcPr>
          <w:p>
            <w:pPr>
              <w:ind w:firstLine="0"/>
              <w:jc w:val="center"/>
              <w:spacing w:line="240" w:lineRule="auto"/>
              <w:rPr>
                <w:rFonts w:hint="default" w:ascii="宋体"/>
                <w:sz w:val="21"/>
                <w:szCs w:val="21"/>
              </w:rPr>
            </w:pPr>
            <w:r>
              <w:rPr>
                <w:rFonts w:hint="eastAsia" w:ascii="宋体"/>
                <w:sz w:val="21"/>
                <w:szCs w:val="21"/>
              </w:rPr>
              <w:t xml:space="preserve">0.1</w:t>
            </w:r>
            <w:r/>
          </w:p>
        </w:tc>
      </w:tr>
      <w:tr>
        <w:trPr>
          <w:jc w:val="center"/>
          <w:trHeight w:val="90"/>
        </w:trPr>
        <w:tc>
          <w:tcPr>
            <w:tcBorders>
              <w:top w:val="single" w:color="auto" w:sz="4" w:space="0"/>
              <w:left w:val="single" w:color="auto" w:sz="4" w:space="0"/>
              <w:bottom w:val="single" w:color="auto" w:sz="4" w:space="0"/>
              <w:right w:val="single" w:color="auto" w:sz="4" w:space="0"/>
            </w:tcBorders>
            <w:tcW w:w="445" w:type="pct"/>
            <w:vAlign w:val="center"/>
            <w:textDirection w:val="lrTb"/>
            <w:noWrap w:val="false"/>
          </w:tcPr>
          <w:p>
            <w:pPr>
              <w:ind w:firstLine="0"/>
              <w:jc w:val="center"/>
              <w:spacing w:line="240" w:lineRule="auto"/>
              <w:rPr>
                <w:rFonts w:hint="default" w:ascii="宋体"/>
                <w:sz w:val="21"/>
                <w:szCs w:val="21"/>
              </w:rPr>
            </w:pPr>
            <w:r>
              <w:rPr>
                <w:rFonts w:hint="eastAsia" w:ascii="宋体"/>
                <w:sz w:val="21"/>
                <w:szCs w:val="21"/>
              </w:rPr>
              <w:t xml:space="preserve">7</w:t>
            </w:r>
            <w:r/>
          </w:p>
        </w:tc>
        <w:tc>
          <w:tcPr>
            <w:tcBorders>
              <w:top w:val="none" w:color="000000" w:sz="4" w:space="0"/>
              <w:left w:val="single" w:color="auto" w:sz="4" w:space="0"/>
              <w:bottom w:val="single" w:color="auto" w:sz="4" w:space="0"/>
              <w:right w:val="single" w:color="auto" w:sz="4" w:space="0"/>
            </w:tcBorders>
            <w:tcW w:w="834" w:type="pct"/>
            <w:vAlign w:val="center"/>
            <w:vMerge w:val="continue"/>
            <w:textDirection w:val="lrTb"/>
            <w:noWrap w:val="false"/>
          </w:tcPr>
          <w:p>
            <w:pPr>
              <w:ind w:firstLine="0"/>
              <w:jc w:val="center"/>
              <w:spacing w:line="240" w:lineRule="auto"/>
              <w:rPr>
                <w:rFonts w:hint="default" w:ascii="宋体"/>
                <w:sz w:val="21"/>
                <w:szCs w:val="21"/>
              </w:rPr>
            </w:pPr>
            <w:r>
              <w:rPr>
                <w:rFonts w:hint="default" w:ascii="宋体"/>
                <w:sz w:val="21"/>
                <w:szCs w:val="21"/>
              </w:rPr>
            </w:r>
            <w:r/>
          </w:p>
        </w:tc>
        <w:tc>
          <w:tcPr>
            <w:tcBorders>
              <w:top w:val="single" w:color="auto" w:sz="4" w:space="0"/>
              <w:left w:val="single" w:color="auto" w:sz="4" w:space="0"/>
              <w:bottom w:val="single" w:color="auto" w:sz="4" w:space="0"/>
              <w:right w:val="single" w:color="auto" w:sz="4" w:space="0"/>
            </w:tcBorders>
            <w:tcW w:w="2784" w:type="pct"/>
            <w:vAlign w:val="center"/>
            <w:textDirection w:val="lrTb"/>
            <w:noWrap w:val="false"/>
          </w:tcPr>
          <w:p>
            <w:pPr>
              <w:ind w:firstLine="0"/>
              <w:jc w:val="left"/>
              <w:spacing w:line="240" w:lineRule="auto"/>
              <w:rPr>
                <w:rFonts w:hint="default" w:ascii="宋体"/>
                <w:sz w:val="21"/>
                <w:szCs w:val="21"/>
              </w:rPr>
            </w:pPr>
            <w:r>
              <w:rPr>
                <w:rFonts w:hint="eastAsia" w:ascii="宋体"/>
                <w:sz w:val="21"/>
                <w:szCs w:val="21"/>
              </w:rPr>
              <w:t xml:space="preserve">接任务后超过规定时间到达现场的</w:t>
            </w:r>
            <w:r/>
          </w:p>
        </w:tc>
        <w:tc>
          <w:tcPr>
            <w:tcBorders>
              <w:top w:val="single" w:color="auto" w:sz="4" w:space="0"/>
              <w:left w:val="single" w:color="auto" w:sz="4" w:space="0"/>
              <w:bottom w:val="single" w:color="auto" w:sz="4" w:space="0"/>
              <w:right w:val="single" w:color="auto" w:sz="4" w:space="0"/>
            </w:tcBorders>
            <w:tcW w:w="406" w:type="pct"/>
            <w:vAlign w:val="center"/>
            <w:textDirection w:val="lrTb"/>
            <w:noWrap w:val="false"/>
          </w:tcPr>
          <w:p>
            <w:pPr>
              <w:ind w:firstLine="0"/>
              <w:jc w:val="center"/>
              <w:spacing w:line="240" w:lineRule="auto"/>
              <w:rPr>
                <w:rFonts w:hint="default" w:ascii="宋体"/>
                <w:sz w:val="21"/>
                <w:szCs w:val="21"/>
              </w:rPr>
            </w:pPr>
            <w:r>
              <w:rPr>
                <w:rFonts w:hint="eastAsia" w:ascii="宋体"/>
                <w:sz w:val="21"/>
                <w:szCs w:val="21"/>
              </w:rPr>
              <w:t xml:space="preserve">次</w:t>
            </w:r>
            <w:r/>
          </w:p>
        </w:tc>
        <w:tc>
          <w:tcPr>
            <w:tcBorders>
              <w:top w:val="single" w:color="auto" w:sz="4" w:space="0"/>
              <w:left w:val="single" w:color="auto" w:sz="4" w:space="0"/>
              <w:bottom w:val="single" w:color="auto" w:sz="4" w:space="0"/>
              <w:right w:val="single" w:color="auto" w:sz="4" w:space="0"/>
            </w:tcBorders>
            <w:tcW w:w="531" w:type="pct"/>
            <w:vAlign w:val="center"/>
            <w:textDirection w:val="lrTb"/>
            <w:noWrap w:val="false"/>
          </w:tcPr>
          <w:p>
            <w:pPr>
              <w:ind w:firstLine="0"/>
              <w:jc w:val="center"/>
              <w:spacing w:line="240" w:lineRule="auto"/>
              <w:rPr>
                <w:rFonts w:hint="default" w:ascii="宋体"/>
                <w:sz w:val="21"/>
                <w:szCs w:val="21"/>
              </w:rPr>
            </w:pPr>
            <w:r>
              <w:rPr>
                <w:rFonts w:hint="eastAsia" w:ascii="宋体"/>
                <w:sz w:val="21"/>
                <w:szCs w:val="21"/>
              </w:rPr>
              <w:t xml:space="preserve">0.2</w:t>
            </w:r>
            <w:r/>
          </w:p>
        </w:tc>
      </w:tr>
      <w:tr>
        <w:trPr>
          <w:jc w:val="center"/>
          <w:trHeight w:val="509"/>
        </w:trPr>
        <w:tc>
          <w:tcPr>
            <w:tcBorders>
              <w:top w:val="single" w:color="auto" w:sz="4" w:space="0"/>
              <w:left w:val="single" w:color="auto" w:sz="4" w:space="0"/>
              <w:bottom w:val="single" w:color="auto" w:sz="4" w:space="0"/>
              <w:right w:val="single" w:color="auto" w:sz="4" w:space="0"/>
            </w:tcBorders>
            <w:tcW w:w="445" w:type="pct"/>
            <w:vAlign w:val="center"/>
            <w:textDirection w:val="lrTb"/>
            <w:noWrap w:val="false"/>
          </w:tcPr>
          <w:p>
            <w:pPr>
              <w:ind w:firstLine="0"/>
              <w:jc w:val="center"/>
              <w:spacing w:line="240" w:lineRule="auto"/>
              <w:rPr>
                <w:rFonts w:hint="default" w:ascii="宋体"/>
                <w:sz w:val="21"/>
                <w:szCs w:val="21"/>
              </w:rPr>
            </w:pPr>
            <w:r>
              <w:rPr>
                <w:rFonts w:hint="eastAsia" w:ascii="宋体"/>
                <w:sz w:val="21"/>
                <w:szCs w:val="21"/>
              </w:rPr>
              <w:t xml:space="preserve">8</w:t>
            </w:r>
            <w:r/>
          </w:p>
        </w:tc>
        <w:tc>
          <w:tcPr>
            <w:tcBorders>
              <w:top w:val="none" w:color="000000" w:sz="4" w:space="0"/>
              <w:left w:val="single" w:color="auto" w:sz="4" w:space="0"/>
              <w:bottom w:val="single" w:color="auto" w:sz="4" w:space="0"/>
              <w:right w:val="single" w:color="auto" w:sz="4" w:space="0"/>
            </w:tcBorders>
            <w:tcW w:w="834" w:type="pct"/>
            <w:vAlign w:val="center"/>
            <w:vMerge w:val="continue"/>
            <w:textDirection w:val="lrTb"/>
            <w:noWrap w:val="false"/>
          </w:tcPr>
          <w:p>
            <w:pPr>
              <w:ind w:firstLine="0"/>
              <w:jc w:val="center"/>
              <w:spacing w:line="240" w:lineRule="auto"/>
              <w:rPr>
                <w:rFonts w:hint="default" w:ascii="宋体"/>
                <w:sz w:val="21"/>
                <w:szCs w:val="21"/>
              </w:rPr>
            </w:pPr>
            <w:r>
              <w:rPr>
                <w:rFonts w:hint="default" w:ascii="宋体"/>
                <w:sz w:val="21"/>
                <w:szCs w:val="21"/>
              </w:rPr>
            </w:r>
            <w:r/>
          </w:p>
        </w:tc>
        <w:tc>
          <w:tcPr>
            <w:tcBorders>
              <w:top w:val="single" w:color="auto" w:sz="4" w:space="0"/>
              <w:left w:val="single" w:color="auto" w:sz="4" w:space="0"/>
              <w:bottom w:val="single" w:color="auto" w:sz="4" w:space="0"/>
              <w:right w:val="single" w:color="auto" w:sz="4" w:space="0"/>
            </w:tcBorders>
            <w:tcW w:w="2784" w:type="pct"/>
            <w:vAlign w:val="center"/>
            <w:textDirection w:val="lrTb"/>
            <w:noWrap w:val="false"/>
          </w:tcPr>
          <w:p>
            <w:pPr>
              <w:ind w:firstLine="0"/>
              <w:jc w:val="left"/>
              <w:spacing w:line="240" w:lineRule="auto"/>
              <w:rPr>
                <w:rFonts w:hint="default" w:ascii="宋体"/>
                <w:sz w:val="21"/>
                <w:szCs w:val="21"/>
              </w:rPr>
            </w:pPr>
            <w:r>
              <w:rPr>
                <w:rFonts w:hint="eastAsia" w:ascii="宋体"/>
                <w:sz w:val="21"/>
                <w:szCs w:val="21"/>
              </w:rPr>
              <w:t xml:space="preserve">维修不当、不及时、又无其他处置措施，造成交通堵塞或事故发生的</w:t>
            </w:r>
            <w:r/>
          </w:p>
        </w:tc>
        <w:tc>
          <w:tcPr>
            <w:tcBorders>
              <w:top w:val="single" w:color="auto" w:sz="4" w:space="0"/>
              <w:left w:val="single" w:color="auto" w:sz="4" w:space="0"/>
              <w:bottom w:val="single" w:color="auto" w:sz="4" w:space="0"/>
              <w:right w:val="single" w:color="auto" w:sz="4" w:space="0"/>
            </w:tcBorders>
            <w:tcW w:w="406" w:type="pct"/>
            <w:vAlign w:val="center"/>
            <w:textDirection w:val="lrTb"/>
            <w:noWrap w:val="false"/>
          </w:tcPr>
          <w:p>
            <w:pPr>
              <w:ind w:firstLine="0"/>
              <w:jc w:val="center"/>
              <w:spacing w:line="240" w:lineRule="auto"/>
              <w:rPr>
                <w:rFonts w:hint="default" w:ascii="宋体"/>
                <w:sz w:val="21"/>
                <w:szCs w:val="21"/>
              </w:rPr>
            </w:pPr>
            <w:r>
              <w:rPr>
                <w:rFonts w:hint="eastAsia" w:ascii="宋体"/>
                <w:sz w:val="21"/>
                <w:szCs w:val="21"/>
              </w:rPr>
              <w:t xml:space="preserve">次</w:t>
            </w:r>
            <w:r/>
          </w:p>
        </w:tc>
        <w:tc>
          <w:tcPr>
            <w:tcBorders>
              <w:top w:val="single" w:color="auto" w:sz="4" w:space="0"/>
              <w:left w:val="single" w:color="auto" w:sz="4" w:space="0"/>
              <w:bottom w:val="single" w:color="auto" w:sz="4" w:space="0"/>
              <w:right w:val="single" w:color="auto" w:sz="4" w:space="0"/>
            </w:tcBorders>
            <w:tcW w:w="531" w:type="pct"/>
            <w:vAlign w:val="center"/>
            <w:textDirection w:val="lrTb"/>
            <w:noWrap w:val="false"/>
          </w:tcPr>
          <w:p>
            <w:pPr>
              <w:ind w:firstLine="0"/>
              <w:jc w:val="center"/>
              <w:spacing w:line="240" w:lineRule="auto"/>
              <w:rPr>
                <w:rFonts w:hint="default" w:ascii="宋体"/>
                <w:sz w:val="21"/>
                <w:szCs w:val="21"/>
              </w:rPr>
            </w:pPr>
            <w:r>
              <w:rPr>
                <w:rFonts w:hint="eastAsia" w:ascii="宋体"/>
                <w:sz w:val="21"/>
                <w:szCs w:val="21"/>
              </w:rPr>
              <w:t xml:space="preserve">2</w:t>
            </w:r>
            <w:r/>
          </w:p>
        </w:tc>
      </w:tr>
      <w:tr>
        <w:trPr>
          <w:jc w:val="center"/>
        </w:trPr>
        <w:tc>
          <w:tcPr>
            <w:tcBorders>
              <w:top w:val="single" w:color="auto" w:sz="4" w:space="0"/>
              <w:left w:val="single" w:color="auto" w:sz="4" w:space="0"/>
              <w:bottom w:val="single" w:color="auto" w:sz="4" w:space="0"/>
              <w:right w:val="single" w:color="auto" w:sz="4" w:space="0"/>
            </w:tcBorders>
            <w:tcW w:w="445" w:type="pct"/>
            <w:vAlign w:val="center"/>
            <w:textDirection w:val="lrTb"/>
            <w:noWrap w:val="false"/>
          </w:tcPr>
          <w:p>
            <w:pPr>
              <w:ind w:firstLine="0"/>
              <w:jc w:val="center"/>
              <w:spacing w:line="240" w:lineRule="auto"/>
              <w:rPr>
                <w:rFonts w:hint="default" w:ascii="宋体"/>
                <w:sz w:val="21"/>
                <w:szCs w:val="21"/>
              </w:rPr>
            </w:pPr>
            <w:r>
              <w:rPr>
                <w:rFonts w:hint="eastAsia" w:ascii="宋体"/>
                <w:sz w:val="21"/>
                <w:szCs w:val="21"/>
              </w:rPr>
              <w:t xml:space="preserve">9</w:t>
            </w:r>
            <w:r/>
          </w:p>
        </w:tc>
        <w:tc>
          <w:tcPr>
            <w:tcBorders>
              <w:top w:val="none" w:color="000000" w:sz="4" w:space="0"/>
              <w:left w:val="single" w:color="auto" w:sz="4" w:space="0"/>
              <w:bottom w:val="single" w:color="auto" w:sz="4" w:space="0"/>
              <w:right w:val="single" w:color="auto" w:sz="4" w:space="0"/>
            </w:tcBorders>
            <w:tcW w:w="834" w:type="pct"/>
            <w:vAlign w:val="center"/>
            <w:vMerge w:val="restart"/>
            <w:textDirection w:val="lrTb"/>
            <w:noWrap w:val="false"/>
          </w:tcPr>
          <w:p>
            <w:pPr>
              <w:ind w:firstLine="0"/>
              <w:jc w:val="center"/>
              <w:spacing w:line="240" w:lineRule="auto"/>
              <w:rPr>
                <w:rFonts w:hint="default" w:ascii="宋体"/>
                <w:sz w:val="21"/>
                <w:szCs w:val="21"/>
              </w:rPr>
            </w:pPr>
            <w:r>
              <w:rPr>
                <w:rFonts w:hint="eastAsia" w:ascii="宋体"/>
                <w:bCs/>
                <w:sz w:val="21"/>
                <w:szCs w:val="21"/>
              </w:rPr>
              <w:t xml:space="preserve">应急设备或维修、更换备品仓储情况</w:t>
            </w:r>
            <w:r/>
          </w:p>
        </w:tc>
        <w:tc>
          <w:tcPr>
            <w:tcBorders>
              <w:top w:val="single" w:color="auto" w:sz="4" w:space="0"/>
              <w:left w:val="single" w:color="auto" w:sz="4" w:space="0"/>
              <w:bottom w:val="single" w:color="auto" w:sz="4" w:space="0"/>
              <w:right w:val="single" w:color="auto" w:sz="4" w:space="0"/>
            </w:tcBorders>
            <w:tcW w:w="2784" w:type="pct"/>
            <w:vAlign w:val="center"/>
            <w:textDirection w:val="lrTb"/>
            <w:noWrap w:val="false"/>
          </w:tcPr>
          <w:p>
            <w:pPr>
              <w:ind w:firstLine="0"/>
              <w:jc w:val="left"/>
              <w:spacing w:line="240" w:lineRule="auto"/>
              <w:rPr>
                <w:rFonts w:hint="default" w:ascii="宋体"/>
                <w:sz w:val="21"/>
                <w:szCs w:val="21"/>
              </w:rPr>
            </w:pPr>
            <w:r>
              <w:rPr>
                <w:rFonts w:hint="eastAsia" w:ascii="宋体"/>
                <w:sz w:val="21"/>
                <w:szCs w:val="21"/>
              </w:rPr>
              <w:t xml:space="preserve">没有按规定配备应急处置设备或设备不能正常工作的</w:t>
            </w:r>
            <w:r/>
          </w:p>
        </w:tc>
        <w:tc>
          <w:tcPr>
            <w:tcBorders>
              <w:top w:val="single" w:color="auto" w:sz="4" w:space="0"/>
              <w:left w:val="single" w:color="auto" w:sz="4" w:space="0"/>
              <w:bottom w:val="single" w:color="auto" w:sz="4" w:space="0"/>
              <w:right w:val="single" w:color="auto" w:sz="4" w:space="0"/>
            </w:tcBorders>
            <w:tcW w:w="406" w:type="pct"/>
            <w:vAlign w:val="center"/>
            <w:textDirection w:val="lrTb"/>
            <w:noWrap w:val="false"/>
          </w:tcPr>
          <w:p>
            <w:pPr>
              <w:ind w:firstLine="0"/>
              <w:jc w:val="center"/>
              <w:spacing w:line="240" w:lineRule="auto"/>
              <w:rPr>
                <w:rFonts w:hint="default" w:ascii="宋体"/>
                <w:sz w:val="21"/>
                <w:szCs w:val="21"/>
              </w:rPr>
            </w:pPr>
            <w:r>
              <w:rPr>
                <w:rFonts w:hint="eastAsia" w:ascii="宋体"/>
                <w:sz w:val="21"/>
                <w:szCs w:val="21"/>
              </w:rPr>
              <w:t xml:space="preserve">批次</w:t>
            </w:r>
            <w:r/>
          </w:p>
        </w:tc>
        <w:tc>
          <w:tcPr>
            <w:tcBorders>
              <w:top w:val="single" w:color="auto" w:sz="4" w:space="0"/>
              <w:left w:val="single" w:color="auto" w:sz="4" w:space="0"/>
              <w:bottom w:val="single" w:color="auto" w:sz="4" w:space="0"/>
              <w:right w:val="single" w:color="auto" w:sz="4" w:space="0"/>
            </w:tcBorders>
            <w:tcW w:w="531" w:type="pct"/>
            <w:vAlign w:val="center"/>
            <w:textDirection w:val="lrTb"/>
            <w:noWrap w:val="false"/>
          </w:tcPr>
          <w:p>
            <w:pPr>
              <w:ind w:firstLine="0"/>
              <w:jc w:val="center"/>
              <w:spacing w:line="240" w:lineRule="auto"/>
              <w:rPr>
                <w:rFonts w:hint="default" w:ascii="宋体"/>
                <w:sz w:val="21"/>
                <w:szCs w:val="21"/>
              </w:rPr>
            </w:pPr>
            <w:r>
              <w:rPr>
                <w:rFonts w:hint="eastAsia" w:ascii="宋体"/>
                <w:sz w:val="21"/>
                <w:szCs w:val="21"/>
              </w:rPr>
              <w:t xml:space="preserve">0.3</w:t>
            </w:r>
            <w:r/>
          </w:p>
        </w:tc>
      </w:tr>
      <w:tr>
        <w:trPr>
          <w:jc w:val="center"/>
          <w:trHeight w:val="489"/>
        </w:trPr>
        <w:tc>
          <w:tcPr>
            <w:tcBorders>
              <w:top w:val="single" w:color="auto" w:sz="4" w:space="0"/>
              <w:left w:val="single" w:color="auto" w:sz="4" w:space="0"/>
              <w:bottom w:val="single" w:color="auto" w:sz="4" w:space="0"/>
              <w:right w:val="single" w:color="auto" w:sz="4" w:space="0"/>
            </w:tcBorders>
            <w:tcW w:w="445" w:type="pct"/>
            <w:vAlign w:val="center"/>
            <w:textDirection w:val="lrTb"/>
            <w:noWrap w:val="false"/>
          </w:tcPr>
          <w:p>
            <w:pPr>
              <w:ind w:firstLine="0"/>
              <w:jc w:val="center"/>
              <w:spacing w:line="240" w:lineRule="auto"/>
              <w:rPr>
                <w:rFonts w:hint="default" w:ascii="宋体"/>
                <w:sz w:val="21"/>
                <w:szCs w:val="21"/>
              </w:rPr>
            </w:pPr>
            <w:r>
              <w:rPr>
                <w:rFonts w:hint="eastAsia" w:ascii="宋体"/>
                <w:sz w:val="21"/>
                <w:szCs w:val="21"/>
              </w:rPr>
              <w:t xml:space="preserve">10</w:t>
            </w:r>
            <w:r/>
          </w:p>
        </w:tc>
        <w:tc>
          <w:tcPr>
            <w:tcBorders>
              <w:top w:val="none" w:color="000000" w:sz="4" w:space="0"/>
              <w:left w:val="single" w:color="auto" w:sz="4" w:space="0"/>
              <w:bottom w:val="single" w:color="auto" w:sz="4" w:space="0"/>
              <w:right w:val="single" w:color="auto" w:sz="4" w:space="0"/>
            </w:tcBorders>
            <w:tcW w:w="834" w:type="pct"/>
            <w:vAlign w:val="center"/>
            <w:vMerge w:val="continue"/>
            <w:textDirection w:val="lrTb"/>
            <w:noWrap w:val="false"/>
          </w:tcPr>
          <w:p>
            <w:pPr>
              <w:ind w:firstLine="0"/>
              <w:jc w:val="center"/>
              <w:spacing w:line="240" w:lineRule="auto"/>
              <w:rPr>
                <w:rFonts w:hint="default" w:ascii="宋体"/>
                <w:sz w:val="21"/>
                <w:szCs w:val="21"/>
              </w:rPr>
            </w:pPr>
            <w:r>
              <w:rPr>
                <w:rFonts w:hint="default" w:ascii="宋体"/>
                <w:sz w:val="21"/>
                <w:szCs w:val="21"/>
              </w:rPr>
            </w:r>
            <w:r/>
          </w:p>
        </w:tc>
        <w:tc>
          <w:tcPr>
            <w:tcBorders>
              <w:top w:val="single" w:color="auto" w:sz="4" w:space="0"/>
              <w:left w:val="single" w:color="auto" w:sz="4" w:space="0"/>
              <w:bottom w:val="single" w:color="auto" w:sz="4" w:space="0"/>
              <w:right w:val="single" w:color="auto" w:sz="4" w:space="0"/>
            </w:tcBorders>
            <w:tcW w:w="2784" w:type="pct"/>
            <w:vAlign w:val="center"/>
            <w:textDirection w:val="lrTb"/>
            <w:noWrap w:val="false"/>
          </w:tcPr>
          <w:p>
            <w:pPr>
              <w:ind w:firstLine="0"/>
              <w:jc w:val="left"/>
              <w:spacing w:line="240" w:lineRule="auto"/>
              <w:rPr>
                <w:rFonts w:hint="default" w:ascii="宋体"/>
                <w:sz w:val="21"/>
                <w:szCs w:val="21"/>
              </w:rPr>
            </w:pPr>
            <w:r>
              <w:rPr>
                <w:rFonts w:hint="eastAsia" w:ascii="宋体"/>
                <w:sz w:val="21"/>
                <w:szCs w:val="21"/>
              </w:rPr>
              <w:t xml:space="preserve">没有按规定库存维修、更换的备品的</w:t>
            </w:r>
            <w:r/>
          </w:p>
        </w:tc>
        <w:tc>
          <w:tcPr>
            <w:tcBorders>
              <w:top w:val="single" w:color="auto" w:sz="4" w:space="0"/>
              <w:left w:val="single" w:color="auto" w:sz="4" w:space="0"/>
              <w:bottom w:val="single" w:color="auto" w:sz="4" w:space="0"/>
              <w:right w:val="single" w:color="auto" w:sz="4" w:space="0"/>
            </w:tcBorders>
            <w:tcW w:w="406" w:type="pct"/>
            <w:vAlign w:val="center"/>
            <w:textDirection w:val="lrTb"/>
            <w:noWrap w:val="false"/>
          </w:tcPr>
          <w:p>
            <w:pPr>
              <w:ind w:firstLine="0"/>
              <w:jc w:val="center"/>
              <w:spacing w:line="240" w:lineRule="auto"/>
              <w:rPr>
                <w:rFonts w:hint="default" w:ascii="宋体"/>
                <w:sz w:val="21"/>
                <w:szCs w:val="21"/>
              </w:rPr>
            </w:pPr>
            <w:r>
              <w:rPr>
                <w:rFonts w:hint="eastAsia" w:ascii="宋体"/>
                <w:sz w:val="21"/>
                <w:szCs w:val="21"/>
              </w:rPr>
              <w:t xml:space="preserve">批次</w:t>
            </w:r>
            <w:r/>
          </w:p>
        </w:tc>
        <w:tc>
          <w:tcPr>
            <w:tcBorders>
              <w:top w:val="single" w:color="auto" w:sz="4" w:space="0"/>
              <w:left w:val="single" w:color="auto" w:sz="4" w:space="0"/>
              <w:bottom w:val="single" w:color="auto" w:sz="4" w:space="0"/>
              <w:right w:val="single" w:color="auto" w:sz="4" w:space="0"/>
            </w:tcBorders>
            <w:tcW w:w="531" w:type="pct"/>
            <w:vAlign w:val="center"/>
            <w:textDirection w:val="lrTb"/>
            <w:noWrap w:val="false"/>
          </w:tcPr>
          <w:p>
            <w:pPr>
              <w:ind w:firstLine="0"/>
              <w:jc w:val="center"/>
              <w:spacing w:line="240" w:lineRule="auto"/>
              <w:rPr>
                <w:rFonts w:hint="default" w:ascii="宋体"/>
                <w:sz w:val="21"/>
                <w:szCs w:val="21"/>
              </w:rPr>
            </w:pPr>
            <w:r>
              <w:rPr>
                <w:rFonts w:hint="eastAsia" w:ascii="宋体"/>
                <w:sz w:val="21"/>
                <w:szCs w:val="21"/>
              </w:rPr>
              <w:t xml:space="preserve">0.5</w:t>
            </w:r>
            <w:r/>
          </w:p>
        </w:tc>
      </w:tr>
      <w:tr>
        <w:trPr>
          <w:jc w:val="center"/>
        </w:trPr>
        <w:tc>
          <w:tcPr>
            <w:tcBorders>
              <w:top w:val="single" w:color="auto" w:sz="4" w:space="0"/>
              <w:left w:val="single" w:color="auto" w:sz="4" w:space="0"/>
              <w:bottom w:val="single" w:color="auto" w:sz="4" w:space="0"/>
              <w:right w:val="single" w:color="auto" w:sz="4" w:space="0"/>
            </w:tcBorders>
            <w:tcW w:w="445" w:type="pct"/>
            <w:vAlign w:val="center"/>
            <w:textDirection w:val="lrTb"/>
            <w:noWrap w:val="false"/>
          </w:tcPr>
          <w:p>
            <w:pPr>
              <w:ind w:firstLine="0"/>
              <w:jc w:val="center"/>
              <w:spacing w:line="240" w:lineRule="auto"/>
              <w:rPr>
                <w:rFonts w:hint="default" w:ascii="宋体"/>
                <w:sz w:val="21"/>
                <w:szCs w:val="21"/>
              </w:rPr>
            </w:pPr>
            <w:r>
              <w:rPr>
                <w:rFonts w:hint="eastAsia" w:ascii="宋体"/>
                <w:sz w:val="21"/>
                <w:szCs w:val="21"/>
              </w:rPr>
              <w:t xml:space="preserve">11</w:t>
            </w:r>
            <w:r/>
          </w:p>
        </w:tc>
        <w:tc>
          <w:tcPr>
            <w:tcBorders>
              <w:top w:val="none" w:color="000000" w:sz="4" w:space="0"/>
              <w:left w:val="single" w:color="auto" w:sz="4" w:space="0"/>
              <w:bottom w:val="single" w:color="auto" w:sz="4" w:space="0"/>
              <w:right w:val="single" w:color="auto" w:sz="4" w:space="0"/>
            </w:tcBorders>
            <w:tcW w:w="834" w:type="pct"/>
            <w:vAlign w:val="center"/>
            <w:vMerge w:val="continue"/>
            <w:textDirection w:val="lrTb"/>
            <w:noWrap w:val="false"/>
          </w:tcPr>
          <w:p>
            <w:pPr>
              <w:ind w:firstLine="0"/>
              <w:jc w:val="center"/>
              <w:spacing w:line="240" w:lineRule="auto"/>
              <w:rPr>
                <w:rFonts w:hint="default" w:ascii="宋体"/>
                <w:sz w:val="21"/>
                <w:szCs w:val="21"/>
              </w:rPr>
            </w:pPr>
            <w:r>
              <w:rPr>
                <w:rFonts w:hint="default" w:ascii="宋体"/>
                <w:sz w:val="21"/>
                <w:szCs w:val="21"/>
              </w:rPr>
            </w:r>
            <w:r/>
          </w:p>
        </w:tc>
        <w:tc>
          <w:tcPr>
            <w:tcBorders>
              <w:top w:val="single" w:color="auto" w:sz="4" w:space="0"/>
              <w:left w:val="single" w:color="auto" w:sz="4" w:space="0"/>
              <w:bottom w:val="single" w:color="auto" w:sz="4" w:space="0"/>
              <w:right w:val="single" w:color="auto" w:sz="4" w:space="0"/>
            </w:tcBorders>
            <w:tcW w:w="2784" w:type="pct"/>
            <w:vAlign w:val="center"/>
            <w:textDirection w:val="lrTb"/>
            <w:noWrap w:val="false"/>
          </w:tcPr>
          <w:p>
            <w:pPr>
              <w:ind w:firstLine="0"/>
              <w:jc w:val="left"/>
              <w:spacing w:line="240" w:lineRule="auto"/>
              <w:rPr>
                <w:rFonts w:hint="default" w:ascii="宋体"/>
                <w:sz w:val="21"/>
                <w:szCs w:val="21"/>
              </w:rPr>
            </w:pPr>
            <w:r>
              <w:rPr>
                <w:rFonts w:hint="eastAsia" w:ascii="宋体"/>
                <w:sz w:val="21"/>
                <w:szCs w:val="21"/>
              </w:rPr>
              <w:t xml:space="preserve">未经甲方许可擅自更换设备的</w:t>
            </w:r>
            <w:r/>
          </w:p>
        </w:tc>
        <w:tc>
          <w:tcPr>
            <w:tcBorders>
              <w:top w:val="single" w:color="auto" w:sz="4" w:space="0"/>
              <w:left w:val="single" w:color="auto" w:sz="4" w:space="0"/>
              <w:bottom w:val="single" w:color="auto" w:sz="4" w:space="0"/>
              <w:right w:val="single" w:color="auto" w:sz="4" w:space="0"/>
            </w:tcBorders>
            <w:tcW w:w="406" w:type="pct"/>
            <w:vAlign w:val="center"/>
            <w:textDirection w:val="lrTb"/>
            <w:noWrap w:val="false"/>
          </w:tcPr>
          <w:p>
            <w:pPr>
              <w:ind w:firstLine="0"/>
              <w:jc w:val="center"/>
              <w:spacing w:line="240" w:lineRule="auto"/>
              <w:rPr>
                <w:rFonts w:hint="default" w:ascii="宋体"/>
                <w:sz w:val="21"/>
                <w:szCs w:val="21"/>
              </w:rPr>
            </w:pPr>
            <w:r>
              <w:rPr>
                <w:rFonts w:hint="eastAsia" w:ascii="宋体"/>
                <w:sz w:val="21"/>
                <w:szCs w:val="21"/>
              </w:rPr>
              <w:t xml:space="preserve">次</w:t>
            </w:r>
            <w:r/>
          </w:p>
        </w:tc>
        <w:tc>
          <w:tcPr>
            <w:tcBorders>
              <w:top w:val="single" w:color="auto" w:sz="4" w:space="0"/>
              <w:left w:val="single" w:color="auto" w:sz="4" w:space="0"/>
              <w:bottom w:val="single" w:color="auto" w:sz="4" w:space="0"/>
              <w:right w:val="single" w:color="auto" w:sz="4" w:space="0"/>
            </w:tcBorders>
            <w:tcW w:w="531" w:type="pct"/>
            <w:vAlign w:val="center"/>
            <w:textDirection w:val="lrTb"/>
            <w:noWrap w:val="false"/>
          </w:tcPr>
          <w:p>
            <w:pPr>
              <w:ind w:firstLine="0"/>
              <w:jc w:val="center"/>
              <w:spacing w:line="240" w:lineRule="auto"/>
              <w:rPr>
                <w:rFonts w:hint="default" w:ascii="宋体"/>
                <w:sz w:val="21"/>
                <w:szCs w:val="21"/>
              </w:rPr>
            </w:pPr>
            <w:r>
              <w:rPr>
                <w:rFonts w:hint="eastAsia" w:ascii="宋体"/>
                <w:sz w:val="21"/>
                <w:szCs w:val="21"/>
              </w:rPr>
              <w:t xml:space="preserve">1</w:t>
            </w:r>
            <w:r/>
          </w:p>
        </w:tc>
      </w:tr>
      <w:tr>
        <w:trPr>
          <w:jc w:val="center"/>
        </w:trPr>
        <w:tc>
          <w:tcPr>
            <w:tcBorders>
              <w:top w:val="single" w:color="auto" w:sz="4" w:space="0"/>
              <w:left w:val="single" w:color="auto" w:sz="4" w:space="0"/>
              <w:bottom w:val="single" w:color="auto" w:sz="4" w:space="0"/>
              <w:right w:val="single" w:color="auto" w:sz="4" w:space="0"/>
            </w:tcBorders>
            <w:tcW w:w="445" w:type="pct"/>
            <w:vAlign w:val="center"/>
            <w:textDirection w:val="lrTb"/>
            <w:noWrap w:val="false"/>
          </w:tcPr>
          <w:p>
            <w:pPr>
              <w:ind w:firstLine="0"/>
              <w:jc w:val="center"/>
              <w:spacing w:line="240" w:lineRule="auto"/>
              <w:rPr>
                <w:rFonts w:hint="default" w:ascii="宋体"/>
                <w:sz w:val="21"/>
                <w:szCs w:val="21"/>
              </w:rPr>
            </w:pPr>
            <w:r>
              <w:rPr>
                <w:rFonts w:hint="eastAsia" w:ascii="宋体"/>
                <w:sz w:val="21"/>
                <w:szCs w:val="21"/>
              </w:rPr>
              <w:t xml:space="preserve">12</w:t>
            </w:r>
            <w:r/>
          </w:p>
        </w:tc>
        <w:tc>
          <w:tcPr>
            <w:tcBorders>
              <w:top w:val="none" w:color="000000" w:sz="4" w:space="0"/>
              <w:left w:val="single" w:color="auto" w:sz="4" w:space="0"/>
              <w:bottom w:val="single" w:color="auto" w:sz="4" w:space="0"/>
              <w:right w:val="single" w:color="auto" w:sz="4" w:space="0"/>
            </w:tcBorders>
            <w:tcW w:w="834" w:type="pct"/>
            <w:vAlign w:val="center"/>
            <w:vMerge w:val="restart"/>
            <w:textDirection w:val="lrTb"/>
            <w:noWrap w:val="false"/>
          </w:tcPr>
          <w:p>
            <w:pPr>
              <w:ind w:firstLine="0"/>
              <w:jc w:val="center"/>
              <w:spacing w:line="240" w:lineRule="auto"/>
              <w:rPr>
                <w:rFonts w:hint="default" w:ascii="宋体"/>
                <w:sz w:val="21"/>
                <w:szCs w:val="21"/>
              </w:rPr>
            </w:pPr>
            <w:r>
              <w:rPr>
                <w:rFonts w:hint="eastAsia" w:ascii="宋体"/>
                <w:bCs/>
                <w:sz w:val="21"/>
                <w:szCs w:val="21"/>
              </w:rPr>
              <w:t xml:space="preserve">工作任务的完成效率，维保、施工质量和时效。</w:t>
            </w:r>
            <w:r/>
          </w:p>
        </w:tc>
        <w:tc>
          <w:tcPr>
            <w:tcBorders>
              <w:top w:val="single" w:color="auto" w:sz="4" w:space="0"/>
              <w:left w:val="single" w:color="auto" w:sz="4" w:space="0"/>
              <w:bottom w:val="single" w:color="auto" w:sz="4" w:space="0"/>
              <w:right w:val="single" w:color="auto" w:sz="4" w:space="0"/>
            </w:tcBorders>
            <w:tcW w:w="2784" w:type="pct"/>
            <w:vAlign w:val="center"/>
            <w:textDirection w:val="lrTb"/>
            <w:noWrap w:val="false"/>
          </w:tcPr>
          <w:p>
            <w:pPr>
              <w:ind w:firstLine="0"/>
              <w:jc w:val="left"/>
              <w:spacing w:line="240" w:lineRule="auto"/>
              <w:rPr>
                <w:rFonts w:hint="default" w:ascii="宋体"/>
                <w:sz w:val="21"/>
                <w:szCs w:val="21"/>
              </w:rPr>
            </w:pPr>
            <w:r>
              <w:rPr>
                <w:rFonts w:hint="eastAsia" w:ascii="宋体"/>
                <w:sz w:val="21"/>
                <w:szCs w:val="21"/>
              </w:rPr>
              <w:t xml:space="preserve">灯杆被刮蹭、被撞，观察孔盖板松动、缺失，机箱、电源门未关好或被撬等情况接到通知未在4个小时内处理完毕的</w:t>
            </w:r>
            <w:r/>
          </w:p>
        </w:tc>
        <w:tc>
          <w:tcPr>
            <w:tcBorders>
              <w:top w:val="single" w:color="auto" w:sz="4" w:space="0"/>
              <w:left w:val="single" w:color="auto" w:sz="4" w:space="0"/>
              <w:bottom w:val="single" w:color="auto" w:sz="4" w:space="0"/>
              <w:right w:val="single" w:color="auto" w:sz="4" w:space="0"/>
            </w:tcBorders>
            <w:tcW w:w="406" w:type="pct"/>
            <w:vAlign w:val="center"/>
            <w:textDirection w:val="lrTb"/>
            <w:noWrap w:val="false"/>
          </w:tcPr>
          <w:p>
            <w:pPr>
              <w:ind w:firstLine="0"/>
              <w:jc w:val="center"/>
              <w:spacing w:line="240" w:lineRule="auto"/>
              <w:rPr>
                <w:rFonts w:hint="default" w:ascii="宋体"/>
                <w:sz w:val="21"/>
                <w:szCs w:val="21"/>
              </w:rPr>
            </w:pPr>
            <w:r>
              <w:rPr>
                <w:rFonts w:hint="eastAsia" w:ascii="宋体"/>
                <w:sz w:val="21"/>
                <w:szCs w:val="21"/>
              </w:rPr>
              <w:t xml:space="preserve">次</w:t>
            </w:r>
            <w:r/>
          </w:p>
        </w:tc>
        <w:tc>
          <w:tcPr>
            <w:tcBorders>
              <w:top w:val="single" w:color="auto" w:sz="4" w:space="0"/>
              <w:left w:val="single" w:color="auto" w:sz="4" w:space="0"/>
              <w:bottom w:val="single" w:color="auto" w:sz="4" w:space="0"/>
              <w:right w:val="single" w:color="auto" w:sz="4" w:space="0"/>
            </w:tcBorders>
            <w:tcW w:w="531" w:type="pct"/>
            <w:vAlign w:val="center"/>
            <w:textDirection w:val="lrTb"/>
            <w:noWrap w:val="false"/>
          </w:tcPr>
          <w:p>
            <w:pPr>
              <w:ind w:firstLine="0"/>
              <w:jc w:val="center"/>
              <w:spacing w:line="240" w:lineRule="auto"/>
              <w:rPr>
                <w:rFonts w:hint="default" w:ascii="宋体"/>
                <w:sz w:val="21"/>
                <w:szCs w:val="21"/>
              </w:rPr>
            </w:pPr>
            <w:r>
              <w:rPr>
                <w:rFonts w:hint="eastAsia" w:ascii="宋体"/>
                <w:sz w:val="21"/>
                <w:szCs w:val="21"/>
              </w:rPr>
              <w:t xml:space="preserve">0.1</w:t>
            </w:r>
            <w:r/>
          </w:p>
        </w:tc>
      </w:tr>
      <w:tr>
        <w:trPr>
          <w:jc w:val="center"/>
        </w:trPr>
        <w:tc>
          <w:tcPr>
            <w:tcBorders>
              <w:top w:val="single" w:color="auto" w:sz="4" w:space="0"/>
              <w:left w:val="single" w:color="auto" w:sz="4" w:space="0"/>
              <w:bottom w:val="single" w:color="auto" w:sz="4" w:space="0"/>
              <w:right w:val="single" w:color="auto" w:sz="4" w:space="0"/>
            </w:tcBorders>
            <w:tcW w:w="445" w:type="pct"/>
            <w:vAlign w:val="center"/>
            <w:textDirection w:val="lrTb"/>
            <w:noWrap w:val="false"/>
          </w:tcPr>
          <w:p>
            <w:pPr>
              <w:ind w:firstLine="0"/>
              <w:jc w:val="center"/>
              <w:spacing w:line="240" w:lineRule="auto"/>
              <w:rPr>
                <w:rFonts w:hint="default" w:ascii="宋体"/>
                <w:sz w:val="21"/>
                <w:szCs w:val="21"/>
              </w:rPr>
            </w:pPr>
            <w:r>
              <w:rPr>
                <w:rFonts w:hint="eastAsia" w:ascii="宋体"/>
                <w:sz w:val="21"/>
                <w:szCs w:val="21"/>
              </w:rPr>
              <w:t xml:space="preserve">13</w:t>
            </w:r>
            <w:r/>
          </w:p>
        </w:tc>
        <w:tc>
          <w:tcPr>
            <w:tcBorders>
              <w:top w:val="none" w:color="000000" w:sz="4" w:space="0"/>
              <w:left w:val="single" w:color="auto" w:sz="4" w:space="0"/>
              <w:bottom w:val="single" w:color="auto" w:sz="4" w:space="0"/>
              <w:right w:val="single" w:color="auto" w:sz="4" w:space="0"/>
            </w:tcBorders>
            <w:tcW w:w="834" w:type="pct"/>
            <w:vAlign w:val="center"/>
            <w:vMerge w:val="continue"/>
            <w:textDirection w:val="lrTb"/>
            <w:noWrap w:val="false"/>
          </w:tcPr>
          <w:p>
            <w:pPr>
              <w:ind w:firstLine="0"/>
              <w:jc w:val="center"/>
              <w:spacing w:line="240" w:lineRule="auto"/>
              <w:rPr>
                <w:rFonts w:hint="default" w:ascii="宋体"/>
                <w:sz w:val="21"/>
                <w:szCs w:val="21"/>
              </w:rPr>
            </w:pPr>
            <w:r>
              <w:rPr>
                <w:rFonts w:hint="default" w:ascii="宋体"/>
                <w:sz w:val="21"/>
                <w:szCs w:val="21"/>
              </w:rPr>
            </w:r>
            <w:r/>
          </w:p>
        </w:tc>
        <w:tc>
          <w:tcPr>
            <w:tcBorders>
              <w:top w:val="single" w:color="auto" w:sz="4" w:space="0"/>
              <w:left w:val="single" w:color="auto" w:sz="4" w:space="0"/>
              <w:bottom w:val="single" w:color="auto" w:sz="4" w:space="0"/>
              <w:right w:val="single" w:color="auto" w:sz="4" w:space="0"/>
            </w:tcBorders>
            <w:tcW w:w="2784" w:type="pct"/>
            <w:vAlign w:val="center"/>
            <w:textDirection w:val="lrTb"/>
            <w:noWrap w:val="false"/>
          </w:tcPr>
          <w:p>
            <w:pPr>
              <w:ind w:firstLine="0"/>
              <w:jc w:val="left"/>
              <w:spacing w:line="240" w:lineRule="auto"/>
              <w:rPr>
                <w:rFonts w:hint="default" w:ascii="宋体"/>
                <w:sz w:val="21"/>
                <w:szCs w:val="21"/>
              </w:rPr>
            </w:pPr>
            <w:r>
              <w:rPr>
                <w:rFonts w:hint="eastAsia" w:ascii="宋体"/>
                <w:sz w:val="21"/>
                <w:szCs w:val="21"/>
              </w:rPr>
              <w:t xml:space="preserve">信号灯遮沿、面罩、裙边等歪斜吊挂或脱落的，未及时纠正的</w:t>
            </w:r>
            <w:r/>
          </w:p>
        </w:tc>
        <w:tc>
          <w:tcPr>
            <w:tcBorders>
              <w:top w:val="single" w:color="auto" w:sz="4" w:space="0"/>
              <w:left w:val="single" w:color="auto" w:sz="4" w:space="0"/>
              <w:bottom w:val="single" w:color="auto" w:sz="4" w:space="0"/>
              <w:right w:val="single" w:color="auto" w:sz="4" w:space="0"/>
            </w:tcBorders>
            <w:tcW w:w="406" w:type="pct"/>
            <w:vAlign w:val="center"/>
            <w:textDirection w:val="lrTb"/>
            <w:noWrap w:val="false"/>
          </w:tcPr>
          <w:p>
            <w:pPr>
              <w:ind w:firstLine="0"/>
              <w:jc w:val="center"/>
              <w:spacing w:line="240" w:lineRule="auto"/>
              <w:rPr>
                <w:rFonts w:hint="default" w:ascii="宋体"/>
                <w:sz w:val="21"/>
                <w:szCs w:val="21"/>
              </w:rPr>
            </w:pPr>
            <w:r>
              <w:rPr>
                <w:rFonts w:hint="eastAsia" w:ascii="宋体"/>
                <w:sz w:val="21"/>
                <w:szCs w:val="21"/>
              </w:rPr>
              <w:t xml:space="preserve">次</w:t>
            </w:r>
            <w:r/>
          </w:p>
        </w:tc>
        <w:tc>
          <w:tcPr>
            <w:tcBorders>
              <w:top w:val="single" w:color="auto" w:sz="4" w:space="0"/>
              <w:left w:val="single" w:color="auto" w:sz="4" w:space="0"/>
              <w:bottom w:val="single" w:color="auto" w:sz="4" w:space="0"/>
              <w:right w:val="single" w:color="auto" w:sz="4" w:space="0"/>
            </w:tcBorders>
            <w:tcW w:w="531" w:type="pct"/>
            <w:vAlign w:val="center"/>
            <w:textDirection w:val="lrTb"/>
            <w:noWrap w:val="false"/>
          </w:tcPr>
          <w:p>
            <w:pPr>
              <w:ind w:firstLine="0"/>
              <w:jc w:val="center"/>
              <w:spacing w:line="240" w:lineRule="auto"/>
              <w:rPr>
                <w:rFonts w:hint="default" w:ascii="宋体"/>
                <w:sz w:val="21"/>
                <w:szCs w:val="21"/>
              </w:rPr>
            </w:pPr>
            <w:r>
              <w:rPr>
                <w:rFonts w:hint="eastAsia" w:ascii="宋体"/>
                <w:sz w:val="21"/>
                <w:szCs w:val="21"/>
              </w:rPr>
              <w:t xml:space="preserve">0.1</w:t>
            </w:r>
            <w:r/>
          </w:p>
        </w:tc>
      </w:tr>
      <w:tr>
        <w:trPr>
          <w:jc w:val="center"/>
        </w:trPr>
        <w:tc>
          <w:tcPr>
            <w:tcBorders>
              <w:top w:val="single" w:color="auto" w:sz="4" w:space="0"/>
              <w:left w:val="single" w:color="auto" w:sz="4" w:space="0"/>
              <w:bottom w:val="single" w:color="auto" w:sz="4" w:space="0"/>
              <w:right w:val="single" w:color="auto" w:sz="4" w:space="0"/>
            </w:tcBorders>
            <w:tcW w:w="445" w:type="pct"/>
            <w:vAlign w:val="center"/>
            <w:textDirection w:val="lrTb"/>
            <w:noWrap w:val="false"/>
          </w:tcPr>
          <w:p>
            <w:pPr>
              <w:ind w:firstLine="0"/>
              <w:jc w:val="center"/>
              <w:spacing w:line="240" w:lineRule="auto"/>
              <w:rPr>
                <w:rFonts w:hint="default" w:ascii="宋体"/>
                <w:sz w:val="21"/>
                <w:szCs w:val="21"/>
              </w:rPr>
            </w:pPr>
            <w:r>
              <w:rPr>
                <w:rFonts w:hint="eastAsia" w:ascii="宋体"/>
                <w:sz w:val="21"/>
                <w:szCs w:val="21"/>
              </w:rPr>
              <w:t xml:space="preserve">14</w:t>
            </w:r>
            <w:r/>
          </w:p>
        </w:tc>
        <w:tc>
          <w:tcPr>
            <w:tcBorders>
              <w:top w:val="none" w:color="000000" w:sz="4" w:space="0"/>
              <w:left w:val="single" w:color="auto" w:sz="4" w:space="0"/>
              <w:bottom w:val="single" w:color="auto" w:sz="4" w:space="0"/>
              <w:right w:val="single" w:color="auto" w:sz="4" w:space="0"/>
            </w:tcBorders>
            <w:tcW w:w="834" w:type="pct"/>
            <w:vAlign w:val="center"/>
            <w:vMerge w:val="continue"/>
            <w:textDirection w:val="lrTb"/>
            <w:noWrap w:val="false"/>
          </w:tcPr>
          <w:p>
            <w:pPr>
              <w:ind w:firstLine="0"/>
              <w:jc w:val="center"/>
              <w:spacing w:line="240" w:lineRule="auto"/>
              <w:rPr>
                <w:rFonts w:hint="default" w:ascii="宋体"/>
                <w:sz w:val="21"/>
                <w:szCs w:val="21"/>
              </w:rPr>
            </w:pPr>
            <w:r>
              <w:rPr>
                <w:rFonts w:hint="default" w:ascii="宋体"/>
                <w:sz w:val="21"/>
                <w:szCs w:val="21"/>
              </w:rPr>
            </w:r>
            <w:r/>
          </w:p>
        </w:tc>
        <w:tc>
          <w:tcPr>
            <w:tcBorders>
              <w:top w:val="single" w:color="auto" w:sz="4" w:space="0"/>
              <w:left w:val="single" w:color="auto" w:sz="4" w:space="0"/>
              <w:bottom w:val="single" w:color="auto" w:sz="4" w:space="0"/>
              <w:right w:val="single" w:color="auto" w:sz="4" w:space="0"/>
            </w:tcBorders>
            <w:tcW w:w="2784" w:type="pct"/>
            <w:vAlign w:val="center"/>
            <w:textDirection w:val="lrTb"/>
            <w:noWrap w:val="false"/>
          </w:tcPr>
          <w:p>
            <w:pPr>
              <w:ind w:firstLine="0"/>
              <w:jc w:val="left"/>
              <w:spacing w:line="240" w:lineRule="auto"/>
              <w:rPr>
                <w:rFonts w:hint="default" w:ascii="宋体"/>
                <w:sz w:val="21"/>
                <w:szCs w:val="21"/>
              </w:rPr>
            </w:pPr>
            <w:r>
              <w:rPr>
                <w:rFonts w:hint="eastAsia" w:ascii="宋体"/>
                <w:sz w:val="21"/>
                <w:szCs w:val="21"/>
              </w:rPr>
              <w:t xml:space="preserve">手工井塌陷、井圈外露、井盖破碎，管线外露或因施工被拆、被损毁，架空线脱落、破损等情况接到通知未在4个小时内处理完毕的</w:t>
            </w:r>
            <w:r/>
          </w:p>
        </w:tc>
        <w:tc>
          <w:tcPr>
            <w:tcBorders>
              <w:top w:val="single" w:color="auto" w:sz="4" w:space="0"/>
              <w:left w:val="single" w:color="auto" w:sz="4" w:space="0"/>
              <w:bottom w:val="single" w:color="auto" w:sz="4" w:space="0"/>
              <w:right w:val="single" w:color="auto" w:sz="4" w:space="0"/>
            </w:tcBorders>
            <w:tcW w:w="406" w:type="pct"/>
            <w:vAlign w:val="center"/>
            <w:textDirection w:val="lrTb"/>
            <w:noWrap w:val="false"/>
          </w:tcPr>
          <w:p>
            <w:pPr>
              <w:ind w:firstLine="0"/>
              <w:jc w:val="center"/>
              <w:spacing w:line="240" w:lineRule="auto"/>
              <w:rPr>
                <w:rFonts w:hint="default" w:ascii="宋体"/>
                <w:sz w:val="21"/>
                <w:szCs w:val="21"/>
              </w:rPr>
            </w:pPr>
            <w:r>
              <w:rPr>
                <w:rFonts w:hint="eastAsia" w:ascii="宋体"/>
                <w:sz w:val="21"/>
                <w:szCs w:val="21"/>
              </w:rPr>
              <w:t xml:space="preserve">次</w:t>
            </w:r>
            <w:r/>
          </w:p>
        </w:tc>
        <w:tc>
          <w:tcPr>
            <w:tcBorders>
              <w:top w:val="single" w:color="auto" w:sz="4" w:space="0"/>
              <w:left w:val="single" w:color="auto" w:sz="4" w:space="0"/>
              <w:bottom w:val="single" w:color="auto" w:sz="4" w:space="0"/>
              <w:right w:val="single" w:color="auto" w:sz="4" w:space="0"/>
            </w:tcBorders>
            <w:tcW w:w="531" w:type="pct"/>
            <w:vAlign w:val="center"/>
            <w:textDirection w:val="lrTb"/>
            <w:noWrap w:val="false"/>
          </w:tcPr>
          <w:p>
            <w:pPr>
              <w:ind w:firstLine="0"/>
              <w:jc w:val="center"/>
              <w:spacing w:line="240" w:lineRule="auto"/>
              <w:rPr>
                <w:rFonts w:hint="default" w:ascii="宋体"/>
                <w:sz w:val="21"/>
                <w:szCs w:val="21"/>
              </w:rPr>
            </w:pPr>
            <w:r>
              <w:rPr>
                <w:rFonts w:hint="eastAsia" w:ascii="宋体"/>
                <w:sz w:val="21"/>
                <w:szCs w:val="21"/>
              </w:rPr>
              <w:t xml:space="preserve">0.1</w:t>
            </w:r>
            <w:r/>
          </w:p>
        </w:tc>
      </w:tr>
      <w:tr>
        <w:trPr>
          <w:jc w:val="center"/>
        </w:trPr>
        <w:tc>
          <w:tcPr>
            <w:tcBorders>
              <w:top w:val="single" w:color="auto" w:sz="4" w:space="0"/>
              <w:left w:val="single" w:color="auto" w:sz="4" w:space="0"/>
              <w:bottom w:val="single" w:color="auto" w:sz="4" w:space="0"/>
              <w:right w:val="single" w:color="auto" w:sz="4" w:space="0"/>
            </w:tcBorders>
            <w:tcW w:w="445" w:type="pct"/>
            <w:vAlign w:val="center"/>
            <w:textDirection w:val="lrTb"/>
            <w:noWrap w:val="false"/>
          </w:tcPr>
          <w:p>
            <w:pPr>
              <w:ind w:firstLine="0"/>
              <w:jc w:val="center"/>
              <w:spacing w:line="240" w:lineRule="auto"/>
              <w:rPr>
                <w:rFonts w:hint="default" w:ascii="宋体"/>
                <w:sz w:val="21"/>
                <w:szCs w:val="21"/>
              </w:rPr>
            </w:pPr>
            <w:r>
              <w:rPr>
                <w:rFonts w:hint="eastAsia" w:ascii="宋体"/>
                <w:sz w:val="21"/>
                <w:szCs w:val="21"/>
              </w:rPr>
              <w:t xml:space="preserve">15</w:t>
            </w:r>
            <w:r/>
          </w:p>
        </w:tc>
        <w:tc>
          <w:tcPr>
            <w:tcBorders>
              <w:top w:val="none" w:color="000000" w:sz="4" w:space="0"/>
              <w:left w:val="single" w:color="auto" w:sz="4" w:space="0"/>
              <w:bottom w:val="single" w:color="auto" w:sz="4" w:space="0"/>
              <w:right w:val="single" w:color="auto" w:sz="4" w:space="0"/>
            </w:tcBorders>
            <w:tcW w:w="834" w:type="pct"/>
            <w:vAlign w:val="center"/>
            <w:vMerge w:val="continue"/>
            <w:textDirection w:val="lrTb"/>
            <w:noWrap w:val="false"/>
          </w:tcPr>
          <w:p>
            <w:pPr>
              <w:ind w:firstLine="0"/>
              <w:jc w:val="center"/>
              <w:spacing w:line="240" w:lineRule="auto"/>
              <w:rPr>
                <w:rFonts w:hint="default" w:ascii="宋体"/>
                <w:sz w:val="21"/>
                <w:szCs w:val="21"/>
              </w:rPr>
            </w:pPr>
            <w:r>
              <w:rPr>
                <w:rFonts w:hint="default" w:ascii="宋体"/>
                <w:sz w:val="21"/>
                <w:szCs w:val="21"/>
              </w:rPr>
            </w:r>
            <w:r/>
          </w:p>
        </w:tc>
        <w:tc>
          <w:tcPr>
            <w:tcBorders>
              <w:top w:val="single" w:color="auto" w:sz="4" w:space="0"/>
              <w:left w:val="single" w:color="auto" w:sz="4" w:space="0"/>
              <w:bottom w:val="single" w:color="auto" w:sz="4" w:space="0"/>
              <w:right w:val="single" w:color="auto" w:sz="4" w:space="0"/>
            </w:tcBorders>
            <w:tcW w:w="2784" w:type="pct"/>
            <w:vAlign w:val="center"/>
            <w:textDirection w:val="lrTb"/>
            <w:noWrap w:val="false"/>
          </w:tcPr>
          <w:p>
            <w:pPr>
              <w:ind w:firstLine="0"/>
              <w:jc w:val="left"/>
              <w:spacing w:line="240" w:lineRule="auto"/>
              <w:rPr>
                <w:rFonts w:hint="default" w:ascii="宋体"/>
                <w:sz w:val="21"/>
                <w:szCs w:val="21"/>
              </w:rPr>
            </w:pPr>
            <w:r>
              <w:rPr>
                <w:rFonts w:hint="eastAsia" w:ascii="宋体"/>
                <w:sz w:val="21"/>
                <w:szCs w:val="21"/>
              </w:rPr>
              <w:t xml:space="preserve">灯具老化、发光色弱，影响识别，未能及时提出维护、更换申请的</w:t>
            </w:r>
            <w:r/>
          </w:p>
        </w:tc>
        <w:tc>
          <w:tcPr>
            <w:tcBorders>
              <w:top w:val="single" w:color="auto" w:sz="4" w:space="0"/>
              <w:left w:val="single" w:color="auto" w:sz="4" w:space="0"/>
              <w:bottom w:val="single" w:color="auto" w:sz="4" w:space="0"/>
              <w:right w:val="single" w:color="auto" w:sz="4" w:space="0"/>
            </w:tcBorders>
            <w:tcW w:w="406" w:type="pct"/>
            <w:vAlign w:val="center"/>
            <w:textDirection w:val="lrTb"/>
            <w:noWrap w:val="false"/>
          </w:tcPr>
          <w:p>
            <w:pPr>
              <w:ind w:firstLine="0"/>
              <w:jc w:val="center"/>
              <w:spacing w:line="240" w:lineRule="auto"/>
              <w:rPr>
                <w:rFonts w:hint="default" w:ascii="宋体"/>
                <w:sz w:val="21"/>
                <w:szCs w:val="21"/>
              </w:rPr>
            </w:pPr>
            <w:r>
              <w:rPr>
                <w:rFonts w:hint="eastAsia" w:ascii="宋体"/>
                <w:sz w:val="21"/>
                <w:szCs w:val="21"/>
              </w:rPr>
              <w:t xml:space="preserve">次</w:t>
            </w:r>
            <w:r/>
          </w:p>
        </w:tc>
        <w:tc>
          <w:tcPr>
            <w:tcBorders>
              <w:top w:val="single" w:color="auto" w:sz="4" w:space="0"/>
              <w:left w:val="single" w:color="auto" w:sz="4" w:space="0"/>
              <w:bottom w:val="single" w:color="auto" w:sz="4" w:space="0"/>
              <w:right w:val="single" w:color="auto" w:sz="4" w:space="0"/>
            </w:tcBorders>
            <w:tcW w:w="531" w:type="pct"/>
            <w:vAlign w:val="center"/>
            <w:textDirection w:val="lrTb"/>
            <w:noWrap w:val="false"/>
          </w:tcPr>
          <w:p>
            <w:pPr>
              <w:ind w:firstLine="0"/>
              <w:jc w:val="center"/>
              <w:spacing w:line="240" w:lineRule="auto"/>
              <w:rPr>
                <w:rFonts w:hint="default" w:ascii="宋体"/>
                <w:sz w:val="21"/>
                <w:szCs w:val="21"/>
              </w:rPr>
            </w:pPr>
            <w:r>
              <w:rPr>
                <w:rFonts w:hint="eastAsia" w:ascii="宋体"/>
                <w:sz w:val="21"/>
                <w:szCs w:val="21"/>
              </w:rPr>
              <w:t xml:space="preserve">0.1</w:t>
            </w:r>
            <w:r/>
          </w:p>
        </w:tc>
      </w:tr>
      <w:tr>
        <w:trPr>
          <w:jc w:val="center"/>
        </w:trPr>
        <w:tc>
          <w:tcPr>
            <w:tcBorders>
              <w:top w:val="single" w:color="auto" w:sz="4" w:space="0"/>
              <w:left w:val="single" w:color="auto" w:sz="4" w:space="0"/>
              <w:bottom w:val="single" w:color="auto" w:sz="4" w:space="0"/>
              <w:right w:val="single" w:color="auto" w:sz="4" w:space="0"/>
            </w:tcBorders>
            <w:tcW w:w="445" w:type="pct"/>
            <w:vAlign w:val="center"/>
            <w:textDirection w:val="lrTb"/>
            <w:noWrap w:val="false"/>
          </w:tcPr>
          <w:p>
            <w:pPr>
              <w:ind w:firstLine="0"/>
              <w:jc w:val="center"/>
              <w:spacing w:line="240" w:lineRule="auto"/>
              <w:rPr>
                <w:rFonts w:hint="default" w:ascii="宋体"/>
                <w:sz w:val="21"/>
                <w:szCs w:val="21"/>
              </w:rPr>
            </w:pPr>
            <w:r>
              <w:rPr>
                <w:rFonts w:hint="eastAsia" w:ascii="宋体"/>
                <w:sz w:val="21"/>
                <w:szCs w:val="21"/>
              </w:rPr>
              <w:t xml:space="preserve">16</w:t>
            </w:r>
            <w:r/>
          </w:p>
        </w:tc>
        <w:tc>
          <w:tcPr>
            <w:tcBorders>
              <w:top w:val="none" w:color="000000" w:sz="4" w:space="0"/>
              <w:left w:val="single" w:color="auto" w:sz="4" w:space="0"/>
              <w:bottom w:val="single" w:color="auto" w:sz="4" w:space="0"/>
              <w:right w:val="single" w:color="auto" w:sz="4" w:space="0"/>
            </w:tcBorders>
            <w:tcW w:w="834" w:type="pct"/>
            <w:vAlign w:val="center"/>
            <w:vMerge w:val="continue"/>
            <w:textDirection w:val="lrTb"/>
            <w:noWrap w:val="false"/>
          </w:tcPr>
          <w:p>
            <w:pPr>
              <w:ind w:firstLine="0"/>
              <w:jc w:val="center"/>
              <w:spacing w:line="240" w:lineRule="auto"/>
              <w:rPr>
                <w:rFonts w:hint="default" w:ascii="宋体"/>
                <w:sz w:val="21"/>
                <w:szCs w:val="21"/>
              </w:rPr>
            </w:pPr>
            <w:r>
              <w:rPr>
                <w:rFonts w:hint="default" w:ascii="宋体"/>
                <w:sz w:val="21"/>
                <w:szCs w:val="21"/>
              </w:rPr>
            </w:r>
            <w:r/>
          </w:p>
        </w:tc>
        <w:tc>
          <w:tcPr>
            <w:tcBorders>
              <w:top w:val="single" w:color="auto" w:sz="4" w:space="0"/>
              <w:left w:val="single" w:color="auto" w:sz="4" w:space="0"/>
              <w:bottom w:val="single" w:color="auto" w:sz="4" w:space="0"/>
              <w:right w:val="single" w:color="auto" w:sz="4" w:space="0"/>
            </w:tcBorders>
            <w:tcW w:w="2784" w:type="pct"/>
            <w:vAlign w:val="center"/>
            <w:textDirection w:val="lrTb"/>
            <w:noWrap w:val="false"/>
          </w:tcPr>
          <w:p>
            <w:pPr>
              <w:ind w:firstLine="0"/>
              <w:jc w:val="left"/>
              <w:spacing w:line="240" w:lineRule="auto"/>
              <w:rPr>
                <w:rFonts w:hint="default" w:ascii="宋体"/>
                <w:sz w:val="21"/>
                <w:szCs w:val="21"/>
              </w:rPr>
            </w:pPr>
            <w:r>
              <w:rPr>
                <w:rFonts w:hint="eastAsia" w:ascii="宋体"/>
                <w:sz w:val="21"/>
                <w:szCs w:val="21"/>
              </w:rPr>
              <w:t xml:space="preserve">灯具不能正常工作，未在3个小时内修复的</w:t>
            </w:r>
            <w:r/>
          </w:p>
        </w:tc>
        <w:tc>
          <w:tcPr>
            <w:tcBorders>
              <w:top w:val="single" w:color="auto" w:sz="4" w:space="0"/>
              <w:left w:val="single" w:color="auto" w:sz="4" w:space="0"/>
              <w:bottom w:val="single" w:color="auto" w:sz="4" w:space="0"/>
              <w:right w:val="single" w:color="auto" w:sz="4" w:space="0"/>
            </w:tcBorders>
            <w:tcW w:w="406" w:type="pct"/>
            <w:vAlign w:val="center"/>
            <w:textDirection w:val="lrTb"/>
            <w:noWrap w:val="false"/>
          </w:tcPr>
          <w:p>
            <w:pPr>
              <w:ind w:firstLine="0"/>
              <w:jc w:val="center"/>
              <w:spacing w:line="240" w:lineRule="auto"/>
              <w:rPr>
                <w:rFonts w:hint="default" w:ascii="宋体"/>
                <w:sz w:val="21"/>
                <w:szCs w:val="21"/>
              </w:rPr>
            </w:pPr>
            <w:r>
              <w:rPr>
                <w:rFonts w:hint="eastAsia" w:ascii="宋体"/>
                <w:sz w:val="21"/>
                <w:szCs w:val="21"/>
              </w:rPr>
              <w:t xml:space="preserve">次</w:t>
            </w:r>
            <w:r/>
          </w:p>
        </w:tc>
        <w:tc>
          <w:tcPr>
            <w:tcBorders>
              <w:top w:val="single" w:color="auto" w:sz="4" w:space="0"/>
              <w:left w:val="single" w:color="auto" w:sz="4" w:space="0"/>
              <w:bottom w:val="single" w:color="auto" w:sz="4" w:space="0"/>
              <w:right w:val="single" w:color="auto" w:sz="4" w:space="0"/>
            </w:tcBorders>
            <w:tcW w:w="531" w:type="pct"/>
            <w:vAlign w:val="center"/>
            <w:textDirection w:val="lrTb"/>
            <w:noWrap w:val="false"/>
          </w:tcPr>
          <w:p>
            <w:pPr>
              <w:ind w:firstLine="0"/>
              <w:jc w:val="center"/>
              <w:spacing w:line="240" w:lineRule="auto"/>
              <w:rPr>
                <w:rFonts w:hint="default" w:ascii="宋体"/>
                <w:sz w:val="21"/>
                <w:szCs w:val="21"/>
              </w:rPr>
            </w:pPr>
            <w:r>
              <w:rPr>
                <w:rFonts w:hint="eastAsia" w:ascii="宋体"/>
                <w:sz w:val="21"/>
                <w:szCs w:val="21"/>
              </w:rPr>
              <w:t xml:space="preserve">0.3</w:t>
            </w:r>
            <w:r/>
          </w:p>
        </w:tc>
      </w:tr>
      <w:tr>
        <w:trPr>
          <w:jc w:val="center"/>
          <w:trHeight w:val="633"/>
        </w:trPr>
        <w:tc>
          <w:tcPr>
            <w:tcBorders>
              <w:top w:val="single" w:color="auto" w:sz="4" w:space="0"/>
              <w:left w:val="single" w:color="auto" w:sz="4" w:space="0"/>
              <w:bottom w:val="single" w:color="auto" w:sz="4" w:space="0"/>
              <w:right w:val="single" w:color="auto" w:sz="4" w:space="0"/>
            </w:tcBorders>
            <w:tcW w:w="445" w:type="pct"/>
            <w:vAlign w:val="center"/>
            <w:textDirection w:val="lrTb"/>
            <w:noWrap w:val="false"/>
          </w:tcPr>
          <w:p>
            <w:pPr>
              <w:ind w:firstLine="0"/>
              <w:jc w:val="center"/>
              <w:spacing w:line="240" w:lineRule="auto"/>
              <w:rPr>
                <w:rFonts w:hint="default" w:ascii="宋体"/>
                <w:sz w:val="21"/>
                <w:szCs w:val="21"/>
              </w:rPr>
            </w:pPr>
            <w:r>
              <w:rPr>
                <w:rFonts w:hint="eastAsia" w:ascii="宋体"/>
                <w:sz w:val="21"/>
                <w:szCs w:val="21"/>
              </w:rPr>
              <w:t xml:space="preserve">17</w:t>
            </w:r>
            <w:r/>
          </w:p>
        </w:tc>
        <w:tc>
          <w:tcPr>
            <w:tcBorders>
              <w:top w:val="none" w:color="000000" w:sz="4" w:space="0"/>
              <w:left w:val="single" w:color="auto" w:sz="4" w:space="0"/>
              <w:bottom w:val="single" w:color="auto" w:sz="4" w:space="0"/>
              <w:right w:val="single" w:color="auto" w:sz="4" w:space="0"/>
            </w:tcBorders>
            <w:tcW w:w="834" w:type="pct"/>
            <w:vAlign w:val="center"/>
            <w:vMerge w:val="continue"/>
            <w:textDirection w:val="lrTb"/>
            <w:noWrap w:val="false"/>
          </w:tcPr>
          <w:p>
            <w:pPr>
              <w:ind w:firstLine="0"/>
              <w:jc w:val="center"/>
              <w:spacing w:line="240" w:lineRule="auto"/>
              <w:rPr>
                <w:rFonts w:hint="default" w:ascii="宋体"/>
                <w:sz w:val="21"/>
                <w:szCs w:val="21"/>
              </w:rPr>
            </w:pPr>
            <w:r>
              <w:rPr>
                <w:rFonts w:hint="default" w:ascii="宋体"/>
                <w:sz w:val="21"/>
                <w:szCs w:val="21"/>
              </w:rPr>
            </w:r>
            <w:r/>
          </w:p>
        </w:tc>
        <w:tc>
          <w:tcPr>
            <w:tcBorders>
              <w:top w:val="single" w:color="auto" w:sz="4" w:space="0"/>
              <w:left w:val="single" w:color="auto" w:sz="4" w:space="0"/>
              <w:bottom w:val="single" w:color="auto" w:sz="4" w:space="0"/>
              <w:right w:val="single" w:color="auto" w:sz="4" w:space="0"/>
            </w:tcBorders>
            <w:tcW w:w="2784" w:type="pct"/>
            <w:vAlign w:val="center"/>
            <w:textDirection w:val="lrTb"/>
            <w:noWrap w:val="false"/>
          </w:tcPr>
          <w:p>
            <w:pPr>
              <w:ind w:firstLine="0"/>
              <w:jc w:val="left"/>
              <w:spacing w:line="240" w:lineRule="auto"/>
              <w:rPr>
                <w:rFonts w:hint="default" w:ascii="宋体"/>
                <w:sz w:val="21"/>
                <w:szCs w:val="21"/>
              </w:rPr>
            </w:pPr>
            <w:r>
              <w:rPr>
                <w:rFonts w:hint="eastAsia" w:ascii="宋体"/>
                <w:sz w:val="21"/>
                <w:szCs w:val="21"/>
              </w:rPr>
              <w:t xml:space="preserve">树木或其他设施影响、遮挡信号设备，未及时纠正、清除的</w:t>
            </w:r>
            <w:r/>
          </w:p>
        </w:tc>
        <w:tc>
          <w:tcPr>
            <w:tcBorders>
              <w:top w:val="single" w:color="auto" w:sz="4" w:space="0"/>
              <w:left w:val="single" w:color="auto" w:sz="4" w:space="0"/>
              <w:bottom w:val="single" w:color="auto" w:sz="4" w:space="0"/>
              <w:right w:val="single" w:color="auto" w:sz="4" w:space="0"/>
            </w:tcBorders>
            <w:tcW w:w="406" w:type="pct"/>
            <w:vAlign w:val="center"/>
            <w:textDirection w:val="lrTb"/>
            <w:noWrap w:val="false"/>
          </w:tcPr>
          <w:p>
            <w:pPr>
              <w:ind w:firstLine="0"/>
              <w:jc w:val="center"/>
              <w:spacing w:line="240" w:lineRule="auto"/>
              <w:rPr>
                <w:rFonts w:hint="default" w:ascii="宋体"/>
                <w:sz w:val="21"/>
                <w:szCs w:val="21"/>
              </w:rPr>
            </w:pPr>
            <w:r>
              <w:rPr>
                <w:rFonts w:hint="eastAsia" w:ascii="宋体"/>
                <w:sz w:val="21"/>
                <w:szCs w:val="21"/>
              </w:rPr>
              <w:t xml:space="preserve">次</w:t>
            </w:r>
            <w:r/>
          </w:p>
        </w:tc>
        <w:tc>
          <w:tcPr>
            <w:tcBorders>
              <w:top w:val="single" w:color="auto" w:sz="4" w:space="0"/>
              <w:left w:val="single" w:color="auto" w:sz="4" w:space="0"/>
              <w:bottom w:val="single" w:color="auto" w:sz="4" w:space="0"/>
              <w:right w:val="single" w:color="auto" w:sz="4" w:space="0"/>
            </w:tcBorders>
            <w:tcW w:w="531" w:type="pct"/>
            <w:vAlign w:val="center"/>
            <w:textDirection w:val="lrTb"/>
            <w:noWrap w:val="false"/>
          </w:tcPr>
          <w:p>
            <w:pPr>
              <w:ind w:firstLine="0"/>
              <w:jc w:val="center"/>
              <w:spacing w:line="240" w:lineRule="auto"/>
              <w:rPr>
                <w:rFonts w:hint="default" w:ascii="宋体"/>
                <w:sz w:val="21"/>
                <w:szCs w:val="21"/>
              </w:rPr>
            </w:pPr>
            <w:r>
              <w:rPr>
                <w:rFonts w:hint="eastAsia" w:ascii="宋体"/>
                <w:sz w:val="21"/>
                <w:szCs w:val="21"/>
              </w:rPr>
              <w:t xml:space="preserve">0.1</w:t>
            </w:r>
            <w:r/>
          </w:p>
        </w:tc>
      </w:tr>
      <w:tr>
        <w:trPr>
          <w:jc w:val="center"/>
        </w:trPr>
        <w:tc>
          <w:tcPr>
            <w:tcBorders>
              <w:top w:val="single" w:color="auto" w:sz="4" w:space="0"/>
              <w:left w:val="single" w:color="auto" w:sz="4" w:space="0"/>
              <w:bottom w:val="single" w:color="auto" w:sz="4" w:space="0"/>
              <w:right w:val="single" w:color="auto" w:sz="4" w:space="0"/>
            </w:tcBorders>
            <w:tcW w:w="445" w:type="pct"/>
            <w:vAlign w:val="center"/>
            <w:textDirection w:val="lrTb"/>
            <w:noWrap w:val="false"/>
          </w:tcPr>
          <w:p>
            <w:pPr>
              <w:ind w:firstLine="0"/>
              <w:jc w:val="center"/>
              <w:spacing w:line="240" w:lineRule="auto"/>
              <w:rPr>
                <w:rFonts w:hint="default" w:ascii="宋体"/>
                <w:sz w:val="21"/>
                <w:szCs w:val="21"/>
              </w:rPr>
            </w:pPr>
            <w:r>
              <w:rPr>
                <w:rFonts w:hint="eastAsia" w:ascii="宋体"/>
                <w:sz w:val="21"/>
                <w:szCs w:val="21"/>
              </w:rPr>
              <w:t xml:space="preserve">18</w:t>
            </w:r>
            <w:r/>
          </w:p>
        </w:tc>
        <w:tc>
          <w:tcPr>
            <w:tcBorders>
              <w:top w:val="none" w:color="000000" w:sz="4" w:space="0"/>
              <w:left w:val="single" w:color="auto" w:sz="4" w:space="0"/>
              <w:bottom w:val="single" w:color="auto" w:sz="4" w:space="0"/>
              <w:right w:val="single" w:color="auto" w:sz="4" w:space="0"/>
            </w:tcBorders>
            <w:tcW w:w="834" w:type="pct"/>
            <w:vAlign w:val="center"/>
            <w:vMerge w:val="continue"/>
            <w:textDirection w:val="lrTb"/>
            <w:noWrap w:val="false"/>
          </w:tcPr>
          <w:p>
            <w:pPr>
              <w:ind w:firstLine="0"/>
              <w:jc w:val="center"/>
              <w:spacing w:line="240" w:lineRule="auto"/>
              <w:rPr>
                <w:rFonts w:hint="default" w:ascii="宋体"/>
                <w:sz w:val="21"/>
                <w:szCs w:val="21"/>
              </w:rPr>
            </w:pPr>
            <w:r>
              <w:rPr>
                <w:rFonts w:hint="default" w:ascii="宋体"/>
                <w:sz w:val="21"/>
                <w:szCs w:val="21"/>
              </w:rPr>
            </w:r>
            <w:r/>
          </w:p>
        </w:tc>
        <w:tc>
          <w:tcPr>
            <w:tcBorders>
              <w:top w:val="single" w:color="auto" w:sz="4" w:space="0"/>
              <w:left w:val="single" w:color="auto" w:sz="4" w:space="0"/>
              <w:bottom w:val="single" w:color="auto" w:sz="4" w:space="0"/>
              <w:right w:val="single" w:color="auto" w:sz="4" w:space="0"/>
            </w:tcBorders>
            <w:tcW w:w="2784" w:type="pct"/>
            <w:vAlign w:val="center"/>
            <w:textDirection w:val="lrTb"/>
            <w:noWrap w:val="false"/>
          </w:tcPr>
          <w:p>
            <w:pPr>
              <w:ind w:firstLine="0"/>
              <w:jc w:val="left"/>
              <w:spacing w:line="240" w:lineRule="auto"/>
              <w:rPr>
                <w:rFonts w:hint="default" w:ascii="宋体"/>
                <w:sz w:val="21"/>
                <w:szCs w:val="21"/>
              </w:rPr>
            </w:pPr>
            <w:r>
              <w:rPr>
                <w:rFonts w:hint="eastAsia" w:ascii="宋体"/>
                <w:sz w:val="21"/>
                <w:szCs w:val="21"/>
              </w:rPr>
              <w:t xml:space="preserve">一个月内同一地点、故障维修超过三次以上的</w:t>
            </w:r>
            <w:r/>
          </w:p>
        </w:tc>
        <w:tc>
          <w:tcPr>
            <w:tcBorders>
              <w:top w:val="single" w:color="auto" w:sz="4" w:space="0"/>
              <w:left w:val="single" w:color="auto" w:sz="4" w:space="0"/>
              <w:bottom w:val="single" w:color="auto" w:sz="4" w:space="0"/>
              <w:right w:val="single" w:color="auto" w:sz="4" w:space="0"/>
            </w:tcBorders>
            <w:tcW w:w="406" w:type="pct"/>
            <w:vAlign w:val="center"/>
            <w:textDirection w:val="lrTb"/>
            <w:noWrap w:val="false"/>
          </w:tcPr>
          <w:p>
            <w:pPr>
              <w:ind w:firstLine="0"/>
              <w:jc w:val="center"/>
              <w:spacing w:line="240" w:lineRule="auto"/>
              <w:rPr>
                <w:rFonts w:hint="default" w:ascii="宋体"/>
                <w:sz w:val="21"/>
                <w:szCs w:val="21"/>
              </w:rPr>
            </w:pPr>
            <w:r>
              <w:rPr>
                <w:rFonts w:hint="eastAsia" w:ascii="宋体"/>
                <w:sz w:val="21"/>
                <w:szCs w:val="21"/>
              </w:rPr>
              <w:t xml:space="preserve">次</w:t>
            </w:r>
            <w:r/>
          </w:p>
        </w:tc>
        <w:tc>
          <w:tcPr>
            <w:tcBorders>
              <w:top w:val="single" w:color="auto" w:sz="4" w:space="0"/>
              <w:left w:val="single" w:color="auto" w:sz="4" w:space="0"/>
              <w:bottom w:val="single" w:color="auto" w:sz="4" w:space="0"/>
              <w:right w:val="single" w:color="auto" w:sz="4" w:space="0"/>
            </w:tcBorders>
            <w:tcW w:w="531" w:type="pct"/>
            <w:vAlign w:val="center"/>
            <w:textDirection w:val="lrTb"/>
            <w:noWrap w:val="false"/>
          </w:tcPr>
          <w:p>
            <w:pPr>
              <w:ind w:firstLine="0"/>
              <w:jc w:val="center"/>
              <w:spacing w:line="240" w:lineRule="auto"/>
              <w:rPr>
                <w:rFonts w:hint="default" w:ascii="宋体"/>
                <w:sz w:val="21"/>
                <w:szCs w:val="21"/>
              </w:rPr>
            </w:pPr>
            <w:r>
              <w:rPr>
                <w:rFonts w:hint="eastAsia" w:ascii="宋体"/>
                <w:sz w:val="21"/>
                <w:szCs w:val="21"/>
              </w:rPr>
              <w:t xml:space="preserve">0.5</w:t>
            </w:r>
            <w:r/>
          </w:p>
        </w:tc>
      </w:tr>
      <w:tr>
        <w:trPr>
          <w:jc w:val="center"/>
        </w:trPr>
        <w:tc>
          <w:tcPr>
            <w:tcBorders>
              <w:top w:val="single" w:color="auto" w:sz="4" w:space="0"/>
              <w:left w:val="single" w:color="auto" w:sz="4" w:space="0"/>
              <w:bottom w:val="single" w:color="auto" w:sz="4" w:space="0"/>
              <w:right w:val="single" w:color="auto" w:sz="4" w:space="0"/>
            </w:tcBorders>
            <w:tcW w:w="445" w:type="pct"/>
            <w:vAlign w:val="center"/>
            <w:textDirection w:val="lrTb"/>
            <w:noWrap w:val="false"/>
          </w:tcPr>
          <w:p>
            <w:pPr>
              <w:ind w:firstLine="0"/>
              <w:jc w:val="center"/>
              <w:spacing w:line="240" w:lineRule="auto"/>
              <w:rPr>
                <w:rFonts w:hint="default" w:ascii="宋体"/>
                <w:sz w:val="21"/>
                <w:szCs w:val="21"/>
              </w:rPr>
            </w:pPr>
            <w:r>
              <w:rPr>
                <w:rFonts w:hint="eastAsia" w:ascii="宋体"/>
                <w:sz w:val="21"/>
                <w:szCs w:val="21"/>
              </w:rPr>
              <w:t xml:space="preserve">19</w:t>
            </w:r>
            <w:r/>
          </w:p>
        </w:tc>
        <w:tc>
          <w:tcPr>
            <w:tcBorders>
              <w:top w:val="none" w:color="000000" w:sz="4" w:space="0"/>
              <w:left w:val="single" w:color="auto" w:sz="4" w:space="0"/>
              <w:bottom w:val="single" w:color="auto" w:sz="4" w:space="0"/>
              <w:right w:val="single" w:color="auto" w:sz="4" w:space="0"/>
            </w:tcBorders>
            <w:tcW w:w="834" w:type="pct"/>
            <w:vAlign w:val="center"/>
            <w:vMerge w:val="continue"/>
            <w:textDirection w:val="lrTb"/>
            <w:noWrap w:val="false"/>
          </w:tcPr>
          <w:p>
            <w:pPr>
              <w:ind w:firstLine="0"/>
              <w:jc w:val="center"/>
              <w:spacing w:line="240" w:lineRule="auto"/>
              <w:rPr>
                <w:rFonts w:hint="default" w:ascii="宋体"/>
                <w:sz w:val="21"/>
                <w:szCs w:val="21"/>
              </w:rPr>
            </w:pPr>
            <w:r>
              <w:rPr>
                <w:rFonts w:hint="default" w:ascii="宋体"/>
                <w:sz w:val="21"/>
                <w:szCs w:val="21"/>
              </w:rPr>
            </w:r>
            <w:r/>
          </w:p>
        </w:tc>
        <w:tc>
          <w:tcPr>
            <w:tcBorders>
              <w:top w:val="single" w:color="auto" w:sz="4" w:space="0"/>
              <w:left w:val="single" w:color="auto" w:sz="4" w:space="0"/>
              <w:bottom w:val="single" w:color="auto" w:sz="4" w:space="0"/>
              <w:right w:val="single" w:color="auto" w:sz="4" w:space="0"/>
            </w:tcBorders>
            <w:tcW w:w="2784" w:type="pct"/>
            <w:vAlign w:val="center"/>
            <w:textDirection w:val="lrTb"/>
            <w:noWrap w:val="false"/>
          </w:tcPr>
          <w:p>
            <w:pPr>
              <w:ind w:firstLine="0"/>
              <w:jc w:val="left"/>
              <w:spacing w:line="240" w:lineRule="auto"/>
              <w:rPr>
                <w:rFonts w:hint="default" w:ascii="宋体"/>
                <w:sz w:val="21"/>
                <w:szCs w:val="21"/>
              </w:rPr>
            </w:pPr>
            <w:r>
              <w:rPr>
                <w:rFonts w:hint="eastAsia" w:ascii="宋体"/>
                <w:sz w:val="21"/>
                <w:szCs w:val="21"/>
              </w:rPr>
              <w:t xml:space="preserve">未按时完成采购人下达的维修或施工任务的</w:t>
            </w:r>
            <w:r/>
          </w:p>
        </w:tc>
        <w:tc>
          <w:tcPr>
            <w:tcBorders>
              <w:top w:val="single" w:color="auto" w:sz="4" w:space="0"/>
              <w:left w:val="single" w:color="auto" w:sz="4" w:space="0"/>
              <w:bottom w:val="single" w:color="auto" w:sz="4" w:space="0"/>
              <w:right w:val="single" w:color="auto" w:sz="4" w:space="0"/>
            </w:tcBorders>
            <w:tcW w:w="406" w:type="pct"/>
            <w:vAlign w:val="center"/>
            <w:textDirection w:val="lrTb"/>
            <w:noWrap w:val="false"/>
          </w:tcPr>
          <w:p>
            <w:pPr>
              <w:ind w:firstLine="0"/>
              <w:jc w:val="center"/>
              <w:spacing w:line="240" w:lineRule="auto"/>
              <w:rPr>
                <w:rFonts w:hint="default" w:ascii="宋体"/>
                <w:sz w:val="21"/>
                <w:szCs w:val="21"/>
              </w:rPr>
            </w:pPr>
            <w:r>
              <w:rPr>
                <w:rFonts w:hint="eastAsia" w:ascii="宋体"/>
                <w:sz w:val="21"/>
                <w:szCs w:val="21"/>
              </w:rPr>
              <w:t xml:space="preserve">次</w:t>
            </w:r>
            <w:r/>
          </w:p>
        </w:tc>
        <w:tc>
          <w:tcPr>
            <w:tcBorders>
              <w:top w:val="single" w:color="auto" w:sz="4" w:space="0"/>
              <w:left w:val="single" w:color="auto" w:sz="4" w:space="0"/>
              <w:bottom w:val="single" w:color="auto" w:sz="4" w:space="0"/>
              <w:right w:val="single" w:color="auto" w:sz="4" w:space="0"/>
            </w:tcBorders>
            <w:tcW w:w="531" w:type="pct"/>
            <w:vAlign w:val="center"/>
            <w:textDirection w:val="lrTb"/>
            <w:noWrap w:val="false"/>
          </w:tcPr>
          <w:p>
            <w:pPr>
              <w:ind w:firstLine="0"/>
              <w:jc w:val="center"/>
              <w:spacing w:line="240" w:lineRule="auto"/>
              <w:rPr>
                <w:rFonts w:hint="default" w:ascii="宋体"/>
                <w:sz w:val="21"/>
                <w:szCs w:val="21"/>
              </w:rPr>
            </w:pPr>
            <w:r>
              <w:rPr>
                <w:rFonts w:hint="eastAsia" w:ascii="宋体"/>
                <w:sz w:val="21"/>
                <w:szCs w:val="21"/>
              </w:rPr>
              <w:t xml:space="preserve">1</w:t>
            </w:r>
            <w:r/>
          </w:p>
        </w:tc>
      </w:tr>
      <w:tr>
        <w:trPr>
          <w:jc w:val="center"/>
        </w:trPr>
        <w:tc>
          <w:tcPr>
            <w:tcBorders>
              <w:top w:val="single" w:color="auto" w:sz="4" w:space="0"/>
              <w:left w:val="single" w:color="auto" w:sz="4" w:space="0"/>
              <w:bottom w:val="single" w:color="auto" w:sz="4" w:space="0"/>
              <w:right w:val="single" w:color="auto" w:sz="4" w:space="0"/>
            </w:tcBorders>
            <w:tcW w:w="445" w:type="pct"/>
            <w:vAlign w:val="center"/>
            <w:textDirection w:val="lrTb"/>
            <w:noWrap w:val="false"/>
          </w:tcPr>
          <w:p>
            <w:pPr>
              <w:ind w:firstLine="0"/>
              <w:jc w:val="center"/>
              <w:spacing w:line="240" w:lineRule="auto"/>
              <w:rPr>
                <w:rFonts w:hint="default" w:ascii="宋体"/>
                <w:sz w:val="21"/>
                <w:szCs w:val="21"/>
              </w:rPr>
            </w:pPr>
            <w:r>
              <w:rPr>
                <w:rFonts w:hint="eastAsia" w:ascii="宋体"/>
                <w:sz w:val="21"/>
                <w:szCs w:val="21"/>
              </w:rPr>
              <w:t xml:space="preserve">20</w:t>
            </w:r>
            <w:r/>
          </w:p>
        </w:tc>
        <w:tc>
          <w:tcPr>
            <w:tcBorders>
              <w:top w:val="none" w:color="000000" w:sz="4" w:space="0"/>
              <w:left w:val="single" w:color="auto" w:sz="4" w:space="0"/>
              <w:bottom w:val="single" w:color="auto" w:sz="4" w:space="0"/>
              <w:right w:val="single" w:color="auto" w:sz="4" w:space="0"/>
            </w:tcBorders>
            <w:tcW w:w="834" w:type="pct"/>
            <w:vAlign w:val="center"/>
            <w:vMerge w:val="continue"/>
            <w:textDirection w:val="lrTb"/>
            <w:noWrap w:val="false"/>
          </w:tcPr>
          <w:p>
            <w:pPr>
              <w:ind w:firstLine="0"/>
              <w:jc w:val="center"/>
              <w:spacing w:line="240" w:lineRule="auto"/>
              <w:rPr>
                <w:rFonts w:hint="default" w:ascii="宋体"/>
                <w:sz w:val="21"/>
                <w:szCs w:val="21"/>
              </w:rPr>
            </w:pPr>
            <w:r>
              <w:rPr>
                <w:rFonts w:hint="default" w:ascii="宋体"/>
                <w:sz w:val="21"/>
                <w:szCs w:val="21"/>
              </w:rPr>
            </w:r>
            <w:r/>
          </w:p>
        </w:tc>
        <w:tc>
          <w:tcPr>
            <w:tcBorders>
              <w:top w:val="single" w:color="auto" w:sz="4" w:space="0"/>
              <w:left w:val="single" w:color="auto" w:sz="4" w:space="0"/>
              <w:bottom w:val="single" w:color="auto" w:sz="4" w:space="0"/>
              <w:right w:val="single" w:color="auto" w:sz="4" w:space="0"/>
            </w:tcBorders>
            <w:tcW w:w="2784" w:type="pct"/>
            <w:vAlign w:val="center"/>
            <w:textDirection w:val="lrTb"/>
            <w:noWrap w:val="false"/>
          </w:tcPr>
          <w:p>
            <w:pPr>
              <w:ind w:firstLine="0"/>
              <w:jc w:val="left"/>
              <w:spacing w:line="240" w:lineRule="auto"/>
              <w:rPr>
                <w:rFonts w:hint="default" w:ascii="宋体"/>
                <w:sz w:val="21"/>
                <w:szCs w:val="21"/>
              </w:rPr>
            </w:pPr>
            <w:r>
              <w:rPr>
                <w:rFonts w:hint="eastAsia" w:ascii="宋体"/>
                <w:sz w:val="21"/>
                <w:szCs w:val="21"/>
              </w:rPr>
              <w:t xml:space="preserve">路口信号系统故障不能正常运转、电力缺失等，未及时投放移动信号灯和使用应急电源的</w:t>
            </w:r>
            <w:r/>
          </w:p>
        </w:tc>
        <w:tc>
          <w:tcPr>
            <w:tcBorders>
              <w:top w:val="single" w:color="auto" w:sz="4" w:space="0"/>
              <w:left w:val="single" w:color="auto" w:sz="4" w:space="0"/>
              <w:bottom w:val="single" w:color="auto" w:sz="4" w:space="0"/>
              <w:right w:val="single" w:color="auto" w:sz="4" w:space="0"/>
            </w:tcBorders>
            <w:tcW w:w="406" w:type="pct"/>
            <w:vAlign w:val="center"/>
            <w:textDirection w:val="lrTb"/>
            <w:noWrap w:val="false"/>
          </w:tcPr>
          <w:p>
            <w:pPr>
              <w:ind w:firstLine="0"/>
              <w:jc w:val="center"/>
              <w:spacing w:line="240" w:lineRule="auto"/>
              <w:rPr>
                <w:rFonts w:hint="default" w:ascii="宋体"/>
                <w:sz w:val="21"/>
                <w:szCs w:val="21"/>
              </w:rPr>
            </w:pPr>
            <w:r>
              <w:rPr>
                <w:rFonts w:hint="eastAsia" w:ascii="宋体"/>
                <w:sz w:val="21"/>
                <w:szCs w:val="21"/>
              </w:rPr>
              <w:t xml:space="preserve">次</w:t>
            </w:r>
            <w:r/>
          </w:p>
        </w:tc>
        <w:tc>
          <w:tcPr>
            <w:tcBorders>
              <w:top w:val="single" w:color="auto" w:sz="4" w:space="0"/>
              <w:left w:val="single" w:color="auto" w:sz="4" w:space="0"/>
              <w:bottom w:val="single" w:color="auto" w:sz="4" w:space="0"/>
              <w:right w:val="single" w:color="auto" w:sz="4" w:space="0"/>
            </w:tcBorders>
            <w:tcW w:w="531" w:type="pct"/>
            <w:vAlign w:val="center"/>
            <w:textDirection w:val="lrTb"/>
            <w:noWrap w:val="false"/>
          </w:tcPr>
          <w:p>
            <w:pPr>
              <w:ind w:firstLine="0"/>
              <w:jc w:val="center"/>
              <w:spacing w:line="240" w:lineRule="auto"/>
              <w:rPr>
                <w:rFonts w:hint="default" w:ascii="宋体"/>
                <w:sz w:val="21"/>
                <w:szCs w:val="21"/>
              </w:rPr>
            </w:pPr>
            <w:r>
              <w:rPr>
                <w:rFonts w:hint="eastAsia" w:ascii="宋体"/>
                <w:sz w:val="21"/>
                <w:szCs w:val="21"/>
              </w:rPr>
              <w:t xml:space="preserve">0.5</w:t>
            </w:r>
            <w:r/>
          </w:p>
        </w:tc>
      </w:tr>
      <w:tr>
        <w:trPr>
          <w:jc w:val="center"/>
        </w:trPr>
        <w:tc>
          <w:tcPr>
            <w:tcBorders>
              <w:top w:val="single" w:color="auto" w:sz="4" w:space="0"/>
              <w:left w:val="single" w:color="auto" w:sz="4" w:space="0"/>
              <w:bottom w:val="single" w:color="auto" w:sz="4" w:space="0"/>
              <w:right w:val="single" w:color="auto" w:sz="4" w:space="0"/>
            </w:tcBorders>
            <w:tcW w:w="445" w:type="pct"/>
            <w:vAlign w:val="center"/>
            <w:textDirection w:val="lrTb"/>
            <w:noWrap w:val="false"/>
          </w:tcPr>
          <w:p>
            <w:pPr>
              <w:ind w:firstLine="0"/>
              <w:jc w:val="center"/>
              <w:spacing w:line="240" w:lineRule="auto"/>
              <w:rPr>
                <w:rFonts w:hint="default" w:ascii="宋体"/>
                <w:sz w:val="21"/>
                <w:szCs w:val="21"/>
              </w:rPr>
            </w:pPr>
            <w:r>
              <w:rPr>
                <w:rFonts w:hint="eastAsia" w:ascii="宋体"/>
                <w:sz w:val="21"/>
                <w:szCs w:val="21"/>
              </w:rPr>
              <w:t xml:space="preserve">21</w:t>
            </w:r>
            <w:r/>
          </w:p>
        </w:tc>
        <w:tc>
          <w:tcPr>
            <w:tcBorders>
              <w:top w:val="none" w:color="000000" w:sz="4" w:space="0"/>
              <w:left w:val="single" w:color="auto" w:sz="4" w:space="0"/>
              <w:bottom w:val="single" w:color="auto" w:sz="4" w:space="0"/>
              <w:right w:val="single" w:color="auto" w:sz="4" w:space="0"/>
            </w:tcBorders>
            <w:tcW w:w="834" w:type="pct"/>
            <w:vAlign w:val="center"/>
            <w:vMerge w:val="continue"/>
            <w:textDirection w:val="lrTb"/>
            <w:noWrap w:val="false"/>
          </w:tcPr>
          <w:p>
            <w:pPr>
              <w:ind w:firstLine="0"/>
              <w:jc w:val="center"/>
              <w:spacing w:line="240" w:lineRule="auto"/>
              <w:rPr>
                <w:rFonts w:hint="default" w:ascii="宋体"/>
                <w:sz w:val="21"/>
                <w:szCs w:val="21"/>
              </w:rPr>
            </w:pPr>
            <w:r>
              <w:rPr>
                <w:rFonts w:hint="default" w:ascii="宋体"/>
                <w:sz w:val="21"/>
                <w:szCs w:val="21"/>
              </w:rPr>
            </w:r>
            <w:r/>
          </w:p>
        </w:tc>
        <w:tc>
          <w:tcPr>
            <w:tcBorders>
              <w:top w:val="single" w:color="auto" w:sz="4" w:space="0"/>
              <w:left w:val="single" w:color="auto" w:sz="4" w:space="0"/>
              <w:bottom w:val="single" w:color="auto" w:sz="4" w:space="0"/>
              <w:right w:val="single" w:color="auto" w:sz="4" w:space="0"/>
            </w:tcBorders>
            <w:tcW w:w="2784" w:type="pct"/>
            <w:vAlign w:val="center"/>
            <w:textDirection w:val="lrTb"/>
            <w:noWrap w:val="false"/>
          </w:tcPr>
          <w:p>
            <w:pPr>
              <w:ind w:firstLine="0"/>
              <w:jc w:val="left"/>
              <w:spacing w:line="240" w:lineRule="auto"/>
              <w:rPr>
                <w:rFonts w:hint="default" w:ascii="宋体"/>
                <w:sz w:val="21"/>
                <w:szCs w:val="21"/>
              </w:rPr>
            </w:pPr>
            <w:r>
              <w:rPr>
                <w:rFonts w:hint="eastAsia" w:ascii="宋体"/>
                <w:sz w:val="21"/>
                <w:szCs w:val="21"/>
              </w:rPr>
              <w:t xml:space="preserve">接采购人通知协助执行特勤任务，未按时达到指定地点或执行不力的</w:t>
            </w:r>
            <w:r/>
          </w:p>
        </w:tc>
        <w:tc>
          <w:tcPr>
            <w:tcBorders>
              <w:top w:val="single" w:color="auto" w:sz="4" w:space="0"/>
              <w:left w:val="single" w:color="auto" w:sz="4" w:space="0"/>
              <w:bottom w:val="single" w:color="auto" w:sz="4" w:space="0"/>
              <w:right w:val="single" w:color="auto" w:sz="4" w:space="0"/>
            </w:tcBorders>
            <w:tcW w:w="406" w:type="pct"/>
            <w:vAlign w:val="center"/>
            <w:textDirection w:val="lrTb"/>
            <w:noWrap w:val="false"/>
          </w:tcPr>
          <w:p>
            <w:pPr>
              <w:ind w:firstLine="0"/>
              <w:jc w:val="center"/>
              <w:spacing w:line="240" w:lineRule="auto"/>
              <w:rPr>
                <w:rFonts w:hint="default" w:ascii="宋体"/>
                <w:sz w:val="21"/>
                <w:szCs w:val="21"/>
              </w:rPr>
            </w:pPr>
            <w:r>
              <w:rPr>
                <w:rFonts w:hint="eastAsia" w:ascii="宋体"/>
                <w:sz w:val="21"/>
                <w:szCs w:val="21"/>
              </w:rPr>
              <w:t xml:space="preserve">次</w:t>
            </w:r>
            <w:r/>
          </w:p>
        </w:tc>
        <w:tc>
          <w:tcPr>
            <w:tcBorders>
              <w:top w:val="single" w:color="auto" w:sz="4" w:space="0"/>
              <w:left w:val="single" w:color="auto" w:sz="4" w:space="0"/>
              <w:bottom w:val="single" w:color="auto" w:sz="4" w:space="0"/>
              <w:right w:val="single" w:color="auto" w:sz="4" w:space="0"/>
            </w:tcBorders>
            <w:tcW w:w="531" w:type="pct"/>
            <w:vAlign w:val="center"/>
            <w:textDirection w:val="lrTb"/>
            <w:noWrap w:val="false"/>
          </w:tcPr>
          <w:p>
            <w:pPr>
              <w:ind w:firstLine="0"/>
              <w:jc w:val="center"/>
              <w:spacing w:line="240" w:lineRule="auto"/>
              <w:rPr>
                <w:rFonts w:hint="default" w:ascii="宋体"/>
                <w:sz w:val="21"/>
                <w:szCs w:val="21"/>
              </w:rPr>
            </w:pPr>
            <w:r>
              <w:rPr>
                <w:rFonts w:hint="eastAsia" w:ascii="宋体"/>
                <w:sz w:val="21"/>
                <w:szCs w:val="21"/>
              </w:rPr>
              <w:t xml:space="preserve">1</w:t>
            </w:r>
            <w:r/>
          </w:p>
        </w:tc>
      </w:tr>
      <w:tr>
        <w:trPr>
          <w:jc w:val="center"/>
        </w:trPr>
        <w:tc>
          <w:tcPr>
            <w:tcBorders>
              <w:top w:val="single" w:color="auto" w:sz="4" w:space="0"/>
              <w:left w:val="single" w:color="auto" w:sz="4" w:space="0"/>
              <w:bottom w:val="single" w:color="auto" w:sz="4" w:space="0"/>
              <w:right w:val="single" w:color="auto" w:sz="4" w:space="0"/>
            </w:tcBorders>
            <w:tcW w:w="445" w:type="pct"/>
            <w:vAlign w:val="center"/>
            <w:textDirection w:val="lrTb"/>
            <w:noWrap w:val="false"/>
          </w:tcPr>
          <w:p>
            <w:pPr>
              <w:ind w:firstLine="0"/>
              <w:jc w:val="center"/>
              <w:spacing w:line="240" w:lineRule="auto"/>
              <w:rPr>
                <w:rFonts w:hint="default" w:ascii="宋体"/>
                <w:sz w:val="21"/>
                <w:szCs w:val="21"/>
              </w:rPr>
            </w:pPr>
            <w:r>
              <w:rPr>
                <w:rFonts w:hint="eastAsia" w:ascii="宋体"/>
                <w:sz w:val="21"/>
                <w:szCs w:val="21"/>
              </w:rPr>
              <w:t xml:space="preserve">22</w:t>
            </w:r>
            <w:r/>
          </w:p>
        </w:tc>
        <w:tc>
          <w:tcPr>
            <w:tcBorders>
              <w:top w:val="none" w:color="000000" w:sz="4" w:space="0"/>
              <w:left w:val="single" w:color="auto" w:sz="4" w:space="0"/>
              <w:bottom w:val="single" w:color="auto" w:sz="4" w:space="0"/>
              <w:right w:val="single" w:color="auto" w:sz="4" w:space="0"/>
            </w:tcBorders>
            <w:tcW w:w="834" w:type="pct"/>
            <w:vAlign w:val="center"/>
            <w:vMerge w:val="continue"/>
            <w:textDirection w:val="lrTb"/>
            <w:noWrap w:val="false"/>
          </w:tcPr>
          <w:p>
            <w:pPr>
              <w:ind w:firstLine="0"/>
              <w:jc w:val="center"/>
              <w:spacing w:line="240" w:lineRule="auto"/>
              <w:rPr>
                <w:rFonts w:hint="default" w:ascii="宋体"/>
                <w:sz w:val="21"/>
                <w:szCs w:val="21"/>
              </w:rPr>
            </w:pPr>
            <w:r>
              <w:rPr>
                <w:rFonts w:hint="default" w:ascii="宋体"/>
                <w:sz w:val="21"/>
                <w:szCs w:val="21"/>
              </w:rPr>
            </w:r>
            <w:r/>
          </w:p>
        </w:tc>
        <w:tc>
          <w:tcPr>
            <w:tcBorders>
              <w:top w:val="single" w:color="auto" w:sz="4" w:space="0"/>
              <w:left w:val="single" w:color="auto" w:sz="4" w:space="0"/>
              <w:bottom w:val="single" w:color="auto" w:sz="4" w:space="0"/>
              <w:right w:val="single" w:color="auto" w:sz="4" w:space="0"/>
            </w:tcBorders>
            <w:tcW w:w="2784" w:type="pct"/>
            <w:vAlign w:val="center"/>
            <w:textDirection w:val="lrTb"/>
            <w:noWrap w:val="false"/>
          </w:tcPr>
          <w:p>
            <w:pPr>
              <w:ind w:firstLine="0"/>
              <w:jc w:val="left"/>
              <w:spacing w:line="240" w:lineRule="auto"/>
              <w:rPr>
                <w:rFonts w:hint="default" w:ascii="宋体"/>
                <w:sz w:val="21"/>
                <w:szCs w:val="21"/>
              </w:rPr>
            </w:pPr>
            <w:r>
              <w:rPr>
                <w:rFonts w:hint="eastAsia" w:ascii="宋体"/>
                <w:sz w:val="21"/>
                <w:szCs w:val="21"/>
              </w:rPr>
              <w:t xml:space="preserve">因维修不及时、不科学，被采购人发现或被</w:t>
            </w:r>
            <w:r>
              <w:rPr>
                <w:rFonts w:hint="eastAsia" w:ascii="宋体"/>
                <w:bCs/>
                <w:sz w:val="21"/>
                <w:szCs w:val="21"/>
              </w:rPr>
              <w:t xml:space="preserve">市（网）民投诉的</w:t>
            </w:r>
            <w:r/>
          </w:p>
        </w:tc>
        <w:tc>
          <w:tcPr>
            <w:tcBorders>
              <w:top w:val="single" w:color="auto" w:sz="4" w:space="0"/>
              <w:left w:val="single" w:color="auto" w:sz="4" w:space="0"/>
              <w:bottom w:val="single" w:color="auto" w:sz="4" w:space="0"/>
              <w:right w:val="single" w:color="auto" w:sz="4" w:space="0"/>
            </w:tcBorders>
            <w:tcW w:w="406" w:type="pct"/>
            <w:vAlign w:val="center"/>
            <w:textDirection w:val="lrTb"/>
            <w:noWrap w:val="false"/>
          </w:tcPr>
          <w:p>
            <w:pPr>
              <w:ind w:firstLine="0"/>
              <w:jc w:val="center"/>
              <w:spacing w:line="240" w:lineRule="auto"/>
              <w:rPr>
                <w:rFonts w:hint="default" w:ascii="宋体"/>
                <w:sz w:val="21"/>
                <w:szCs w:val="21"/>
              </w:rPr>
            </w:pPr>
            <w:r>
              <w:rPr>
                <w:rFonts w:hint="eastAsia" w:ascii="宋体"/>
                <w:sz w:val="21"/>
                <w:szCs w:val="21"/>
              </w:rPr>
              <w:t xml:space="preserve">次</w:t>
            </w:r>
            <w:r/>
          </w:p>
        </w:tc>
        <w:tc>
          <w:tcPr>
            <w:tcBorders>
              <w:top w:val="single" w:color="auto" w:sz="4" w:space="0"/>
              <w:left w:val="single" w:color="auto" w:sz="4" w:space="0"/>
              <w:bottom w:val="single" w:color="auto" w:sz="4" w:space="0"/>
              <w:right w:val="single" w:color="auto" w:sz="4" w:space="0"/>
            </w:tcBorders>
            <w:tcW w:w="531" w:type="pct"/>
            <w:vAlign w:val="center"/>
            <w:textDirection w:val="lrTb"/>
            <w:noWrap w:val="false"/>
          </w:tcPr>
          <w:p>
            <w:pPr>
              <w:ind w:firstLine="0"/>
              <w:jc w:val="center"/>
              <w:spacing w:line="240" w:lineRule="auto"/>
              <w:rPr>
                <w:rFonts w:hint="default" w:ascii="宋体"/>
                <w:sz w:val="21"/>
                <w:szCs w:val="21"/>
              </w:rPr>
            </w:pPr>
            <w:r>
              <w:rPr>
                <w:rFonts w:hint="eastAsia" w:ascii="宋体"/>
                <w:sz w:val="21"/>
                <w:szCs w:val="21"/>
              </w:rPr>
              <w:t xml:space="preserve">0.5</w:t>
            </w:r>
            <w:r/>
          </w:p>
        </w:tc>
      </w:tr>
      <w:tr>
        <w:trPr>
          <w:jc w:val="center"/>
        </w:trPr>
        <w:tc>
          <w:tcPr>
            <w:tcBorders>
              <w:top w:val="single" w:color="auto" w:sz="4" w:space="0"/>
              <w:left w:val="single" w:color="auto" w:sz="4" w:space="0"/>
              <w:bottom w:val="single" w:color="auto" w:sz="4" w:space="0"/>
              <w:right w:val="single" w:color="auto" w:sz="4" w:space="0"/>
            </w:tcBorders>
            <w:tcW w:w="445" w:type="pct"/>
            <w:vAlign w:val="center"/>
            <w:textDirection w:val="lrTb"/>
            <w:noWrap w:val="false"/>
          </w:tcPr>
          <w:p>
            <w:pPr>
              <w:ind w:firstLine="0"/>
              <w:jc w:val="center"/>
              <w:spacing w:line="240" w:lineRule="auto"/>
              <w:rPr>
                <w:rFonts w:hint="default" w:ascii="宋体"/>
                <w:sz w:val="21"/>
                <w:szCs w:val="21"/>
              </w:rPr>
            </w:pPr>
            <w:r>
              <w:rPr>
                <w:rFonts w:hint="eastAsia" w:ascii="宋体"/>
                <w:sz w:val="21"/>
                <w:szCs w:val="21"/>
              </w:rPr>
              <w:t xml:space="preserve">23</w:t>
            </w:r>
            <w:r/>
          </w:p>
        </w:tc>
        <w:tc>
          <w:tcPr>
            <w:tcBorders>
              <w:top w:val="none" w:color="000000" w:sz="4" w:space="0"/>
              <w:left w:val="single" w:color="auto" w:sz="4" w:space="0"/>
              <w:bottom w:val="single" w:color="auto" w:sz="4" w:space="0"/>
              <w:right w:val="single" w:color="auto" w:sz="4" w:space="0"/>
            </w:tcBorders>
            <w:tcW w:w="834" w:type="pct"/>
            <w:vAlign w:val="center"/>
            <w:vMerge w:val="continue"/>
            <w:textDirection w:val="lrTb"/>
            <w:noWrap w:val="false"/>
          </w:tcPr>
          <w:p>
            <w:pPr>
              <w:ind w:firstLine="0"/>
              <w:jc w:val="center"/>
              <w:spacing w:line="240" w:lineRule="auto"/>
              <w:rPr>
                <w:rFonts w:hint="default" w:ascii="宋体"/>
                <w:sz w:val="21"/>
                <w:szCs w:val="21"/>
              </w:rPr>
            </w:pPr>
            <w:r>
              <w:rPr>
                <w:rFonts w:hint="default" w:ascii="宋体"/>
                <w:sz w:val="21"/>
                <w:szCs w:val="21"/>
              </w:rPr>
            </w:r>
            <w:r/>
          </w:p>
        </w:tc>
        <w:tc>
          <w:tcPr>
            <w:tcBorders>
              <w:top w:val="single" w:color="auto" w:sz="4" w:space="0"/>
              <w:left w:val="single" w:color="auto" w:sz="4" w:space="0"/>
              <w:bottom w:val="single" w:color="auto" w:sz="4" w:space="0"/>
              <w:right w:val="single" w:color="auto" w:sz="4" w:space="0"/>
            </w:tcBorders>
            <w:tcW w:w="2784" w:type="pct"/>
            <w:vAlign w:val="center"/>
            <w:textDirection w:val="lrTb"/>
            <w:noWrap w:val="false"/>
          </w:tcPr>
          <w:p>
            <w:pPr>
              <w:ind w:firstLine="0"/>
              <w:jc w:val="left"/>
              <w:spacing w:line="240" w:lineRule="auto"/>
              <w:rPr>
                <w:rFonts w:hint="default" w:ascii="宋体"/>
                <w:sz w:val="21"/>
                <w:szCs w:val="21"/>
              </w:rPr>
            </w:pPr>
            <w:r>
              <w:rPr>
                <w:rFonts w:hint="eastAsia" w:ascii="宋体"/>
                <w:sz w:val="21"/>
                <w:szCs w:val="21"/>
              </w:rPr>
              <w:t xml:space="preserve">因维修不及时</w:t>
            </w:r>
            <w:r>
              <w:rPr>
                <w:rFonts w:hint="eastAsia" w:ascii="宋体"/>
                <w:bCs/>
                <w:sz w:val="21"/>
                <w:szCs w:val="21"/>
              </w:rPr>
              <w:t xml:space="preserve">被新闻媒体曝光。</w:t>
            </w:r>
            <w:r/>
          </w:p>
        </w:tc>
        <w:tc>
          <w:tcPr>
            <w:tcBorders>
              <w:top w:val="single" w:color="auto" w:sz="4" w:space="0"/>
              <w:left w:val="single" w:color="auto" w:sz="4" w:space="0"/>
              <w:bottom w:val="single" w:color="auto" w:sz="4" w:space="0"/>
              <w:right w:val="single" w:color="auto" w:sz="4" w:space="0"/>
            </w:tcBorders>
            <w:tcW w:w="406" w:type="pct"/>
            <w:vAlign w:val="center"/>
            <w:textDirection w:val="lrTb"/>
            <w:noWrap w:val="false"/>
          </w:tcPr>
          <w:p>
            <w:pPr>
              <w:ind w:firstLine="0"/>
              <w:jc w:val="center"/>
              <w:spacing w:line="240" w:lineRule="auto"/>
              <w:rPr>
                <w:rFonts w:hint="default" w:ascii="宋体"/>
                <w:sz w:val="21"/>
                <w:szCs w:val="21"/>
              </w:rPr>
            </w:pPr>
            <w:r>
              <w:rPr>
                <w:rFonts w:hint="eastAsia" w:ascii="宋体"/>
                <w:sz w:val="21"/>
                <w:szCs w:val="21"/>
              </w:rPr>
              <w:t xml:space="preserve">次</w:t>
            </w:r>
            <w:r/>
          </w:p>
        </w:tc>
        <w:tc>
          <w:tcPr>
            <w:tcBorders>
              <w:top w:val="single" w:color="auto" w:sz="4" w:space="0"/>
              <w:left w:val="single" w:color="auto" w:sz="4" w:space="0"/>
              <w:bottom w:val="single" w:color="auto" w:sz="4" w:space="0"/>
              <w:right w:val="single" w:color="auto" w:sz="4" w:space="0"/>
            </w:tcBorders>
            <w:tcW w:w="531" w:type="pct"/>
            <w:vAlign w:val="center"/>
            <w:textDirection w:val="lrTb"/>
            <w:noWrap w:val="false"/>
          </w:tcPr>
          <w:p>
            <w:pPr>
              <w:ind w:firstLine="0"/>
              <w:jc w:val="center"/>
              <w:spacing w:line="240" w:lineRule="auto"/>
              <w:rPr>
                <w:rFonts w:hint="default" w:ascii="宋体"/>
                <w:sz w:val="21"/>
                <w:szCs w:val="21"/>
              </w:rPr>
            </w:pPr>
            <w:r>
              <w:rPr>
                <w:rFonts w:hint="eastAsia" w:ascii="宋体"/>
                <w:sz w:val="21"/>
                <w:szCs w:val="21"/>
              </w:rPr>
              <w:t xml:space="preserve">1</w:t>
            </w:r>
            <w:r/>
          </w:p>
        </w:tc>
      </w:tr>
      <w:tr>
        <w:trPr>
          <w:jc w:val="center"/>
          <w:trHeight w:val="382"/>
        </w:trPr>
        <w:tc>
          <w:tcPr>
            <w:tcBorders>
              <w:top w:val="single" w:color="auto" w:sz="4" w:space="0"/>
              <w:left w:val="single" w:color="auto" w:sz="4" w:space="0"/>
              <w:bottom w:val="single" w:color="auto" w:sz="4" w:space="0"/>
              <w:right w:val="single" w:color="auto" w:sz="4" w:space="0"/>
            </w:tcBorders>
            <w:tcW w:w="445" w:type="pct"/>
            <w:vAlign w:val="center"/>
            <w:textDirection w:val="lrTb"/>
            <w:noWrap w:val="false"/>
          </w:tcPr>
          <w:p>
            <w:pPr>
              <w:ind w:firstLine="0"/>
              <w:jc w:val="center"/>
              <w:spacing w:line="240" w:lineRule="auto"/>
              <w:rPr>
                <w:rFonts w:hint="default" w:ascii="宋体"/>
                <w:sz w:val="21"/>
                <w:szCs w:val="21"/>
              </w:rPr>
            </w:pPr>
            <w:r>
              <w:rPr>
                <w:rFonts w:hint="eastAsia" w:ascii="宋体"/>
                <w:sz w:val="21"/>
                <w:szCs w:val="21"/>
              </w:rPr>
              <w:t xml:space="preserve">24</w:t>
            </w:r>
            <w:r/>
          </w:p>
        </w:tc>
        <w:tc>
          <w:tcPr>
            <w:tcBorders>
              <w:top w:val="none" w:color="000000" w:sz="4" w:space="0"/>
              <w:left w:val="single" w:color="auto" w:sz="4" w:space="0"/>
              <w:bottom w:val="single" w:color="auto" w:sz="4" w:space="0"/>
              <w:right w:val="single" w:color="auto" w:sz="4" w:space="0"/>
            </w:tcBorders>
            <w:tcW w:w="834" w:type="pct"/>
            <w:vAlign w:val="center"/>
            <w:vMerge w:val="continue"/>
            <w:textDirection w:val="lrTb"/>
            <w:noWrap w:val="false"/>
          </w:tcPr>
          <w:p>
            <w:pPr>
              <w:ind w:firstLine="0"/>
              <w:jc w:val="center"/>
              <w:spacing w:line="240" w:lineRule="auto"/>
              <w:rPr>
                <w:rFonts w:hint="default" w:ascii="宋体"/>
                <w:sz w:val="21"/>
                <w:szCs w:val="21"/>
              </w:rPr>
            </w:pPr>
            <w:r>
              <w:rPr>
                <w:rFonts w:hint="default" w:ascii="宋体"/>
                <w:sz w:val="21"/>
                <w:szCs w:val="21"/>
              </w:rPr>
            </w:r>
            <w:r/>
          </w:p>
        </w:tc>
        <w:tc>
          <w:tcPr>
            <w:tcBorders>
              <w:top w:val="single" w:color="auto" w:sz="4" w:space="0"/>
              <w:left w:val="single" w:color="auto" w:sz="4" w:space="0"/>
              <w:bottom w:val="single" w:color="auto" w:sz="4" w:space="0"/>
              <w:right w:val="single" w:color="auto" w:sz="4" w:space="0"/>
            </w:tcBorders>
            <w:tcW w:w="2784" w:type="pct"/>
            <w:vAlign w:val="center"/>
            <w:textDirection w:val="lrTb"/>
            <w:noWrap w:val="false"/>
          </w:tcPr>
          <w:p>
            <w:pPr>
              <w:ind w:firstLine="0"/>
              <w:jc w:val="left"/>
              <w:spacing w:line="240" w:lineRule="auto"/>
              <w:rPr>
                <w:rFonts w:hint="default" w:ascii="宋体"/>
                <w:sz w:val="21"/>
                <w:szCs w:val="21"/>
              </w:rPr>
            </w:pPr>
            <w:r>
              <w:rPr>
                <w:rFonts w:hint="eastAsia" w:ascii="宋体"/>
                <w:sz w:val="21"/>
                <w:szCs w:val="21"/>
              </w:rPr>
              <w:t xml:space="preserve">不听从采购人监督意见的</w:t>
            </w:r>
            <w:r/>
          </w:p>
        </w:tc>
        <w:tc>
          <w:tcPr>
            <w:tcBorders>
              <w:top w:val="single" w:color="auto" w:sz="4" w:space="0"/>
              <w:left w:val="single" w:color="auto" w:sz="4" w:space="0"/>
              <w:bottom w:val="single" w:color="auto" w:sz="4" w:space="0"/>
              <w:right w:val="single" w:color="auto" w:sz="4" w:space="0"/>
            </w:tcBorders>
            <w:tcW w:w="406" w:type="pct"/>
            <w:vAlign w:val="center"/>
            <w:textDirection w:val="lrTb"/>
            <w:noWrap w:val="false"/>
          </w:tcPr>
          <w:p>
            <w:pPr>
              <w:ind w:firstLine="0"/>
              <w:jc w:val="center"/>
              <w:spacing w:line="240" w:lineRule="auto"/>
              <w:rPr>
                <w:rFonts w:hint="default" w:ascii="宋体"/>
                <w:sz w:val="21"/>
                <w:szCs w:val="21"/>
              </w:rPr>
            </w:pPr>
            <w:r>
              <w:rPr>
                <w:rFonts w:hint="eastAsia" w:ascii="宋体"/>
                <w:sz w:val="21"/>
                <w:szCs w:val="21"/>
              </w:rPr>
              <w:t xml:space="preserve">次</w:t>
            </w:r>
            <w:r/>
          </w:p>
        </w:tc>
        <w:tc>
          <w:tcPr>
            <w:tcBorders>
              <w:top w:val="single" w:color="auto" w:sz="4" w:space="0"/>
              <w:left w:val="single" w:color="auto" w:sz="4" w:space="0"/>
              <w:bottom w:val="single" w:color="auto" w:sz="4" w:space="0"/>
              <w:right w:val="single" w:color="auto" w:sz="4" w:space="0"/>
            </w:tcBorders>
            <w:tcW w:w="531" w:type="pct"/>
            <w:vAlign w:val="center"/>
            <w:textDirection w:val="lrTb"/>
            <w:noWrap w:val="false"/>
          </w:tcPr>
          <w:p>
            <w:pPr>
              <w:ind w:firstLine="0"/>
              <w:jc w:val="center"/>
              <w:spacing w:line="240" w:lineRule="auto"/>
              <w:rPr>
                <w:rFonts w:hint="default" w:ascii="宋体"/>
                <w:sz w:val="21"/>
                <w:szCs w:val="21"/>
              </w:rPr>
            </w:pPr>
            <w:r>
              <w:rPr>
                <w:rFonts w:hint="eastAsia" w:ascii="宋体"/>
                <w:sz w:val="21"/>
                <w:szCs w:val="21"/>
              </w:rPr>
              <w:t xml:space="preserve">2</w:t>
            </w:r>
            <w:r/>
          </w:p>
        </w:tc>
      </w:tr>
      <w:tr>
        <w:trPr>
          <w:jc w:val="center"/>
          <w:trHeight w:val="382"/>
        </w:trPr>
        <w:tc>
          <w:tcPr>
            <w:tcBorders>
              <w:top w:val="single" w:color="auto" w:sz="4" w:space="0"/>
              <w:left w:val="single" w:color="auto" w:sz="4" w:space="0"/>
              <w:bottom w:val="single" w:color="auto" w:sz="4" w:space="0"/>
              <w:right w:val="single" w:color="auto" w:sz="4" w:space="0"/>
            </w:tcBorders>
            <w:tcW w:w="445" w:type="pct"/>
            <w:vAlign w:val="center"/>
            <w:textDirection w:val="lrTb"/>
            <w:noWrap w:val="false"/>
          </w:tcPr>
          <w:p>
            <w:pPr>
              <w:ind w:firstLine="0"/>
              <w:jc w:val="center"/>
              <w:spacing w:line="240" w:lineRule="auto"/>
              <w:rPr>
                <w:rFonts w:hint="default" w:ascii="宋体"/>
                <w:sz w:val="21"/>
                <w:szCs w:val="21"/>
              </w:rPr>
            </w:pPr>
            <w:r>
              <w:rPr>
                <w:rFonts w:hint="eastAsia" w:ascii="宋体"/>
                <w:sz w:val="21"/>
                <w:szCs w:val="21"/>
              </w:rPr>
              <w:t xml:space="preserve">25</w:t>
            </w:r>
            <w:r/>
          </w:p>
        </w:tc>
        <w:tc>
          <w:tcPr>
            <w:tcBorders>
              <w:top w:val="none" w:color="000000" w:sz="4" w:space="0"/>
              <w:left w:val="single" w:color="auto" w:sz="4" w:space="0"/>
              <w:bottom w:val="single" w:color="auto" w:sz="4" w:space="0"/>
              <w:right w:val="single" w:color="auto" w:sz="4" w:space="0"/>
            </w:tcBorders>
            <w:tcW w:w="834" w:type="pct"/>
            <w:vAlign w:val="center"/>
            <w:vMerge w:val="restart"/>
            <w:textDirection w:val="lrTb"/>
            <w:noWrap w:val="false"/>
          </w:tcPr>
          <w:p>
            <w:pPr>
              <w:ind w:firstLine="0"/>
              <w:jc w:val="center"/>
              <w:spacing w:line="240" w:lineRule="auto"/>
              <w:rPr>
                <w:rFonts w:hint="default" w:ascii="宋体"/>
                <w:sz w:val="21"/>
                <w:szCs w:val="21"/>
              </w:rPr>
            </w:pPr>
            <w:r>
              <w:rPr>
                <w:rFonts w:hint="eastAsia" w:ascii="宋体"/>
                <w:sz w:val="21"/>
                <w:szCs w:val="21"/>
              </w:rPr>
              <w:t xml:space="preserve">电警设备在线情况</w:t>
            </w:r>
            <w:r/>
          </w:p>
        </w:tc>
        <w:tc>
          <w:tcPr>
            <w:tcBorders>
              <w:top w:val="single" w:color="auto" w:sz="4" w:space="0"/>
              <w:left w:val="single" w:color="auto" w:sz="4" w:space="0"/>
              <w:bottom w:val="single" w:color="auto" w:sz="4" w:space="0"/>
              <w:right w:val="single" w:color="auto" w:sz="4" w:space="0"/>
            </w:tcBorders>
            <w:tcW w:w="2784" w:type="pct"/>
            <w:vAlign w:val="center"/>
            <w:textDirection w:val="lrTb"/>
            <w:noWrap w:val="false"/>
          </w:tcPr>
          <w:p>
            <w:pPr>
              <w:ind w:firstLine="0"/>
              <w:jc w:val="left"/>
              <w:spacing w:line="240" w:lineRule="auto"/>
              <w:rPr>
                <w:rFonts w:hint="default" w:ascii="宋体"/>
                <w:sz w:val="21"/>
                <w:szCs w:val="21"/>
              </w:rPr>
            </w:pPr>
            <w:r>
              <w:rPr>
                <w:rFonts w:hint="eastAsia" w:ascii="宋体"/>
                <w:sz w:val="21"/>
                <w:szCs w:val="21"/>
              </w:rPr>
              <w:t xml:space="preserve">每季度不定期、不限次数抽查设备在线率，普通设备在线率低于95%及以上，重要设备在线率低于99%的</w:t>
            </w:r>
            <w:r/>
          </w:p>
        </w:tc>
        <w:tc>
          <w:tcPr>
            <w:tcBorders>
              <w:top w:val="single" w:color="auto" w:sz="4" w:space="0"/>
              <w:left w:val="single" w:color="auto" w:sz="4" w:space="0"/>
              <w:bottom w:val="single" w:color="auto" w:sz="4" w:space="0"/>
              <w:right w:val="single" w:color="auto" w:sz="4" w:space="0"/>
            </w:tcBorders>
            <w:tcW w:w="406" w:type="pct"/>
            <w:vAlign w:val="center"/>
            <w:textDirection w:val="lrTb"/>
            <w:noWrap w:val="false"/>
          </w:tcPr>
          <w:p>
            <w:pPr>
              <w:ind w:firstLine="0"/>
              <w:jc w:val="center"/>
              <w:spacing w:line="240" w:lineRule="auto"/>
              <w:rPr>
                <w:rFonts w:hint="default" w:ascii="宋体"/>
                <w:sz w:val="21"/>
                <w:szCs w:val="21"/>
              </w:rPr>
            </w:pPr>
            <w:r>
              <w:rPr>
                <w:rFonts w:hint="eastAsia" w:ascii="宋体"/>
                <w:sz w:val="21"/>
                <w:szCs w:val="21"/>
              </w:rPr>
              <w:t xml:space="preserve">次</w:t>
            </w:r>
            <w:r/>
          </w:p>
        </w:tc>
        <w:tc>
          <w:tcPr>
            <w:tcBorders>
              <w:top w:val="single" w:color="auto" w:sz="4" w:space="0"/>
              <w:left w:val="single" w:color="auto" w:sz="4" w:space="0"/>
              <w:bottom w:val="single" w:color="auto" w:sz="4" w:space="0"/>
              <w:right w:val="single" w:color="auto" w:sz="4" w:space="0"/>
            </w:tcBorders>
            <w:tcW w:w="531" w:type="pct"/>
            <w:vAlign w:val="center"/>
            <w:textDirection w:val="lrTb"/>
            <w:noWrap w:val="false"/>
          </w:tcPr>
          <w:p>
            <w:pPr>
              <w:ind w:firstLine="0"/>
              <w:jc w:val="center"/>
              <w:spacing w:line="240" w:lineRule="auto"/>
              <w:rPr>
                <w:rFonts w:hint="default" w:ascii="宋体"/>
                <w:sz w:val="21"/>
                <w:szCs w:val="21"/>
              </w:rPr>
            </w:pPr>
            <w:r>
              <w:rPr>
                <w:rFonts w:hint="eastAsia" w:ascii="宋体"/>
                <w:sz w:val="21"/>
                <w:szCs w:val="21"/>
              </w:rPr>
              <w:t xml:space="preserve">0.2</w:t>
            </w:r>
            <w:r/>
          </w:p>
        </w:tc>
      </w:tr>
      <w:tr>
        <w:trPr>
          <w:jc w:val="center"/>
          <w:trHeight w:val="382"/>
        </w:trPr>
        <w:tc>
          <w:tcPr>
            <w:tcBorders>
              <w:top w:val="single" w:color="auto" w:sz="4" w:space="0"/>
              <w:left w:val="single" w:color="auto" w:sz="4" w:space="0"/>
              <w:bottom w:val="single" w:color="auto" w:sz="4" w:space="0"/>
              <w:right w:val="single" w:color="auto" w:sz="4" w:space="0"/>
            </w:tcBorders>
            <w:tcW w:w="445" w:type="pct"/>
            <w:vAlign w:val="center"/>
            <w:textDirection w:val="lrTb"/>
            <w:noWrap w:val="false"/>
          </w:tcPr>
          <w:p>
            <w:pPr>
              <w:ind w:firstLine="0"/>
              <w:jc w:val="center"/>
              <w:spacing w:line="240" w:lineRule="auto"/>
              <w:rPr>
                <w:rFonts w:hint="default" w:ascii="宋体"/>
                <w:sz w:val="21"/>
                <w:szCs w:val="21"/>
              </w:rPr>
            </w:pPr>
            <w:r>
              <w:rPr>
                <w:rFonts w:hint="eastAsia" w:ascii="宋体"/>
                <w:sz w:val="21"/>
                <w:szCs w:val="21"/>
              </w:rPr>
              <w:t xml:space="preserve">26</w:t>
            </w:r>
            <w:r/>
          </w:p>
        </w:tc>
        <w:tc>
          <w:tcPr>
            <w:tcBorders>
              <w:top w:val="none" w:color="000000" w:sz="4" w:space="0"/>
              <w:left w:val="single" w:color="auto" w:sz="4" w:space="0"/>
              <w:bottom w:val="single" w:color="auto" w:sz="4" w:space="0"/>
              <w:right w:val="single" w:color="auto" w:sz="4" w:space="0"/>
            </w:tcBorders>
            <w:tcW w:w="834" w:type="pct"/>
            <w:vAlign w:val="center"/>
            <w:vMerge w:val="continue"/>
            <w:textDirection w:val="lrTb"/>
            <w:noWrap w:val="false"/>
          </w:tcPr>
          <w:p>
            <w:pPr>
              <w:ind w:firstLine="0"/>
              <w:jc w:val="center"/>
              <w:spacing w:line="240" w:lineRule="auto"/>
              <w:rPr>
                <w:rFonts w:hint="default" w:ascii="宋体"/>
                <w:sz w:val="21"/>
                <w:szCs w:val="21"/>
              </w:rPr>
            </w:pPr>
            <w:r>
              <w:rPr>
                <w:rFonts w:hint="default" w:ascii="宋体"/>
                <w:sz w:val="21"/>
                <w:szCs w:val="21"/>
              </w:rPr>
            </w:r>
            <w:r/>
          </w:p>
        </w:tc>
        <w:tc>
          <w:tcPr>
            <w:tcBorders>
              <w:top w:val="single" w:color="auto" w:sz="4" w:space="0"/>
              <w:left w:val="single" w:color="auto" w:sz="4" w:space="0"/>
              <w:bottom w:val="single" w:color="auto" w:sz="4" w:space="0"/>
              <w:right w:val="single" w:color="auto" w:sz="4" w:space="0"/>
            </w:tcBorders>
            <w:tcW w:w="2784" w:type="pct"/>
            <w:vAlign w:val="center"/>
            <w:textDirection w:val="lrTb"/>
            <w:noWrap w:val="false"/>
          </w:tcPr>
          <w:p>
            <w:pPr>
              <w:ind w:firstLine="0"/>
              <w:jc w:val="left"/>
              <w:spacing w:line="240" w:lineRule="auto"/>
              <w:rPr>
                <w:rFonts w:hint="default" w:ascii="宋体"/>
                <w:sz w:val="21"/>
                <w:szCs w:val="21"/>
              </w:rPr>
            </w:pPr>
            <w:r>
              <w:rPr>
                <w:rFonts w:hint="eastAsia" w:ascii="宋体"/>
                <w:sz w:val="21"/>
                <w:szCs w:val="21"/>
              </w:rPr>
              <w:t xml:space="preserve">重点点位单个设备离线时间单次超过8小时（网路问题除外）未处理的</w:t>
            </w:r>
            <w:r/>
          </w:p>
        </w:tc>
        <w:tc>
          <w:tcPr>
            <w:tcBorders>
              <w:top w:val="single" w:color="auto" w:sz="4" w:space="0"/>
              <w:left w:val="single" w:color="auto" w:sz="4" w:space="0"/>
              <w:bottom w:val="single" w:color="auto" w:sz="4" w:space="0"/>
              <w:right w:val="single" w:color="auto" w:sz="4" w:space="0"/>
            </w:tcBorders>
            <w:tcW w:w="406" w:type="pct"/>
            <w:vAlign w:val="center"/>
            <w:textDirection w:val="lrTb"/>
            <w:noWrap w:val="false"/>
          </w:tcPr>
          <w:p>
            <w:pPr>
              <w:ind w:firstLine="0"/>
              <w:jc w:val="center"/>
              <w:spacing w:line="240" w:lineRule="auto"/>
              <w:rPr>
                <w:rFonts w:hint="default" w:ascii="宋体"/>
                <w:sz w:val="21"/>
                <w:szCs w:val="21"/>
              </w:rPr>
            </w:pPr>
            <w:r>
              <w:rPr>
                <w:rFonts w:hint="eastAsia" w:ascii="宋体"/>
                <w:sz w:val="21"/>
                <w:szCs w:val="21"/>
              </w:rPr>
              <w:t xml:space="preserve">次</w:t>
            </w:r>
            <w:r/>
          </w:p>
        </w:tc>
        <w:tc>
          <w:tcPr>
            <w:tcBorders>
              <w:top w:val="single" w:color="auto" w:sz="4" w:space="0"/>
              <w:left w:val="single" w:color="auto" w:sz="4" w:space="0"/>
              <w:bottom w:val="single" w:color="auto" w:sz="4" w:space="0"/>
              <w:right w:val="single" w:color="auto" w:sz="4" w:space="0"/>
            </w:tcBorders>
            <w:tcW w:w="531" w:type="pct"/>
            <w:vAlign w:val="center"/>
            <w:textDirection w:val="lrTb"/>
            <w:noWrap w:val="false"/>
          </w:tcPr>
          <w:p>
            <w:pPr>
              <w:ind w:firstLine="0"/>
              <w:jc w:val="center"/>
              <w:spacing w:line="240" w:lineRule="auto"/>
              <w:rPr>
                <w:rFonts w:hint="default" w:ascii="宋体"/>
                <w:sz w:val="21"/>
                <w:szCs w:val="21"/>
              </w:rPr>
            </w:pPr>
            <w:r>
              <w:rPr>
                <w:rFonts w:hint="eastAsia" w:ascii="宋体"/>
                <w:sz w:val="21"/>
                <w:szCs w:val="21"/>
              </w:rPr>
              <w:t xml:space="preserve">0.2</w:t>
            </w:r>
            <w:r/>
          </w:p>
        </w:tc>
      </w:tr>
      <w:tr>
        <w:trPr>
          <w:jc w:val="center"/>
        </w:trPr>
        <w:tc>
          <w:tcPr>
            <w:tcBorders>
              <w:top w:val="single" w:color="auto" w:sz="4" w:space="0"/>
              <w:left w:val="single" w:color="auto" w:sz="4" w:space="0"/>
              <w:bottom w:val="single" w:color="auto" w:sz="4" w:space="0"/>
              <w:right w:val="single" w:color="auto" w:sz="4" w:space="0"/>
            </w:tcBorders>
            <w:tcW w:w="445" w:type="pct"/>
            <w:vAlign w:val="center"/>
            <w:textDirection w:val="lrTb"/>
            <w:noWrap w:val="false"/>
          </w:tcPr>
          <w:p>
            <w:pPr>
              <w:ind w:firstLine="0"/>
              <w:jc w:val="center"/>
              <w:spacing w:line="240" w:lineRule="auto"/>
              <w:rPr>
                <w:rFonts w:hint="default" w:ascii="宋体"/>
                <w:sz w:val="21"/>
                <w:szCs w:val="21"/>
              </w:rPr>
            </w:pPr>
            <w:r>
              <w:rPr>
                <w:rFonts w:hint="eastAsia" w:ascii="宋体"/>
                <w:sz w:val="21"/>
                <w:szCs w:val="21"/>
              </w:rPr>
              <w:t xml:space="preserve">27</w:t>
            </w:r>
            <w:r/>
          </w:p>
        </w:tc>
        <w:tc>
          <w:tcPr>
            <w:tcBorders>
              <w:top w:val="none" w:color="000000" w:sz="4" w:space="0"/>
              <w:left w:val="single" w:color="auto" w:sz="4" w:space="0"/>
              <w:bottom w:val="single" w:color="auto" w:sz="4" w:space="0"/>
              <w:right w:val="single" w:color="auto" w:sz="4" w:space="0"/>
            </w:tcBorders>
            <w:tcW w:w="834" w:type="pct"/>
            <w:vAlign w:val="center"/>
            <w:vMerge w:val="restart"/>
            <w:textDirection w:val="lrTb"/>
            <w:noWrap w:val="false"/>
          </w:tcPr>
          <w:p>
            <w:pPr>
              <w:ind w:firstLine="0"/>
              <w:jc w:val="center"/>
              <w:spacing w:line="240" w:lineRule="auto"/>
              <w:rPr>
                <w:rFonts w:hint="default" w:ascii="宋体"/>
                <w:bCs/>
                <w:sz w:val="21"/>
                <w:szCs w:val="21"/>
              </w:rPr>
            </w:pPr>
            <w:r>
              <w:rPr>
                <w:rFonts w:hint="eastAsia" w:ascii="宋体"/>
                <w:bCs/>
                <w:sz w:val="21"/>
                <w:szCs w:val="21"/>
              </w:rPr>
              <w:t xml:space="preserve">服从采购人监督的情况投诉情况</w:t>
            </w:r>
            <w:r/>
          </w:p>
        </w:tc>
        <w:tc>
          <w:tcPr>
            <w:tcBorders>
              <w:top w:val="single" w:color="auto" w:sz="4" w:space="0"/>
              <w:left w:val="single" w:color="auto" w:sz="4" w:space="0"/>
              <w:bottom w:val="single" w:color="auto" w:sz="4" w:space="0"/>
              <w:right w:val="single" w:color="auto" w:sz="4" w:space="0"/>
            </w:tcBorders>
            <w:tcW w:w="2784" w:type="pct"/>
            <w:vAlign w:val="center"/>
            <w:textDirection w:val="lrTb"/>
            <w:noWrap w:val="false"/>
          </w:tcPr>
          <w:p>
            <w:pPr>
              <w:ind w:firstLine="0"/>
              <w:jc w:val="left"/>
              <w:spacing w:line="240" w:lineRule="auto"/>
              <w:rPr>
                <w:rFonts w:hint="default" w:ascii="宋体"/>
                <w:sz w:val="21"/>
                <w:szCs w:val="21"/>
              </w:rPr>
            </w:pPr>
            <w:r>
              <w:rPr>
                <w:rFonts w:hint="eastAsia" w:ascii="宋体"/>
                <w:sz w:val="21"/>
                <w:szCs w:val="21"/>
              </w:rPr>
              <w:t xml:space="preserve">不执行采购人安排的施工或维保顺序的</w:t>
            </w:r>
            <w:r/>
          </w:p>
        </w:tc>
        <w:tc>
          <w:tcPr>
            <w:tcBorders>
              <w:top w:val="single" w:color="auto" w:sz="4" w:space="0"/>
              <w:left w:val="single" w:color="auto" w:sz="4" w:space="0"/>
              <w:bottom w:val="single" w:color="auto" w:sz="4" w:space="0"/>
              <w:right w:val="single" w:color="auto" w:sz="4" w:space="0"/>
            </w:tcBorders>
            <w:tcW w:w="406" w:type="pct"/>
            <w:vAlign w:val="center"/>
            <w:textDirection w:val="lrTb"/>
            <w:noWrap w:val="false"/>
          </w:tcPr>
          <w:p>
            <w:pPr>
              <w:ind w:firstLine="0"/>
              <w:jc w:val="center"/>
              <w:spacing w:line="240" w:lineRule="auto"/>
              <w:rPr>
                <w:rFonts w:hint="default" w:ascii="宋体"/>
                <w:sz w:val="21"/>
                <w:szCs w:val="21"/>
              </w:rPr>
            </w:pPr>
            <w:r>
              <w:rPr>
                <w:rFonts w:hint="eastAsia" w:ascii="宋体"/>
                <w:sz w:val="21"/>
                <w:szCs w:val="21"/>
              </w:rPr>
              <w:t xml:space="preserve">次</w:t>
            </w:r>
            <w:r/>
          </w:p>
        </w:tc>
        <w:tc>
          <w:tcPr>
            <w:tcBorders>
              <w:top w:val="single" w:color="auto" w:sz="4" w:space="0"/>
              <w:left w:val="single" w:color="auto" w:sz="4" w:space="0"/>
              <w:bottom w:val="single" w:color="auto" w:sz="4" w:space="0"/>
              <w:right w:val="single" w:color="auto" w:sz="4" w:space="0"/>
            </w:tcBorders>
            <w:tcW w:w="531" w:type="pct"/>
            <w:vAlign w:val="center"/>
            <w:textDirection w:val="lrTb"/>
            <w:noWrap w:val="false"/>
          </w:tcPr>
          <w:p>
            <w:pPr>
              <w:ind w:firstLine="0"/>
              <w:jc w:val="center"/>
              <w:spacing w:line="240" w:lineRule="auto"/>
              <w:rPr>
                <w:rFonts w:hint="default" w:ascii="宋体"/>
                <w:sz w:val="21"/>
                <w:szCs w:val="21"/>
              </w:rPr>
            </w:pPr>
            <w:r>
              <w:rPr>
                <w:rFonts w:hint="eastAsia" w:ascii="宋体"/>
                <w:sz w:val="21"/>
                <w:szCs w:val="21"/>
              </w:rPr>
              <w:t xml:space="preserve">0.2</w:t>
            </w:r>
            <w:r/>
          </w:p>
        </w:tc>
      </w:tr>
      <w:tr>
        <w:trPr>
          <w:jc w:val="center"/>
        </w:trPr>
        <w:tc>
          <w:tcPr>
            <w:tcBorders>
              <w:top w:val="single" w:color="auto" w:sz="4" w:space="0"/>
              <w:left w:val="single" w:color="auto" w:sz="4" w:space="0"/>
              <w:bottom w:val="single" w:color="auto" w:sz="4" w:space="0"/>
              <w:right w:val="single" w:color="auto" w:sz="4" w:space="0"/>
            </w:tcBorders>
            <w:tcW w:w="445" w:type="pct"/>
            <w:vAlign w:val="center"/>
            <w:textDirection w:val="lrTb"/>
            <w:noWrap w:val="false"/>
          </w:tcPr>
          <w:p>
            <w:pPr>
              <w:ind w:firstLine="0"/>
              <w:jc w:val="center"/>
              <w:spacing w:line="240" w:lineRule="auto"/>
              <w:rPr>
                <w:rFonts w:hint="default" w:ascii="宋体"/>
                <w:sz w:val="21"/>
                <w:szCs w:val="21"/>
              </w:rPr>
            </w:pPr>
            <w:r>
              <w:rPr>
                <w:rFonts w:hint="eastAsia" w:ascii="宋体"/>
                <w:sz w:val="21"/>
                <w:szCs w:val="21"/>
              </w:rPr>
              <w:t xml:space="preserve">28</w:t>
            </w:r>
            <w:r/>
          </w:p>
        </w:tc>
        <w:tc>
          <w:tcPr>
            <w:tcBorders>
              <w:top w:val="none" w:color="000000" w:sz="4" w:space="0"/>
              <w:left w:val="single" w:color="auto" w:sz="4" w:space="0"/>
              <w:bottom w:val="single" w:color="auto" w:sz="4" w:space="0"/>
              <w:right w:val="single" w:color="auto" w:sz="4" w:space="0"/>
            </w:tcBorders>
            <w:tcW w:w="834" w:type="pct"/>
            <w:vAlign w:val="center"/>
            <w:vMerge w:val="continue"/>
            <w:textDirection w:val="lrTb"/>
            <w:noWrap w:val="false"/>
          </w:tcPr>
          <w:p>
            <w:pPr>
              <w:ind w:firstLine="0"/>
              <w:jc w:val="center"/>
              <w:spacing w:line="240" w:lineRule="auto"/>
              <w:rPr>
                <w:rFonts w:hint="default" w:ascii="宋体"/>
                <w:bCs/>
                <w:sz w:val="21"/>
                <w:szCs w:val="21"/>
              </w:rPr>
            </w:pPr>
            <w:r>
              <w:rPr>
                <w:rFonts w:hint="default" w:ascii="宋体"/>
                <w:bCs/>
                <w:sz w:val="21"/>
                <w:szCs w:val="21"/>
              </w:rPr>
            </w:r>
            <w:r/>
          </w:p>
        </w:tc>
        <w:tc>
          <w:tcPr>
            <w:tcBorders>
              <w:top w:val="single" w:color="auto" w:sz="4" w:space="0"/>
              <w:left w:val="single" w:color="auto" w:sz="4" w:space="0"/>
              <w:bottom w:val="single" w:color="auto" w:sz="4" w:space="0"/>
              <w:right w:val="single" w:color="auto" w:sz="4" w:space="0"/>
            </w:tcBorders>
            <w:tcW w:w="2784" w:type="pct"/>
            <w:vAlign w:val="center"/>
            <w:textDirection w:val="lrTb"/>
            <w:noWrap w:val="false"/>
          </w:tcPr>
          <w:p>
            <w:pPr>
              <w:ind w:firstLine="0"/>
              <w:jc w:val="left"/>
              <w:spacing w:line="240" w:lineRule="auto"/>
              <w:rPr>
                <w:rFonts w:hint="default" w:ascii="宋体"/>
                <w:sz w:val="21"/>
                <w:szCs w:val="21"/>
              </w:rPr>
            </w:pPr>
            <w:r>
              <w:rPr>
                <w:rFonts w:hint="eastAsia" w:ascii="宋体"/>
                <w:sz w:val="21"/>
                <w:szCs w:val="21"/>
              </w:rPr>
              <w:t xml:space="preserve">发生涉交安信号的交通事故及认为损坏，超中标价向责任人索赔的</w:t>
            </w:r>
            <w:r/>
          </w:p>
        </w:tc>
        <w:tc>
          <w:tcPr>
            <w:tcBorders>
              <w:top w:val="single" w:color="auto" w:sz="4" w:space="0"/>
              <w:left w:val="single" w:color="auto" w:sz="4" w:space="0"/>
              <w:bottom w:val="single" w:color="auto" w:sz="4" w:space="0"/>
              <w:right w:val="single" w:color="auto" w:sz="4" w:space="0"/>
            </w:tcBorders>
            <w:tcW w:w="406" w:type="pct"/>
            <w:vAlign w:val="center"/>
            <w:textDirection w:val="lrTb"/>
            <w:noWrap w:val="false"/>
          </w:tcPr>
          <w:p>
            <w:pPr>
              <w:ind w:firstLine="0"/>
              <w:jc w:val="center"/>
              <w:spacing w:line="240" w:lineRule="auto"/>
              <w:rPr>
                <w:rFonts w:hint="default" w:ascii="宋体"/>
                <w:sz w:val="21"/>
                <w:szCs w:val="21"/>
              </w:rPr>
            </w:pPr>
            <w:r>
              <w:rPr>
                <w:rFonts w:hint="eastAsia" w:ascii="宋体"/>
                <w:sz w:val="21"/>
                <w:szCs w:val="21"/>
              </w:rPr>
              <w:t xml:space="preserve">次</w:t>
            </w:r>
            <w:r/>
          </w:p>
        </w:tc>
        <w:tc>
          <w:tcPr>
            <w:tcBorders>
              <w:top w:val="single" w:color="auto" w:sz="4" w:space="0"/>
              <w:left w:val="single" w:color="auto" w:sz="4" w:space="0"/>
              <w:bottom w:val="single" w:color="auto" w:sz="4" w:space="0"/>
              <w:right w:val="single" w:color="auto" w:sz="4" w:space="0"/>
            </w:tcBorders>
            <w:tcW w:w="531" w:type="pct"/>
            <w:vAlign w:val="center"/>
            <w:textDirection w:val="lrTb"/>
            <w:noWrap w:val="false"/>
          </w:tcPr>
          <w:p>
            <w:pPr>
              <w:ind w:firstLine="0"/>
              <w:jc w:val="center"/>
              <w:spacing w:line="240" w:lineRule="auto"/>
              <w:rPr>
                <w:rFonts w:hint="default" w:ascii="宋体"/>
                <w:sz w:val="21"/>
                <w:szCs w:val="21"/>
              </w:rPr>
            </w:pPr>
            <w:r>
              <w:rPr>
                <w:rFonts w:hint="eastAsia" w:ascii="宋体"/>
                <w:sz w:val="21"/>
                <w:szCs w:val="21"/>
              </w:rPr>
              <w:t xml:space="preserve">0.3</w:t>
            </w:r>
            <w:r/>
          </w:p>
        </w:tc>
      </w:tr>
      <w:tr>
        <w:trPr>
          <w:jc w:val="center"/>
        </w:trPr>
        <w:tc>
          <w:tcPr>
            <w:tcBorders>
              <w:top w:val="single" w:color="auto" w:sz="4" w:space="0"/>
              <w:left w:val="single" w:color="auto" w:sz="4" w:space="0"/>
              <w:bottom w:val="single" w:color="auto" w:sz="4" w:space="0"/>
              <w:right w:val="single" w:color="auto" w:sz="4" w:space="0"/>
            </w:tcBorders>
            <w:tcW w:w="445" w:type="pct"/>
            <w:vAlign w:val="center"/>
            <w:textDirection w:val="lrTb"/>
            <w:noWrap w:val="false"/>
          </w:tcPr>
          <w:p>
            <w:pPr>
              <w:ind w:firstLine="0"/>
              <w:jc w:val="center"/>
              <w:spacing w:line="240" w:lineRule="auto"/>
              <w:rPr>
                <w:rFonts w:hint="default" w:ascii="宋体"/>
                <w:sz w:val="21"/>
                <w:szCs w:val="21"/>
              </w:rPr>
            </w:pPr>
            <w:r>
              <w:rPr>
                <w:rFonts w:hint="eastAsia" w:ascii="宋体"/>
                <w:sz w:val="21"/>
                <w:szCs w:val="21"/>
              </w:rPr>
              <w:t xml:space="preserve">29</w:t>
            </w:r>
            <w:r/>
          </w:p>
        </w:tc>
        <w:tc>
          <w:tcPr>
            <w:tcBorders>
              <w:top w:val="none" w:color="000000" w:sz="4" w:space="0"/>
              <w:left w:val="single" w:color="auto" w:sz="4" w:space="0"/>
              <w:bottom w:val="single" w:color="auto" w:sz="4" w:space="0"/>
              <w:right w:val="single" w:color="auto" w:sz="4" w:space="0"/>
            </w:tcBorders>
            <w:tcW w:w="834" w:type="pct"/>
            <w:vAlign w:val="center"/>
            <w:vMerge w:val="restart"/>
            <w:textDirection w:val="lrTb"/>
            <w:noWrap w:val="false"/>
          </w:tcPr>
          <w:p>
            <w:pPr>
              <w:ind w:firstLine="0"/>
              <w:jc w:val="center"/>
              <w:spacing w:line="240" w:lineRule="auto"/>
              <w:rPr>
                <w:rFonts w:hint="default" w:ascii="宋体"/>
                <w:bCs/>
                <w:sz w:val="21"/>
                <w:szCs w:val="21"/>
              </w:rPr>
            </w:pPr>
            <w:r>
              <w:rPr>
                <w:rFonts w:hint="eastAsia" w:ascii="宋体"/>
                <w:bCs/>
                <w:sz w:val="21"/>
                <w:szCs w:val="21"/>
              </w:rPr>
              <w:t xml:space="preserve">文明施工及安全防护等情况</w:t>
            </w:r>
            <w:r/>
          </w:p>
        </w:tc>
        <w:tc>
          <w:tcPr>
            <w:tcBorders>
              <w:top w:val="single" w:color="auto" w:sz="4" w:space="0"/>
              <w:left w:val="single" w:color="auto" w:sz="4" w:space="0"/>
              <w:bottom w:val="single" w:color="auto" w:sz="4" w:space="0"/>
              <w:right w:val="single" w:color="auto" w:sz="4" w:space="0"/>
            </w:tcBorders>
            <w:tcW w:w="2784" w:type="pct"/>
            <w:vAlign w:val="center"/>
            <w:textDirection w:val="lrTb"/>
            <w:noWrap w:val="false"/>
          </w:tcPr>
          <w:p>
            <w:pPr>
              <w:ind w:firstLine="0"/>
              <w:jc w:val="left"/>
              <w:spacing w:line="240" w:lineRule="auto"/>
              <w:rPr>
                <w:rFonts w:hint="default" w:ascii="宋体"/>
                <w:sz w:val="21"/>
                <w:szCs w:val="21"/>
              </w:rPr>
            </w:pPr>
            <w:r>
              <w:rPr>
                <w:rFonts w:hint="eastAsia" w:ascii="宋体"/>
                <w:sz w:val="21"/>
                <w:szCs w:val="21"/>
              </w:rPr>
              <w:t xml:space="preserve">施工及车辆停放未做好安全防护的</w:t>
            </w:r>
            <w:r/>
          </w:p>
        </w:tc>
        <w:tc>
          <w:tcPr>
            <w:tcBorders>
              <w:top w:val="single" w:color="auto" w:sz="4" w:space="0"/>
              <w:left w:val="single" w:color="auto" w:sz="4" w:space="0"/>
              <w:bottom w:val="single" w:color="auto" w:sz="4" w:space="0"/>
              <w:right w:val="single" w:color="auto" w:sz="4" w:space="0"/>
            </w:tcBorders>
            <w:tcW w:w="406" w:type="pct"/>
            <w:vAlign w:val="center"/>
            <w:textDirection w:val="lrTb"/>
            <w:noWrap w:val="false"/>
          </w:tcPr>
          <w:p>
            <w:pPr>
              <w:ind w:firstLine="0"/>
              <w:jc w:val="center"/>
              <w:spacing w:line="240" w:lineRule="auto"/>
              <w:rPr>
                <w:rFonts w:hint="default" w:ascii="宋体"/>
                <w:sz w:val="21"/>
                <w:szCs w:val="21"/>
              </w:rPr>
            </w:pPr>
            <w:r>
              <w:rPr>
                <w:rFonts w:hint="eastAsia" w:ascii="宋体"/>
                <w:sz w:val="21"/>
                <w:szCs w:val="21"/>
              </w:rPr>
              <w:t xml:space="preserve">次</w:t>
            </w:r>
            <w:r/>
          </w:p>
        </w:tc>
        <w:tc>
          <w:tcPr>
            <w:tcBorders>
              <w:top w:val="single" w:color="auto" w:sz="4" w:space="0"/>
              <w:left w:val="single" w:color="auto" w:sz="4" w:space="0"/>
              <w:bottom w:val="single" w:color="auto" w:sz="4" w:space="0"/>
              <w:right w:val="single" w:color="auto" w:sz="4" w:space="0"/>
            </w:tcBorders>
            <w:tcW w:w="531" w:type="pct"/>
            <w:vAlign w:val="center"/>
            <w:textDirection w:val="lrTb"/>
            <w:noWrap w:val="false"/>
          </w:tcPr>
          <w:p>
            <w:pPr>
              <w:ind w:firstLine="0"/>
              <w:jc w:val="center"/>
              <w:spacing w:line="240" w:lineRule="auto"/>
              <w:rPr>
                <w:rFonts w:hint="default" w:ascii="宋体"/>
                <w:sz w:val="21"/>
                <w:szCs w:val="21"/>
              </w:rPr>
            </w:pPr>
            <w:r>
              <w:rPr>
                <w:rFonts w:hint="eastAsia" w:ascii="宋体"/>
                <w:sz w:val="21"/>
                <w:szCs w:val="21"/>
              </w:rPr>
              <w:t xml:space="preserve">0.1</w:t>
            </w:r>
            <w:r/>
          </w:p>
        </w:tc>
      </w:tr>
      <w:tr>
        <w:trPr>
          <w:jc w:val="center"/>
        </w:trPr>
        <w:tc>
          <w:tcPr>
            <w:tcBorders>
              <w:top w:val="single" w:color="auto" w:sz="4" w:space="0"/>
              <w:left w:val="single" w:color="auto" w:sz="4" w:space="0"/>
              <w:bottom w:val="single" w:color="auto" w:sz="4" w:space="0"/>
              <w:right w:val="single" w:color="auto" w:sz="4" w:space="0"/>
            </w:tcBorders>
            <w:tcW w:w="445" w:type="pct"/>
            <w:vAlign w:val="center"/>
            <w:textDirection w:val="lrTb"/>
            <w:noWrap w:val="false"/>
          </w:tcPr>
          <w:p>
            <w:pPr>
              <w:ind w:firstLine="0"/>
              <w:jc w:val="center"/>
              <w:spacing w:line="240" w:lineRule="auto"/>
              <w:rPr>
                <w:rFonts w:hint="default" w:ascii="宋体"/>
                <w:sz w:val="21"/>
                <w:szCs w:val="21"/>
              </w:rPr>
            </w:pPr>
            <w:r>
              <w:rPr>
                <w:rFonts w:hint="eastAsia" w:ascii="宋体"/>
                <w:sz w:val="21"/>
                <w:szCs w:val="21"/>
              </w:rPr>
              <w:t xml:space="preserve">30</w:t>
            </w:r>
            <w:r/>
          </w:p>
        </w:tc>
        <w:tc>
          <w:tcPr>
            <w:tcBorders>
              <w:top w:val="none" w:color="000000" w:sz="4" w:space="0"/>
              <w:left w:val="single" w:color="auto" w:sz="4" w:space="0"/>
              <w:bottom w:val="single" w:color="auto" w:sz="4" w:space="0"/>
              <w:right w:val="single" w:color="auto" w:sz="4" w:space="0"/>
            </w:tcBorders>
            <w:tcW w:w="834" w:type="pct"/>
            <w:vAlign w:val="center"/>
            <w:vMerge w:val="continue"/>
            <w:textDirection w:val="lrTb"/>
            <w:noWrap w:val="false"/>
          </w:tcPr>
          <w:p>
            <w:pPr>
              <w:ind w:firstLine="0"/>
              <w:jc w:val="center"/>
              <w:spacing w:line="240" w:lineRule="auto"/>
              <w:rPr>
                <w:rFonts w:hint="default" w:ascii="宋体"/>
                <w:bCs/>
                <w:sz w:val="21"/>
                <w:szCs w:val="21"/>
              </w:rPr>
            </w:pPr>
            <w:r>
              <w:rPr>
                <w:rFonts w:hint="default" w:ascii="宋体"/>
                <w:bCs/>
                <w:sz w:val="21"/>
                <w:szCs w:val="21"/>
              </w:rPr>
            </w:r>
            <w:r/>
          </w:p>
        </w:tc>
        <w:tc>
          <w:tcPr>
            <w:tcBorders>
              <w:top w:val="single" w:color="auto" w:sz="4" w:space="0"/>
              <w:left w:val="single" w:color="auto" w:sz="4" w:space="0"/>
              <w:bottom w:val="single" w:color="auto" w:sz="4" w:space="0"/>
              <w:right w:val="single" w:color="auto" w:sz="4" w:space="0"/>
            </w:tcBorders>
            <w:tcW w:w="2784" w:type="pct"/>
            <w:vAlign w:val="center"/>
            <w:textDirection w:val="lrTb"/>
            <w:noWrap w:val="false"/>
          </w:tcPr>
          <w:p>
            <w:pPr>
              <w:ind w:firstLine="0"/>
              <w:jc w:val="left"/>
              <w:spacing w:line="240" w:lineRule="auto"/>
              <w:rPr>
                <w:rFonts w:hint="default" w:ascii="宋体"/>
                <w:sz w:val="21"/>
                <w:szCs w:val="21"/>
              </w:rPr>
            </w:pPr>
            <w:r>
              <w:rPr>
                <w:rFonts w:hint="eastAsia" w:ascii="宋体"/>
                <w:sz w:val="21"/>
                <w:szCs w:val="21"/>
              </w:rPr>
              <w:t xml:space="preserve">因施工不当造成交通堵塞或引起交通事故的</w:t>
            </w:r>
            <w:r/>
          </w:p>
        </w:tc>
        <w:tc>
          <w:tcPr>
            <w:tcBorders>
              <w:top w:val="single" w:color="auto" w:sz="4" w:space="0"/>
              <w:left w:val="single" w:color="auto" w:sz="4" w:space="0"/>
              <w:bottom w:val="single" w:color="auto" w:sz="4" w:space="0"/>
              <w:right w:val="single" w:color="auto" w:sz="4" w:space="0"/>
            </w:tcBorders>
            <w:tcW w:w="406" w:type="pct"/>
            <w:vAlign w:val="center"/>
            <w:textDirection w:val="lrTb"/>
            <w:noWrap w:val="false"/>
          </w:tcPr>
          <w:p>
            <w:pPr>
              <w:ind w:firstLine="0"/>
              <w:jc w:val="center"/>
              <w:spacing w:line="240" w:lineRule="auto"/>
              <w:rPr>
                <w:rFonts w:hint="default" w:ascii="宋体"/>
                <w:sz w:val="21"/>
                <w:szCs w:val="21"/>
              </w:rPr>
            </w:pPr>
            <w:r>
              <w:rPr>
                <w:rFonts w:hint="eastAsia" w:ascii="宋体"/>
                <w:sz w:val="21"/>
                <w:szCs w:val="21"/>
              </w:rPr>
              <w:t xml:space="preserve">次</w:t>
            </w:r>
            <w:r/>
          </w:p>
        </w:tc>
        <w:tc>
          <w:tcPr>
            <w:tcBorders>
              <w:top w:val="single" w:color="auto" w:sz="4" w:space="0"/>
              <w:left w:val="single" w:color="auto" w:sz="4" w:space="0"/>
              <w:bottom w:val="single" w:color="auto" w:sz="4" w:space="0"/>
              <w:right w:val="single" w:color="auto" w:sz="4" w:space="0"/>
            </w:tcBorders>
            <w:tcW w:w="531" w:type="pct"/>
            <w:vAlign w:val="center"/>
            <w:textDirection w:val="lrTb"/>
            <w:noWrap w:val="false"/>
          </w:tcPr>
          <w:p>
            <w:pPr>
              <w:ind w:firstLine="0"/>
              <w:jc w:val="center"/>
              <w:spacing w:line="240" w:lineRule="auto"/>
              <w:rPr>
                <w:rFonts w:hint="default" w:ascii="宋体"/>
                <w:sz w:val="21"/>
                <w:szCs w:val="21"/>
              </w:rPr>
            </w:pPr>
            <w:r>
              <w:rPr>
                <w:rFonts w:hint="eastAsia" w:ascii="宋体"/>
                <w:sz w:val="21"/>
                <w:szCs w:val="21"/>
              </w:rPr>
              <w:t xml:space="preserve">1</w:t>
            </w:r>
            <w:r/>
          </w:p>
        </w:tc>
      </w:tr>
      <w:tr>
        <w:trPr>
          <w:jc w:val="center"/>
        </w:trPr>
        <w:tc>
          <w:tcPr>
            <w:tcBorders>
              <w:top w:val="single" w:color="auto" w:sz="4" w:space="0"/>
              <w:left w:val="single" w:color="auto" w:sz="4" w:space="0"/>
              <w:bottom w:val="single" w:color="auto" w:sz="4" w:space="0"/>
              <w:right w:val="single" w:color="auto" w:sz="4" w:space="0"/>
            </w:tcBorders>
            <w:tcW w:w="445" w:type="pct"/>
            <w:vAlign w:val="center"/>
            <w:textDirection w:val="lrTb"/>
            <w:noWrap w:val="false"/>
          </w:tcPr>
          <w:p>
            <w:pPr>
              <w:ind w:firstLine="0"/>
              <w:jc w:val="center"/>
              <w:spacing w:line="240" w:lineRule="auto"/>
              <w:rPr>
                <w:rFonts w:hint="default" w:ascii="宋体"/>
                <w:sz w:val="21"/>
                <w:szCs w:val="21"/>
              </w:rPr>
            </w:pPr>
            <w:r>
              <w:rPr>
                <w:rFonts w:hint="eastAsia" w:ascii="宋体"/>
                <w:sz w:val="21"/>
                <w:szCs w:val="21"/>
              </w:rPr>
              <w:t xml:space="preserve">31</w:t>
            </w:r>
            <w:r/>
          </w:p>
        </w:tc>
        <w:tc>
          <w:tcPr>
            <w:tcBorders>
              <w:top w:val="none" w:color="000000" w:sz="4" w:space="0"/>
              <w:left w:val="single" w:color="auto" w:sz="4" w:space="0"/>
              <w:bottom w:val="single" w:color="auto" w:sz="4" w:space="0"/>
              <w:right w:val="single" w:color="auto" w:sz="4" w:space="0"/>
            </w:tcBorders>
            <w:tcW w:w="834" w:type="pct"/>
            <w:vAlign w:val="center"/>
            <w:vMerge w:val="restart"/>
            <w:textDirection w:val="lrTb"/>
            <w:noWrap w:val="false"/>
          </w:tcPr>
          <w:p>
            <w:pPr>
              <w:ind w:firstLine="0"/>
              <w:jc w:val="center"/>
              <w:spacing w:line="240" w:lineRule="auto"/>
              <w:rPr>
                <w:rFonts w:hint="default" w:ascii="宋体"/>
                <w:bCs/>
                <w:sz w:val="21"/>
                <w:szCs w:val="21"/>
              </w:rPr>
            </w:pPr>
            <w:r>
              <w:rPr>
                <w:rFonts w:hint="eastAsia" w:ascii="宋体"/>
                <w:bCs/>
                <w:sz w:val="21"/>
                <w:szCs w:val="21"/>
              </w:rPr>
              <w:t xml:space="preserve">落实节假日及恶劣天气应急处置措施的加强和完成情况</w:t>
            </w:r>
            <w:r/>
          </w:p>
        </w:tc>
        <w:tc>
          <w:tcPr>
            <w:tcBorders>
              <w:top w:val="single" w:color="auto" w:sz="4" w:space="0"/>
              <w:left w:val="single" w:color="auto" w:sz="4" w:space="0"/>
              <w:bottom w:val="single" w:color="auto" w:sz="4" w:space="0"/>
              <w:right w:val="single" w:color="auto" w:sz="4" w:space="0"/>
            </w:tcBorders>
            <w:tcW w:w="2784" w:type="pct"/>
            <w:vAlign w:val="center"/>
            <w:textDirection w:val="lrTb"/>
            <w:noWrap w:val="false"/>
          </w:tcPr>
          <w:p>
            <w:pPr>
              <w:ind w:firstLine="0"/>
              <w:jc w:val="left"/>
              <w:spacing w:line="240" w:lineRule="auto"/>
              <w:rPr>
                <w:rFonts w:hint="default" w:ascii="宋体"/>
                <w:sz w:val="21"/>
                <w:szCs w:val="21"/>
              </w:rPr>
            </w:pPr>
            <w:r>
              <w:rPr>
                <w:rFonts w:hint="eastAsia" w:ascii="宋体"/>
                <w:sz w:val="21"/>
                <w:szCs w:val="21"/>
              </w:rPr>
              <w:t xml:space="preserve">未能加大巡检频次和范围的</w:t>
            </w:r>
            <w:r/>
          </w:p>
        </w:tc>
        <w:tc>
          <w:tcPr>
            <w:tcBorders>
              <w:top w:val="single" w:color="auto" w:sz="4" w:space="0"/>
              <w:left w:val="single" w:color="auto" w:sz="4" w:space="0"/>
              <w:bottom w:val="single" w:color="auto" w:sz="4" w:space="0"/>
              <w:right w:val="single" w:color="auto" w:sz="4" w:space="0"/>
            </w:tcBorders>
            <w:tcW w:w="406" w:type="pct"/>
            <w:vAlign w:val="center"/>
            <w:textDirection w:val="lrTb"/>
            <w:noWrap w:val="false"/>
          </w:tcPr>
          <w:p>
            <w:pPr>
              <w:ind w:firstLine="0"/>
              <w:jc w:val="center"/>
              <w:spacing w:line="240" w:lineRule="auto"/>
              <w:rPr>
                <w:rFonts w:hint="default" w:ascii="宋体"/>
                <w:sz w:val="21"/>
                <w:szCs w:val="21"/>
              </w:rPr>
            </w:pPr>
            <w:r>
              <w:rPr>
                <w:rFonts w:hint="eastAsia" w:ascii="宋体"/>
                <w:sz w:val="21"/>
                <w:szCs w:val="21"/>
              </w:rPr>
              <w:t xml:space="preserve">次</w:t>
            </w:r>
            <w:r/>
          </w:p>
        </w:tc>
        <w:tc>
          <w:tcPr>
            <w:tcBorders>
              <w:top w:val="single" w:color="auto" w:sz="4" w:space="0"/>
              <w:left w:val="single" w:color="auto" w:sz="4" w:space="0"/>
              <w:bottom w:val="single" w:color="auto" w:sz="4" w:space="0"/>
              <w:right w:val="single" w:color="auto" w:sz="4" w:space="0"/>
            </w:tcBorders>
            <w:tcW w:w="531" w:type="pct"/>
            <w:vAlign w:val="center"/>
            <w:textDirection w:val="lrTb"/>
            <w:noWrap w:val="false"/>
          </w:tcPr>
          <w:p>
            <w:pPr>
              <w:ind w:firstLine="0"/>
              <w:jc w:val="center"/>
              <w:spacing w:line="240" w:lineRule="auto"/>
              <w:rPr>
                <w:rFonts w:hint="default" w:ascii="宋体"/>
                <w:sz w:val="21"/>
                <w:szCs w:val="21"/>
              </w:rPr>
            </w:pPr>
            <w:r>
              <w:rPr>
                <w:rFonts w:hint="eastAsia" w:ascii="宋体"/>
                <w:sz w:val="21"/>
                <w:szCs w:val="21"/>
              </w:rPr>
              <w:t xml:space="preserve">0.2</w:t>
            </w:r>
            <w:r/>
          </w:p>
        </w:tc>
      </w:tr>
      <w:tr>
        <w:trPr>
          <w:jc w:val="center"/>
        </w:trPr>
        <w:tc>
          <w:tcPr>
            <w:tcBorders>
              <w:top w:val="single" w:color="auto" w:sz="4" w:space="0"/>
              <w:left w:val="single" w:color="auto" w:sz="4" w:space="0"/>
              <w:bottom w:val="single" w:color="auto" w:sz="4" w:space="0"/>
              <w:right w:val="single" w:color="auto" w:sz="4" w:space="0"/>
            </w:tcBorders>
            <w:tcW w:w="445" w:type="pct"/>
            <w:vAlign w:val="center"/>
            <w:textDirection w:val="lrTb"/>
            <w:noWrap w:val="false"/>
          </w:tcPr>
          <w:p>
            <w:pPr>
              <w:ind w:firstLine="0"/>
              <w:jc w:val="center"/>
              <w:spacing w:line="240" w:lineRule="auto"/>
              <w:rPr>
                <w:rFonts w:hint="default" w:ascii="宋体"/>
                <w:sz w:val="21"/>
                <w:szCs w:val="21"/>
              </w:rPr>
            </w:pPr>
            <w:r>
              <w:rPr>
                <w:rFonts w:hint="eastAsia" w:ascii="宋体"/>
                <w:sz w:val="21"/>
                <w:szCs w:val="21"/>
              </w:rPr>
              <w:t xml:space="preserve">32</w:t>
            </w:r>
            <w:r/>
          </w:p>
        </w:tc>
        <w:tc>
          <w:tcPr>
            <w:tcBorders>
              <w:top w:val="none" w:color="000000" w:sz="4" w:space="0"/>
              <w:left w:val="single" w:color="auto" w:sz="4" w:space="0"/>
              <w:bottom w:val="single" w:color="auto" w:sz="4" w:space="0"/>
              <w:right w:val="single" w:color="auto" w:sz="4" w:space="0"/>
            </w:tcBorders>
            <w:tcW w:w="834" w:type="pct"/>
            <w:vAlign w:val="center"/>
            <w:vMerge w:val="continue"/>
            <w:textDirection w:val="lrTb"/>
            <w:noWrap w:val="false"/>
          </w:tcPr>
          <w:p>
            <w:pPr>
              <w:ind w:firstLine="0"/>
              <w:jc w:val="center"/>
              <w:spacing w:line="240" w:lineRule="auto"/>
              <w:rPr>
                <w:rFonts w:hint="default" w:ascii="宋体"/>
                <w:bCs/>
                <w:sz w:val="21"/>
                <w:szCs w:val="21"/>
              </w:rPr>
            </w:pPr>
            <w:r>
              <w:rPr>
                <w:rFonts w:hint="default" w:ascii="宋体"/>
                <w:bCs/>
                <w:sz w:val="21"/>
                <w:szCs w:val="21"/>
              </w:rPr>
            </w:r>
            <w:r/>
          </w:p>
        </w:tc>
        <w:tc>
          <w:tcPr>
            <w:tcBorders>
              <w:top w:val="single" w:color="auto" w:sz="4" w:space="0"/>
              <w:left w:val="single" w:color="auto" w:sz="4" w:space="0"/>
              <w:bottom w:val="single" w:color="auto" w:sz="4" w:space="0"/>
              <w:right w:val="single" w:color="auto" w:sz="4" w:space="0"/>
            </w:tcBorders>
            <w:tcW w:w="2784" w:type="pct"/>
            <w:vAlign w:val="center"/>
            <w:textDirection w:val="lrTb"/>
            <w:noWrap w:val="false"/>
          </w:tcPr>
          <w:p>
            <w:pPr>
              <w:ind w:firstLine="0"/>
              <w:jc w:val="left"/>
              <w:spacing w:line="240" w:lineRule="auto"/>
              <w:rPr>
                <w:rFonts w:hint="default" w:ascii="宋体"/>
                <w:sz w:val="21"/>
                <w:szCs w:val="21"/>
              </w:rPr>
            </w:pPr>
            <w:r>
              <w:rPr>
                <w:rFonts w:hint="eastAsia" w:ascii="宋体"/>
                <w:sz w:val="21"/>
                <w:szCs w:val="21"/>
              </w:rPr>
              <w:t xml:space="preserve">未能制定应急处置预案和增强应急处置力量的</w:t>
            </w:r>
            <w:r/>
          </w:p>
        </w:tc>
        <w:tc>
          <w:tcPr>
            <w:tcBorders>
              <w:top w:val="single" w:color="auto" w:sz="4" w:space="0"/>
              <w:left w:val="single" w:color="auto" w:sz="4" w:space="0"/>
              <w:bottom w:val="single" w:color="auto" w:sz="4" w:space="0"/>
              <w:right w:val="single" w:color="auto" w:sz="4" w:space="0"/>
            </w:tcBorders>
            <w:tcW w:w="406" w:type="pct"/>
            <w:vAlign w:val="center"/>
            <w:textDirection w:val="lrTb"/>
            <w:noWrap w:val="false"/>
          </w:tcPr>
          <w:p>
            <w:pPr>
              <w:ind w:firstLine="0"/>
              <w:jc w:val="center"/>
              <w:spacing w:line="240" w:lineRule="auto"/>
              <w:rPr>
                <w:rFonts w:hint="default" w:ascii="宋体"/>
                <w:sz w:val="21"/>
                <w:szCs w:val="21"/>
              </w:rPr>
            </w:pPr>
            <w:r>
              <w:rPr>
                <w:rFonts w:hint="eastAsia" w:ascii="宋体"/>
                <w:sz w:val="21"/>
                <w:szCs w:val="21"/>
              </w:rPr>
              <w:t xml:space="preserve">次</w:t>
            </w:r>
            <w:r/>
          </w:p>
        </w:tc>
        <w:tc>
          <w:tcPr>
            <w:tcBorders>
              <w:top w:val="single" w:color="auto" w:sz="4" w:space="0"/>
              <w:left w:val="single" w:color="auto" w:sz="4" w:space="0"/>
              <w:bottom w:val="single" w:color="auto" w:sz="4" w:space="0"/>
              <w:right w:val="single" w:color="auto" w:sz="4" w:space="0"/>
            </w:tcBorders>
            <w:tcW w:w="531" w:type="pct"/>
            <w:vAlign w:val="center"/>
            <w:textDirection w:val="lrTb"/>
            <w:noWrap w:val="false"/>
          </w:tcPr>
          <w:p>
            <w:pPr>
              <w:ind w:firstLine="0"/>
              <w:jc w:val="center"/>
              <w:spacing w:line="240" w:lineRule="auto"/>
              <w:rPr>
                <w:rFonts w:hint="default" w:ascii="宋体"/>
                <w:sz w:val="21"/>
                <w:szCs w:val="21"/>
              </w:rPr>
            </w:pPr>
            <w:r>
              <w:rPr>
                <w:rFonts w:hint="eastAsia" w:ascii="宋体"/>
                <w:sz w:val="21"/>
                <w:szCs w:val="21"/>
              </w:rPr>
              <w:t xml:space="preserve">0.2</w:t>
            </w:r>
            <w:r/>
          </w:p>
        </w:tc>
      </w:tr>
      <w:tr>
        <w:trPr>
          <w:jc w:val="center"/>
        </w:trPr>
        <w:tc>
          <w:tcPr>
            <w:tcBorders>
              <w:top w:val="single" w:color="auto" w:sz="4" w:space="0"/>
              <w:left w:val="single" w:color="auto" w:sz="4" w:space="0"/>
              <w:bottom w:val="single" w:color="auto" w:sz="4" w:space="0"/>
              <w:right w:val="single" w:color="auto" w:sz="4" w:space="0"/>
            </w:tcBorders>
            <w:tcW w:w="445" w:type="pct"/>
            <w:vAlign w:val="center"/>
            <w:textDirection w:val="lrTb"/>
            <w:noWrap w:val="false"/>
          </w:tcPr>
          <w:p>
            <w:pPr>
              <w:ind w:firstLine="0"/>
              <w:jc w:val="center"/>
              <w:spacing w:line="240" w:lineRule="auto"/>
              <w:rPr>
                <w:rFonts w:hint="default" w:ascii="宋体"/>
                <w:sz w:val="21"/>
                <w:szCs w:val="21"/>
              </w:rPr>
            </w:pPr>
            <w:r>
              <w:rPr>
                <w:rFonts w:hint="eastAsia" w:ascii="宋体"/>
                <w:sz w:val="21"/>
                <w:szCs w:val="21"/>
              </w:rPr>
              <w:t xml:space="preserve">33</w:t>
            </w:r>
            <w:r/>
          </w:p>
        </w:tc>
        <w:tc>
          <w:tcPr>
            <w:tcBorders>
              <w:top w:val="none" w:color="000000" w:sz="4" w:space="0"/>
              <w:left w:val="single" w:color="auto" w:sz="4" w:space="0"/>
              <w:bottom w:val="single" w:color="auto" w:sz="4" w:space="0"/>
              <w:right w:val="single" w:color="auto" w:sz="4" w:space="0"/>
            </w:tcBorders>
            <w:tcW w:w="834" w:type="pct"/>
            <w:vAlign w:val="center"/>
            <w:vMerge w:val="restart"/>
            <w:textDirection w:val="lrTb"/>
            <w:noWrap w:val="false"/>
          </w:tcPr>
          <w:p>
            <w:pPr>
              <w:ind w:firstLine="0"/>
              <w:jc w:val="center"/>
              <w:spacing w:line="240" w:lineRule="auto"/>
              <w:rPr>
                <w:rFonts w:hint="default" w:ascii="宋体"/>
                <w:bCs/>
                <w:sz w:val="21"/>
                <w:szCs w:val="21"/>
              </w:rPr>
            </w:pPr>
            <w:r>
              <w:rPr>
                <w:rFonts w:hint="eastAsia" w:ascii="宋体"/>
                <w:bCs/>
                <w:sz w:val="21"/>
                <w:szCs w:val="21"/>
              </w:rPr>
              <w:t xml:space="preserve">交通优化情况</w:t>
            </w:r>
            <w:r/>
          </w:p>
        </w:tc>
        <w:tc>
          <w:tcPr>
            <w:tcBorders>
              <w:top w:val="single" w:color="auto" w:sz="4" w:space="0"/>
              <w:left w:val="single" w:color="auto" w:sz="4" w:space="0"/>
              <w:bottom w:val="single" w:color="auto" w:sz="4" w:space="0"/>
              <w:right w:val="single" w:color="auto" w:sz="4" w:space="0"/>
            </w:tcBorders>
            <w:tcW w:w="2784" w:type="pct"/>
            <w:vAlign w:val="center"/>
            <w:textDirection w:val="lrTb"/>
            <w:noWrap w:val="false"/>
          </w:tcPr>
          <w:p>
            <w:pPr>
              <w:ind w:firstLine="0"/>
              <w:jc w:val="left"/>
              <w:spacing w:line="240" w:lineRule="auto"/>
              <w:rPr>
                <w:rFonts w:hint="default" w:ascii="宋体"/>
                <w:sz w:val="21"/>
                <w:szCs w:val="21"/>
              </w:rPr>
            </w:pPr>
            <w:r>
              <w:rPr>
                <w:rFonts w:hint="eastAsia" w:ascii="宋体"/>
                <w:sz w:val="21"/>
                <w:szCs w:val="21"/>
              </w:rPr>
              <w:t xml:space="preserve">配时方案精细程度不够，导致出现严重拥堵或不良影响。</w:t>
            </w:r>
            <w:r/>
          </w:p>
        </w:tc>
        <w:tc>
          <w:tcPr>
            <w:tcBorders>
              <w:top w:val="single" w:color="auto" w:sz="4" w:space="0"/>
              <w:left w:val="single" w:color="auto" w:sz="4" w:space="0"/>
              <w:bottom w:val="single" w:color="auto" w:sz="4" w:space="0"/>
              <w:right w:val="single" w:color="auto" w:sz="4" w:space="0"/>
            </w:tcBorders>
            <w:tcW w:w="406" w:type="pct"/>
            <w:vAlign w:val="center"/>
            <w:textDirection w:val="lrTb"/>
            <w:noWrap w:val="false"/>
          </w:tcPr>
          <w:p>
            <w:pPr>
              <w:ind w:firstLine="0"/>
              <w:jc w:val="center"/>
              <w:spacing w:line="240" w:lineRule="auto"/>
              <w:rPr>
                <w:rFonts w:hint="default" w:ascii="宋体"/>
                <w:sz w:val="21"/>
                <w:szCs w:val="21"/>
              </w:rPr>
            </w:pPr>
            <w:r>
              <w:rPr>
                <w:rFonts w:hint="eastAsia" w:ascii="宋体"/>
                <w:sz w:val="21"/>
                <w:szCs w:val="21"/>
              </w:rPr>
              <w:t xml:space="preserve">次</w:t>
            </w:r>
            <w:r/>
          </w:p>
        </w:tc>
        <w:tc>
          <w:tcPr>
            <w:tcBorders>
              <w:top w:val="single" w:color="auto" w:sz="4" w:space="0"/>
              <w:left w:val="single" w:color="auto" w:sz="4" w:space="0"/>
              <w:bottom w:val="single" w:color="auto" w:sz="4" w:space="0"/>
              <w:right w:val="single" w:color="auto" w:sz="4" w:space="0"/>
            </w:tcBorders>
            <w:tcW w:w="531" w:type="pct"/>
            <w:vAlign w:val="center"/>
            <w:textDirection w:val="lrTb"/>
            <w:noWrap w:val="false"/>
          </w:tcPr>
          <w:p>
            <w:pPr>
              <w:ind w:firstLine="0"/>
              <w:jc w:val="center"/>
              <w:spacing w:line="240" w:lineRule="auto"/>
              <w:rPr>
                <w:rFonts w:hint="default" w:ascii="宋体"/>
                <w:sz w:val="21"/>
                <w:szCs w:val="21"/>
              </w:rPr>
            </w:pPr>
            <w:r>
              <w:rPr>
                <w:rFonts w:hint="eastAsia" w:ascii="宋体"/>
                <w:sz w:val="21"/>
                <w:szCs w:val="21"/>
              </w:rPr>
              <w:t xml:space="preserve">1</w:t>
            </w:r>
            <w:r/>
          </w:p>
        </w:tc>
      </w:tr>
      <w:tr>
        <w:trPr>
          <w:jc w:val="center"/>
        </w:trPr>
        <w:tc>
          <w:tcPr>
            <w:tcBorders>
              <w:top w:val="single" w:color="auto" w:sz="4" w:space="0"/>
              <w:left w:val="single" w:color="auto" w:sz="4" w:space="0"/>
              <w:bottom w:val="single" w:color="auto" w:sz="4" w:space="0"/>
              <w:right w:val="single" w:color="auto" w:sz="4" w:space="0"/>
            </w:tcBorders>
            <w:tcW w:w="445" w:type="pct"/>
            <w:vAlign w:val="center"/>
            <w:textDirection w:val="lrTb"/>
            <w:noWrap w:val="false"/>
          </w:tcPr>
          <w:p>
            <w:pPr>
              <w:ind w:firstLine="0"/>
              <w:jc w:val="center"/>
              <w:spacing w:line="240" w:lineRule="auto"/>
              <w:rPr>
                <w:rFonts w:hint="default" w:ascii="宋体"/>
                <w:sz w:val="21"/>
                <w:szCs w:val="21"/>
              </w:rPr>
            </w:pPr>
            <w:r>
              <w:rPr>
                <w:rFonts w:hint="eastAsia" w:ascii="宋体"/>
                <w:sz w:val="21"/>
                <w:szCs w:val="21"/>
              </w:rPr>
              <w:t xml:space="preserve">34</w:t>
            </w:r>
            <w:r/>
          </w:p>
        </w:tc>
        <w:tc>
          <w:tcPr>
            <w:tcBorders>
              <w:top w:val="none" w:color="000000" w:sz="4" w:space="0"/>
              <w:left w:val="single" w:color="auto" w:sz="4" w:space="0"/>
              <w:bottom w:val="single" w:color="auto" w:sz="4" w:space="0"/>
              <w:right w:val="single" w:color="auto" w:sz="4" w:space="0"/>
            </w:tcBorders>
            <w:tcW w:w="834" w:type="pct"/>
            <w:vAlign w:val="center"/>
            <w:vMerge w:val="continue"/>
            <w:textDirection w:val="lrTb"/>
            <w:noWrap w:val="false"/>
          </w:tcPr>
          <w:p>
            <w:pPr>
              <w:ind w:firstLine="0"/>
              <w:jc w:val="center"/>
              <w:spacing w:line="240" w:lineRule="auto"/>
              <w:rPr>
                <w:rFonts w:hint="default" w:ascii="宋体"/>
                <w:bCs/>
                <w:sz w:val="21"/>
                <w:szCs w:val="21"/>
              </w:rPr>
            </w:pPr>
            <w:r>
              <w:rPr>
                <w:rFonts w:hint="default" w:ascii="宋体"/>
                <w:bCs/>
                <w:sz w:val="21"/>
                <w:szCs w:val="21"/>
              </w:rPr>
            </w:r>
            <w:r/>
          </w:p>
        </w:tc>
        <w:tc>
          <w:tcPr>
            <w:tcBorders>
              <w:top w:val="single" w:color="auto" w:sz="4" w:space="0"/>
              <w:left w:val="single" w:color="auto" w:sz="4" w:space="0"/>
              <w:bottom w:val="single" w:color="auto" w:sz="4" w:space="0"/>
              <w:right w:val="single" w:color="auto" w:sz="4" w:space="0"/>
            </w:tcBorders>
            <w:tcW w:w="2784" w:type="pct"/>
            <w:vAlign w:val="center"/>
            <w:textDirection w:val="lrTb"/>
            <w:noWrap w:val="false"/>
          </w:tcPr>
          <w:p>
            <w:pPr>
              <w:ind w:firstLine="0"/>
              <w:jc w:val="left"/>
              <w:spacing w:line="240" w:lineRule="auto"/>
              <w:rPr>
                <w:rFonts w:hint="default" w:ascii="宋体"/>
                <w:sz w:val="21"/>
                <w:szCs w:val="21"/>
              </w:rPr>
            </w:pPr>
            <w:r>
              <w:rPr>
                <w:rFonts w:hint="eastAsia" w:ascii="宋体"/>
                <w:sz w:val="21"/>
                <w:szCs w:val="21"/>
              </w:rPr>
              <w:t xml:space="preserve">在当月信号优化道路中，方案不能保证停车一次平均连续通过三处交叉口。</w:t>
            </w:r>
            <w:r/>
          </w:p>
        </w:tc>
        <w:tc>
          <w:tcPr>
            <w:tcBorders>
              <w:top w:val="single" w:color="auto" w:sz="4" w:space="0"/>
              <w:left w:val="single" w:color="auto" w:sz="4" w:space="0"/>
              <w:bottom w:val="single" w:color="auto" w:sz="4" w:space="0"/>
              <w:right w:val="single" w:color="auto" w:sz="4" w:space="0"/>
            </w:tcBorders>
            <w:tcW w:w="406" w:type="pct"/>
            <w:vAlign w:val="center"/>
            <w:textDirection w:val="lrTb"/>
            <w:noWrap w:val="false"/>
          </w:tcPr>
          <w:p>
            <w:pPr>
              <w:ind w:firstLine="0"/>
              <w:jc w:val="center"/>
              <w:spacing w:line="240" w:lineRule="auto"/>
              <w:rPr>
                <w:rFonts w:hint="default" w:ascii="宋体"/>
                <w:sz w:val="21"/>
                <w:szCs w:val="21"/>
              </w:rPr>
            </w:pPr>
            <w:r>
              <w:rPr>
                <w:rFonts w:hint="eastAsia" w:ascii="宋体"/>
                <w:sz w:val="21"/>
                <w:szCs w:val="21"/>
              </w:rPr>
              <w:t xml:space="preserve">次</w:t>
            </w:r>
            <w:r/>
          </w:p>
        </w:tc>
        <w:tc>
          <w:tcPr>
            <w:tcBorders>
              <w:top w:val="single" w:color="auto" w:sz="4" w:space="0"/>
              <w:left w:val="single" w:color="auto" w:sz="4" w:space="0"/>
              <w:bottom w:val="single" w:color="auto" w:sz="4" w:space="0"/>
              <w:right w:val="single" w:color="auto" w:sz="4" w:space="0"/>
            </w:tcBorders>
            <w:tcW w:w="531" w:type="pct"/>
            <w:vAlign w:val="center"/>
            <w:textDirection w:val="lrTb"/>
            <w:noWrap w:val="false"/>
          </w:tcPr>
          <w:p>
            <w:pPr>
              <w:ind w:firstLine="0"/>
              <w:jc w:val="center"/>
              <w:spacing w:line="240" w:lineRule="auto"/>
              <w:rPr>
                <w:rFonts w:hint="default" w:ascii="宋体"/>
                <w:sz w:val="21"/>
                <w:szCs w:val="21"/>
              </w:rPr>
            </w:pPr>
            <w:r>
              <w:rPr>
                <w:rFonts w:hint="eastAsia" w:ascii="宋体"/>
                <w:sz w:val="21"/>
                <w:szCs w:val="21"/>
              </w:rPr>
              <w:t xml:space="preserve">1</w:t>
            </w:r>
            <w:r/>
          </w:p>
        </w:tc>
      </w:tr>
      <w:tr>
        <w:trPr>
          <w:jc w:val="center"/>
        </w:trPr>
        <w:tc>
          <w:tcPr>
            <w:tcBorders>
              <w:top w:val="single" w:color="auto" w:sz="4" w:space="0"/>
              <w:left w:val="single" w:color="auto" w:sz="4" w:space="0"/>
              <w:bottom w:val="single" w:color="auto" w:sz="4" w:space="0"/>
              <w:right w:val="single" w:color="auto" w:sz="4" w:space="0"/>
            </w:tcBorders>
            <w:tcW w:w="445" w:type="pct"/>
            <w:vAlign w:val="center"/>
            <w:textDirection w:val="lrTb"/>
            <w:noWrap w:val="false"/>
          </w:tcPr>
          <w:p>
            <w:pPr>
              <w:ind w:firstLine="0"/>
              <w:jc w:val="center"/>
              <w:spacing w:line="240" w:lineRule="auto"/>
              <w:rPr>
                <w:rFonts w:hint="default" w:ascii="宋体"/>
                <w:sz w:val="21"/>
                <w:szCs w:val="21"/>
              </w:rPr>
            </w:pPr>
            <w:r>
              <w:rPr>
                <w:rFonts w:hint="eastAsia" w:ascii="宋体"/>
                <w:sz w:val="21"/>
                <w:szCs w:val="21"/>
              </w:rPr>
              <w:t xml:space="preserve">35</w:t>
            </w:r>
            <w:r/>
          </w:p>
        </w:tc>
        <w:tc>
          <w:tcPr>
            <w:tcBorders>
              <w:top w:val="none" w:color="000000" w:sz="4" w:space="0"/>
              <w:left w:val="single" w:color="auto" w:sz="4" w:space="0"/>
              <w:bottom w:val="single" w:color="auto" w:sz="4" w:space="0"/>
              <w:right w:val="single" w:color="auto" w:sz="4" w:space="0"/>
            </w:tcBorders>
            <w:tcW w:w="834" w:type="pct"/>
            <w:vAlign w:val="center"/>
            <w:vMerge w:val="continue"/>
            <w:textDirection w:val="lrTb"/>
            <w:noWrap w:val="false"/>
          </w:tcPr>
          <w:p>
            <w:pPr>
              <w:ind w:firstLine="0"/>
              <w:jc w:val="center"/>
              <w:spacing w:line="240" w:lineRule="auto"/>
              <w:rPr>
                <w:rFonts w:hint="default" w:ascii="宋体"/>
                <w:bCs/>
                <w:sz w:val="21"/>
                <w:szCs w:val="21"/>
              </w:rPr>
            </w:pPr>
            <w:r>
              <w:rPr>
                <w:rFonts w:hint="default" w:ascii="宋体"/>
                <w:bCs/>
                <w:sz w:val="21"/>
                <w:szCs w:val="21"/>
              </w:rPr>
            </w:r>
            <w:r/>
          </w:p>
        </w:tc>
        <w:tc>
          <w:tcPr>
            <w:tcBorders>
              <w:top w:val="single" w:color="auto" w:sz="4" w:space="0"/>
              <w:left w:val="single" w:color="auto" w:sz="4" w:space="0"/>
              <w:bottom w:val="single" w:color="auto" w:sz="4" w:space="0"/>
              <w:right w:val="single" w:color="auto" w:sz="4" w:space="0"/>
            </w:tcBorders>
            <w:tcW w:w="2784" w:type="pct"/>
            <w:vAlign w:val="center"/>
            <w:textDirection w:val="lrTb"/>
            <w:noWrap w:val="false"/>
          </w:tcPr>
          <w:p>
            <w:pPr>
              <w:ind w:firstLine="0"/>
              <w:jc w:val="left"/>
              <w:spacing w:line="240" w:lineRule="auto"/>
              <w:rPr>
                <w:rFonts w:hint="default" w:ascii="宋体"/>
                <w:sz w:val="21"/>
                <w:szCs w:val="21"/>
              </w:rPr>
            </w:pPr>
            <w:r>
              <w:rPr>
                <w:rFonts w:hint="eastAsia" w:ascii="宋体"/>
                <w:sz w:val="21"/>
                <w:szCs w:val="21"/>
              </w:rPr>
              <w:t xml:space="preserve">信号配时方案出现明显错误可能会存在安全隐患。</w:t>
            </w:r>
            <w:r/>
          </w:p>
        </w:tc>
        <w:tc>
          <w:tcPr>
            <w:tcBorders>
              <w:top w:val="single" w:color="auto" w:sz="4" w:space="0"/>
              <w:left w:val="single" w:color="auto" w:sz="4" w:space="0"/>
              <w:bottom w:val="single" w:color="auto" w:sz="4" w:space="0"/>
              <w:right w:val="single" w:color="auto" w:sz="4" w:space="0"/>
            </w:tcBorders>
            <w:tcW w:w="406" w:type="pct"/>
            <w:vAlign w:val="center"/>
            <w:textDirection w:val="lrTb"/>
            <w:noWrap w:val="false"/>
          </w:tcPr>
          <w:p>
            <w:pPr>
              <w:ind w:firstLine="0"/>
              <w:jc w:val="center"/>
              <w:spacing w:line="240" w:lineRule="auto"/>
              <w:rPr>
                <w:rFonts w:hint="default" w:ascii="宋体"/>
                <w:sz w:val="21"/>
                <w:szCs w:val="21"/>
              </w:rPr>
            </w:pPr>
            <w:r>
              <w:rPr>
                <w:rFonts w:hint="eastAsia" w:ascii="宋体"/>
                <w:sz w:val="21"/>
                <w:szCs w:val="21"/>
              </w:rPr>
              <w:t xml:space="preserve">次</w:t>
            </w:r>
            <w:r/>
          </w:p>
        </w:tc>
        <w:tc>
          <w:tcPr>
            <w:tcBorders>
              <w:top w:val="single" w:color="auto" w:sz="4" w:space="0"/>
              <w:left w:val="single" w:color="auto" w:sz="4" w:space="0"/>
              <w:bottom w:val="single" w:color="auto" w:sz="4" w:space="0"/>
              <w:right w:val="single" w:color="auto" w:sz="4" w:space="0"/>
            </w:tcBorders>
            <w:tcW w:w="531" w:type="pct"/>
            <w:vAlign w:val="center"/>
            <w:textDirection w:val="lrTb"/>
            <w:noWrap w:val="false"/>
          </w:tcPr>
          <w:p>
            <w:pPr>
              <w:ind w:firstLine="0"/>
              <w:jc w:val="center"/>
              <w:spacing w:line="240" w:lineRule="auto"/>
              <w:rPr>
                <w:rFonts w:hint="default" w:ascii="宋体"/>
                <w:sz w:val="21"/>
                <w:szCs w:val="21"/>
              </w:rPr>
            </w:pPr>
            <w:r>
              <w:rPr>
                <w:rFonts w:hint="eastAsia" w:ascii="宋体"/>
                <w:sz w:val="21"/>
                <w:szCs w:val="21"/>
              </w:rPr>
              <w:t xml:space="preserve">1</w:t>
            </w:r>
            <w:r/>
          </w:p>
        </w:tc>
      </w:tr>
    </w:tbl>
    <w:p>
      <w:pPr>
        <w:ind w:firstLine="480"/>
        <w:spacing w:line="360" w:lineRule="auto"/>
        <w:rPr>
          <w:rFonts w:hint="default" w:ascii="宋体"/>
          <w:sz w:val="24"/>
          <w:szCs w:val="28"/>
        </w:rPr>
      </w:pPr>
      <w:r>
        <w:rPr>
          <w:rFonts w:hint="default" w:ascii="宋体"/>
          <w:sz w:val="24"/>
          <w:szCs w:val="28"/>
        </w:rPr>
      </w:r>
      <w:r/>
    </w:p>
    <w:p>
      <w:pPr>
        <w:ind w:left="0" w:firstLine="480"/>
        <w:jc w:val="both"/>
        <w:spacing w:after="0" w:line="360" w:lineRule="auto"/>
        <w:widowControl w:val="off"/>
        <w:rPr>
          <w:rFonts w:ascii="宋体" w:hAnsi="宋体" w:eastAsia="宋体" w:cs="Times New Roman"/>
          <w:sz w:val="24"/>
          <w:szCs w:val="28"/>
          <w:lang w:val="en-US" w:eastAsia="zh-CN" w:bidi="ar-SA"/>
        </w:rPr>
      </w:pPr>
      <w:r>
        <w:rPr>
          <w:rFonts w:ascii="宋体" w:hAnsi="宋体" w:eastAsia="宋体" w:cs="Times New Roman"/>
          <w:sz w:val="24"/>
          <w:szCs w:val="28"/>
          <w:lang w:val="en-US" w:eastAsia="zh-CN" w:bidi="ar-SA"/>
        </w:rPr>
      </w:r>
      <w:r/>
    </w:p>
    <w:p>
      <w:pPr>
        <w:ind w:firstLine="480"/>
        <w:spacing w:line="360" w:lineRule="auto"/>
        <w:rPr>
          <w:rFonts w:hint="default" w:ascii="宋体"/>
          <w:sz w:val="24"/>
          <w:szCs w:val="28"/>
        </w:rPr>
      </w:pPr>
      <w:r>
        <w:rPr>
          <w:rFonts w:hint="eastAsia" w:ascii="宋体"/>
          <w:sz w:val="24"/>
          <w:szCs w:val="28"/>
        </w:rPr>
        <w:t xml:space="preserve">2、考核加分</w:t>
      </w:r>
      <w:r/>
    </w:p>
    <w:tbl>
      <w:tblPr>
        <w:tblStyle w:val="883"/>
        <w:tblW w:w="5000" w:type="pct"/>
        <w:jc w:val="righ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3"/>
        <w:gridCol w:w="1113"/>
        <w:gridCol w:w="5554"/>
        <w:gridCol w:w="911"/>
        <w:gridCol w:w="1103"/>
      </w:tblGrid>
      <w:tr>
        <w:trPr>
          <w:jc w:val="right"/>
        </w:trPr>
        <w:tc>
          <w:tcPr>
            <w:tcBorders>
              <w:top w:val="single" w:color="auto" w:sz="4" w:space="0"/>
              <w:left w:val="single" w:color="auto" w:sz="4" w:space="0"/>
              <w:bottom w:val="single" w:color="auto" w:sz="4" w:space="0"/>
              <w:right w:val="single" w:color="auto" w:sz="4" w:space="0"/>
            </w:tcBorders>
            <w:tcW w:w="438" w:type="pct"/>
            <w:vAlign w:val="center"/>
            <w:textDirection w:val="lrTb"/>
            <w:noWrap w:val="false"/>
          </w:tcPr>
          <w:p>
            <w:pPr>
              <w:ind w:firstLine="0"/>
              <w:jc w:val="center"/>
              <w:spacing w:line="240" w:lineRule="auto"/>
              <w:rPr>
                <w:rFonts w:hint="default" w:ascii="宋体"/>
                <w:b/>
                <w:sz w:val="21"/>
                <w:szCs w:val="22"/>
              </w:rPr>
            </w:pPr>
            <w:r>
              <w:rPr>
                <w:rFonts w:hint="eastAsia" w:ascii="宋体"/>
                <w:b/>
                <w:sz w:val="21"/>
                <w:szCs w:val="22"/>
              </w:rPr>
              <w:t xml:space="preserve">序号</w:t>
            </w:r>
            <w:r/>
          </w:p>
        </w:tc>
        <w:tc>
          <w:tcPr>
            <w:tcBorders>
              <w:top w:val="single" w:color="auto" w:sz="4" w:space="0"/>
              <w:left w:val="single" w:color="auto" w:sz="4" w:space="0"/>
              <w:bottom w:val="single" w:color="auto" w:sz="4" w:space="0"/>
              <w:right w:val="single" w:color="auto" w:sz="4" w:space="0"/>
            </w:tcBorders>
            <w:tcW w:w="585" w:type="pct"/>
            <w:vAlign w:val="center"/>
            <w:textDirection w:val="lrTb"/>
            <w:noWrap w:val="false"/>
          </w:tcPr>
          <w:p>
            <w:pPr>
              <w:ind w:firstLine="0"/>
              <w:jc w:val="center"/>
              <w:spacing w:line="240" w:lineRule="auto"/>
              <w:rPr>
                <w:rFonts w:hint="default" w:ascii="宋体"/>
                <w:b/>
                <w:sz w:val="21"/>
                <w:szCs w:val="22"/>
              </w:rPr>
            </w:pPr>
            <w:r>
              <w:rPr>
                <w:rFonts w:hint="eastAsia" w:ascii="宋体"/>
                <w:b/>
                <w:sz w:val="21"/>
                <w:szCs w:val="22"/>
              </w:rPr>
              <w:t xml:space="preserve">指标</w:t>
            </w:r>
            <w:r/>
          </w:p>
        </w:tc>
        <w:tc>
          <w:tcPr>
            <w:tcBorders>
              <w:top w:val="single" w:color="auto" w:sz="4" w:space="0"/>
              <w:left w:val="single" w:color="auto" w:sz="4" w:space="0"/>
              <w:bottom w:val="single" w:color="auto" w:sz="4" w:space="0"/>
              <w:right w:val="single" w:color="auto" w:sz="4" w:space="0"/>
            </w:tcBorders>
            <w:tcW w:w="2919" w:type="pct"/>
            <w:vAlign w:val="center"/>
            <w:textDirection w:val="lrTb"/>
            <w:noWrap w:val="false"/>
          </w:tcPr>
          <w:p>
            <w:pPr>
              <w:ind w:firstLine="0"/>
              <w:jc w:val="center"/>
              <w:spacing w:line="240" w:lineRule="auto"/>
              <w:rPr>
                <w:rFonts w:hint="default" w:ascii="宋体"/>
                <w:b/>
                <w:sz w:val="21"/>
                <w:szCs w:val="22"/>
              </w:rPr>
            </w:pPr>
            <w:r>
              <w:rPr>
                <w:rFonts w:hint="eastAsia" w:ascii="宋体"/>
                <w:b/>
                <w:sz w:val="21"/>
                <w:szCs w:val="22"/>
              </w:rPr>
              <w:t xml:space="preserve">检查、考核情况</w:t>
            </w:r>
            <w:r/>
          </w:p>
        </w:tc>
        <w:tc>
          <w:tcPr>
            <w:tcBorders>
              <w:top w:val="single" w:color="auto" w:sz="4" w:space="0"/>
              <w:left w:val="single" w:color="auto" w:sz="4" w:space="0"/>
              <w:bottom w:val="single" w:color="auto" w:sz="4" w:space="0"/>
              <w:right w:val="single" w:color="auto" w:sz="4" w:space="0"/>
            </w:tcBorders>
            <w:tcW w:w="479" w:type="pct"/>
            <w:vAlign w:val="center"/>
            <w:textDirection w:val="lrTb"/>
            <w:noWrap w:val="false"/>
          </w:tcPr>
          <w:p>
            <w:pPr>
              <w:ind w:firstLine="0"/>
              <w:jc w:val="center"/>
              <w:spacing w:line="240" w:lineRule="auto"/>
              <w:rPr>
                <w:rFonts w:hint="default" w:ascii="宋体"/>
                <w:b/>
                <w:sz w:val="21"/>
                <w:szCs w:val="22"/>
              </w:rPr>
            </w:pPr>
            <w:r>
              <w:rPr>
                <w:rFonts w:hint="eastAsia" w:ascii="宋体"/>
                <w:b/>
                <w:sz w:val="21"/>
                <w:szCs w:val="22"/>
              </w:rPr>
              <w:t xml:space="preserve">单位</w:t>
            </w:r>
            <w:r/>
          </w:p>
        </w:tc>
        <w:tc>
          <w:tcPr>
            <w:tcBorders>
              <w:top w:val="single" w:color="auto" w:sz="4" w:space="0"/>
              <w:left w:val="single" w:color="auto" w:sz="4" w:space="0"/>
              <w:bottom w:val="single" w:color="auto" w:sz="4" w:space="0"/>
              <w:right w:val="single" w:color="auto" w:sz="4" w:space="0"/>
            </w:tcBorders>
            <w:tcW w:w="579" w:type="pct"/>
            <w:vAlign w:val="center"/>
            <w:textDirection w:val="lrTb"/>
            <w:noWrap w:val="false"/>
          </w:tcPr>
          <w:p>
            <w:pPr>
              <w:ind w:firstLine="0"/>
              <w:jc w:val="center"/>
              <w:spacing w:line="240" w:lineRule="auto"/>
              <w:rPr>
                <w:rFonts w:hint="default" w:ascii="宋体"/>
                <w:b/>
                <w:sz w:val="21"/>
                <w:szCs w:val="22"/>
              </w:rPr>
            </w:pPr>
            <w:r>
              <w:rPr>
                <w:rFonts w:hint="eastAsia" w:ascii="宋体"/>
                <w:b/>
                <w:sz w:val="21"/>
                <w:szCs w:val="22"/>
              </w:rPr>
              <w:t xml:space="preserve">加分</w:t>
            </w:r>
            <w:r/>
          </w:p>
        </w:tc>
      </w:tr>
      <w:tr>
        <w:trPr>
          <w:jc w:val="right"/>
          <w:trHeight w:val="90"/>
        </w:trPr>
        <w:tc>
          <w:tcPr>
            <w:tcBorders>
              <w:top w:val="single" w:color="auto" w:sz="4" w:space="0"/>
              <w:left w:val="single" w:color="auto" w:sz="4" w:space="0"/>
              <w:bottom w:val="single" w:color="auto" w:sz="4" w:space="0"/>
              <w:right w:val="single" w:color="auto" w:sz="4" w:space="0"/>
            </w:tcBorders>
            <w:tcW w:w="438" w:type="pct"/>
            <w:vAlign w:val="center"/>
            <w:textDirection w:val="lrTb"/>
            <w:noWrap w:val="false"/>
          </w:tcPr>
          <w:p>
            <w:pPr>
              <w:ind w:firstLine="0"/>
              <w:jc w:val="center"/>
              <w:spacing w:line="240" w:lineRule="auto"/>
              <w:rPr>
                <w:rFonts w:hint="default" w:ascii="宋体"/>
                <w:sz w:val="21"/>
                <w:szCs w:val="22"/>
              </w:rPr>
            </w:pPr>
            <w:r>
              <w:rPr>
                <w:rFonts w:hint="eastAsia" w:ascii="宋体"/>
                <w:sz w:val="21"/>
                <w:szCs w:val="22"/>
              </w:rPr>
              <w:t xml:space="preserve">1</w:t>
            </w:r>
            <w:r/>
          </w:p>
        </w:tc>
        <w:tc>
          <w:tcPr>
            <w:tcBorders>
              <w:top w:val="none" w:color="000000" w:sz="4" w:space="0"/>
              <w:left w:val="single" w:color="auto" w:sz="4" w:space="0"/>
              <w:bottom w:val="single" w:color="auto" w:sz="4" w:space="0"/>
              <w:right w:val="single" w:color="auto" w:sz="4" w:space="0"/>
            </w:tcBorders>
            <w:tcW w:w="585" w:type="pct"/>
            <w:vAlign w:val="center"/>
            <w:vMerge w:val="restart"/>
            <w:textDirection w:val="lrTb"/>
            <w:noWrap w:val="false"/>
          </w:tcPr>
          <w:p>
            <w:pPr>
              <w:ind w:firstLine="0"/>
              <w:jc w:val="center"/>
              <w:spacing w:line="240" w:lineRule="auto"/>
              <w:rPr>
                <w:rFonts w:hint="default" w:ascii="宋体"/>
                <w:sz w:val="21"/>
                <w:szCs w:val="22"/>
              </w:rPr>
            </w:pPr>
            <w:r>
              <w:rPr>
                <w:rFonts w:hint="eastAsia" w:ascii="宋体"/>
                <w:sz w:val="21"/>
                <w:szCs w:val="22"/>
              </w:rPr>
              <w:t xml:space="preserve">综合类</w:t>
            </w:r>
            <w:r/>
          </w:p>
        </w:tc>
        <w:tc>
          <w:tcPr>
            <w:tcBorders>
              <w:top w:val="single" w:color="auto" w:sz="4" w:space="0"/>
              <w:left w:val="single" w:color="auto" w:sz="4" w:space="0"/>
              <w:bottom w:val="single" w:color="auto" w:sz="4" w:space="0"/>
              <w:right w:val="single" w:color="auto" w:sz="4" w:space="0"/>
            </w:tcBorders>
            <w:tcW w:w="2919" w:type="pct"/>
            <w:vAlign w:val="center"/>
            <w:textDirection w:val="lrTb"/>
            <w:noWrap w:val="false"/>
          </w:tcPr>
          <w:p>
            <w:pPr>
              <w:ind w:firstLine="0"/>
              <w:spacing w:line="240" w:lineRule="auto"/>
              <w:rPr>
                <w:rFonts w:hint="default" w:ascii="宋体"/>
                <w:sz w:val="21"/>
                <w:szCs w:val="22"/>
              </w:rPr>
            </w:pPr>
            <w:r>
              <w:rPr>
                <w:rFonts w:hint="eastAsia" w:ascii="宋体"/>
                <w:sz w:val="21"/>
                <w:szCs w:val="22"/>
              </w:rPr>
              <w:t xml:space="preserve">维护区域内道路交通信号设备完好率连续一个月保持良好，杆件、信号灯没有发现明显污损、破损、移位、缺失的情况。</w:t>
            </w:r>
            <w:r/>
          </w:p>
        </w:tc>
        <w:tc>
          <w:tcPr>
            <w:tcBorders>
              <w:top w:val="single" w:color="auto" w:sz="4" w:space="0"/>
              <w:left w:val="single" w:color="auto" w:sz="4" w:space="0"/>
              <w:bottom w:val="single" w:color="auto" w:sz="4" w:space="0"/>
              <w:right w:val="single" w:color="auto" w:sz="4" w:space="0"/>
            </w:tcBorders>
            <w:tcW w:w="479" w:type="pct"/>
            <w:vAlign w:val="center"/>
            <w:textDirection w:val="lrTb"/>
            <w:noWrap w:val="false"/>
          </w:tcPr>
          <w:p>
            <w:pPr>
              <w:ind w:firstLine="0"/>
              <w:jc w:val="center"/>
              <w:spacing w:line="240" w:lineRule="auto"/>
              <w:rPr>
                <w:rFonts w:hint="default" w:ascii="宋体"/>
                <w:sz w:val="21"/>
                <w:szCs w:val="22"/>
              </w:rPr>
            </w:pPr>
            <w:r>
              <w:rPr>
                <w:rFonts w:hint="eastAsia" w:ascii="宋体"/>
                <w:sz w:val="21"/>
                <w:szCs w:val="22"/>
              </w:rPr>
              <w:t xml:space="preserve">次</w:t>
            </w:r>
            <w:r/>
          </w:p>
        </w:tc>
        <w:tc>
          <w:tcPr>
            <w:tcBorders>
              <w:top w:val="single" w:color="auto" w:sz="4" w:space="0"/>
              <w:left w:val="single" w:color="auto" w:sz="4" w:space="0"/>
              <w:bottom w:val="single" w:color="auto" w:sz="4" w:space="0"/>
              <w:right w:val="single" w:color="auto" w:sz="4" w:space="0"/>
            </w:tcBorders>
            <w:tcW w:w="579" w:type="pct"/>
            <w:vAlign w:val="center"/>
            <w:textDirection w:val="lrTb"/>
            <w:noWrap w:val="false"/>
          </w:tcPr>
          <w:p>
            <w:pPr>
              <w:ind w:firstLine="0"/>
              <w:jc w:val="center"/>
              <w:spacing w:line="240" w:lineRule="auto"/>
              <w:rPr>
                <w:rFonts w:hint="default" w:ascii="宋体"/>
                <w:sz w:val="21"/>
                <w:szCs w:val="22"/>
              </w:rPr>
            </w:pPr>
            <w:r>
              <w:rPr>
                <w:rFonts w:hint="eastAsia" w:ascii="宋体"/>
                <w:sz w:val="21"/>
                <w:szCs w:val="22"/>
              </w:rPr>
              <w:t xml:space="preserve">1</w:t>
            </w:r>
            <w:r/>
          </w:p>
        </w:tc>
      </w:tr>
      <w:tr>
        <w:trPr>
          <w:jc w:val="right"/>
          <w:trHeight w:val="946"/>
        </w:trPr>
        <w:tc>
          <w:tcPr>
            <w:tcBorders>
              <w:top w:val="single" w:color="auto" w:sz="4" w:space="0"/>
              <w:left w:val="single" w:color="auto" w:sz="4" w:space="0"/>
              <w:bottom w:val="single" w:color="auto" w:sz="4" w:space="0"/>
              <w:right w:val="single" w:color="auto" w:sz="4" w:space="0"/>
            </w:tcBorders>
            <w:tcW w:w="438" w:type="pct"/>
            <w:vAlign w:val="center"/>
            <w:textDirection w:val="lrTb"/>
            <w:noWrap w:val="false"/>
          </w:tcPr>
          <w:p>
            <w:pPr>
              <w:ind w:firstLine="0"/>
              <w:jc w:val="center"/>
              <w:spacing w:line="240" w:lineRule="auto"/>
              <w:rPr>
                <w:rFonts w:hint="default" w:ascii="宋体"/>
                <w:sz w:val="21"/>
                <w:szCs w:val="22"/>
              </w:rPr>
            </w:pPr>
            <w:r>
              <w:rPr>
                <w:rFonts w:hint="eastAsia" w:ascii="宋体"/>
                <w:sz w:val="21"/>
                <w:szCs w:val="22"/>
              </w:rPr>
              <w:t xml:space="preserve">2</w:t>
            </w:r>
            <w:r/>
          </w:p>
        </w:tc>
        <w:tc>
          <w:tcPr>
            <w:tcBorders>
              <w:top w:val="none" w:color="000000" w:sz="4" w:space="0"/>
              <w:left w:val="single" w:color="auto" w:sz="4" w:space="0"/>
              <w:bottom w:val="single" w:color="auto" w:sz="4" w:space="0"/>
              <w:right w:val="single" w:color="auto" w:sz="4" w:space="0"/>
            </w:tcBorders>
            <w:tcW w:w="585" w:type="pct"/>
            <w:vAlign w:val="center"/>
            <w:vMerge w:val="continue"/>
            <w:textDirection w:val="lrTb"/>
            <w:noWrap w:val="false"/>
          </w:tcPr>
          <w:p>
            <w:pPr>
              <w:ind w:firstLine="0"/>
              <w:jc w:val="center"/>
              <w:spacing w:line="240" w:lineRule="auto"/>
              <w:rPr>
                <w:rFonts w:hint="default" w:ascii="宋体"/>
                <w:sz w:val="21"/>
                <w:szCs w:val="22"/>
              </w:rPr>
            </w:pPr>
            <w:r>
              <w:rPr>
                <w:rFonts w:hint="default" w:ascii="宋体"/>
                <w:sz w:val="21"/>
                <w:szCs w:val="22"/>
              </w:rPr>
            </w:r>
            <w:r/>
          </w:p>
        </w:tc>
        <w:tc>
          <w:tcPr>
            <w:tcBorders>
              <w:top w:val="single" w:color="auto" w:sz="4" w:space="0"/>
              <w:left w:val="single" w:color="auto" w:sz="4" w:space="0"/>
              <w:bottom w:val="single" w:color="auto" w:sz="4" w:space="0"/>
              <w:right w:val="single" w:color="auto" w:sz="4" w:space="0"/>
            </w:tcBorders>
            <w:tcW w:w="2919" w:type="pct"/>
            <w:vAlign w:val="center"/>
            <w:textDirection w:val="lrTb"/>
            <w:noWrap w:val="false"/>
          </w:tcPr>
          <w:p>
            <w:pPr>
              <w:ind w:firstLine="0"/>
              <w:spacing w:line="240" w:lineRule="auto"/>
              <w:rPr>
                <w:rFonts w:hint="default" w:ascii="宋体"/>
                <w:sz w:val="21"/>
                <w:szCs w:val="22"/>
              </w:rPr>
            </w:pPr>
            <w:r>
              <w:rPr>
                <w:rFonts w:hint="eastAsia" w:ascii="宋体"/>
                <w:sz w:val="21"/>
                <w:szCs w:val="22"/>
              </w:rPr>
              <w:t xml:space="preserve">在日常巡查维护施工中比较主动，工作完成出色，受到县局和大队主要领导、县级以上媒体表扬的。</w:t>
            </w:r>
            <w:r/>
          </w:p>
        </w:tc>
        <w:tc>
          <w:tcPr>
            <w:tcBorders>
              <w:top w:val="single" w:color="auto" w:sz="4" w:space="0"/>
              <w:left w:val="single" w:color="auto" w:sz="4" w:space="0"/>
              <w:bottom w:val="single" w:color="auto" w:sz="4" w:space="0"/>
              <w:right w:val="single" w:color="auto" w:sz="4" w:space="0"/>
            </w:tcBorders>
            <w:tcW w:w="479" w:type="pct"/>
            <w:vAlign w:val="center"/>
            <w:textDirection w:val="lrTb"/>
            <w:noWrap w:val="false"/>
          </w:tcPr>
          <w:p>
            <w:pPr>
              <w:ind w:firstLine="0"/>
              <w:jc w:val="center"/>
              <w:spacing w:line="240" w:lineRule="auto"/>
              <w:rPr>
                <w:rFonts w:hint="default" w:ascii="宋体"/>
                <w:sz w:val="21"/>
                <w:szCs w:val="22"/>
              </w:rPr>
            </w:pPr>
            <w:r>
              <w:rPr>
                <w:rFonts w:hint="eastAsia" w:ascii="宋体"/>
                <w:sz w:val="21"/>
                <w:szCs w:val="22"/>
              </w:rPr>
              <w:t xml:space="preserve">次</w:t>
            </w:r>
            <w:r/>
          </w:p>
        </w:tc>
        <w:tc>
          <w:tcPr>
            <w:tcBorders>
              <w:top w:val="single" w:color="auto" w:sz="4" w:space="0"/>
              <w:left w:val="single" w:color="auto" w:sz="4" w:space="0"/>
              <w:bottom w:val="single" w:color="auto" w:sz="4" w:space="0"/>
              <w:right w:val="single" w:color="auto" w:sz="4" w:space="0"/>
            </w:tcBorders>
            <w:tcW w:w="579" w:type="pct"/>
            <w:vAlign w:val="center"/>
            <w:textDirection w:val="lrTb"/>
            <w:noWrap w:val="false"/>
          </w:tcPr>
          <w:p>
            <w:pPr>
              <w:ind w:firstLine="0"/>
              <w:jc w:val="center"/>
              <w:spacing w:line="240" w:lineRule="auto"/>
              <w:rPr>
                <w:rFonts w:hint="default" w:ascii="宋体"/>
                <w:sz w:val="21"/>
                <w:szCs w:val="22"/>
              </w:rPr>
            </w:pPr>
            <w:r>
              <w:rPr>
                <w:rFonts w:hint="eastAsia" w:ascii="宋体"/>
                <w:sz w:val="21"/>
                <w:szCs w:val="22"/>
              </w:rPr>
              <w:t xml:space="preserve">0.5</w:t>
            </w:r>
            <w:r/>
          </w:p>
        </w:tc>
      </w:tr>
      <w:tr>
        <w:trPr>
          <w:jc w:val="right"/>
          <w:trHeight w:val="638"/>
        </w:trPr>
        <w:tc>
          <w:tcPr>
            <w:tcBorders>
              <w:top w:val="single" w:color="auto" w:sz="4" w:space="0"/>
              <w:left w:val="single" w:color="auto" w:sz="4" w:space="0"/>
              <w:bottom w:val="single" w:color="auto" w:sz="4" w:space="0"/>
              <w:right w:val="single" w:color="auto" w:sz="4" w:space="0"/>
            </w:tcBorders>
            <w:tcW w:w="438" w:type="pct"/>
            <w:vAlign w:val="center"/>
            <w:textDirection w:val="lrTb"/>
            <w:noWrap w:val="false"/>
          </w:tcPr>
          <w:p>
            <w:pPr>
              <w:ind w:firstLine="0"/>
              <w:jc w:val="center"/>
              <w:spacing w:line="240" w:lineRule="auto"/>
              <w:rPr>
                <w:rFonts w:hint="default" w:ascii="宋体"/>
                <w:sz w:val="21"/>
                <w:szCs w:val="22"/>
              </w:rPr>
            </w:pPr>
            <w:r>
              <w:rPr>
                <w:rFonts w:hint="eastAsia" w:ascii="宋体"/>
                <w:sz w:val="21"/>
                <w:szCs w:val="22"/>
              </w:rPr>
              <w:t xml:space="preserve">3</w:t>
            </w:r>
            <w:r/>
          </w:p>
        </w:tc>
        <w:tc>
          <w:tcPr>
            <w:tcBorders>
              <w:top w:val="none" w:color="000000" w:sz="4" w:space="0"/>
              <w:left w:val="single" w:color="auto" w:sz="4" w:space="0"/>
              <w:bottom w:val="single" w:color="auto" w:sz="4" w:space="0"/>
              <w:right w:val="single" w:color="auto" w:sz="4" w:space="0"/>
            </w:tcBorders>
            <w:tcW w:w="585" w:type="pct"/>
            <w:vAlign w:val="center"/>
            <w:vMerge w:val="continue"/>
            <w:textDirection w:val="lrTb"/>
            <w:noWrap w:val="false"/>
          </w:tcPr>
          <w:p>
            <w:pPr>
              <w:ind w:firstLine="0"/>
              <w:jc w:val="center"/>
              <w:spacing w:line="240" w:lineRule="auto"/>
              <w:rPr>
                <w:rFonts w:hint="default" w:ascii="宋体"/>
                <w:sz w:val="21"/>
                <w:szCs w:val="22"/>
              </w:rPr>
            </w:pPr>
            <w:r>
              <w:rPr>
                <w:rFonts w:hint="default" w:ascii="宋体"/>
                <w:sz w:val="21"/>
                <w:szCs w:val="22"/>
              </w:rPr>
            </w:r>
            <w:r/>
          </w:p>
        </w:tc>
        <w:tc>
          <w:tcPr>
            <w:tcBorders>
              <w:top w:val="single" w:color="auto" w:sz="4" w:space="0"/>
              <w:left w:val="single" w:color="auto" w:sz="4" w:space="0"/>
              <w:bottom w:val="single" w:color="auto" w:sz="4" w:space="0"/>
              <w:right w:val="single" w:color="auto" w:sz="4" w:space="0"/>
            </w:tcBorders>
            <w:tcW w:w="2919" w:type="pct"/>
            <w:vAlign w:val="center"/>
            <w:textDirection w:val="lrTb"/>
            <w:noWrap w:val="false"/>
          </w:tcPr>
          <w:p>
            <w:pPr>
              <w:ind w:firstLine="0"/>
              <w:spacing w:line="240" w:lineRule="auto"/>
              <w:rPr>
                <w:rFonts w:hint="default" w:ascii="宋体"/>
                <w:sz w:val="21"/>
                <w:szCs w:val="22"/>
              </w:rPr>
            </w:pPr>
            <w:r>
              <w:rPr>
                <w:rFonts w:hint="eastAsia" w:ascii="宋体"/>
                <w:sz w:val="21"/>
                <w:szCs w:val="22"/>
              </w:rPr>
              <w:t xml:space="preserve">能结合交通管理需求提出有价值的交通信号优化举措，被业主采纳的</w:t>
            </w:r>
            <w:r/>
          </w:p>
        </w:tc>
        <w:tc>
          <w:tcPr>
            <w:tcBorders>
              <w:top w:val="single" w:color="auto" w:sz="4" w:space="0"/>
              <w:left w:val="single" w:color="auto" w:sz="4" w:space="0"/>
              <w:bottom w:val="single" w:color="auto" w:sz="4" w:space="0"/>
              <w:right w:val="single" w:color="auto" w:sz="4" w:space="0"/>
            </w:tcBorders>
            <w:tcW w:w="479" w:type="pct"/>
            <w:vAlign w:val="center"/>
            <w:textDirection w:val="lrTb"/>
            <w:noWrap w:val="false"/>
          </w:tcPr>
          <w:p>
            <w:pPr>
              <w:ind w:firstLine="0"/>
              <w:jc w:val="center"/>
              <w:spacing w:line="240" w:lineRule="auto"/>
              <w:rPr>
                <w:rFonts w:hint="default" w:ascii="宋体"/>
                <w:sz w:val="21"/>
                <w:szCs w:val="22"/>
              </w:rPr>
            </w:pPr>
            <w:r>
              <w:rPr>
                <w:rFonts w:hint="eastAsia" w:ascii="宋体"/>
                <w:sz w:val="21"/>
                <w:szCs w:val="22"/>
              </w:rPr>
              <w:t xml:space="preserve">次</w:t>
            </w:r>
            <w:r/>
          </w:p>
        </w:tc>
        <w:tc>
          <w:tcPr>
            <w:tcBorders>
              <w:top w:val="single" w:color="auto" w:sz="4" w:space="0"/>
              <w:left w:val="single" w:color="auto" w:sz="4" w:space="0"/>
              <w:bottom w:val="single" w:color="auto" w:sz="4" w:space="0"/>
              <w:right w:val="single" w:color="auto" w:sz="4" w:space="0"/>
            </w:tcBorders>
            <w:tcW w:w="579" w:type="pct"/>
            <w:vAlign w:val="center"/>
            <w:textDirection w:val="lrTb"/>
            <w:noWrap w:val="false"/>
          </w:tcPr>
          <w:p>
            <w:pPr>
              <w:ind w:firstLine="0"/>
              <w:jc w:val="center"/>
              <w:spacing w:line="240" w:lineRule="auto"/>
              <w:rPr>
                <w:rFonts w:hint="default" w:ascii="宋体"/>
                <w:sz w:val="21"/>
                <w:szCs w:val="22"/>
              </w:rPr>
            </w:pPr>
            <w:r>
              <w:rPr>
                <w:rFonts w:hint="eastAsia" w:ascii="宋体"/>
                <w:sz w:val="21"/>
                <w:szCs w:val="22"/>
              </w:rPr>
              <w:t xml:space="preserve">1</w:t>
            </w:r>
            <w:r/>
          </w:p>
        </w:tc>
      </w:tr>
      <w:tr>
        <w:trPr>
          <w:jc w:val="right"/>
        </w:trPr>
        <w:tc>
          <w:tcPr>
            <w:tcBorders>
              <w:top w:val="single" w:color="auto" w:sz="4" w:space="0"/>
              <w:left w:val="single" w:color="auto" w:sz="4" w:space="0"/>
              <w:bottom w:val="single" w:color="auto" w:sz="4" w:space="0"/>
              <w:right w:val="single" w:color="auto" w:sz="4" w:space="0"/>
            </w:tcBorders>
            <w:tcW w:w="438" w:type="pct"/>
            <w:vAlign w:val="center"/>
            <w:textDirection w:val="lrTb"/>
            <w:noWrap w:val="false"/>
          </w:tcPr>
          <w:p>
            <w:pPr>
              <w:ind w:firstLine="0"/>
              <w:jc w:val="center"/>
              <w:spacing w:line="240" w:lineRule="auto"/>
              <w:rPr>
                <w:rFonts w:hint="default" w:ascii="宋体"/>
                <w:sz w:val="21"/>
                <w:szCs w:val="22"/>
              </w:rPr>
            </w:pPr>
            <w:r>
              <w:rPr>
                <w:rFonts w:hint="eastAsia" w:ascii="宋体"/>
                <w:sz w:val="21"/>
                <w:szCs w:val="22"/>
              </w:rPr>
              <w:t xml:space="preserve">4</w:t>
            </w:r>
            <w:r/>
          </w:p>
        </w:tc>
        <w:tc>
          <w:tcPr>
            <w:tcBorders>
              <w:top w:val="none" w:color="000000" w:sz="4" w:space="0"/>
              <w:left w:val="single" w:color="auto" w:sz="4" w:space="0"/>
              <w:bottom w:val="single" w:color="auto" w:sz="4" w:space="0"/>
              <w:right w:val="single" w:color="auto" w:sz="4" w:space="0"/>
            </w:tcBorders>
            <w:tcW w:w="585" w:type="pct"/>
            <w:vAlign w:val="center"/>
            <w:vMerge w:val="continue"/>
            <w:textDirection w:val="lrTb"/>
            <w:noWrap w:val="false"/>
          </w:tcPr>
          <w:p>
            <w:pPr>
              <w:ind w:firstLine="0"/>
              <w:jc w:val="center"/>
              <w:spacing w:line="240" w:lineRule="auto"/>
              <w:rPr>
                <w:rFonts w:hint="default" w:ascii="宋体"/>
                <w:sz w:val="21"/>
                <w:szCs w:val="22"/>
              </w:rPr>
            </w:pPr>
            <w:r>
              <w:rPr>
                <w:rFonts w:hint="default" w:ascii="宋体"/>
                <w:sz w:val="21"/>
                <w:szCs w:val="22"/>
              </w:rPr>
            </w:r>
            <w:r/>
          </w:p>
        </w:tc>
        <w:tc>
          <w:tcPr>
            <w:tcBorders>
              <w:top w:val="single" w:color="auto" w:sz="4" w:space="0"/>
              <w:left w:val="single" w:color="auto" w:sz="4" w:space="0"/>
              <w:bottom w:val="single" w:color="auto" w:sz="4" w:space="0"/>
              <w:right w:val="single" w:color="auto" w:sz="4" w:space="0"/>
            </w:tcBorders>
            <w:tcW w:w="2919" w:type="pct"/>
            <w:vAlign w:val="center"/>
            <w:textDirection w:val="lrTb"/>
            <w:noWrap w:val="false"/>
          </w:tcPr>
          <w:p>
            <w:pPr>
              <w:ind w:firstLine="0"/>
              <w:spacing w:line="240" w:lineRule="auto"/>
              <w:rPr>
                <w:rFonts w:hint="default" w:ascii="宋体"/>
                <w:sz w:val="21"/>
                <w:szCs w:val="22"/>
              </w:rPr>
            </w:pPr>
            <w:r>
              <w:rPr>
                <w:rFonts w:hint="eastAsia" w:ascii="宋体"/>
                <w:sz w:val="21"/>
                <w:szCs w:val="22"/>
              </w:rPr>
              <w:t xml:space="preserve">工作中发现有其它突出表现的行为</w:t>
            </w:r>
            <w:r/>
          </w:p>
        </w:tc>
        <w:tc>
          <w:tcPr>
            <w:tcBorders>
              <w:top w:val="single" w:color="auto" w:sz="4" w:space="0"/>
              <w:left w:val="single" w:color="auto" w:sz="4" w:space="0"/>
              <w:bottom w:val="single" w:color="auto" w:sz="4" w:space="0"/>
              <w:right w:val="single" w:color="auto" w:sz="4" w:space="0"/>
            </w:tcBorders>
            <w:tcW w:w="479" w:type="pct"/>
            <w:vAlign w:val="center"/>
            <w:textDirection w:val="lrTb"/>
            <w:noWrap w:val="false"/>
          </w:tcPr>
          <w:p>
            <w:pPr>
              <w:ind w:firstLine="0"/>
              <w:jc w:val="center"/>
              <w:spacing w:line="240" w:lineRule="auto"/>
              <w:rPr>
                <w:rFonts w:hint="default" w:ascii="宋体"/>
                <w:sz w:val="21"/>
                <w:szCs w:val="22"/>
              </w:rPr>
            </w:pPr>
            <w:r>
              <w:rPr>
                <w:rFonts w:hint="eastAsia" w:ascii="宋体"/>
                <w:sz w:val="21"/>
                <w:szCs w:val="22"/>
              </w:rPr>
              <w:t xml:space="preserve">次</w:t>
            </w:r>
            <w:r/>
          </w:p>
        </w:tc>
        <w:tc>
          <w:tcPr>
            <w:tcBorders>
              <w:top w:val="single" w:color="auto" w:sz="4" w:space="0"/>
              <w:left w:val="single" w:color="auto" w:sz="4" w:space="0"/>
              <w:bottom w:val="single" w:color="auto" w:sz="4" w:space="0"/>
              <w:right w:val="single" w:color="auto" w:sz="4" w:space="0"/>
            </w:tcBorders>
            <w:tcW w:w="579" w:type="pct"/>
            <w:vAlign w:val="center"/>
            <w:textDirection w:val="lrTb"/>
            <w:noWrap w:val="false"/>
          </w:tcPr>
          <w:p>
            <w:pPr>
              <w:ind w:firstLine="0"/>
              <w:jc w:val="center"/>
              <w:spacing w:line="240" w:lineRule="auto"/>
              <w:rPr>
                <w:rFonts w:hint="default" w:ascii="宋体"/>
                <w:sz w:val="21"/>
                <w:szCs w:val="22"/>
              </w:rPr>
            </w:pPr>
            <w:r>
              <w:rPr>
                <w:rFonts w:hint="eastAsia" w:ascii="宋体"/>
                <w:sz w:val="21"/>
                <w:szCs w:val="22"/>
              </w:rPr>
              <w:t xml:space="preserve">1</w:t>
            </w:r>
            <w:r/>
          </w:p>
        </w:tc>
      </w:tr>
    </w:tbl>
    <w:p>
      <w:pPr>
        <w:ind w:firstLine="480"/>
        <w:spacing w:line="360" w:lineRule="auto"/>
        <w:rPr>
          <w:rFonts w:hint="default" w:ascii="宋体"/>
          <w:sz w:val="24"/>
          <w:szCs w:val="28"/>
        </w:rPr>
      </w:pPr>
      <w:r>
        <w:rPr>
          <w:rFonts w:hint="eastAsia" w:ascii="宋体"/>
          <w:sz w:val="24"/>
          <w:szCs w:val="28"/>
        </w:rPr>
        <w:t xml:space="preserve"> </w:t>
      </w:r>
      <w:r/>
    </w:p>
    <w:p>
      <w:pPr>
        <w:numPr>
          <w:ilvl w:val="0"/>
          <w:numId w:val="3"/>
        </w:numPr>
        <w:keepLines/>
        <w:keepNext/>
        <w:rPr>
          <w:rFonts w:ascii="宋体" w:hAnsi="Times New Roman" w:eastAsia="宋体" w:cs="Times New Roman"/>
          <w:b/>
          <w:bCs/>
          <w:sz w:val="32"/>
          <w:szCs w:val="44"/>
          <w:lang w:val="en-US" w:eastAsia="zh-CN" w:bidi="ar-SA"/>
        </w:rPr>
        <w:outlineLvl w:val="0"/>
      </w:pPr>
      <w:r>
        <w:rPr>
          <w:rFonts w:hint="eastAsia" w:ascii="宋体" w:hAnsi="Times New Roman" w:eastAsia="宋体" w:cs="Times New Roman"/>
          <w:b/>
          <w:bCs/>
          <w:sz w:val="32"/>
          <w:szCs w:val="44"/>
          <w:lang w:val="en-US" w:eastAsia="zh-CN" w:bidi="ar-SA"/>
        </w:rPr>
        <w:t xml:space="preserve"> </w:t>
      </w:r>
      <w:bookmarkStart w:id="20" w:name="_Toc27079"/>
      <w:r>
        <w:rPr>
          <w:rFonts w:hint="eastAsia" w:ascii="宋体" w:hAnsi="Times New Roman" w:eastAsia="宋体" w:cs="Times New Roman"/>
          <w:b/>
          <w:bCs/>
          <w:sz w:val="32"/>
          <w:szCs w:val="44"/>
          <w:lang w:val="en-US" w:eastAsia="zh-CN" w:bidi="ar-SA"/>
        </w:rPr>
        <w:t xml:space="preserve">清单</w:t>
      </w:r>
      <w:bookmarkEnd w:id="20"/>
      <w:r/>
      <w:r/>
    </w:p>
    <w:tbl>
      <w:tblPr>
        <w:tblStyle w:val="883"/>
        <w:tblW w:w="871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62"/>
        <w:gridCol w:w="1218"/>
        <w:gridCol w:w="4493"/>
        <w:gridCol w:w="788"/>
        <w:gridCol w:w="604"/>
        <w:gridCol w:w="1052"/>
      </w:tblGrid>
      <w:tr>
        <w:trPr>
          <w:jc w:val="center"/>
          <w:trHeight w:val="1104"/>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ind w:left="0" w:firstLine="0"/>
              <w:jc w:val="center"/>
              <w:keepLines w:val="0"/>
              <w:keepNext w:val="0"/>
              <w:spacing w:line="36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ind w:left="0" w:firstLine="0"/>
              <w:jc w:val="center"/>
              <w:keepLines w:val="0"/>
              <w:keepNext w:val="0"/>
              <w:spacing w:line="36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left="0" w:firstLine="0"/>
              <w:jc w:val="center"/>
              <w:keepLines w:val="0"/>
              <w:keepNext w:val="0"/>
              <w:spacing w:line="36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ind w:left="0" w:firstLine="0"/>
              <w:jc w:val="center"/>
              <w:keepLines w:val="0"/>
              <w:keepNext w:val="0"/>
              <w:spacing w:line="36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ind w:left="0" w:firstLine="0"/>
              <w:jc w:val="center"/>
              <w:keepLines w:val="0"/>
              <w:keepNext w:val="0"/>
              <w:spacing w:line="36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最高限价单价（元）</w:t>
            </w:r>
            <w:r/>
          </w:p>
        </w:tc>
      </w:tr>
      <w:tr>
        <w:trPr>
          <w:jc w:val="center"/>
          <w:trHeight w:val="557"/>
        </w:trPr>
        <w:tc>
          <w:tcPr>
            <w:gridSpan w:val="6"/>
            <w:shd w:val="clear" w:color="auto" w:fill="auto"/>
            <w:tcBorders>
              <w:top w:val="single" w:color="000000" w:sz="4" w:space="0"/>
              <w:left w:val="single" w:color="000000" w:sz="4" w:space="0"/>
              <w:bottom w:val="single" w:color="000000" w:sz="4" w:space="0"/>
              <w:right w:val="single" w:color="000000" w:sz="4" w:space="0"/>
            </w:tcBorders>
            <w:tcW w:w="8717" w:type="dxa"/>
            <w:vAlign w:val="center"/>
            <w:textDirection w:val="lrTb"/>
            <w:noWrap/>
          </w:tcPr>
          <w:p>
            <w:pPr>
              <w:ind w:firstLine="422"/>
              <w:jc w:val="center"/>
              <w:keepLines w:val="0"/>
              <w:keepNext w:val="0"/>
              <w:spacing w:line="36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一、日常基本巡检维护</w:t>
            </w:r>
            <w:r/>
          </w:p>
        </w:tc>
      </w:tr>
      <w:tr>
        <w:trPr>
          <w:jc w:val="center"/>
          <w:trHeight w:val="557"/>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项目经理</w:t>
            </w:r>
            <w:r/>
          </w:p>
        </w:tc>
        <w:tc>
          <w:tcPr>
            <w:shd w:val="clear" w:color="auto" w:fill="auto"/>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420"/>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按采购需求核算平均每人服务费用</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人/季度</w:t>
            </w:r>
            <w:r/>
          </w:p>
        </w:tc>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36000</w:t>
            </w:r>
            <w:r/>
          </w:p>
        </w:tc>
      </w:tr>
      <w:tr>
        <w:trPr>
          <w:jc w:val="center"/>
          <w:trHeight w:val="557"/>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前端维护人员</w:t>
            </w:r>
            <w:r/>
          </w:p>
        </w:tc>
        <w:tc>
          <w:tcPr>
            <w:shd w:val="clear" w:color="auto" w:fill="auto"/>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420"/>
              <w:jc w:val="center"/>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人/季度</w:t>
            </w:r>
            <w:r/>
          </w:p>
        </w:tc>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22000</w:t>
            </w:r>
            <w:r/>
          </w:p>
        </w:tc>
      </w:tr>
      <w:tr>
        <w:trPr>
          <w:jc w:val="center"/>
          <w:trHeight w:val="557"/>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技术支持人员</w:t>
            </w:r>
            <w:r/>
          </w:p>
        </w:tc>
        <w:tc>
          <w:tcPr>
            <w:shd w:val="clear" w:color="auto" w:fill="auto"/>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420"/>
              <w:jc w:val="center"/>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人/季度</w:t>
            </w:r>
            <w:r/>
          </w:p>
        </w:tc>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25000</w:t>
            </w:r>
            <w:r/>
          </w:p>
        </w:tc>
      </w:tr>
      <w:tr>
        <w:trPr>
          <w:jc w:val="center"/>
          <w:trHeight w:val="557"/>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维修升降车</w:t>
            </w:r>
            <w:r/>
          </w:p>
        </w:tc>
        <w:tc>
          <w:tcPr>
            <w:shd w:val="clear" w:color="auto" w:fill="auto"/>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420"/>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作业高度不低于6米(含燃油费用、保养费用)</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台/季度</w:t>
            </w:r>
            <w:r/>
          </w:p>
        </w:tc>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13000</w:t>
            </w:r>
            <w:r/>
          </w:p>
        </w:tc>
      </w:tr>
      <w:tr>
        <w:trPr>
          <w:jc w:val="center"/>
          <w:trHeight w:val="557"/>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巡视车辆</w:t>
            </w:r>
            <w:r/>
          </w:p>
        </w:tc>
        <w:tc>
          <w:tcPr>
            <w:shd w:val="clear" w:color="auto" w:fill="auto"/>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420"/>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含燃油费用、保养费用</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台/季度</w:t>
            </w:r>
            <w:r/>
          </w:p>
        </w:tc>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10000</w:t>
            </w:r>
            <w:r/>
          </w:p>
        </w:tc>
      </w:tr>
      <w:tr>
        <w:trPr>
          <w:jc w:val="center"/>
          <w:trHeight w:val="557"/>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调优车辆</w:t>
            </w:r>
            <w:r/>
          </w:p>
        </w:tc>
        <w:tc>
          <w:tcPr>
            <w:shd w:val="clear" w:color="auto" w:fill="auto"/>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420"/>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含燃油费用、保养费用</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台/季度</w:t>
            </w:r>
            <w:r/>
          </w:p>
        </w:tc>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8000</w:t>
            </w:r>
            <w:r/>
          </w:p>
        </w:tc>
      </w:tr>
      <w:tr>
        <w:trPr>
          <w:jc w:val="center"/>
          <w:trHeight w:val="557"/>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420"/>
              <w:jc w:val="center"/>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114000</w:t>
            </w:r>
            <w:r/>
          </w:p>
        </w:tc>
      </w:tr>
      <w:tr>
        <w:trPr>
          <w:jc w:val="center"/>
          <w:trHeight w:val="557"/>
        </w:trPr>
        <w:tc>
          <w:tcPr>
            <w:gridSpan w:val="6"/>
            <w:shd w:val="clear" w:color="auto" w:fill="auto"/>
            <w:tcBorders>
              <w:top w:val="single" w:color="000000" w:sz="4" w:space="0"/>
              <w:left w:val="single" w:color="000000" w:sz="4" w:space="0"/>
              <w:bottom w:val="single" w:color="000000" w:sz="4" w:space="0"/>
              <w:right w:val="single" w:color="000000" w:sz="4" w:space="0"/>
            </w:tcBorders>
            <w:tcW w:w="8717" w:type="dxa"/>
            <w:vAlign w:val="center"/>
            <w:textDirection w:val="lrTb"/>
            <w:noWrap/>
          </w:tcPr>
          <w:p>
            <w:pPr>
              <w:ind w:firstLine="422"/>
              <w:jc w:val="center"/>
              <w:keepLines w:val="0"/>
              <w:keepNext w:val="0"/>
              <w:spacing w:line="36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二、维修配件更换</w:t>
            </w:r>
            <w:r/>
          </w:p>
        </w:tc>
      </w:tr>
      <w:tr>
        <w:trPr>
          <w:jc w:val="center"/>
          <w:trHeight w:val="740"/>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信号机电源模块（维修）</w:t>
            </w:r>
            <w:r/>
          </w:p>
        </w:tc>
        <w:tc>
          <w:tcPr>
            <w:shd w:val="clear" w:color="auto" w:fill="auto"/>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无缝插入现有信号机导轨，做到设备兼容、数据互通</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2000</w:t>
            </w:r>
            <w:r/>
          </w:p>
        </w:tc>
      </w:tr>
      <w:tr>
        <w:trPr>
          <w:jc w:val="center"/>
          <w:trHeight w:val="740"/>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信号机主控模块（维修）</w:t>
            </w:r>
            <w:r/>
          </w:p>
        </w:tc>
        <w:tc>
          <w:tcPr>
            <w:shd w:val="clear" w:color="auto" w:fill="auto"/>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无缝插入现有信号机导轨，做到设备兼容</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3500</w:t>
            </w:r>
            <w:r/>
          </w:p>
        </w:tc>
      </w:tr>
      <w:tr>
        <w:trPr>
          <w:jc w:val="center"/>
          <w:trHeight w:val="740"/>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信号机检测模块（维修）</w:t>
            </w:r>
            <w:r/>
          </w:p>
        </w:tc>
        <w:tc>
          <w:tcPr>
            <w:shd w:val="clear" w:color="auto" w:fill="auto"/>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无缝插入现有信号机导轨，做到设备兼容</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800</w:t>
            </w:r>
            <w:r/>
          </w:p>
        </w:tc>
      </w:tr>
      <w:tr>
        <w:trPr>
          <w:jc w:val="center"/>
          <w:trHeight w:val="740"/>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信号机输出模块（维修）</w:t>
            </w:r>
            <w:r/>
          </w:p>
        </w:tc>
        <w:tc>
          <w:tcPr>
            <w:shd w:val="clear" w:color="auto" w:fill="auto"/>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无缝插入现有信号机导轨，做到设备兼容</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1500</w:t>
            </w:r>
            <w:r/>
          </w:p>
        </w:tc>
      </w:tr>
      <w:tr>
        <w:trPr>
          <w:jc w:val="center"/>
          <w:trHeight w:val="740"/>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信号机侧门控制按钮</w:t>
            </w:r>
            <w:r/>
          </w:p>
        </w:tc>
        <w:tc>
          <w:tcPr>
            <w:shd w:val="clear" w:color="auto" w:fill="auto"/>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适配本地现用信号机主机，原厂配件 1 路手/自动切换、1 路下一步、1 路黄闪控制、1 路灭灯。</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150</w:t>
            </w:r>
            <w:r/>
          </w:p>
        </w:tc>
      </w:tr>
      <w:tr>
        <w:trPr>
          <w:jc w:val="center"/>
          <w:trHeight w:val="740"/>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信号机校时定位模块</w:t>
            </w:r>
            <w:r/>
          </w:p>
        </w:tc>
        <w:tc>
          <w:tcPr>
            <w:shd w:val="clear" w:color="auto" w:fill="auto"/>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适配本地现用信号机主机，原厂配件 定位模块：电源 DC5V、通信串口 RS232、支持 BD 定位与授时。</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200</w:t>
            </w:r>
            <w:r/>
          </w:p>
        </w:tc>
      </w:tr>
      <w:tr>
        <w:trPr>
          <w:jc w:val="center"/>
          <w:trHeight w:val="740"/>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信号机触摸控制面板</w:t>
            </w:r>
            <w:r/>
          </w:p>
        </w:tc>
        <w:tc>
          <w:tcPr>
            <w:shd w:val="clear" w:color="auto" w:fill="auto"/>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适配本地现用信号机主机，原厂配件 电源 DC24V、通信串口 RS232、7 寸 TFT 屏、800*480 分辨率。</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2000</w:t>
            </w:r>
            <w:r/>
          </w:p>
        </w:tc>
      </w:tr>
      <w:tr>
        <w:trPr>
          <w:jc w:val="center"/>
          <w:trHeight w:val="2562"/>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信号机机柜</w:t>
            </w:r>
            <w:r/>
          </w:p>
        </w:tc>
        <w:tc>
          <w:tcPr>
            <w:shd w:val="clear" w:color="auto" w:fill="auto"/>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1.包括整套机柜柜体及其附件（含柜体内部布线及电器元件、空开、连接卡槽等，不含信号主机及控制主板）机柜的运输及安装、信号机接线、调试、底部封堵等；2.符合 GB25280-2016 的相关要求，机柜采用的材料应当坚固耐用，并具备良好的防锈蚀性能，正常使用的情况下五年内不得发生锈蚀现象；信号机柜外观须与现有机柜保持一致，标准机柜。</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6500</w:t>
            </w:r>
            <w:r/>
          </w:p>
        </w:tc>
      </w:tr>
      <w:tr>
        <w:trPr>
          <w:jc w:val="center"/>
          <w:trHeight w:val="740"/>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信号机机柜普通门锁</w:t>
            </w:r>
            <w:r/>
          </w:p>
        </w:tc>
        <w:tc>
          <w:tcPr>
            <w:shd w:val="clear" w:color="auto" w:fill="auto"/>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适配本地现用 GB 联网信号机主机，原厂配件</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150</w:t>
            </w:r>
            <w:r/>
          </w:p>
        </w:tc>
      </w:tr>
      <w:tr>
        <w:trPr>
          <w:jc w:val="center"/>
          <w:trHeight w:val="557"/>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接线端子</w:t>
            </w:r>
            <w:r/>
          </w:p>
        </w:tc>
        <w:tc>
          <w:tcPr>
            <w:shd w:val="clear" w:color="auto" w:fill="auto"/>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适配本地现用 GB 联网信号机主机，原厂配件</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400</w:t>
            </w:r>
            <w:r/>
          </w:p>
        </w:tc>
      </w:tr>
      <w:tr>
        <w:trPr>
          <w:jc w:val="center"/>
          <w:trHeight w:val="557"/>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电源插线板</w:t>
            </w:r>
            <w:r/>
          </w:p>
        </w:tc>
        <w:tc>
          <w:tcPr>
            <w:shd w:val="clear" w:color="auto" w:fill="auto"/>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220V，功率≥3000W</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100</w:t>
            </w:r>
            <w:r/>
          </w:p>
        </w:tc>
      </w:tr>
      <w:tr>
        <w:trPr>
          <w:jc w:val="center"/>
          <w:trHeight w:val="740"/>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电源浪涌保护器</w:t>
            </w:r>
            <w:r/>
          </w:p>
        </w:tc>
        <w:tc>
          <w:tcPr>
            <w:shd w:val="clear" w:color="auto" w:fill="auto"/>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适配本地现用 GB 联网信号机主机，原厂配件</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100</w:t>
            </w:r>
            <w:r/>
          </w:p>
        </w:tc>
      </w:tr>
      <w:tr>
        <w:trPr>
          <w:jc w:val="center"/>
          <w:trHeight w:val="557"/>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网线防雷器</w:t>
            </w:r>
            <w:r/>
          </w:p>
        </w:tc>
        <w:tc>
          <w:tcPr>
            <w:shd w:val="clear" w:color="auto" w:fill="auto"/>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适配本地现用 GB 联网信号机主机，原厂配件</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50</w:t>
            </w:r>
            <w:r/>
          </w:p>
        </w:tc>
      </w:tr>
      <w:tr>
        <w:trPr>
          <w:jc w:val="center"/>
          <w:trHeight w:val="557"/>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黄闪控制器</w:t>
            </w:r>
            <w:r/>
          </w:p>
        </w:tc>
        <w:tc>
          <w:tcPr>
            <w:shd w:val="clear" w:color="auto" w:fill="auto"/>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适配本地现用 GB 联网信号机主机，原厂配件</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800</w:t>
            </w:r>
            <w:r/>
          </w:p>
        </w:tc>
      </w:tr>
      <w:tr>
        <w:trPr>
          <w:jc w:val="center"/>
          <w:trHeight w:val="1469"/>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空开</w:t>
            </w:r>
            <w:r/>
          </w:p>
        </w:tc>
        <w:tc>
          <w:tcPr>
            <w:shd w:val="clear" w:color="auto" w:fill="auto"/>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1．周围空气温度：-5℃- +70℃，24 小时内其平均值不超过+35℃：安全性能好，导电部件不外露；主触头系统结构独特，触头磨损小，电寿命增加；电磁铁工作可靠，损耗少，噪音小，且具很高的机械强度</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35</w:t>
            </w:r>
            <w:r/>
          </w:p>
        </w:tc>
      </w:tr>
      <w:tr>
        <w:trPr>
          <w:jc w:val="center"/>
          <w:trHeight w:val="557"/>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万兆光模块</w:t>
            </w:r>
            <w:r/>
          </w:p>
        </w:tc>
        <w:tc>
          <w:tcPr>
            <w:shd w:val="clear" w:color="auto" w:fill="auto"/>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SFP10G多模光模块</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600</w:t>
            </w:r>
            <w:r/>
          </w:p>
        </w:tc>
      </w:tr>
      <w:tr>
        <w:trPr>
          <w:jc w:val="center"/>
          <w:trHeight w:val="3292"/>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灯盘（400直径）（含辅材）</w:t>
            </w:r>
            <w:r/>
          </w:p>
        </w:tc>
        <w:tc>
          <w:tcPr>
            <w:shd w:val="clear" w:color="auto" w:fill="auto"/>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红黄绿机动车、箭头、特殊定制灯盘。符合《GB14887-2011道路交通信号灯》等国标。采用高亮度发光二极管，使用寿命超过50000小时，发光强度≥150cd；LED可靠性：≥50000小时；平均无故障时间MTBF&gt;20000小时；工作湿度：5%-95%（无冷凝）；工作温度：-40-+80℃；灯具发光条框架为聚碳酸脂材料，外壳、支臂应采用优质铝合金型材，机械强度高，外型美观，密封性能好，灯具表面应作亚光喷涂处理,不生锈，防尘，防水；信号灯图案符合国标附图的相关要求。</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750</w:t>
            </w:r>
            <w:r/>
          </w:p>
        </w:tc>
      </w:tr>
      <w:tr>
        <w:trPr>
          <w:jc w:val="center"/>
          <w:trHeight w:val="1104"/>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一体化人行灯单文字面板</w:t>
            </w:r>
            <w:r/>
          </w:p>
        </w:tc>
        <w:tc>
          <w:tcPr>
            <w:shd w:val="clear" w:color="auto" w:fill="auto"/>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适配现有板式人行灯；板式人行灯下方行人提示文字，要求与灯色颜色一致；采用高亮度发光二极管，使用寿命超过50000小时，发光强度≥150cd；</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2300</w:t>
            </w:r>
            <w:r/>
          </w:p>
        </w:tc>
      </w:tr>
      <w:tr>
        <w:trPr>
          <w:jc w:val="center"/>
          <w:trHeight w:val="1104"/>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人行灯灯盘（含辅材）</w:t>
            </w:r>
            <w:r/>
          </w:p>
        </w:tc>
        <w:tc>
          <w:tcPr>
            <w:shd w:val="clear" w:color="auto" w:fill="auto"/>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红灯静态行人</w:t>
            </w:r>
            <w:r>
              <w:rPr>
                <w:rFonts w:hint="eastAsia" w:ascii="宋体" w:hAnsi="宋体" w:eastAsia="宋体" w:cs="宋体"/>
                <w:i w:val="0"/>
                <w:color w:val="000000"/>
                <w:sz w:val="21"/>
                <w:szCs w:val="21"/>
                <w:u w:val="none"/>
                <w:lang w:val="en-US" w:eastAsia="zh-CN" w:bidi="ar"/>
              </w:rPr>
              <w:t xml:space="preserve">或绿灯动态行人；采用高亮度发光二极管，使用寿命超过50000小时，发光强度≥150cd；倒计时参数：300圆形倒计时；具有通讯式、触发式、跟随式三种工作模式自主切换功能；LED可靠性：≥50000小时；平均无故障时间MTBF&gt;20000小时；工作湿度：5%-95%（无冷凝）；工作温度：-40-+80℃；独立发光单元设计，拆卸维修方便，灯具发光条框架为聚碳酸脂材料，外壳、支臂应采用优质铝合金型材，机械强度高，外型美观，密封性能好，灯具表面应作亚光喷涂处理,不生锈，防尘，防水；信号灯图案符合国标附图的相关要求。</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600</w:t>
            </w:r>
            <w:r/>
          </w:p>
        </w:tc>
      </w:tr>
      <w:tr>
        <w:trPr>
          <w:jc w:val="center"/>
          <w:trHeight w:val="740"/>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太阳能黄闪灯（含辅材）</w:t>
            </w:r>
            <w:r/>
          </w:p>
        </w:tc>
        <w:tc>
          <w:tcPr>
            <w:shd w:val="clear" w:color="auto" w:fill="auto"/>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直径400mm，太阳能板+黄闪灯，铝合金外壳，二层防护。</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1500</w:t>
            </w:r>
            <w:r/>
          </w:p>
        </w:tc>
      </w:tr>
      <w:tr>
        <w:trPr>
          <w:jc w:val="center"/>
          <w:trHeight w:val="1104"/>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倒计时主控板</w:t>
            </w:r>
            <w:r/>
          </w:p>
        </w:tc>
        <w:tc>
          <w:tcPr>
            <w:shd w:val="clear" w:color="auto" w:fill="auto"/>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产品符合GA/T508-2014《道路交通信号倒计时显示器》标准的相关要求，支持通讯、跟随、触发模式控制，与现有倒计时器匹配</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900</w:t>
            </w:r>
            <w:r/>
          </w:p>
        </w:tc>
      </w:tr>
      <w:tr>
        <w:trPr>
          <w:jc w:val="center"/>
          <w:trHeight w:val="740"/>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信号灯发光单元帽沿</w:t>
            </w:r>
            <w:r/>
          </w:p>
        </w:tc>
        <w:tc>
          <w:tcPr>
            <w:shd w:val="clear" w:color="auto" w:fill="auto"/>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根据现有进行定制、颜色与样式与现有一致。</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30</w:t>
            </w:r>
            <w:r/>
          </w:p>
        </w:tc>
      </w:tr>
      <w:tr>
        <w:trPr>
          <w:jc w:val="center"/>
          <w:trHeight w:val="557"/>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信号灯支架</w:t>
            </w:r>
            <w:r/>
          </w:p>
        </w:tc>
        <w:tc>
          <w:tcPr>
            <w:shd w:val="clear" w:color="auto" w:fill="auto"/>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50</w:t>
            </w:r>
            <w:r/>
          </w:p>
        </w:tc>
      </w:tr>
      <w:tr>
        <w:trPr>
          <w:jc w:val="center"/>
          <w:trHeight w:val="557"/>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信号灯抱箍</w:t>
            </w:r>
            <w:r/>
          </w:p>
        </w:tc>
        <w:tc>
          <w:tcPr>
            <w:shd w:val="clear" w:color="auto" w:fill="auto"/>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50</w:t>
            </w:r>
            <w:r/>
          </w:p>
        </w:tc>
      </w:tr>
      <w:tr>
        <w:trPr>
          <w:jc w:val="center"/>
          <w:trHeight w:val="740"/>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柱式人行灯抱箍</w:t>
            </w:r>
            <w:r/>
          </w:p>
        </w:tc>
        <w:tc>
          <w:tcPr>
            <w:shd w:val="clear" w:color="auto" w:fill="auto"/>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30</w:t>
            </w:r>
            <w:r/>
          </w:p>
        </w:tc>
      </w:tr>
      <w:tr>
        <w:trPr>
          <w:jc w:val="center"/>
          <w:trHeight w:val="740"/>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杆件检修口盖板（定制）</w:t>
            </w:r>
            <w:r/>
          </w:p>
        </w:tc>
        <w:tc>
          <w:tcPr>
            <w:shd w:val="clear" w:color="auto" w:fill="auto"/>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40</w:t>
            </w:r>
            <w:r/>
          </w:p>
        </w:tc>
      </w:tr>
      <w:tr>
        <w:trPr>
          <w:jc w:val="center"/>
          <w:trHeight w:val="2198"/>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移动信号灯</w:t>
            </w:r>
            <w:r/>
          </w:p>
        </w:tc>
        <w:tc>
          <w:tcPr>
            <w:shd w:val="clear" w:color="auto" w:fill="auto"/>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双头移动信号灯：2灯盘（方向指示信号灯+满屏信号灯），发光面直径：300m；太阳能电池板 ：功率100W，双太阳能板，正常工作寿命 大于8年，太阳能锂电池： 12V80AH；阴雨天可持续工作5天以上；发光体颜色:红，黄，绿。可视距离大于800m   产品材质：铁型材+高透光性聚碳酸酯PC(工艺：喷塑处理)     尺寸：2.4m-3.1m可调</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10000</w:t>
            </w:r>
            <w:r/>
          </w:p>
        </w:tc>
      </w:tr>
      <w:tr>
        <w:trPr>
          <w:jc w:val="center"/>
          <w:trHeight w:val="5479"/>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1200万电警抓拍单元</w:t>
            </w:r>
            <w:r/>
          </w:p>
        </w:tc>
        <w:tc>
          <w:tcPr>
            <w:shd w:val="clear" w:color="auto" w:fill="auto"/>
            <w:tcBorders>
              <w:top w:val="single" w:color="000000" w:sz="4" w:space="0"/>
              <w:left w:val="single" w:color="000000" w:sz="4" w:space="0"/>
              <w:bottom w:val="single" w:color="000000" w:sz="4" w:space="0"/>
              <w:right w:val="single" w:color="000000" w:sz="4" w:space="0"/>
            </w:tcBorders>
            <w:tcW w:w="449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1200万电子警察抓拍单元由防护罩组件及高清智能摄像机组成，抓拍单元防护罩前面板具有防尘、防水功能，单元内置LED暖光灯，单元支持网络防雷、防浪涌，宽温宽压等。</w:t>
            </w:r>
            <w:r>
              <w:rPr>
                <w:rFonts w:hint="eastAsia" w:ascii="宋体" w:hAnsi="宋体" w:eastAsia="宋体" w:cs="宋体"/>
                <w:i w:val="0"/>
                <w:color w:val="000000"/>
                <w:sz w:val="21"/>
                <w:szCs w:val="21"/>
                <w:u w:val="none"/>
                <w:lang w:val="en-US" w:eastAsia="zh-CN" w:bidi="ar"/>
              </w:rPr>
              <w:br/>
            </w:r>
            <w:r>
              <w:rPr>
                <w:rFonts w:hint="eastAsia" w:ascii="宋体" w:hAnsi="宋体" w:eastAsia="宋体" w:cs="宋体"/>
                <w:i w:val="0"/>
                <w:color w:val="000000"/>
                <w:sz w:val="21"/>
                <w:szCs w:val="21"/>
                <w:u w:val="none"/>
                <w:lang w:val="en-US" w:eastAsia="zh-CN" w:bidi="ar"/>
              </w:rPr>
              <w:t xml:space="preserve">内置摄像机采用1.1英寸高帧率全局曝光CMOS传感器，分辨率可达4112 × 3072，帧率高达25帧，具有清晰度高、照度低、帧率高、色彩还原度好等特点。</w:t>
            </w:r>
            <w:r>
              <w:rPr>
                <w:rFonts w:hint="eastAsia" w:ascii="宋体" w:hAnsi="宋体" w:eastAsia="宋体" w:cs="宋体"/>
                <w:i w:val="0"/>
                <w:color w:val="000000"/>
                <w:sz w:val="21"/>
                <w:szCs w:val="21"/>
                <w:u w:val="none"/>
                <w:lang w:val="en-US" w:eastAsia="zh-CN" w:bidi="ar"/>
              </w:rPr>
              <w:br/>
            </w:r>
            <w:r>
              <w:rPr>
                <w:rFonts w:hint="eastAsia" w:ascii="宋体" w:hAnsi="宋体" w:eastAsia="宋体" w:cs="宋体"/>
                <w:i w:val="0"/>
                <w:color w:val="000000"/>
                <w:sz w:val="21"/>
                <w:szCs w:val="21"/>
                <w:u w:val="none"/>
                <w:lang w:val="en-US" w:eastAsia="zh-CN" w:bidi="ar"/>
              </w:rPr>
              <w:t xml:space="preserve">视频采用H.265、H.264或MJPEG编码，低延时，低码率，压缩比高，处理灵活。</w:t>
            </w:r>
            <w:r>
              <w:rPr>
                <w:rFonts w:hint="eastAsia" w:ascii="宋体" w:hAnsi="宋体" w:eastAsia="宋体" w:cs="宋体"/>
                <w:i w:val="0"/>
                <w:color w:val="000000"/>
                <w:sz w:val="21"/>
                <w:szCs w:val="21"/>
                <w:u w:val="none"/>
                <w:lang w:val="en-US" w:eastAsia="zh-CN" w:bidi="ar"/>
              </w:rPr>
              <w:br/>
            </w:r>
            <w:r>
              <w:rPr>
                <w:rFonts w:hint="eastAsia" w:ascii="宋体" w:hAnsi="宋体" w:eastAsia="宋体" w:cs="宋体"/>
                <w:i w:val="0"/>
                <w:color w:val="000000"/>
                <w:sz w:val="21"/>
                <w:szCs w:val="21"/>
                <w:u w:val="none"/>
                <w:lang w:val="en-US" w:eastAsia="zh-CN" w:bidi="ar"/>
              </w:rPr>
              <w:t xml:space="preserve">支持LED频闪灯同步补光，防护罩内置LED车牌补光灯。支持机动车辆、非机动车、行人抓拍。支持车牌、车型、车身颜色（环境光有要求）、车标、子品牌等信息识别功能，支持压线、逆行、闯红灯、不按导向行驶等违法检测功能。红绿灯信号检测方式支持：IO信号，红绿灯检测器，视频检测。</w:t>
            </w:r>
            <w:r>
              <w:rPr>
                <w:rFonts w:hint="eastAsia" w:ascii="宋体" w:hAnsi="宋体" w:eastAsia="宋体" w:cs="宋体"/>
                <w:i w:val="0"/>
                <w:color w:val="000000"/>
                <w:sz w:val="21"/>
                <w:szCs w:val="21"/>
                <w:u w:val="none"/>
                <w:lang w:val="en-US" w:eastAsia="zh-CN" w:bidi="ar"/>
              </w:rPr>
              <w:br/>
            </w:r>
            <w:r>
              <w:rPr>
                <w:rFonts w:hint="eastAsia" w:ascii="宋体" w:hAnsi="宋体" w:eastAsia="宋体" w:cs="宋体"/>
                <w:i w:val="0"/>
                <w:color w:val="000000"/>
                <w:sz w:val="21"/>
                <w:szCs w:val="21"/>
                <w:u w:val="none"/>
                <w:lang w:val="en-US" w:eastAsia="zh-CN" w:bidi="ar"/>
              </w:rPr>
              <w:t xml:space="preserve">支持远程数据上传，GB/T 28181视频联网标准、GA/T 1400视图库标准、FTP协议，可将抓拍的图片上传给终端服务器、FTP服务器或者后端平台。可支持TF插卡本地存储，可支持至256G，抓拍图片可断网续传。</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14000</w:t>
            </w:r>
            <w:r/>
          </w:p>
        </w:tc>
      </w:tr>
      <w:tr>
        <w:trPr>
          <w:jc w:val="center"/>
          <w:trHeight w:val="5114"/>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900万电警抓拍单元</w:t>
            </w:r>
            <w:r/>
          </w:p>
        </w:tc>
        <w:tc>
          <w:tcPr>
            <w:shd w:val="clear" w:color="auto" w:fill="auto"/>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包含摄像机、高清镜头、室外防护罩、风</w:t>
            </w:r>
            <w:r>
              <w:rPr>
                <w:rFonts w:hint="eastAsia" w:ascii="宋体" w:hAnsi="宋体" w:eastAsia="宋体" w:cs="宋体"/>
                <w:i w:val="0"/>
                <w:color w:val="000000"/>
                <w:sz w:val="21"/>
                <w:szCs w:val="21"/>
                <w:u w:val="none"/>
                <w:lang w:val="en-US" w:eastAsia="zh-CN" w:bidi="ar"/>
              </w:rPr>
              <w:t xml:space="preserve">扇、内置补光灯、电源适配器、相机内置防雷模块、安装万向节等。像素：900W；分辨率：最大支持4096*2160；帧率：25fps；感光器件：4/3" GMOS                                                                                                                                      镜头：16mm镜头；照度：彩色:0.005Lux ；视频压缩标准：H.265/H.26</w:t>
            </w:r>
            <w:r>
              <w:rPr>
                <w:rFonts w:hint="eastAsia" w:ascii="宋体" w:hAnsi="宋体" w:eastAsia="宋体" w:cs="宋体"/>
                <w:i w:val="0"/>
                <w:color w:val="000000"/>
                <w:sz w:val="21"/>
                <w:szCs w:val="21"/>
                <w:u w:val="none"/>
                <w:lang w:val="en-US" w:eastAsia="zh-CN" w:bidi="ar"/>
              </w:rPr>
              <w:t xml:space="preserve">4/MJPEG；图像输出格式：JPEG；输出：电平量信号。通讯接口：2个RJ45 100M/1000M自适应网口，3个RS485接口，1个RS232接口。外部接口：4路外部触发输入，6路(5V TTL电平量)输出，可作为闪光灯同步输出控制，SYNC信号灯电源同步输入。存储支持：最大支持128G TF卡；自动光圈镜头：支持；工作电压：220VAC±20%；频率：50HZ±2%；；功耗：＜20W；支持智能识别功能：内置视频识别功能，支持车牌识别、视频触发、车身颜色识别、车型识别，通行车辆信息捕获和违章检测功能。</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9500</w:t>
            </w:r>
            <w:r/>
          </w:p>
        </w:tc>
      </w:tr>
      <w:tr>
        <w:trPr>
          <w:jc w:val="center"/>
          <w:trHeight w:val="2198"/>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500万电警抓拍单元</w:t>
            </w:r>
            <w:r/>
          </w:p>
        </w:tc>
        <w:tc>
          <w:tcPr>
            <w:shd w:val="clear" w:color="auto" w:fill="auto"/>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采用2/3英寸500万像素高帧率彩色全局曝光CMOS高清智能摄像机，最大分辨率可达2448*2048，帧率高达25帧；输出图片格式：JPEG；支持LED频闪灯同步补光，防护罩内置LED车牌补光灯；支持车牌、车型、车身颜色等信息识别功能，支持压线、逆行、闯红灯、不按导向行驶等违法检测功能</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8000</w:t>
            </w:r>
            <w:r/>
          </w:p>
        </w:tc>
      </w:tr>
      <w:tr>
        <w:trPr>
          <w:jc w:val="center"/>
          <w:trHeight w:val="1469"/>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频闪灯</w:t>
            </w:r>
            <w:r/>
          </w:p>
        </w:tc>
        <w:tc>
          <w:tcPr>
            <w:shd w:val="clear" w:color="auto" w:fill="auto"/>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集成数字式照度传感器，具备自动光感功能；光照角度：25°；有效补光距离：16m～21m；频闪亮度等级可调；频闪频率可选；触发方式：电平，+5VDC；工作温度-30℃~+70℃；防护等级IP66；外壳材质：金属铝</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1900</w:t>
            </w:r>
            <w:r/>
          </w:p>
        </w:tc>
      </w:tr>
      <w:tr>
        <w:trPr>
          <w:jc w:val="center"/>
          <w:trHeight w:val="1833"/>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环保爆闪灯</w:t>
            </w:r>
            <w:r/>
          </w:p>
        </w:tc>
        <w:tc>
          <w:tcPr>
            <w:shd w:val="clear" w:color="auto" w:fill="auto"/>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环保型，光源采用氙气灯；色温：≥4000K。在正常工作条件下，机壳的温升不超过40℃；回电时间≤80ms。闪光次数≥300万次；功耗：平均＜100W(@1闪/s)，瞬间最大＜300W。防眩目处理：可内置光栅，进行光污染处理。工作温度-30℃~+70℃；防护等级IP65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2200</w:t>
            </w:r>
            <w:r/>
          </w:p>
        </w:tc>
      </w:tr>
      <w:tr>
        <w:trPr>
          <w:jc w:val="center"/>
          <w:trHeight w:val="2927"/>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电子警察前端控制主机</w:t>
            </w:r>
            <w:r/>
          </w:p>
        </w:tc>
        <w:tc>
          <w:tcPr>
            <w:shd w:val="clear" w:color="auto" w:fill="auto"/>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采用高性能嵌入式处理芯片，不得使用X86计算机架构（包括：工控机、嵌入式工控机等），内存容量≥2G，嵌入式Linux操作系统，操作界面以WEB方式；最大支持4个3.5〃或2.5〃硬盘；集成8个RJ45 10M/100M自适应以太网口；2个RJ45 1000M接口；可接入12路高清网络摄像机（支持视频和图片同时接入）和2路高清BNC接口模拟高清摄像机；支持12路图片、12路录像实时预览及存储功能；具备DC12V输出接口，可方便现场外围设备供电。</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7500</w:t>
            </w:r>
            <w:r/>
          </w:p>
        </w:tc>
      </w:tr>
      <w:tr>
        <w:trPr>
          <w:jc w:val="center"/>
          <w:trHeight w:val="557"/>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环保900万卡口抓拍单元</w:t>
            </w:r>
            <w:r/>
          </w:p>
        </w:tc>
        <w:tc>
          <w:tcPr>
            <w:shd w:val="clear" w:color="auto" w:fill="auto"/>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环保车辆人脸卡口抓拍单元由防护罩组件及高清智</w:t>
            </w:r>
            <w:r>
              <w:rPr>
                <w:rFonts w:hint="eastAsia" w:ascii="宋体" w:hAnsi="宋体" w:eastAsia="宋体" w:cs="宋体"/>
                <w:i w:val="0"/>
                <w:color w:val="000000"/>
                <w:sz w:val="21"/>
                <w:szCs w:val="21"/>
                <w:u w:val="none"/>
                <w:lang w:val="en-US" w:eastAsia="zh-CN" w:bidi="ar"/>
              </w:rPr>
              <w:t xml:space="preserve">能摄像机组成，抓拍单元防护罩前面板具有防尘、防水功能，单元内置LED暖光灯，单元支持网络防雷、防浪涌，宽温宽压等。内置摄像机采用2个1英寸高帧率全局曝光CMOS传感器，分辨率可达4096 × 2160，帧率高达25帧，具有清晰度高、照度低、帧率高、色彩还原度好等特点。支持白天用白光爆闪，晚上用内置灯或外置LED灯加红外爆闪同步补光。支持视频触发等多种触发模式并实现全结构化：支持深度学习算法，支持多目标混合场景应用，实时提取机动车、非机动车、行人、人脸等目标全结构化信息，为大数据业务提供全方位的特征数据基础。</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12800</w:t>
            </w:r>
            <w:r/>
          </w:p>
        </w:tc>
      </w:tr>
      <w:tr>
        <w:trPr>
          <w:jc w:val="center"/>
          <w:trHeight w:val="740"/>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电警/卡口设备维修</w:t>
            </w:r>
            <w:r/>
          </w:p>
        </w:tc>
        <w:tc>
          <w:tcPr>
            <w:shd w:val="clear" w:color="auto" w:fill="auto"/>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设备过质保期维修，更换的部件与现有的设备兼容</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1000</w:t>
            </w:r>
            <w:r/>
          </w:p>
        </w:tc>
      </w:tr>
      <w:tr>
        <w:trPr>
          <w:jc w:val="center"/>
          <w:trHeight w:val="740"/>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频闪灯/爆闪灯维修</w:t>
            </w:r>
            <w:r/>
          </w:p>
        </w:tc>
        <w:tc>
          <w:tcPr>
            <w:shd w:val="clear" w:color="auto" w:fill="auto"/>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设备过质保期维修，更换的部件与现有的设备兼容</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400</w:t>
            </w:r>
            <w:r/>
          </w:p>
        </w:tc>
      </w:tr>
      <w:tr>
        <w:trPr>
          <w:jc w:val="center"/>
          <w:trHeight w:val="557"/>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智能终端维修</w:t>
            </w:r>
            <w:r/>
          </w:p>
        </w:tc>
        <w:tc>
          <w:tcPr>
            <w:shd w:val="clear" w:color="auto" w:fill="auto"/>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设备过质保期维修，更换的部件与现有的设备兼容</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1200</w:t>
            </w:r>
            <w:r/>
          </w:p>
        </w:tc>
      </w:tr>
      <w:tr>
        <w:trPr>
          <w:jc w:val="center"/>
          <w:trHeight w:val="2562"/>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400万高清监控球机</w:t>
            </w:r>
            <w:r/>
          </w:p>
        </w:tc>
        <w:tc>
          <w:tcPr>
            <w:shd w:val="clear" w:color="auto" w:fill="auto"/>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不低于400万像素；采用1/1.8英寸CMOS（GMOS）图像传感器；视频输出支持2560×1440@25fps；超低照度：彩色0.001Lux，黑白0.0001Lux；不低于30倍光学变焦；支持1路音频输入和1路音频输出；支持7路报警输入和2路报警输出；支持车型识别、车身颜色识别，车辆品牌识别；支持300个预置位；压缩格式：H.264/MJPEG；压缩格式：H.264/MJPEG；</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7000</w:t>
            </w:r>
            <w:r/>
          </w:p>
        </w:tc>
      </w:tr>
      <w:tr>
        <w:trPr>
          <w:jc w:val="center"/>
          <w:trHeight w:val="2198"/>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违停抓拍球机</w:t>
            </w:r>
            <w:r/>
          </w:p>
        </w:tc>
        <w:tc>
          <w:tcPr>
            <w:shd w:val="clear" w:color="auto" w:fill="auto"/>
            <w:tcBorders>
              <w:top w:val="single" w:color="000000" w:sz="4" w:space="0"/>
              <w:left w:val="single" w:color="000000" w:sz="4" w:space="0"/>
              <w:bottom w:val="single" w:color="000000" w:sz="4" w:space="0"/>
              <w:right w:val="single" w:color="000000" w:sz="4" w:space="0"/>
            </w:tcBorders>
            <w:tcW w:w="449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支持32倍光学变倍，16倍数字变倍。道路违章取证：违停、逆行、压线、变道、机占非、掉头。多场景巡航下，违停有效检测距离300 m</w:t>
            </w:r>
            <w:r>
              <w:rPr>
                <w:rFonts w:hint="eastAsia" w:ascii="宋体" w:hAnsi="宋体" w:eastAsia="宋体" w:cs="宋体"/>
                <w:i w:val="0"/>
                <w:color w:val="000000"/>
                <w:sz w:val="21"/>
                <w:szCs w:val="21"/>
                <w:u w:val="none"/>
                <w:lang w:val="en-US" w:eastAsia="zh-CN" w:bidi="ar"/>
              </w:rPr>
              <w:br/>
            </w:r>
            <w:r>
              <w:rPr>
                <w:rFonts w:hint="eastAsia" w:ascii="宋体" w:hAnsi="宋体" w:eastAsia="宋体" w:cs="宋体"/>
                <w:i w:val="0"/>
                <w:color w:val="000000"/>
                <w:sz w:val="21"/>
                <w:szCs w:val="21"/>
                <w:u w:val="none"/>
                <w:lang w:val="en-US" w:eastAsia="zh-CN" w:bidi="ar"/>
              </w:rPr>
              <w:t xml:space="preserve">支持多场景巡航检测，并可配置场景巡航自适应功能；支持对静止或运动车辆的手动取证功能。 ；支持违法数据的断点续传功能 </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8500</w:t>
            </w:r>
            <w:r/>
          </w:p>
        </w:tc>
      </w:tr>
      <w:tr>
        <w:trPr>
          <w:jc w:val="center"/>
          <w:trHeight w:val="4750"/>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高空监控球机</w:t>
            </w:r>
            <w:r/>
          </w:p>
        </w:tc>
        <w:tc>
          <w:tcPr>
            <w:shd w:val="clear" w:color="auto" w:fill="auto"/>
            <w:tcBorders>
              <w:top w:val="single" w:color="000000" w:sz="4" w:space="0"/>
              <w:left w:val="single" w:color="000000" w:sz="4" w:space="0"/>
              <w:bottom w:val="single" w:color="000000" w:sz="4" w:space="0"/>
              <w:right w:val="single" w:color="000000" w:sz="4" w:space="0"/>
            </w:tcBorders>
            <w:tcW w:w="449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采用800万像素1/1.8英寸 CMOS；内置GPU芯片，支持深度学习算法，有效提升检测准确率。支持视频结构化</w:t>
            </w:r>
            <w:r>
              <w:rPr>
                <w:rFonts w:hint="eastAsia" w:ascii="宋体" w:hAnsi="宋体" w:eastAsia="宋体" w:cs="宋体"/>
                <w:i w:val="0"/>
                <w:color w:val="000000"/>
                <w:sz w:val="21"/>
                <w:szCs w:val="21"/>
                <w:u w:val="none"/>
                <w:lang w:val="en-US" w:eastAsia="zh-CN" w:bidi="ar"/>
              </w:rPr>
              <w:t xml:space="preserve">功能：支持机动车抓拍、机动车属性提取，支持非机动车抓拍、非机动车属性提取，支持人体抓拍、人体属性提取，支持人脸抓拍、人脸属性提取，支持机非人数量统计；支持绊线入侵、区域入侵、穿越围栏、徘徊、物品遗留、物品搬移、快速移动、停车、人员聚集检测；支持人车分类报警；支持联动跟踪。支持人脸检测；支持人脸优选抓拍；支持人脸增强；支持人脸属性提取；支持6种属性8种表情：性别，年龄，眼镜，表情，口罩，，胡子；支持多种人脸抠图方案设置：单寸照，人脸；支持人脸识别（前端支持导入1万张人脸库）。支持48倍光学变倍，16倍数字变倍</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18500</w:t>
            </w:r>
            <w:r/>
          </w:p>
        </w:tc>
      </w:tr>
      <w:tr>
        <w:trPr>
          <w:jc w:val="center"/>
          <w:trHeight w:val="4385"/>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智能终端</w:t>
            </w:r>
            <w:r/>
          </w:p>
        </w:tc>
        <w:tc>
          <w:tcPr>
            <w:shd w:val="clear" w:color="auto" w:fill="auto"/>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采用高性能嵌入式处理芯片，不得使用X86计算机架构（包括：工控机、嵌入式工控机等）；内存容量≥2G；嵌入式Linux操作系统，操作界</w:t>
            </w:r>
            <w:r>
              <w:rPr>
                <w:rFonts w:hint="eastAsia" w:ascii="宋体" w:hAnsi="宋体" w:eastAsia="宋体" w:cs="宋体"/>
                <w:i w:val="0"/>
                <w:color w:val="000000"/>
                <w:sz w:val="21"/>
                <w:szCs w:val="21"/>
                <w:u w:val="none"/>
                <w:lang w:val="en-US" w:eastAsia="zh-CN" w:bidi="ar"/>
              </w:rPr>
              <w:t xml:space="preserve">面以WEB方式；最大支持4个3.5〃或2.5〃硬盘；集成8个RJ45 10M/100M自适应以太网口；2个RJ45 1000M接口；可接入12路高清网络摄像机（支持视频和图片同时接入）和4路标清BNC接口模拟摄像机；支持12路图片、16路录像实时预览及存储功能；支持违章图片合成，支持合成顺序及特写位置选择；支持故障自动恢复功能，故障前的信息不丢失；支持车辆查询，支持按时间、通道、违章类型、车牌、车速、车道查询；工作电源DC 12V；功耗： ＜20W；全机身散热，内部不得含有风扇；工作温度：-40℃～+70℃</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7500</w:t>
            </w:r>
            <w:r/>
          </w:p>
        </w:tc>
      </w:tr>
      <w:tr>
        <w:trPr>
          <w:jc w:val="center"/>
          <w:trHeight w:val="557"/>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万象支架</w:t>
            </w:r>
            <w:r/>
          </w:p>
        </w:tc>
        <w:tc>
          <w:tcPr>
            <w:shd w:val="clear" w:color="auto" w:fill="auto"/>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与现有设备无缝对接</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120</w:t>
            </w:r>
            <w:r/>
          </w:p>
        </w:tc>
      </w:tr>
      <w:tr>
        <w:trPr>
          <w:jc w:val="center"/>
          <w:trHeight w:val="557"/>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相机电源</w:t>
            </w:r>
            <w:r/>
          </w:p>
        </w:tc>
        <w:tc>
          <w:tcPr>
            <w:shd w:val="clear" w:color="auto" w:fill="auto"/>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与现有设备无缝对接</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150</w:t>
            </w:r>
            <w:r/>
          </w:p>
        </w:tc>
      </w:tr>
      <w:tr>
        <w:trPr>
          <w:jc w:val="center"/>
          <w:trHeight w:val="740"/>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车辆检测器</w:t>
            </w:r>
            <w:r/>
          </w:p>
        </w:tc>
        <w:tc>
          <w:tcPr>
            <w:shd w:val="clear" w:color="auto" w:fill="auto"/>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能与现有信号控制机通过协议无缝对接；视频流量检测器，覆盖三车道及以上；支持分车道统计车流量等交通数据。</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12000</w:t>
            </w:r>
            <w:r/>
          </w:p>
        </w:tc>
      </w:tr>
      <w:tr>
        <w:trPr>
          <w:jc w:val="center"/>
          <w:trHeight w:val="740"/>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车辆检测器电源适配器</w:t>
            </w:r>
            <w:r/>
          </w:p>
        </w:tc>
        <w:tc>
          <w:tcPr>
            <w:shd w:val="clear" w:color="auto" w:fill="auto"/>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适配本地现用视频车辆检测器，原厂配件</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120</w:t>
            </w:r>
            <w:r/>
          </w:p>
        </w:tc>
      </w:tr>
      <w:tr>
        <w:trPr>
          <w:jc w:val="center"/>
          <w:trHeight w:val="740"/>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抱杆机箱</w:t>
            </w:r>
            <w:r/>
          </w:p>
        </w:tc>
        <w:tc>
          <w:tcPr>
            <w:shd w:val="clear" w:color="auto" w:fill="auto"/>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产品尺寸不小于600mm*400mm*400mm，防护等级IP54，工作温度范围为-40到85℃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600</w:t>
            </w:r>
            <w:r/>
          </w:p>
        </w:tc>
      </w:tr>
      <w:tr>
        <w:trPr>
          <w:jc w:val="center"/>
          <w:trHeight w:val="557"/>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KVV2*6mm2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15</w:t>
            </w:r>
            <w:r/>
          </w:p>
        </w:tc>
      </w:tr>
      <w:tr>
        <w:trPr>
          <w:jc w:val="center"/>
          <w:trHeight w:val="557"/>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KVV2*8mm2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18</w:t>
            </w:r>
            <w:r/>
          </w:p>
        </w:tc>
      </w:tr>
      <w:tr>
        <w:trPr>
          <w:jc w:val="center"/>
          <w:trHeight w:val="557"/>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KVV2*4mm2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12</w:t>
            </w:r>
            <w:r/>
          </w:p>
        </w:tc>
      </w:tr>
      <w:tr>
        <w:trPr>
          <w:jc w:val="center"/>
          <w:trHeight w:val="740"/>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16芯控制线缆</w:t>
            </w:r>
            <w:r/>
          </w:p>
        </w:tc>
        <w:tc>
          <w:tcPr>
            <w:shd w:val="clear" w:color="auto" w:fill="auto"/>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控制线缆KVV16×1mm2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21</w:t>
            </w:r>
            <w:r/>
          </w:p>
        </w:tc>
      </w:tr>
      <w:tr>
        <w:trPr>
          <w:jc w:val="center"/>
          <w:trHeight w:val="557"/>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4芯控制线缆</w:t>
            </w:r>
            <w:r/>
          </w:p>
        </w:tc>
        <w:tc>
          <w:tcPr>
            <w:shd w:val="clear" w:color="auto" w:fill="auto"/>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控制线缆KVV4×1mm2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w:t>
            </w:r>
            <w:r/>
          </w:p>
        </w:tc>
      </w:tr>
      <w:tr>
        <w:trPr>
          <w:jc w:val="center"/>
          <w:trHeight w:val="557"/>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4芯光缆</w:t>
            </w:r>
            <w:r/>
          </w:p>
        </w:tc>
        <w:tc>
          <w:tcPr>
            <w:shd w:val="clear" w:color="auto" w:fill="auto"/>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单模1310nm 4芯光缆</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w:t>
            </w:r>
            <w:r/>
          </w:p>
        </w:tc>
      </w:tr>
      <w:tr>
        <w:trPr>
          <w:jc w:val="center"/>
          <w:trHeight w:val="557"/>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2芯控制线缆</w:t>
            </w:r>
            <w:r/>
          </w:p>
        </w:tc>
        <w:tc>
          <w:tcPr>
            <w:shd w:val="clear" w:color="auto" w:fill="auto"/>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控制线缆KVV2×1mm2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w:t>
            </w:r>
            <w:r/>
          </w:p>
        </w:tc>
      </w:tr>
      <w:tr>
        <w:trPr>
          <w:jc w:val="center"/>
          <w:trHeight w:val="557"/>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室外六类网线</w:t>
            </w:r>
            <w:r/>
          </w:p>
        </w:tc>
        <w:tc>
          <w:tcPr>
            <w:shd w:val="clear" w:color="auto" w:fill="auto"/>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符合国标</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w:t>
            </w:r>
            <w:r/>
          </w:p>
        </w:tc>
      </w:tr>
      <w:tr>
        <w:trPr>
          <w:jc w:val="center"/>
          <w:trHeight w:val="1469"/>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杆件1</w:t>
            </w:r>
            <w:r/>
          </w:p>
        </w:tc>
        <w:tc>
          <w:tcPr>
            <w:shd w:val="clear" w:color="auto" w:fill="auto"/>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八角杆，立柱6.8米，横臂5米，杆件壁厚、外观与现有设备保持一致，整体热镀锌、喷塑，颜色依据路口需求。法兰盘与现有设备保持一致，如为新增设备，需提供钢筋笼。</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5800</w:t>
            </w:r>
            <w:r/>
          </w:p>
        </w:tc>
      </w:tr>
      <w:tr>
        <w:trPr>
          <w:jc w:val="center"/>
          <w:trHeight w:val="1104"/>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杆件2</w:t>
            </w:r>
            <w:r/>
          </w:p>
        </w:tc>
        <w:tc>
          <w:tcPr>
            <w:shd w:val="clear" w:color="auto" w:fill="auto"/>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八角杆，立柱6.8米，横臂6米，杆件壁厚与现有设备保持一致，整体热镀锌、喷塑，颜色依据路口需求。法兰盘与现有设备保持一致，如为新增设备，需提供钢筋笼。</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6500</w:t>
            </w:r>
            <w:r/>
          </w:p>
        </w:tc>
      </w:tr>
      <w:tr>
        <w:trPr>
          <w:jc w:val="center"/>
          <w:trHeight w:val="557"/>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杆件3</w:t>
            </w:r>
            <w:r/>
          </w:p>
        </w:tc>
        <w:tc>
          <w:tcPr>
            <w:shd w:val="clear" w:color="auto" w:fill="auto"/>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八角杆，立柱6.8米，横臂7米，杆件壁厚、外观与现有设备保持一致，整体热镀锌、喷塑，颜色依据路口需求。法兰盘与现有设备保持一致，如为新增设备，需提供钢筋笼。</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7500</w:t>
            </w:r>
            <w:r/>
          </w:p>
        </w:tc>
      </w:tr>
      <w:tr>
        <w:trPr>
          <w:jc w:val="center"/>
          <w:trHeight w:val="1469"/>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杆件4</w:t>
            </w:r>
            <w:r/>
          </w:p>
        </w:tc>
        <w:tc>
          <w:tcPr>
            <w:shd w:val="clear" w:color="auto" w:fill="auto"/>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八角杆，立柱6.8米，横臂8米，杆件壁厚、外观与现有设备保持一致，整体热镀锌、喷塑，颜色依据路口需求。法兰盘与现有设备保持一致，如为新增设备，需提供钢筋笼。</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8500</w:t>
            </w:r>
            <w:r/>
          </w:p>
        </w:tc>
      </w:tr>
      <w:tr>
        <w:trPr>
          <w:jc w:val="center"/>
          <w:trHeight w:val="1469"/>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杆件5</w:t>
            </w:r>
            <w:r/>
          </w:p>
        </w:tc>
        <w:tc>
          <w:tcPr>
            <w:shd w:val="clear" w:color="auto" w:fill="auto"/>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八角杆，立柱6.8米，横臂10米，杆件壁厚、外观与现有设备保持一致，整体热镀锌、喷塑，颜色依据路口需求。法兰盘与现有设备保持一致，如为新增设备，需提供钢筋笼。</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11500</w:t>
            </w:r>
            <w:r/>
          </w:p>
        </w:tc>
      </w:tr>
      <w:tr>
        <w:trPr>
          <w:jc w:val="center"/>
          <w:trHeight w:val="1469"/>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杆件6</w:t>
            </w:r>
            <w:r/>
          </w:p>
        </w:tc>
        <w:tc>
          <w:tcPr>
            <w:shd w:val="clear" w:color="auto" w:fill="auto"/>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八角杆，立柱6.8米，横臂12米，杆件壁厚、外观与现有设备保持一致，整体热镀锌、喷塑，颜色依据路口需求。法兰盘与现有设备保持一致，如为新增设备，需提供钢筋笼。</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14500</w:t>
            </w:r>
            <w:r/>
          </w:p>
        </w:tc>
      </w:tr>
      <w:tr>
        <w:trPr>
          <w:jc w:val="center"/>
          <w:trHeight w:val="1104"/>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T型杆1</w:t>
            </w:r>
            <w:r/>
          </w:p>
        </w:tc>
        <w:tc>
          <w:tcPr>
            <w:shd w:val="clear" w:color="auto" w:fill="auto"/>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主臂220/280，壁厚8mm，横臂（5米）180/90，壁厚5mm，横臂（3米）160/90，壁厚5mm，、整体热镀锌、喷塑，地笼8*M27，H1.5对角450/法兰550，法兰腰形孔。</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8800</w:t>
            </w:r>
            <w:r/>
          </w:p>
        </w:tc>
      </w:tr>
      <w:tr>
        <w:trPr>
          <w:jc w:val="center"/>
          <w:trHeight w:val="1104"/>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T型杆2</w:t>
            </w:r>
            <w:r/>
          </w:p>
        </w:tc>
        <w:tc>
          <w:tcPr>
            <w:shd w:val="clear" w:color="auto" w:fill="auto"/>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主臂280/340，壁厚10mm，横臂（12米）110/240，壁厚8mm、横臂（3米）160/90，壁厚4.0mm。整体热镀锌、喷塑，地笼8*M30，H1.5对角450/法兰550，法兰腰形孔。</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15000</w:t>
            </w:r>
            <w:r/>
          </w:p>
        </w:tc>
      </w:tr>
      <w:tr>
        <w:trPr>
          <w:jc w:val="center"/>
          <w:trHeight w:val="740"/>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违停抓拍球机杆件</w:t>
            </w:r>
            <w:r/>
          </w:p>
        </w:tc>
        <w:tc>
          <w:tcPr>
            <w:shd w:val="clear" w:color="auto" w:fill="auto"/>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立柱高9米，横臂规格:φ60X4X2500、φ60X4X215，锥型杆厚5mm</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7000</w:t>
            </w:r>
            <w:r/>
          </w:p>
        </w:tc>
      </w:tr>
      <w:tr>
        <w:trPr>
          <w:jc w:val="center"/>
          <w:trHeight w:val="557"/>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光缆成端设备</w:t>
            </w:r>
            <w:r/>
          </w:p>
        </w:tc>
        <w:tc>
          <w:tcPr>
            <w:shd w:val="clear" w:color="auto" w:fill="auto"/>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含分线盒、熔纤盘、尾纤</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200</w:t>
            </w:r>
            <w:r/>
          </w:p>
        </w:tc>
      </w:tr>
      <w:tr>
        <w:trPr>
          <w:jc w:val="center"/>
          <w:trHeight w:val="557"/>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熔纤盘</w:t>
            </w:r>
            <w:r/>
          </w:p>
        </w:tc>
        <w:tc>
          <w:tcPr>
            <w:shd w:val="clear" w:color="auto" w:fill="auto"/>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定制8芯</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30</w:t>
            </w:r>
            <w:r/>
          </w:p>
        </w:tc>
      </w:tr>
      <w:tr>
        <w:trPr>
          <w:jc w:val="center"/>
          <w:trHeight w:val="1833"/>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室外工业8口交换机</w:t>
            </w:r>
            <w:r/>
          </w:p>
        </w:tc>
        <w:tc>
          <w:tcPr>
            <w:shd w:val="clear" w:color="auto" w:fill="auto"/>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1、具有 8 个 10/100Base-TX 自适应电口，支持自动 MDI/MDI-X连接；2、低功耗无风扇设计，提供包括壁挂、导轨和集中式在内的多种结构形式，铝合金单肋形机箱表面散热；3、端子式双电源冗余供电，支持冗余电源间的无缝切换。</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800</w:t>
            </w:r>
            <w:r/>
          </w:p>
        </w:tc>
      </w:tr>
      <w:tr>
        <w:trPr>
          <w:jc w:val="center"/>
          <w:trHeight w:val="740"/>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光纤收发器</w:t>
            </w:r>
            <w:r/>
          </w:p>
        </w:tc>
        <w:tc>
          <w:tcPr>
            <w:shd w:val="clear" w:color="auto" w:fill="auto"/>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工业级光纤收发器提供≥1个千兆光接口，≥8个千兆自适应以太网口；</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500</w:t>
            </w:r>
            <w:r/>
          </w:p>
        </w:tc>
      </w:tr>
      <w:tr>
        <w:trPr>
          <w:jc w:val="center"/>
          <w:trHeight w:val="740"/>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沥青路面开挖</w:t>
            </w:r>
            <w:r/>
          </w:p>
        </w:tc>
        <w:tc>
          <w:tcPr>
            <w:shd w:val="clear" w:color="auto" w:fill="auto"/>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沥青路面开挖埋管及管道保护，槽道深度不低于40CM，宽度不低于20CM，含回填、养护</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90</w:t>
            </w:r>
            <w:r/>
          </w:p>
        </w:tc>
      </w:tr>
      <w:tr>
        <w:trPr>
          <w:jc w:val="center"/>
          <w:trHeight w:val="740"/>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绿化路面开挖</w:t>
            </w:r>
            <w:r/>
          </w:p>
        </w:tc>
        <w:tc>
          <w:tcPr>
            <w:shd w:val="clear" w:color="auto" w:fill="auto"/>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绿化路面开挖埋管及管道保护，槽道深度不低于40CM，宽度不低于30CM，含回填、养护</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35</w:t>
            </w:r>
            <w:r/>
          </w:p>
        </w:tc>
      </w:tr>
      <w:tr>
        <w:trPr>
          <w:jc w:val="center"/>
          <w:trHeight w:val="740"/>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彩砖路面开挖</w:t>
            </w:r>
            <w:r/>
          </w:p>
        </w:tc>
        <w:tc>
          <w:tcPr>
            <w:shd w:val="clear" w:color="auto" w:fill="auto"/>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人行道彩砖开挖埋管及管道保护，槽道深度不低于40CM，宽度不低于30CM，含回填、养护</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60</w:t>
            </w:r>
            <w:r/>
          </w:p>
        </w:tc>
      </w:tr>
      <w:tr>
        <w:trPr>
          <w:jc w:val="center"/>
          <w:trHeight w:val="1104"/>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手井</w:t>
            </w:r>
            <w:r/>
          </w:p>
        </w:tc>
        <w:tc>
          <w:tcPr>
            <w:shd w:val="clear" w:color="auto" w:fill="auto"/>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（1）砌筑材料品种、规格、强度等级:红机砖.240*115*53；100号（2）勾缝、抹面要求:水泥砂浆抹灰（3）井深:600mm（4）井尺寸:600*600mm（5）井盖、井圈材质及规格:井蓋为市政统一.五防井</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650</w:t>
            </w:r>
            <w:r/>
          </w:p>
        </w:tc>
      </w:tr>
      <w:tr>
        <w:trPr>
          <w:jc w:val="center"/>
          <w:trHeight w:val="1104"/>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手井盖</w:t>
            </w:r>
            <w:r/>
          </w:p>
        </w:tc>
        <w:tc>
          <w:tcPr>
            <w:shd w:val="clear" w:color="auto" w:fill="auto"/>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井尺寸:500*500mm ，盖板材质、规格:树脂材料500*500mm ，井盖、井圈材质及规格:井蓋为市政统一.五防井</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180</w:t>
            </w:r>
            <w:r/>
          </w:p>
        </w:tc>
      </w:tr>
      <w:tr>
        <w:trPr>
          <w:jc w:val="center"/>
          <w:trHeight w:val="1104"/>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手井盖</w:t>
            </w:r>
            <w:r/>
          </w:p>
        </w:tc>
        <w:tc>
          <w:tcPr>
            <w:shd w:val="clear" w:color="auto" w:fill="auto"/>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井尺寸:500*500mm ，盖板材质、规格:铸铁材料500*500mm ，井盖、井圈材质及规格:井蓋为市政统一.五防井</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240</w:t>
            </w:r>
            <w:r/>
          </w:p>
        </w:tc>
      </w:tr>
      <w:tr>
        <w:trPr>
          <w:jc w:val="center"/>
          <w:trHeight w:val="557"/>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接地系统</w:t>
            </w:r>
            <w:r/>
          </w:p>
        </w:tc>
        <w:tc>
          <w:tcPr>
            <w:shd w:val="clear" w:color="auto" w:fill="auto"/>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点位</w:t>
            </w:r>
            <w:r/>
          </w:p>
        </w:tc>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500</w:t>
            </w:r>
            <w:r/>
          </w:p>
        </w:tc>
      </w:tr>
      <w:tr>
        <w:trPr>
          <w:jc w:val="center"/>
          <w:trHeight w:val="557"/>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管线警示柱</w:t>
            </w:r>
            <w:r/>
          </w:p>
        </w:tc>
        <w:tc>
          <w:tcPr>
            <w:shd w:val="clear" w:color="auto" w:fill="auto"/>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定制，交警线缆指示</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40</w:t>
            </w:r>
            <w:r/>
          </w:p>
        </w:tc>
      </w:tr>
      <w:tr>
        <w:trPr>
          <w:jc w:val="center"/>
          <w:trHeight w:val="557"/>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管线铭牌</w:t>
            </w:r>
            <w:r/>
          </w:p>
        </w:tc>
        <w:tc>
          <w:tcPr>
            <w:shd w:val="clear" w:color="auto" w:fill="auto"/>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50</w:t>
            </w:r>
            <w:r/>
          </w:p>
        </w:tc>
      </w:tr>
      <w:tr>
        <w:trPr>
          <w:jc w:val="center"/>
          <w:trHeight w:val="1104"/>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混凝土基础</w:t>
            </w:r>
            <w:r/>
          </w:p>
        </w:tc>
        <w:tc>
          <w:tcPr>
            <w:shd w:val="clear" w:color="auto" w:fill="auto"/>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C25信号机基础结构件混凝土基础浇筑（包括不锈钢地脚螺栓预埋件的制作及安装、穿线管埋设、C25商品混凝土的浇筑养护、基础回填、渣土清运、螺栓混凝土包封）。</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m³</w:t>
            </w:r>
            <w:r/>
          </w:p>
        </w:tc>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1300</w:t>
            </w:r>
            <w:r/>
          </w:p>
        </w:tc>
      </w:tr>
      <w:tr>
        <w:trPr>
          <w:jc w:val="center"/>
          <w:trHeight w:val="557"/>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过路顶管</w:t>
            </w:r>
            <w:r/>
          </w:p>
        </w:tc>
        <w:tc>
          <w:tcPr>
            <w:shd w:val="clear" w:color="auto" w:fill="auto"/>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过路顶管施工，直径110mmPE管</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130</w:t>
            </w:r>
            <w:r/>
          </w:p>
        </w:tc>
      </w:tr>
      <w:tr>
        <w:trPr>
          <w:jc w:val="center"/>
          <w:trHeight w:val="557"/>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238118</w:t>
            </w:r>
            <w:r/>
          </w:p>
        </w:tc>
      </w:tr>
      <w:tr>
        <w:trPr>
          <w:jc w:val="center"/>
          <w:trHeight w:val="557"/>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352118</w:t>
            </w:r>
            <w:r/>
          </w:p>
        </w:tc>
      </w:tr>
      <w:tr>
        <w:trPr>
          <w:jc w:val="center"/>
          <w:trHeight w:val="1115"/>
        </w:trPr>
        <w:tc>
          <w:tcPr>
            <w:gridSpan w:val="6"/>
            <w:shd w:val="clear" w:color="auto" w:fill="auto"/>
            <w:tcBorders>
              <w:top w:val="single" w:color="000000" w:sz="4" w:space="0"/>
              <w:left w:val="single" w:color="000000" w:sz="4" w:space="0"/>
              <w:bottom w:val="single" w:color="000000" w:sz="4" w:space="0"/>
              <w:right w:val="single" w:color="000000" w:sz="4" w:space="0"/>
            </w:tcBorders>
            <w:tcW w:w="8717" w:type="dxa"/>
            <w:vAlign w:val="center"/>
            <w:textDirection w:val="lrTb"/>
            <w:noWrap/>
          </w:tcPr>
          <w:p>
            <w:pPr>
              <w:ind w:firstLine="420"/>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注：维修配件更换依据由于不可抗力的因素或历史原因造成的设备更新费用按合同设备更新，清单报价以实际发生量进行审计计算；如更新设备不在清单中，由审计单位依据市场价格进行审价。</w:t>
            </w:r>
            <w:r/>
          </w:p>
        </w:tc>
      </w:tr>
    </w:tbl>
    <w:p>
      <w:pPr>
        <w:ind w:firstLine="0"/>
        <w:spacing w:line="360" w:lineRule="auto"/>
        <w:rPr>
          <w:rFonts w:hint="default" w:ascii="宋体"/>
          <w:b/>
          <w:bCs/>
          <w:sz w:val="24"/>
          <w:szCs w:val="28"/>
        </w:rPr>
      </w:pPr>
      <w:r>
        <w:rPr>
          <w:rFonts w:hint="default" w:ascii="宋体"/>
          <w:b/>
          <w:bCs/>
          <w:sz w:val="24"/>
          <w:szCs w:val="28"/>
        </w:rPr>
      </w:r>
      <w:r/>
    </w:p>
    <w:p>
      <w:pPr>
        <w:ind w:firstLine="480"/>
        <w:spacing w:line="360" w:lineRule="auto"/>
        <w:rPr>
          <w:rFonts w:hint="default" w:ascii="宋体"/>
          <w:sz w:val="24"/>
          <w:szCs w:val="28"/>
        </w:rPr>
      </w:pPr>
      <w:r>
        <w:rPr>
          <w:rFonts w:hint="default" w:ascii="宋体"/>
          <w:sz w:val="24"/>
          <w:szCs w:val="28"/>
        </w:rPr>
      </w:r>
      <w:r/>
    </w:p>
    <w:p>
      <w:pPr>
        <w:spacing w:line="360" w:lineRule="auto"/>
        <w:rPr>
          <w:rFonts w:ascii="宋体" w:hAnsi="宋体" w:cs="宋体"/>
          <w:b/>
          <w:bCs/>
          <w:sz w:val="36"/>
        </w:rPr>
      </w:pPr>
      <w:r>
        <w:rPr>
          <w:rFonts w:hint="eastAsia" w:ascii="宋体" w:hAnsi="宋体" w:cs="宋体"/>
          <w:b/>
          <w:bCs/>
          <w:sz w:val="36"/>
        </w:rPr>
        <w:br w:type="page" w:clear="all"/>
      </w:r>
      <w:r/>
    </w:p>
    <w:p>
      <w:pPr>
        <w:pStyle w:val="894"/>
        <w:ind w:firstLine="0"/>
        <w:jc w:val="center"/>
        <w:rPr>
          <w:rFonts w:eastAsia="宋体" w:cs="宋体"/>
          <w:b/>
          <w:sz w:val="30"/>
          <w:szCs w:val="30"/>
        </w:rPr>
        <w:outlineLvl w:val="0"/>
      </w:pPr>
      <w:r/>
      <w:bookmarkStart w:id="21" w:name="_Toc16503"/>
      <w:r>
        <w:rPr>
          <w:rFonts w:hint="eastAsia" w:eastAsia="宋体" w:cs="宋体"/>
          <w:b/>
          <w:sz w:val="30"/>
          <w:szCs w:val="30"/>
        </w:rPr>
        <w:t xml:space="preserve">3、磋商报价表</w:t>
      </w:r>
      <w:bookmarkEnd w:id="21"/>
      <w:r/>
      <w:r/>
    </w:p>
    <w:p>
      <w:pPr>
        <w:pStyle w:val="899"/>
        <w:jc w:val="left"/>
        <w:spacing w:line="360" w:lineRule="auto"/>
        <w:widowControl w:val="off"/>
        <w:rPr>
          <w:rStyle w:val="1418"/>
          <w:rFonts w:ascii="宋体" w:hAnsi="宋体" w:cs="宋体"/>
          <w:sz w:val="24"/>
        </w:rPr>
      </w:pPr>
      <w:r>
        <w:rPr>
          <w:rStyle w:val="1418"/>
          <w:rFonts w:hint="eastAsia" w:ascii="宋体" w:hAnsi="宋体" w:cs="宋体"/>
          <w:sz w:val="24"/>
        </w:rPr>
        <w:t xml:space="preserve">项目编号：JSZC-320322-SHKL-C2026-0003</w:t>
      </w:r>
      <w:r/>
    </w:p>
    <w:p>
      <w:pPr>
        <w:pStyle w:val="899"/>
        <w:jc w:val="left"/>
        <w:spacing w:line="360" w:lineRule="auto"/>
        <w:widowControl w:val="off"/>
        <w:rPr>
          <w:rStyle w:val="1418"/>
          <w:rFonts w:ascii="宋体" w:hAnsi="宋体" w:cs="宋体"/>
          <w:sz w:val="24"/>
        </w:rPr>
      </w:pPr>
      <w:r>
        <w:rPr>
          <w:rStyle w:val="1418"/>
          <w:rFonts w:hint="eastAsia" w:ascii="宋体" w:hAnsi="宋体" w:cs="宋体"/>
          <w:sz w:val="24"/>
        </w:rPr>
        <w:t xml:space="preserve">货币单位：人民币元</w:t>
      </w:r>
      <w:r/>
    </w:p>
    <w:p>
      <w:pPr>
        <w:pStyle w:val="899"/>
        <w:jc w:val="left"/>
        <w:spacing w:line="360" w:lineRule="auto"/>
        <w:widowControl w:val="off"/>
        <w:rPr>
          <w:rStyle w:val="1418"/>
          <w:rFonts w:ascii="宋体" w:hAnsi="宋体" w:cs="宋体"/>
          <w:sz w:val="24"/>
        </w:rPr>
      </w:pPr>
      <w:r>
        <w:rPr>
          <w:rStyle w:val="1418"/>
          <w:rFonts w:hint="eastAsia" w:ascii="宋体" w:hAnsi="宋体" w:cs="宋体"/>
          <w:sz w:val="24"/>
        </w:rPr>
        <w:t xml:space="preserve">本次为首次报价</w:t>
      </w:r>
      <w:r/>
    </w:p>
    <w:p>
      <w:pPr>
        <w:pStyle w:val="912"/>
      </w:pPr>
      <w:r/>
      <w:r/>
    </w:p>
    <w:tbl>
      <w:tblPr>
        <w:tblStyle w:val="88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2719"/>
        <w:gridCol w:w="2037"/>
        <w:gridCol w:w="2275"/>
        <w:gridCol w:w="2273"/>
      </w:tblGrid>
      <w:tr>
        <w:trPr>
          <w:jc w:val="center"/>
          <w:trHeight w:val="1107"/>
        </w:trPr>
        <w:tc>
          <w:tcPr>
            <w:tcW w:w="1461" w:type="pct"/>
            <w:vAlign w:val="center"/>
            <w:textDirection w:val="lrTb"/>
            <w:noWrap w:val="false"/>
          </w:tcPr>
          <w:p>
            <w:pPr>
              <w:pStyle w:val="899"/>
              <w:jc w:val="center"/>
              <w:widowControl w:val="off"/>
              <w:rPr>
                <w:rStyle w:val="1418"/>
                <w:rFonts w:ascii="宋体" w:hAnsi="宋体" w:cs="宋体"/>
                <w:sz w:val="24"/>
              </w:rPr>
            </w:pPr>
            <w:r>
              <w:rPr>
                <w:rStyle w:val="1418"/>
                <w:rFonts w:hint="eastAsia" w:ascii="宋体" w:hAnsi="宋体" w:cs="宋体"/>
                <w:sz w:val="24"/>
              </w:rPr>
              <w:t xml:space="preserve">项目名称</w:t>
            </w:r>
            <w:r/>
          </w:p>
        </w:tc>
        <w:tc>
          <w:tcPr>
            <w:tcW w:w="1094" w:type="pct"/>
            <w:vAlign w:val="center"/>
            <w:textDirection w:val="lrTb"/>
            <w:noWrap w:val="false"/>
          </w:tcPr>
          <w:p>
            <w:pPr>
              <w:pStyle w:val="899"/>
              <w:jc w:val="center"/>
              <w:widowControl w:val="off"/>
              <w:rPr>
                <w:rStyle w:val="1418"/>
                <w:rFonts w:ascii="宋体" w:hAnsi="宋体" w:cs="宋体"/>
                <w:sz w:val="24"/>
              </w:rPr>
            </w:pPr>
            <w:r>
              <w:rPr>
                <w:rStyle w:val="1418"/>
                <w:rFonts w:hint="eastAsia" w:ascii="宋体" w:hAnsi="宋体" w:cs="宋体"/>
                <w:sz w:val="24"/>
              </w:rPr>
              <w:t xml:space="preserve">项目内容</w:t>
            </w:r>
            <w:r/>
          </w:p>
        </w:tc>
        <w:tc>
          <w:tcPr>
            <w:tcW w:w="1221" w:type="pct"/>
            <w:vAlign w:val="center"/>
            <w:textDirection w:val="lrTb"/>
            <w:noWrap w:val="false"/>
          </w:tcPr>
          <w:p>
            <w:pPr>
              <w:pStyle w:val="899"/>
              <w:jc w:val="center"/>
              <w:widowControl w:val="off"/>
              <w:rPr>
                <w:rStyle w:val="1418"/>
                <w:rFonts w:ascii="宋体" w:hAnsi="宋体" w:cs="宋体"/>
                <w:sz w:val="24"/>
              </w:rPr>
            </w:pPr>
            <w:r>
              <w:rPr>
                <w:rStyle w:val="1418"/>
                <w:rFonts w:hint="eastAsia" w:ascii="宋体" w:hAnsi="宋体" w:eastAsia="宋体" w:cs="宋体"/>
                <w:sz w:val="24"/>
              </w:rPr>
              <w:t xml:space="preserve">总价</w:t>
            </w:r>
            <w:r>
              <w:rPr>
                <w:rStyle w:val="1418"/>
                <w:rFonts w:hint="eastAsia" w:ascii="宋体" w:hAnsi="宋体" w:cs="宋体"/>
                <w:sz w:val="24"/>
              </w:rPr>
              <w:t xml:space="preserve">（小写）</w:t>
            </w:r>
            <w:r/>
          </w:p>
        </w:tc>
        <w:tc>
          <w:tcPr>
            <w:tcW w:w="1221" w:type="pct"/>
            <w:vAlign w:val="center"/>
            <w:textDirection w:val="lrTb"/>
            <w:noWrap w:val="false"/>
          </w:tcPr>
          <w:p>
            <w:pPr>
              <w:pStyle w:val="899"/>
              <w:jc w:val="center"/>
              <w:widowControl w:val="off"/>
              <w:rPr>
                <w:rStyle w:val="1418"/>
                <w:rFonts w:ascii="宋体" w:hAnsi="宋体" w:cs="宋体"/>
                <w:sz w:val="24"/>
              </w:rPr>
            </w:pPr>
            <w:r>
              <w:rPr>
                <w:rFonts w:hint="eastAsia" w:ascii="宋体" w:hAnsi="宋体" w:cs="宋体"/>
                <w:sz w:val="24"/>
              </w:rPr>
              <w:t xml:space="preserve">备注</w:t>
            </w:r>
            <w:r/>
          </w:p>
        </w:tc>
      </w:tr>
      <w:tr>
        <w:trPr>
          <w:jc w:val="center"/>
          <w:trHeight w:val="1096"/>
        </w:trPr>
        <w:tc>
          <w:tcPr>
            <w:tcW w:w="1461" w:type="pct"/>
            <w:vAlign w:val="center"/>
            <w:textDirection w:val="lrTb"/>
            <w:noWrap w:val="false"/>
          </w:tcPr>
          <w:p>
            <w:pPr>
              <w:pStyle w:val="899"/>
              <w:jc w:val="center"/>
              <w:widowControl w:val="off"/>
              <w:rPr>
                <w:rStyle w:val="1418"/>
                <w:rFonts w:hint="eastAsia" w:ascii="宋体" w:hAnsi="宋体" w:eastAsia="宋体" w:cs="宋体"/>
                <w:sz w:val="24"/>
                <w:lang w:eastAsia="zh-CN"/>
              </w:rPr>
            </w:pPr>
            <w:r>
              <w:rPr>
                <w:rFonts w:hint="eastAsia" w:ascii="宋体" w:hAnsi="宋体" w:cs="宋体"/>
                <w:sz w:val="24"/>
                <w:lang w:eastAsia="zh-CN"/>
              </w:rPr>
              <w:t xml:space="preserve">2026年度城区道路交通设施社会化管养服务</w:t>
            </w:r>
            <w:r/>
          </w:p>
        </w:tc>
        <w:tc>
          <w:tcPr>
            <w:tcW w:w="1094" w:type="pct"/>
            <w:vAlign w:val="center"/>
            <w:textDirection w:val="lrTb"/>
            <w:noWrap w:val="false"/>
          </w:tcPr>
          <w:p>
            <w:pPr>
              <w:pStyle w:val="899"/>
              <w:jc w:val="center"/>
              <w:widowControl w:val="off"/>
              <w:rPr>
                <w:rStyle w:val="1418"/>
                <w:rFonts w:ascii="宋体" w:hAnsi="宋体" w:cs="宋体"/>
                <w:sz w:val="24"/>
              </w:rPr>
            </w:pPr>
            <w:r>
              <w:rPr>
                <w:rStyle w:val="1418"/>
                <w:rFonts w:hint="eastAsia" w:ascii="宋体" w:hAnsi="宋体" w:cs="宋体"/>
                <w:sz w:val="24"/>
              </w:rPr>
              <w:t xml:space="preserve">详见响应文件</w:t>
            </w:r>
            <w:r/>
          </w:p>
        </w:tc>
        <w:tc>
          <w:tcPr>
            <w:tcW w:w="1221" w:type="pct"/>
            <w:vAlign w:val="center"/>
            <w:textDirection w:val="lrTb"/>
            <w:noWrap w:val="false"/>
          </w:tcPr>
          <w:p>
            <w:pPr>
              <w:pStyle w:val="899"/>
              <w:jc w:val="center"/>
              <w:widowControl w:val="off"/>
              <w:rPr>
                <w:rStyle w:val="1418"/>
                <w:rFonts w:ascii="宋体" w:hAnsi="宋体" w:cs="宋体"/>
                <w:sz w:val="24"/>
              </w:rPr>
            </w:pPr>
            <w:r>
              <w:rPr>
                <w:rFonts w:ascii="宋体" w:hAnsi="宋体" w:cs="宋体"/>
                <w:sz w:val="24"/>
              </w:rPr>
            </w:r>
            <w:r/>
          </w:p>
        </w:tc>
        <w:tc>
          <w:tcPr>
            <w:tcW w:w="1221" w:type="pct"/>
            <w:vAlign w:val="center"/>
            <w:vMerge w:val="restart"/>
            <w:textDirection w:val="lrTb"/>
            <w:noWrap w:val="false"/>
          </w:tcPr>
          <w:p>
            <w:pPr>
              <w:pStyle w:val="899"/>
              <w:jc w:val="center"/>
              <w:widowControl w:val="off"/>
              <w:rPr>
                <w:rFonts w:ascii="宋体" w:hAnsi="宋体" w:cs="宋体"/>
                <w:bCs/>
                <w:sz w:val="24"/>
              </w:rPr>
            </w:pPr>
            <w:r>
              <w:rPr>
                <w:rFonts w:hint="eastAsia" w:ascii="宋体" w:hAnsi="宋体" w:cs="宋体"/>
                <w:bCs/>
                <w:sz w:val="24"/>
              </w:rPr>
              <w:t xml:space="preserve">报价为</w:t>
            </w:r>
            <w:r/>
          </w:p>
          <w:p>
            <w:pPr>
              <w:pStyle w:val="899"/>
              <w:jc w:val="center"/>
              <w:widowControl w:val="off"/>
              <w:rPr>
                <w:rFonts w:ascii="宋体" w:hAnsi="宋体" w:cs="宋体"/>
                <w:bCs/>
                <w:sz w:val="24"/>
              </w:rPr>
            </w:pPr>
            <w:r>
              <w:rPr>
                <w:rFonts w:hint="eastAsia" w:ascii="宋体" w:hAnsi="宋体" w:cs="宋体"/>
                <w:bCs/>
                <w:sz w:val="24"/>
              </w:rPr>
              <w:t xml:space="preserve">《分项价格表》</w:t>
            </w:r>
            <w:r/>
          </w:p>
          <w:p>
            <w:pPr>
              <w:pStyle w:val="899"/>
              <w:jc w:val="center"/>
              <w:widowControl w:val="off"/>
              <w:rPr>
                <w:rStyle w:val="1418"/>
                <w:rFonts w:hint="eastAsia" w:ascii="宋体" w:hAnsi="宋体" w:eastAsia="宋体" w:cs="宋体"/>
                <w:sz w:val="24"/>
                <w:lang w:eastAsia="zh-CN"/>
              </w:rPr>
            </w:pPr>
            <w:r>
              <w:rPr>
                <w:rFonts w:hint="eastAsia" w:ascii="宋体" w:hAnsi="宋体" w:cs="宋体"/>
                <w:bCs/>
                <w:sz w:val="24"/>
              </w:rPr>
              <w:t xml:space="preserve">的</w:t>
            </w:r>
            <w:r>
              <w:rPr>
                <w:rFonts w:hint="eastAsia" w:ascii="宋体" w:hAnsi="宋体" w:cs="宋体"/>
                <w:bCs/>
                <w:sz w:val="24"/>
                <w:lang w:val="en-US" w:eastAsia="zh-CN"/>
              </w:rPr>
              <w:t xml:space="preserve">单价</w:t>
            </w:r>
            <w:r>
              <w:rPr>
                <w:rFonts w:hint="eastAsia" w:ascii="宋体" w:hAnsi="宋体" w:cs="宋体"/>
                <w:sz w:val="24"/>
                <w:lang w:val="en-US" w:eastAsia="zh-CN"/>
              </w:rPr>
              <w:t xml:space="preserve">合计</w:t>
            </w:r>
            <w:r/>
          </w:p>
        </w:tc>
      </w:tr>
      <w:tr>
        <w:trPr>
          <w:jc w:val="center"/>
          <w:trHeight w:val="1138"/>
        </w:trPr>
        <w:tc>
          <w:tcPr>
            <w:tcW w:w="1461" w:type="pct"/>
            <w:vAlign w:val="center"/>
            <w:textDirection w:val="lrTb"/>
            <w:noWrap w:val="false"/>
          </w:tcPr>
          <w:p>
            <w:pPr>
              <w:pStyle w:val="899"/>
              <w:jc w:val="center"/>
              <w:widowControl w:val="off"/>
              <w:rPr>
                <w:rStyle w:val="1418"/>
                <w:rFonts w:ascii="宋体" w:hAnsi="宋体" w:cs="宋体"/>
                <w:sz w:val="24"/>
              </w:rPr>
            </w:pPr>
            <w:r>
              <w:rPr>
                <w:rStyle w:val="1418"/>
                <w:rFonts w:hint="eastAsia" w:ascii="宋体" w:hAnsi="宋体" w:cs="宋体"/>
                <w:sz w:val="24"/>
              </w:rPr>
              <w:t xml:space="preserve">总价（大写）：</w:t>
            </w:r>
            <w:r/>
          </w:p>
        </w:tc>
        <w:tc>
          <w:tcPr>
            <w:gridSpan w:val="2"/>
            <w:tcW w:w="2316" w:type="pct"/>
            <w:vAlign w:val="center"/>
            <w:textDirection w:val="lrTb"/>
            <w:noWrap w:val="false"/>
          </w:tcPr>
          <w:p>
            <w:pPr>
              <w:pStyle w:val="899"/>
              <w:jc w:val="center"/>
              <w:widowControl w:val="off"/>
              <w:rPr>
                <w:rStyle w:val="1418"/>
                <w:rFonts w:ascii="宋体" w:hAnsi="宋体" w:cs="宋体"/>
                <w:sz w:val="24"/>
              </w:rPr>
            </w:pPr>
            <w:r>
              <w:rPr>
                <w:rFonts w:ascii="宋体" w:hAnsi="宋体" w:cs="宋体"/>
                <w:sz w:val="24"/>
              </w:rPr>
            </w:r>
            <w:r/>
          </w:p>
        </w:tc>
        <w:tc>
          <w:tcPr>
            <w:tcW w:w="1221" w:type="pct"/>
            <w:vMerge w:val="continue"/>
            <w:textDirection w:val="lrTb"/>
            <w:noWrap w:val="false"/>
          </w:tcPr>
          <w:p>
            <w:pPr>
              <w:pStyle w:val="899"/>
              <w:jc w:val="center"/>
              <w:widowControl w:val="off"/>
              <w:rPr>
                <w:rStyle w:val="1418"/>
                <w:rFonts w:ascii="宋体" w:hAnsi="宋体" w:cs="宋体"/>
                <w:sz w:val="24"/>
              </w:rPr>
            </w:pPr>
            <w:r>
              <w:rPr>
                <w:rFonts w:ascii="宋体" w:hAnsi="宋体" w:cs="宋体"/>
                <w:sz w:val="24"/>
              </w:rPr>
            </w:r>
            <w:r/>
          </w:p>
        </w:tc>
      </w:tr>
    </w:tbl>
    <w:p>
      <w:pPr>
        <w:pStyle w:val="899"/>
        <w:spacing w:line="360" w:lineRule="auto"/>
        <w:widowControl w:val="off"/>
        <w:rPr>
          <w:rFonts w:ascii="宋体" w:hAnsi="宋体" w:cs="宋体"/>
          <w:sz w:val="24"/>
        </w:rPr>
      </w:pPr>
      <w:r>
        <w:rPr>
          <w:rFonts w:ascii="宋体" w:hAnsi="宋体" w:cs="宋体"/>
          <w:sz w:val="24"/>
        </w:rPr>
      </w:r>
      <w:r/>
    </w:p>
    <w:p>
      <w:pPr>
        <w:spacing w:line="360" w:lineRule="auto"/>
        <w:rPr>
          <w:rFonts w:ascii="宋体" w:hAnsi="宋体" w:cs="宋体"/>
          <w:sz w:val="24"/>
        </w:rPr>
      </w:pPr>
      <w:r>
        <w:rPr>
          <w:rFonts w:hint="eastAsia" w:ascii="宋体" w:hAnsi="宋体" w:cs="宋体"/>
          <w:sz w:val="24"/>
        </w:rPr>
        <w:t xml:space="preserve">供应商承诺：本报价（总价）为供应商本企业提供的服务。</w:t>
      </w:r>
      <w:r/>
    </w:p>
    <w:p>
      <w:pPr>
        <w:spacing w:line="360" w:lineRule="auto"/>
        <w:rPr>
          <w:rFonts w:ascii="宋体" w:hAnsi="宋体" w:cs="宋体"/>
          <w:sz w:val="24"/>
        </w:rPr>
      </w:pPr>
      <w:r>
        <w:rPr>
          <w:rFonts w:hint="eastAsia" w:ascii="宋体" w:hAnsi="宋体" w:cs="宋体"/>
          <w:sz w:val="24"/>
        </w:rPr>
        <w:t xml:space="preserve">报价说明：</w:t>
      </w:r>
      <w:r/>
    </w:p>
    <w:p>
      <w:pPr>
        <w:ind w:firstLine="480"/>
        <w:spacing w:line="360" w:lineRule="auto"/>
        <w:rPr>
          <w:rFonts w:ascii="宋体" w:hAnsi="宋体" w:cs="宋体"/>
          <w:sz w:val="24"/>
        </w:rPr>
      </w:pPr>
      <w:r>
        <w:rPr>
          <w:rFonts w:hint="eastAsia" w:ascii="宋体" w:hAnsi="宋体" w:cs="宋体"/>
          <w:sz w:val="24"/>
        </w:rPr>
        <w:t xml:space="preserve">1、报价应包括磋商文件所确定的采购范围内所含的全部内容，以及为完成上述内容所需的全部费用。</w:t>
      </w:r>
      <w:r/>
    </w:p>
    <w:p>
      <w:pPr>
        <w:ind w:firstLine="480"/>
        <w:spacing w:line="360" w:lineRule="auto"/>
        <w:rPr>
          <w:rFonts w:ascii="宋体" w:hAnsi="宋体" w:cs="宋体"/>
          <w:sz w:val="24"/>
        </w:rPr>
      </w:pPr>
      <w:r>
        <w:rPr>
          <w:rFonts w:hint="eastAsia" w:ascii="宋体" w:hAnsi="宋体" w:cs="宋体"/>
          <w:sz w:val="24"/>
        </w:rPr>
        <w:t xml:space="preserve">2、报价以总价为准，大小写不一致以大写为准；</w:t>
      </w:r>
      <w:r/>
    </w:p>
    <w:p>
      <w:pPr>
        <w:ind w:firstLine="480"/>
        <w:spacing w:line="360" w:lineRule="auto"/>
        <w:rPr>
          <w:rFonts w:ascii="宋体" w:hAnsi="宋体" w:cs="宋体"/>
          <w:sz w:val="24"/>
        </w:rPr>
      </w:pPr>
      <w:r>
        <w:rPr>
          <w:rFonts w:hint="eastAsia" w:ascii="宋体" w:hAnsi="宋体" w:cs="宋体"/>
          <w:sz w:val="24"/>
        </w:rPr>
        <w:t xml:space="preserve">3、偏离说明：详见《偏离表》；</w:t>
      </w:r>
      <w:r/>
    </w:p>
    <w:p>
      <w:pPr>
        <w:ind w:firstLine="480"/>
        <w:spacing w:line="360" w:lineRule="auto"/>
        <w:rPr>
          <w:rFonts w:ascii="宋体" w:hAnsi="宋体" w:cs="宋体"/>
          <w:sz w:val="24"/>
        </w:rPr>
      </w:pPr>
      <w:r>
        <w:rPr>
          <w:rFonts w:hint="eastAsia" w:ascii="宋体" w:hAnsi="宋体" w:cs="宋体"/>
          <w:sz w:val="24"/>
        </w:rPr>
        <w:t xml:space="preserve">4、如最后报价未列明单价，则最后所报各项单价计算方法为：（最后报价/最初报价）* 各项最初报价的单价。</w:t>
      </w:r>
      <w:r/>
    </w:p>
    <w:p>
      <w:pPr>
        <w:ind w:right="29" w:firstLine="3960"/>
        <w:jc w:val="left"/>
        <w:spacing w:line="360" w:lineRule="auto"/>
        <w:rPr>
          <w:rFonts w:ascii="宋体" w:hAnsi="宋体" w:cs="宋体"/>
          <w:sz w:val="24"/>
        </w:rPr>
      </w:pPr>
      <w:r>
        <w:rPr>
          <w:rFonts w:ascii="宋体" w:hAnsi="宋体" w:cs="宋体"/>
          <w:sz w:val="24"/>
        </w:rPr>
      </w:r>
      <w:r/>
    </w:p>
    <w:p>
      <w:pPr>
        <w:ind w:right="29" w:firstLine="3960"/>
        <w:jc w:val="left"/>
        <w:spacing w:line="360" w:lineRule="auto"/>
        <w:rPr>
          <w:rFonts w:ascii="宋体" w:hAnsi="宋体" w:cs="宋体"/>
          <w:sz w:val="24"/>
        </w:rPr>
      </w:pPr>
      <w:r>
        <w:rPr>
          <w:rFonts w:ascii="宋体" w:hAnsi="宋体" w:cs="宋体"/>
          <w:sz w:val="24"/>
        </w:rPr>
      </w:r>
      <w:r/>
    </w:p>
    <w:p>
      <w:pPr>
        <w:ind w:right="29" w:firstLine="3960"/>
        <w:jc w:val="left"/>
        <w:spacing w:line="360" w:lineRule="auto"/>
        <w:rPr>
          <w:rFonts w:ascii="宋体" w:hAnsi="宋体" w:cs="宋体"/>
          <w:sz w:val="24"/>
        </w:rPr>
      </w:pPr>
      <w:r>
        <w:rPr>
          <w:rFonts w:hint="eastAsia" w:ascii="宋体" w:hAnsi="宋体" w:cs="宋体"/>
          <w:sz w:val="24"/>
        </w:rPr>
        <w:t xml:space="preserve">供应商（电子签章）：</w:t>
      </w:r>
      <w:r/>
    </w:p>
    <w:p>
      <w:pPr>
        <w:ind w:left="3950" w:right="29"/>
        <w:jc w:val="left"/>
        <w:spacing w:line="360" w:lineRule="auto"/>
        <w:rPr>
          <w:rFonts w:ascii="宋体" w:hAnsi="宋体" w:cs="宋体"/>
          <w:sz w:val="24"/>
        </w:rPr>
      </w:pPr>
      <w:r>
        <w:rPr>
          <w:rFonts w:hint="eastAsia" w:ascii="宋体" w:hAnsi="宋体" w:cs="宋体"/>
          <w:sz w:val="24"/>
        </w:rPr>
        <w:t xml:space="preserve">法定代表人或授权代表（签字或盖章）：</w:t>
      </w:r>
      <w:r/>
    </w:p>
    <w:p>
      <w:pPr>
        <w:ind w:left="3950" w:right="29"/>
        <w:jc w:val="left"/>
        <w:spacing w:line="360" w:lineRule="auto"/>
        <w:rPr>
          <w:rFonts w:ascii="宋体" w:hAnsi="宋体" w:cs="宋体"/>
          <w:sz w:val="24"/>
        </w:rPr>
      </w:pPr>
      <w:r>
        <w:rPr>
          <w:rFonts w:hint="eastAsia" w:ascii="宋体" w:hAnsi="宋体" w:cs="宋体"/>
          <w:sz w:val="24"/>
        </w:rPr>
        <w:t xml:space="preserve">日期：</w:t>
      </w:r>
      <w:r/>
    </w:p>
    <w:p>
      <w:pPr>
        <w:rPr>
          <w:rFonts w:ascii="宋体" w:hAnsi="宋体" w:cs="宋体"/>
          <w:b/>
          <w:bCs/>
          <w:sz w:val="36"/>
        </w:rPr>
      </w:pPr>
      <w:r>
        <w:rPr>
          <w:rFonts w:ascii="宋体" w:hAnsi="宋体" w:cs="宋体"/>
          <w:b/>
          <w:bCs/>
          <w:sz w:val="36"/>
        </w:rPr>
      </w:r>
      <w:r/>
    </w:p>
    <w:p>
      <w:pPr>
        <w:rPr>
          <w:rFonts w:ascii="宋体" w:hAnsi="宋体" w:cs="宋体"/>
          <w:b/>
          <w:bCs/>
          <w:sz w:val="36"/>
        </w:rPr>
        <w:sectPr>
          <w:footnotePr/>
          <w:endnotePr/>
          <w:type w:val="nextPage"/>
          <w:pgSz w:w="11906" w:h="16838" w:orient="portrait"/>
          <w:pgMar w:top="1304" w:right="1304" w:bottom="1304" w:left="1304" w:header="851" w:footer="992" w:gutter="0"/>
          <w:cols w:num="1" w:sep="0" w:space="1701" w:equalWidth="1"/>
          <w:docGrid w:linePitch="360"/>
        </w:sectPr>
      </w:pPr>
      <w:r>
        <w:rPr>
          <w:rFonts w:ascii="宋体" w:hAnsi="宋体" w:cs="宋体"/>
          <w:b/>
          <w:bCs/>
          <w:sz w:val="36"/>
        </w:rPr>
      </w:r>
      <w:r/>
    </w:p>
    <w:p>
      <w:pPr>
        <w:pStyle w:val="894"/>
        <w:ind w:firstLine="0"/>
        <w:jc w:val="center"/>
        <w:rPr>
          <w:rFonts w:eastAsia="宋体" w:cs="宋体"/>
          <w:b/>
          <w:sz w:val="30"/>
          <w:szCs w:val="30"/>
        </w:rPr>
        <w:outlineLvl w:val="0"/>
      </w:pPr>
      <w:r/>
      <w:bookmarkStart w:id="22" w:name="_Toc31812"/>
      <w:r>
        <w:rPr>
          <w:rFonts w:hint="eastAsia" w:eastAsia="宋体" w:cs="宋体"/>
          <w:b/>
          <w:sz w:val="30"/>
          <w:szCs w:val="30"/>
        </w:rPr>
        <w:t xml:space="preserve">4、分项价格表</w:t>
      </w:r>
      <w:bookmarkEnd w:id="22"/>
      <w:r/>
      <w:r/>
    </w:p>
    <w:p>
      <w:pPr>
        <w:spacing w:line="360" w:lineRule="auto"/>
        <w:rPr>
          <w:rFonts w:ascii="宋体" w:hAnsi="宋体" w:cs="宋体"/>
          <w:sz w:val="24"/>
        </w:rPr>
      </w:pPr>
      <w:r>
        <w:rPr>
          <w:rFonts w:hint="eastAsia" w:ascii="宋体" w:hAnsi="宋体" w:cs="宋体"/>
          <w:sz w:val="24"/>
        </w:rPr>
        <w:t xml:space="preserve">本次为首次报价</w:t>
      </w:r>
      <w:r/>
    </w:p>
    <w:p>
      <w:pPr>
        <w:spacing w:line="360" w:lineRule="auto"/>
        <w:rPr>
          <w:rFonts w:hint="eastAsia" w:ascii="宋体" w:hAnsi="宋体" w:eastAsia="宋体" w:cs="宋体"/>
          <w:sz w:val="24"/>
          <w:lang w:eastAsia="zh-CN"/>
        </w:rPr>
      </w:pPr>
      <w:r>
        <w:rPr>
          <w:rFonts w:hint="eastAsia" w:ascii="宋体" w:hAnsi="宋体" w:cs="宋体"/>
          <w:sz w:val="24"/>
        </w:rPr>
        <w:t xml:space="preserve">项目编号：</w:t>
      </w:r>
      <w:r>
        <w:rPr>
          <w:rFonts w:hint="eastAsia" w:ascii="宋体" w:hAnsi="宋体" w:cs="宋体"/>
          <w:sz w:val="24"/>
          <w:lang w:eastAsia="zh-CN"/>
        </w:rPr>
        <w:t xml:space="preserve">JSZC-320322-SHKL-C2026-0003</w:t>
      </w:r>
      <w:r/>
    </w:p>
    <w:p>
      <w:pPr>
        <w:spacing w:line="360" w:lineRule="auto"/>
        <w:rPr>
          <w:rFonts w:hint="eastAsia" w:ascii="宋体" w:hAnsi="宋体" w:eastAsia="宋体" w:cs="宋体"/>
          <w:sz w:val="24"/>
          <w:lang w:eastAsia="zh-CN"/>
        </w:rPr>
      </w:pPr>
      <w:r>
        <w:rPr>
          <w:rFonts w:hint="eastAsia" w:ascii="宋体" w:hAnsi="宋体" w:cs="宋体"/>
          <w:sz w:val="24"/>
        </w:rPr>
        <w:t xml:space="preserve">项目名称：</w:t>
      </w:r>
      <w:r>
        <w:rPr>
          <w:rFonts w:hint="eastAsia" w:ascii="宋体" w:hAnsi="宋体" w:cs="宋体"/>
          <w:sz w:val="24"/>
          <w:lang w:eastAsia="zh-CN"/>
        </w:rPr>
        <w:t xml:space="preserve">2026年度城区道路交通设施社会化管养服务</w:t>
      </w:r>
      <w:r/>
    </w:p>
    <w:tbl>
      <w:tblPr>
        <w:tblStyle w:val="883"/>
        <w:tblW w:w="976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62"/>
        <w:gridCol w:w="1218"/>
        <w:gridCol w:w="4493"/>
        <w:gridCol w:w="788"/>
        <w:gridCol w:w="604"/>
        <w:gridCol w:w="1052"/>
        <w:gridCol w:w="1052"/>
      </w:tblGrid>
      <w:tr>
        <w:trPr>
          <w:jc w:val="center"/>
          <w:trHeight w:val="1104"/>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ind w:left="0" w:firstLine="0"/>
              <w:jc w:val="center"/>
              <w:keepLines w:val="0"/>
              <w:keepNext w:val="0"/>
              <w:spacing w:line="36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ind w:left="0" w:firstLine="0"/>
              <w:jc w:val="center"/>
              <w:keepLines w:val="0"/>
              <w:keepNext w:val="0"/>
              <w:spacing w:line="36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left="0" w:firstLine="0"/>
              <w:jc w:val="center"/>
              <w:keepLines w:val="0"/>
              <w:keepNext w:val="0"/>
              <w:spacing w:line="36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ind w:left="0" w:firstLine="0"/>
              <w:jc w:val="center"/>
              <w:keepLines w:val="0"/>
              <w:keepNext w:val="0"/>
              <w:spacing w:line="36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ind w:left="0" w:firstLine="0"/>
              <w:jc w:val="center"/>
              <w:keepLines w:val="0"/>
              <w:keepNext w:val="0"/>
              <w:spacing w:line="36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投标单价（元）</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default" w:ascii="宋体" w:hAnsi="宋体" w:eastAsia="宋体" w:cs="宋体"/>
                <w:b/>
                <w:bCs/>
                <w:i w:val="0"/>
                <w:iCs w:val="0"/>
                <w:color w:val="000000"/>
                <w:sz w:val="21"/>
                <w:szCs w:val="21"/>
                <w:u w:val="none"/>
                <w:lang w:val="en-US" w:eastAsia="zh-CN" w:bidi="ar"/>
              </w:rPr>
              <w:suppressLineNumbers w:val="0"/>
            </w:pPr>
            <w:r>
              <w:rPr>
                <w:rFonts w:hint="eastAsia" w:ascii="宋体" w:hAnsi="宋体" w:cs="宋体"/>
                <w:b/>
                <w:bCs/>
                <w:i w:val="0"/>
                <w:iCs w:val="0"/>
                <w:color w:val="000000"/>
                <w:sz w:val="21"/>
                <w:szCs w:val="21"/>
                <w:u w:val="none"/>
                <w:lang w:val="en-US" w:eastAsia="zh-CN" w:bidi="ar"/>
              </w:rPr>
              <w:t xml:space="preserve">品牌及型号</w:t>
            </w:r>
            <w:r/>
          </w:p>
        </w:tc>
      </w:tr>
      <w:tr>
        <w:trPr>
          <w:jc w:val="center"/>
          <w:trHeight w:val="557"/>
        </w:trPr>
        <w:tc>
          <w:tcPr>
            <w:gridSpan w:val="6"/>
            <w:shd w:val="clear" w:color="auto" w:fill="auto"/>
            <w:tcBorders>
              <w:top w:val="single" w:color="000000" w:sz="4" w:space="0"/>
              <w:left w:val="single" w:color="000000" w:sz="4" w:space="0"/>
              <w:bottom w:val="single" w:color="000000" w:sz="4" w:space="0"/>
              <w:right w:val="single" w:color="000000" w:sz="4" w:space="0"/>
            </w:tcBorders>
            <w:tcW w:w="8717" w:type="dxa"/>
            <w:vAlign w:val="center"/>
            <w:textDirection w:val="lrTb"/>
            <w:noWrap/>
          </w:tcPr>
          <w:p>
            <w:pPr>
              <w:ind w:firstLine="422"/>
              <w:jc w:val="center"/>
              <w:keepLines w:val="0"/>
              <w:keepNext w:val="0"/>
              <w:spacing w:line="36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一、日常基本巡检维护</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firstLine="422"/>
              <w:jc w:val="center"/>
              <w:keepLines w:val="0"/>
              <w:keepNext w:val="0"/>
              <w:spacing w:line="36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r>
      <w:tr>
        <w:trPr>
          <w:jc w:val="center"/>
          <w:trHeight w:val="557"/>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项目经理</w:t>
            </w:r>
            <w:r/>
          </w:p>
        </w:tc>
        <w:tc>
          <w:tcPr>
            <w:shd w:val="clear" w:color="auto" w:fill="auto"/>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420"/>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按采购需求核算平均每人服务费用</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人/季度</w:t>
            </w:r>
            <w:r/>
          </w:p>
        </w:tc>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557"/>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前端维护人员</w:t>
            </w:r>
            <w:r/>
          </w:p>
        </w:tc>
        <w:tc>
          <w:tcPr>
            <w:shd w:val="clear" w:color="auto" w:fill="auto"/>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420"/>
              <w:jc w:val="center"/>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人/季度</w:t>
            </w:r>
            <w:r/>
          </w:p>
        </w:tc>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557"/>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技术支持人员</w:t>
            </w:r>
            <w:r/>
          </w:p>
        </w:tc>
        <w:tc>
          <w:tcPr>
            <w:shd w:val="clear" w:color="auto" w:fill="auto"/>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420"/>
              <w:jc w:val="center"/>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人/季度</w:t>
            </w:r>
            <w:r/>
          </w:p>
        </w:tc>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557"/>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维修升降车</w:t>
            </w:r>
            <w:r/>
          </w:p>
        </w:tc>
        <w:tc>
          <w:tcPr>
            <w:shd w:val="clear" w:color="auto" w:fill="auto"/>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420"/>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作业高度不低于6米(含燃油费用、保养费用)</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台/季度</w:t>
            </w:r>
            <w:r/>
          </w:p>
        </w:tc>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557"/>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巡视车辆</w:t>
            </w:r>
            <w:r/>
          </w:p>
        </w:tc>
        <w:tc>
          <w:tcPr>
            <w:shd w:val="clear" w:color="auto" w:fill="auto"/>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420"/>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含燃油费用、保养费用</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台/季度</w:t>
            </w:r>
            <w:r/>
          </w:p>
        </w:tc>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557"/>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调优车辆</w:t>
            </w:r>
            <w:r/>
          </w:p>
        </w:tc>
        <w:tc>
          <w:tcPr>
            <w:shd w:val="clear" w:color="auto" w:fill="auto"/>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420"/>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含燃油费用、保养费用</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台/季度</w:t>
            </w:r>
            <w:r/>
          </w:p>
        </w:tc>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557"/>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420"/>
              <w:jc w:val="center"/>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557"/>
        </w:trPr>
        <w:tc>
          <w:tcPr>
            <w:gridSpan w:val="6"/>
            <w:shd w:val="clear" w:color="auto" w:fill="auto"/>
            <w:tcBorders>
              <w:top w:val="single" w:color="000000" w:sz="4" w:space="0"/>
              <w:left w:val="single" w:color="000000" w:sz="4" w:space="0"/>
              <w:bottom w:val="single" w:color="000000" w:sz="4" w:space="0"/>
              <w:right w:val="single" w:color="000000" w:sz="4" w:space="0"/>
            </w:tcBorders>
            <w:tcW w:w="8717" w:type="dxa"/>
            <w:vAlign w:val="center"/>
            <w:textDirection w:val="lrTb"/>
            <w:noWrap/>
          </w:tcPr>
          <w:p>
            <w:pPr>
              <w:ind w:firstLine="422"/>
              <w:jc w:val="center"/>
              <w:keepLines w:val="0"/>
              <w:keepNext w:val="0"/>
              <w:spacing w:line="36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firstLine="422"/>
              <w:jc w:val="center"/>
              <w:keepLines w:val="0"/>
              <w:keepNext w:val="0"/>
              <w:spacing w:line="36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rPr>
            </w:r>
            <w:r/>
          </w:p>
        </w:tc>
      </w:tr>
      <w:tr>
        <w:trPr>
          <w:jc w:val="center"/>
          <w:trHeight w:val="740"/>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信号机电源模块（维修）</w:t>
            </w:r>
            <w:r/>
          </w:p>
        </w:tc>
        <w:tc>
          <w:tcPr>
            <w:shd w:val="clear" w:color="auto" w:fill="auto"/>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无缝插入现有信号机导轨，做到设备兼容、数据互通</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40"/>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信号机主控模块（维修）</w:t>
            </w:r>
            <w:r/>
          </w:p>
        </w:tc>
        <w:tc>
          <w:tcPr>
            <w:shd w:val="clear" w:color="auto" w:fill="auto"/>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无缝插入现有信号机导轨，做到设备兼容</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40"/>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信号机检测模块（维修）</w:t>
            </w:r>
            <w:r/>
          </w:p>
        </w:tc>
        <w:tc>
          <w:tcPr>
            <w:shd w:val="clear" w:color="auto" w:fill="auto"/>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无缝插入现有信号机导轨，做到设备兼容</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40"/>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信号机输出模块（维修）</w:t>
            </w:r>
            <w:r/>
          </w:p>
        </w:tc>
        <w:tc>
          <w:tcPr>
            <w:shd w:val="clear" w:color="auto" w:fill="auto"/>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无缝插入现有信号机导轨，做到设备兼容</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40"/>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信号机侧门控制按钮</w:t>
            </w:r>
            <w:r/>
          </w:p>
        </w:tc>
        <w:tc>
          <w:tcPr>
            <w:shd w:val="clear" w:color="auto" w:fill="auto"/>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适配本地现用信号机主机，原厂配件 1 路手/自动切换、1 路下一步、1 路黄闪控制、1 路灭灯。</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40"/>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信号机校时定位模块</w:t>
            </w:r>
            <w:r/>
          </w:p>
        </w:tc>
        <w:tc>
          <w:tcPr>
            <w:shd w:val="clear" w:color="auto" w:fill="auto"/>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适配本地现用信号机主机，原厂配件 定位模块：电源 DC5V、通信串口 RS232、支持 BD 定位与授时。</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40"/>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信号机触摸控制面板</w:t>
            </w:r>
            <w:r/>
          </w:p>
        </w:tc>
        <w:tc>
          <w:tcPr>
            <w:shd w:val="clear" w:color="auto" w:fill="auto"/>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适配本地现用信号机主机，原厂配件 电源 DC24V、通信串口 RS232、7 寸 TFT 屏、800*480 分辨率。</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2562"/>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信号机机柜</w:t>
            </w:r>
            <w:r/>
          </w:p>
        </w:tc>
        <w:tc>
          <w:tcPr>
            <w:shd w:val="clear" w:color="auto" w:fill="auto"/>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1.包括整套机柜柜体及其附件（含柜体内部布线及电器元件、空开、连接卡槽等，不含信号主机及控制主板）机柜的运输及安装、信号机接线、调试、底部封堵等；2.符合 GB25280-2016 的相关要求，机柜采用的材料应当坚固耐用，并具备良好的防锈蚀性能，正常使用的情况下五年内不得发生锈蚀现象；信号机柜外观须与现有机柜保持一致，标准机柜。</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40"/>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信号机机柜普通门锁</w:t>
            </w:r>
            <w:r/>
          </w:p>
        </w:tc>
        <w:tc>
          <w:tcPr>
            <w:shd w:val="clear" w:color="auto" w:fill="auto"/>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适配本地现用 GB 联网信号机主机，原厂配件</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557"/>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接线端子</w:t>
            </w:r>
            <w:r/>
          </w:p>
        </w:tc>
        <w:tc>
          <w:tcPr>
            <w:shd w:val="clear" w:color="auto" w:fill="auto"/>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适配本地现用 GB 联网信号机主机，原厂配件</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557"/>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电源插线板</w:t>
            </w:r>
            <w:r/>
          </w:p>
        </w:tc>
        <w:tc>
          <w:tcPr>
            <w:shd w:val="clear" w:color="auto" w:fill="auto"/>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220V，功率≥3000W</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40"/>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电源浪涌保护器</w:t>
            </w:r>
            <w:r/>
          </w:p>
        </w:tc>
        <w:tc>
          <w:tcPr>
            <w:shd w:val="clear" w:color="auto" w:fill="auto"/>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适配本地现用 GB 联网信号机主机，原厂配件</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557"/>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网线防雷器</w:t>
            </w:r>
            <w:r/>
          </w:p>
        </w:tc>
        <w:tc>
          <w:tcPr>
            <w:shd w:val="clear" w:color="auto" w:fill="auto"/>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适配本地现用 GB 联网信号机主机，原厂配件</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557"/>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黄闪控制器</w:t>
            </w:r>
            <w:r/>
          </w:p>
        </w:tc>
        <w:tc>
          <w:tcPr>
            <w:shd w:val="clear" w:color="auto" w:fill="auto"/>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适配本地现用 GB 联网信号机主机，原厂配件</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1469"/>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空开</w:t>
            </w:r>
            <w:r/>
          </w:p>
        </w:tc>
        <w:tc>
          <w:tcPr>
            <w:shd w:val="clear" w:color="auto" w:fill="auto"/>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1．周围空气温度：-5℃- +70℃，24 小时内其平均值不超过+35℃：安全性能好，导电部件不外露；主触头系统结构独特，触头磨损小，电寿命增加；电磁铁工作可靠，损耗少，噪音小，且具很高的机械强度</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557"/>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万兆光模块</w:t>
            </w:r>
            <w:r/>
          </w:p>
        </w:tc>
        <w:tc>
          <w:tcPr>
            <w:shd w:val="clear" w:color="auto" w:fill="auto"/>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SFP10G多模光模块</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3292"/>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灯盘（400直径）（含辅材）</w:t>
            </w:r>
            <w:r/>
          </w:p>
        </w:tc>
        <w:tc>
          <w:tcPr>
            <w:shd w:val="clear" w:color="auto" w:fill="auto"/>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红黄绿机动车、箭头、特殊定制灯盘。符合《GB14887-2011道路交通信号灯》等国标。采用高亮度发光二极管，使用寿命超过50000小时，发光强度≥150cd；LED可靠性：≥50000小时；平均无故障时间MTBF&gt;20000小时；工作湿度：5%-95%（无冷凝）；工作温度：-40-+80℃；灯具发光条框架为聚碳酸脂材料，外壳、支臂应采用优质铝合金型材，机械强度高，外型美观，密封性能好，灯具表面应作亚光喷涂处理,不生锈，防尘，防水；信号灯图案符合国标附图的相关要求。</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1104"/>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一体化人行灯单文字面板</w:t>
            </w:r>
            <w:r/>
          </w:p>
        </w:tc>
        <w:tc>
          <w:tcPr>
            <w:shd w:val="clear" w:color="auto" w:fill="auto"/>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适配现有板式人行灯；板式人行灯下方行人提示文字，要求与灯色颜色一致；采用高亮度发光二极管，使用寿命超过50000小时，发光强度≥150cd；</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1104"/>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人行灯灯盘（含辅材）</w:t>
            </w:r>
            <w:r/>
          </w:p>
        </w:tc>
        <w:tc>
          <w:tcPr>
            <w:shd w:val="clear" w:color="auto" w:fill="auto"/>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红灯静态行人</w:t>
            </w:r>
            <w:r>
              <w:rPr>
                <w:rFonts w:hint="eastAsia" w:ascii="宋体" w:hAnsi="宋体" w:eastAsia="宋体" w:cs="宋体"/>
                <w:i w:val="0"/>
                <w:color w:val="000000"/>
                <w:sz w:val="21"/>
                <w:szCs w:val="21"/>
                <w:u w:val="none"/>
                <w:lang w:val="en-US" w:eastAsia="zh-CN" w:bidi="ar"/>
              </w:rPr>
              <w:t xml:space="preserve">或绿灯动态行人；采用高亮度发光二极管，使用寿命超过50000小时，发光强度≥150cd；倒计时参数：300圆形倒计时；具有通讯式、触发式、跟随式三种工作模式自主切换功能；LED可靠性：≥50000小时；平均无故障时间MTBF&gt;20000小时；工作湿度：5%-95%（无冷凝）；工作温度：-40-+80℃；独立发光单元设计，拆卸维修方便，灯具发光条框架为聚碳酸脂材料，外壳、支臂应采用优质铝合金型材，机械强度高，外型美观，密封性能好，灯具表面应作亚光喷涂处理,不生锈，防尘，防水；信号灯图案符合国标附图的相关要求。</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40"/>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太阳能黄闪灯（含辅材）</w:t>
            </w:r>
            <w:r/>
          </w:p>
        </w:tc>
        <w:tc>
          <w:tcPr>
            <w:shd w:val="clear" w:color="auto" w:fill="auto"/>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直径400mm，太阳能板+黄闪灯，铝合金外壳，二层防护。</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1104"/>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倒计时主控板</w:t>
            </w:r>
            <w:r/>
          </w:p>
        </w:tc>
        <w:tc>
          <w:tcPr>
            <w:shd w:val="clear" w:color="auto" w:fill="auto"/>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产品符合GA/T508-2014《道路交通信号倒计时显示器》标准的相关要求，支持通讯、跟随、触发模式控制，与现有倒计时器匹配</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40"/>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信号灯发光单元帽沿</w:t>
            </w:r>
            <w:r/>
          </w:p>
        </w:tc>
        <w:tc>
          <w:tcPr>
            <w:shd w:val="clear" w:color="auto" w:fill="auto"/>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根据现有进行定制、颜色与样式与现有一致。</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557"/>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信号灯支架</w:t>
            </w:r>
            <w:r/>
          </w:p>
        </w:tc>
        <w:tc>
          <w:tcPr>
            <w:shd w:val="clear" w:color="auto" w:fill="auto"/>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557"/>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信号灯抱箍</w:t>
            </w:r>
            <w:r/>
          </w:p>
        </w:tc>
        <w:tc>
          <w:tcPr>
            <w:shd w:val="clear" w:color="auto" w:fill="auto"/>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40"/>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柱式人行灯抱箍</w:t>
            </w:r>
            <w:r/>
          </w:p>
        </w:tc>
        <w:tc>
          <w:tcPr>
            <w:shd w:val="clear" w:color="auto" w:fill="auto"/>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40"/>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杆件检修口盖板（定制）</w:t>
            </w:r>
            <w:r/>
          </w:p>
        </w:tc>
        <w:tc>
          <w:tcPr>
            <w:shd w:val="clear" w:color="auto" w:fill="auto"/>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2198"/>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移动信号灯</w:t>
            </w:r>
            <w:r/>
          </w:p>
        </w:tc>
        <w:tc>
          <w:tcPr>
            <w:shd w:val="clear" w:color="auto" w:fill="auto"/>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双头移动信号灯：2灯盘（方向指示信号灯+满屏信号灯），发光面直径：300m；太阳能电池板 ：功率100W，双太阳能板，正常工作寿命 大于8年，太阳能锂电池： 12V80AH；阴雨天可持续工作5天以上；发光体颜色:红，黄，绿。可视距离大于800m   产品材质：铁型材+高透光性聚碳酸酯PC(工艺：喷塑处理)     尺寸：2.4m-3.1m可调</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5479"/>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1200万电警抓拍单元</w:t>
            </w:r>
            <w:r/>
          </w:p>
        </w:tc>
        <w:tc>
          <w:tcPr>
            <w:shd w:val="clear" w:color="auto" w:fill="auto"/>
            <w:tcBorders>
              <w:top w:val="single" w:color="000000" w:sz="4" w:space="0"/>
              <w:left w:val="single" w:color="000000" w:sz="4" w:space="0"/>
              <w:bottom w:val="single" w:color="000000" w:sz="4" w:space="0"/>
              <w:right w:val="single" w:color="000000" w:sz="4" w:space="0"/>
            </w:tcBorders>
            <w:tcW w:w="449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1200万电子警察抓拍单元由防护罩组件及高清智能摄像机组成，抓拍单元防护罩前面板具有防尘、防水功能，单元内置LED暖光灯，单元支持网络防雷、防浪涌，宽温宽压等。</w:t>
            </w:r>
            <w:r>
              <w:rPr>
                <w:rFonts w:hint="eastAsia" w:ascii="宋体" w:hAnsi="宋体" w:eastAsia="宋体" w:cs="宋体"/>
                <w:i w:val="0"/>
                <w:color w:val="000000"/>
                <w:sz w:val="21"/>
                <w:szCs w:val="21"/>
                <w:u w:val="none"/>
                <w:lang w:val="en-US" w:eastAsia="zh-CN" w:bidi="ar"/>
              </w:rPr>
              <w:br/>
            </w:r>
            <w:r>
              <w:rPr>
                <w:rFonts w:hint="eastAsia" w:ascii="宋体" w:hAnsi="宋体" w:eastAsia="宋体" w:cs="宋体"/>
                <w:i w:val="0"/>
                <w:color w:val="000000"/>
                <w:sz w:val="21"/>
                <w:szCs w:val="21"/>
                <w:u w:val="none"/>
                <w:lang w:val="en-US" w:eastAsia="zh-CN" w:bidi="ar"/>
              </w:rPr>
              <w:t xml:space="preserve">内置摄像机采用1.1英寸高帧率全局曝光CMOS传感器，分辨率可达4112 × 3072，帧率高达25帧，具有清晰度高、照度低、帧率高、色彩还原度好等特点。</w:t>
            </w:r>
            <w:r>
              <w:rPr>
                <w:rFonts w:hint="eastAsia" w:ascii="宋体" w:hAnsi="宋体" w:eastAsia="宋体" w:cs="宋体"/>
                <w:i w:val="0"/>
                <w:color w:val="000000"/>
                <w:sz w:val="21"/>
                <w:szCs w:val="21"/>
                <w:u w:val="none"/>
                <w:lang w:val="en-US" w:eastAsia="zh-CN" w:bidi="ar"/>
              </w:rPr>
              <w:br/>
            </w:r>
            <w:r>
              <w:rPr>
                <w:rFonts w:hint="eastAsia" w:ascii="宋体" w:hAnsi="宋体" w:eastAsia="宋体" w:cs="宋体"/>
                <w:i w:val="0"/>
                <w:color w:val="000000"/>
                <w:sz w:val="21"/>
                <w:szCs w:val="21"/>
                <w:u w:val="none"/>
                <w:lang w:val="en-US" w:eastAsia="zh-CN" w:bidi="ar"/>
              </w:rPr>
              <w:t xml:space="preserve">视频采用H.265、H.264或MJPEG编码，低延时，低码率，压缩比高，处理灵活。</w:t>
            </w:r>
            <w:r>
              <w:rPr>
                <w:rFonts w:hint="eastAsia" w:ascii="宋体" w:hAnsi="宋体" w:eastAsia="宋体" w:cs="宋体"/>
                <w:i w:val="0"/>
                <w:color w:val="000000"/>
                <w:sz w:val="21"/>
                <w:szCs w:val="21"/>
                <w:u w:val="none"/>
                <w:lang w:val="en-US" w:eastAsia="zh-CN" w:bidi="ar"/>
              </w:rPr>
              <w:br/>
            </w:r>
            <w:r>
              <w:rPr>
                <w:rFonts w:hint="eastAsia" w:ascii="宋体" w:hAnsi="宋体" w:eastAsia="宋体" w:cs="宋体"/>
                <w:i w:val="0"/>
                <w:color w:val="000000"/>
                <w:sz w:val="21"/>
                <w:szCs w:val="21"/>
                <w:u w:val="none"/>
                <w:lang w:val="en-US" w:eastAsia="zh-CN" w:bidi="ar"/>
              </w:rPr>
              <w:t xml:space="preserve">支持LED频闪灯同步补光，防护罩内置LED车牌补光灯。支持机动车辆、非机动车、行人抓拍。支持车牌、车型、车身颜色（环境光有要求）、车标、子品牌等信息识别功能，支持压线、逆行、闯红灯、不按导向行驶等违法检测功能。红绿灯信号检测方式支持：IO信号，红绿灯检测器，视频检测。</w:t>
            </w:r>
            <w:r>
              <w:rPr>
                <w:rFonts w:hint="eastAsia" w:ascii="宋体" w:hAnsi="宋体" w:eastAsia="宋体" w:cs="宋体"/>
                <w:i w:val="0"/>
                <w:color w:val="000000"/>
                <w:sz w:val="21"/>
                <w:szCs w:val="21"/>
                <w:u w:val="none"/>
                <w:lang w:val="en-US" w:eastAsia="zh-CN" w:bidi="ar"/>
              </w:rPr>
              <w:br/>
            </w:r>
            <w:r>
              <w:rPr>
                <w:rFonts w:hint="eastAsia" w:ascii="宋体" w:hAnsi="宋体" w:eastAsia="宋体" w:cs="宋体"/>
                <w:i w:val="0"/>
                <w:color w:val="000000"/>
                <w:sz w:val="21"/>
                <w:szCs w:val="21"/>
                <w:u w:val="none"/>
                <w:lang w:val="en-US" w:eastAsia="zh-CN" w:bidi="ar"/>
              </w:rPr>
              <w:t xml:space="preserve">支持远程数据上传，GB/T 28181视频联网标准、GA/T 1400视图库标准、FTP协议，可将抓拍的图片上传给终端服务器、FTP服务器或者后端平台。可支持TF插卡本地存储，可支持至256G，抓拍图片可断网续传。</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5114"/>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900万电警抓拍单元</w:t>
            </w:r>
            <w:r/>
          </w:p>
        </w:tc>
        <w:tc>
          <w:tcPr>
            <w:shd w:val="clear" w:color="auto" w:fill="auto"/>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包含摄像机、高清镜头、室外防护罩、风</w:t>
            </w:r>
            <w:r>
              <w:rPr>
                <w:rFonts w:hint="eastAsia" w:ascii="宋体" w:hAnsi="宋体" w:eastAsia="宋体" w:cs="宋体"/>
                <w:i w:val="0"/>
                <w:color w:val="000000"/>
                <w:sz w:val="21"/>
                <w:szCs w:val="21"/>
                <w:u w:val="none"/>
                <w:lang w:val="en-US" w:eastAsia="zh-CN" w:bidi="ar"/>
              </w:rPr>
              <w:t xml:space="preserve">扇、内置补光灯、电源适配器、相机内置防雷模块、安装万向节等。像素：900W；分辨率：最大支持4096*2160；帧率：25fps；感光器件：4/3" GMOS                                                                                                                                      镜头：16mm镜头；照度：彩色:0.005Lux ；视频压缩标准：H.265/H.26</w:t>
            </w:r>
            <w:r>
              <w:rPr>
                <w:rFonts w:hint="eastAsia" w:ascii="宋体" w:hAnsi="宋体" w:eastAsia="宋体" w:cs="宋体"/>
                <w:i w:val="0"/>
                <w:color w:val="000000"/>
                <w:sz w:val="21"/>
                <w:szCs w:val="21"/>
                <w:u w:val="none"/>
                <w:lang w:val="en-US" w:eastAsia="zh-CN" w:bidi="ar"/>
              </w:rPr>
              <w:t xml:space="preserve">4/MJPEG；图像输出格式：JPEG；输出：电平量信号。通讯接口：2个RJ45 100M/1000M自适应网口，3个RS485接口，1个RS232接口。外部接口：4路外部触发输入，6路(5V TTL电平量)输出，可作为闪光灯同步输出控制，SYNC信号灯电源同步输入。存储支持：最大支持128G TF卡；自动光圈镜头：支持；工作电压：220VAC±20%；频率：50HZ±2%；；功耗：＜20W；支持智能识别功能：内置视频识别功能，支持车牌识别、视频触发、车身颜色识别、车型识别，通行车辆信息捕获和违章检测功能。</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2198"/>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500万电警抓拍单元</w:t>
            </w:r>
            <w:r/>
          </w:p>
        </w:tc>
        <w:tc>
          <w:tcPr>
            <w:shd w:val="clear" w:color="auto" w:fill="auto"/>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采用2/3英寸500万像素高帧率彩色全局曝光CMOS高清智能摄像机，最大分辨率可达2448*2048，帧率高达25帧；输出图片格式：JPEG；支持LED频闪灯同步补光，防护罩内置LED车牌补光灯；支持车牌、车型、车身颜色等信息识别功能，支持压线、逆行、闯红灯、不按导向行驶等违法检测功能</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1469"/>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频闪灯</w:t>
            </w:r>
            <w:r/>
          </w:p>
        </w:tc>
        <w:tc>
          <w:tcPr>
            <w:shd w:val="clear" w:color="auto" w:fill="auto"/>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集成数字式照度传感器，具备自动光感功能；光照角度：25°；有效补光距离：16m～21m；频闪亮度等级可调；频闪频率可选；触发方式：电平，+5VDC；工作温度-30℃~+70℃；防护等级IP66；外壳材质：金属铝</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1833"/>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环保爆闪灯</w:t>
            </w:r>
            <w:r/>
          </w:p>
        </w:tc>
        <w:tc>
          <w:tcPr>
            <w:shd w:val="clear" w:color="auto" w:fill="auto"/>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环保型，光源采用氙气灯；色温：≥4000K。在正常工作条件下，机壳的温升不超过40℃；回电时间≤80ms。闪光次数≥300万次；功耗：平均＜100W(@1闪/s)，瞬间最大＜300W。防眩目处理：可内置光栅，进行光污染处理。工作温度-30℃~+70℃；防护等级IP65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2927"/>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电子警察前端控制主机</w:t>
            </w:r>
            <w:r/>
          </w:p>
        </w:tc>
        <w:tc>
          <w:tcPr>
            <w:shd w:val="clear" w:color="auto" w:fill="auto"/>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采用高性能嵌入式处理芯片，不得使用X86计算机架构（包括：工控机、嵌入式工控机等），内存容量≥2G，嵌入式Linux操作系统，操作界面以WEB方式；最大支持4个3.5〃或2.5〃硬盘；集成8个RJ45 10M/100M自适应以太网口；2个RJ45 1000M接口；可接入12路高清网络摄像机（支持视频和图片同时接入）和2路高清BNC接口模拟高清摄像机；支持12路图片、12路录像实时预览及存储功能；具备DC12V输出接口，可方便现场外围设备供电。</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557"/>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环保900万卡口抓拍单元</w:t>
            </w:r>
            <w:r/>
          </w:p>
        </w:tc>
        <w:tc>
          <w:tcPr>
            <w:shd w:val="clear" w:color="auto" w:fill="auto"/>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环保车辆人脸卡口抓拍单元由防护罩组件及高清智</w:t>
            </w:r>
            <w:r>
              <w:rPr>
                <w:rFonts w:hint="eastAsia" w:ascii="宋体" w:hAnsi="宋体" w:eastAsia="宋体" w:cs="宋体"/>
                <w:i w:val="0"/>
                <w:color w:val="000000"/>
                <w:sz w:val="21"/>
                <w:szCs w:val="21"/>
                <w:u w:val="none"/>
                <w:lang w:val="en-US" w:eastAsia="zh-CN" w:bidi="ar"/>
              </w:rPr>
              <w:t xml:space="preserve">能摄像机组成，抓拍单元防护罩前面板具有防尘、防水功能，单元内置LED暖光灯，单元支持网络防雷、防浪涌，宽温宽压等。内置摄像机采用2个1英寸高帧率全局曝光CMOS传感器，分辨率可达4096 × 2160，帧率高达25帧，具有清晰度高、照度低、帧率高、色彩还原度好等特点。支持白天用白光爆闪，晚上用内置灯或外置LED灯加红外爆闪同步补光。支持视频触发等多种触发模式并实现全结构化：支持深度学习算法，支持多目标混合场景应用，实时提取机动车、非机动车、行人、人脸等目标全结构化信息，为大数据业务提供全方位的特征数据基础。</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40"/>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电警/卡口设备维修</w:t>
            </w:r>
            <w:r/>
          </w:p>
        </w:tc>
        <w:tc>
          <w:tcPr>
            <w:shd w:val="clear" w:color="auto" w:fill="auto"/>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设备过质保期维修，更换的部件与现有的设备兼容</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40"/>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频闪灯/爆闪灯维修</w:t>
            </w:r>
            <w:r/>
          </w:p>
        </w:tc>
        <w:tc>
          <w:tcPr>
            <w:shd w:val="clear" w:color="auto" w:fill="auto"/>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设备过质保期维修，更换的部件与现有的设备兼容</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557"/>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智能终端维修</w:t>
            </w:r>
            <w:r/>
          </w:p>
        </w:tc>
        <w:tc>
          <w:tcPr>
            <w:shd w:val="clear" w:color="auto" w:fill="auto"/>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设备过质保期维修，更换的部件与现有的设备兼容</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2562"/>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400万高清监控球机</w:t>
            </w:r>
            <w:r/>
          </w:p>
        </w:tc>
        <w:tc>
          <w:tcPr>
            <w:shd w:val="clear" w:color="auto" w:fill="auto"/>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不低于400万像素；采用1/1.8英寸CMOS（GMOS）图像传感器；视频输出支持2560×1440@25fps；超低照度：彩色0.001Lux，黑白0.0001Lux；不低于30倍光学变焦；支持1路音频输入和1路音频输出；支持7路报警输入和2路报警输出；支持车型识别、车身颜色识别，车辆品牌识别；支持300个预置位；压缩格式：H.264/MJPEG；压缩格式：H.264/MJPEG；</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2198"/>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违停抓拍球机</w:t>
            </w:r>
            <w:r/>
          </w:p>
        </w:tc>
        <w:tc>
          <w:tcPr>
            <w:shd w:val="clear" w:color="auto" w:fill="auto"/>
            <w:tcBorders>
              <w:top w:val="single" w:color="000000" w:sz="4" w:space="0"/>
              <w:left w:val="single" w:color="000000" w:sz="4" w:space="0"/>
              <w:bottom w:val="single" w:color="000000" w:sz="4" w:space="0"/>
              <w:right w:val="single" w:color="000000" w:sz="4" w:space="0"/>
            </w:tcBorders>
            <w:tcW w:w="449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支持32倍光学变倍，16倍数字变倍。道路违章取证：违停、逆行、压线、变道、机占非、掉头。多场景巡航下，违停有效检测距离300 m</w:t>
            </w:r>
            <w:r>
              <w:rPr>
                <w:rFonts w:hint="eastAsia" w:ascii="宋体" w:hAnsi="宋体" w:eastAsia="宋体" w:cs="宋体"/>
                <w:i w:val="0"/>
                <w:color w:val="000000"/>
                <w:sz w:val="21"/>
                <w:szCs w:val="21"/>
                <w:u w:val="none"/>
                <w:lang w:val="en-US" w:eastAsia="zh-CN" w:bidi="ar"/>
              </w:rPr>
              <w:br/>
            </w:r>
            <w:r>
              <w:rPr>
                <w:rFonts w:hint="eastAsia" w:ascii="宋体" w:hAnsi="宋体" w:eastAsia="宋体" w:cs="宋体"/>
                <w:i w:val="0"/>
                <w:color w:val="000000"/>
                <w:sz w:val="21"/>
                <w:szCs w:val="21"/>
                <w:u w:val="none"/>
                <w:lang w:val="en-US" w:eastAsia="zh-CN" w:bidi="ar"/>
              </w:rPr>
              <w:t xml:space="preserve">支持多场景巡航检测，并可配置场景巡航自适应功能；支持对静止或运动车辆的手动取证功能。 ；支持违法数据的断点续传功能 </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4750"/>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高空监控球机</w:t>
            </w:r>
            <w:r/>
          </w:p>
        </w:tc>
        <w:tc>
          <w:tcPr>
            <w:shd w:val="clear" w:color="auto" w:fill="auto"/>
            <w:tcBorders>
              <w:top w:val="single" w:color="000000" w:sz="4" w:space="0"/>
              <w:left w:val="single" w:color="000000" w:sz="4" w:space="0"/>
              <w:bottom w:val="single" w:color="000000" w:sz="4" w:space="0"/>
              <w:right w:val="single" w:color="000000" w:sz="4" w:space="0"/>
            </w:tcBorders>
            <w:tcW w:w="4493"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采用800万像素1/1.8英寸 CMOS；内置GPU芯片，支持深度学习算法，有效提升检测准确率。支持视频结构化</w:t>
            </w:r>
            <w:r>
              <w:rPr>
                <w:rFonts w:hint="eastAsia" w:ascii="宋体" w:hAnsi="宋体" w:eastAsia="宋体" w:cs="宋体"/>
                <w:i w:val="0"/>
                <w:color w:val="000000"/>
                <w:sz w:val="21"/>
                <w:szCs w:val="21"/>
                <w:u w:val="none"/>
                <w:lang w:val="en-US" w:eastAsia="zh-CN" w:bidi="ar"/>
              </w:rPr>
              <w:t xml:space="preserve">功能：支持机动车抓拍、机动车属性提取，支持非机动车抓拍、非机动车属性提取，支持人体抓拍、人体属性提取，支持人脸抓拍、人脸属性提取，支持机非人数量统计；支持绊线入侵、区域入侵、穿越围栏、徘徊、物品遗留、物品搬移、快速移动、停车、人员聚集检测；支持人车分类报警；支持联动跟踪。支持人脸检测；支持人脸优选抓拍；支持人脸增强；支持人脸属性提取；支持6种属性8种表情：性别，年龄，眼镜，表情，口罩，，胡子；支持多种人脸抠图方案设置：单寸照，人脸；支持人脸识别（前端支持导入1万张人脸库）。支持48倍光学变倍，16倍数字变倍</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4385"/>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智能终端</w:t>
            </w:r>
            <w:r/>
          </w:p>
        </w:tc>
        <w:tc>
          <w:tcPr>
            <w:shd w:val="clear" w:color="auto" w:fill="auto"/>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采用高性能嵌入式处理芯片，不得使用X86计算机架构（包括：工控机、嵌入式工控机等）；内存容量≥2G；嵌入式Linux操作系统，操作界</w:t>
            </w:r>
            <w:r>
              <w:rPr>
                <w:rFonts w:hint="eastAsia" w:ascii="宋体" w:hAnsi="宋体" w:eastAsia="宋体" w:cs="宋体"/>
                <w:i w:val="0"/>
                <w:color w:val="000000"/>
                <w:sz w:val="21"/>
                <w:szCs w:val="21"/>
                <w:u w:val="none"/>
                <w:lang w:val="en-US" w:eastAsia="zh-CN" w:bidi="ar"/>
              </w:rPr>
              <w:t xml:space="preserve">面以WEB方式；最大支持4个3.5〃或2.5〃硬盘；集成8个RJ45 10M/100M自适应以太网口；2个RJ45 1000M接口；可接入12路高清网络摄像机（支持视频和图片同时接入）和4路标清BNC接口模拟摄像机；支持12路图片、16路录像实时预览及存储功能；支持违章图片合成，支持合成顺序及特写位置选择；支持故障自动恢复功能，故障前的信息不丢失；支持车辆查询，支持按时间、通道、违章类型、车牌、车速、车道查询；工作电源DC 12V；功耗： ＜20W；全机身散热，内部不得含有风扇；工作温度：-40℃～+70℃</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557"/>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万象支架</w:t>
            </w:r>
            <w:r/>
          </w:p>
        </w:tc>
        <w:tc>
          <w:tcPr>
            <w:shd w:val="clear" w:color="auto" w:fill="auto"/>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与现有设备无缝对接</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557"/>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相机电源</w:t>
            </w:r>
            <w:r/>
          </w:p>
        </w:tc>
        <w:tc>
          <w:tcPr>
            <w:shd w:val="clear" w:color="auto" w:fill="auto"/>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与现有设备无缝对接</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40"/>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车辆检测器</w:t>
            </w:r>
            <w:r/>
          </w:p>
        </w:tc>
        <w:tc>
          <w:tcPr>
            <w:shd w:val="clear" w:color="auto" w:fill="auto"/>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能与现有信号控制机通过协议无缝对接；视频流量检测器，覆盖三车道及以上；支持分车道统计车流量等交通数据。</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40"/>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车辆检测器电源适配器</w:t>
            </w:r>
            <w:r/>
          </w:p>
        </w:tc>
        <w:tc>
          <w:tcPr>
            <w:shd w:val="clear" w:color="auto" w:fill="auto"/>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适配本地现用视频车辆检测器，原厂配件</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40"/>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抱杆机箱</w:t>
            </w:r>
            <w:r/>
          </w:p>
        </w:tc>
        <w:tc>
          <w:tcPr>
            <w:shd w:val="clear" w:color="auto" w:fill="auto"/>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产品尺寸不小于600mm*400mm*400mm，防护等级IP54，工作温度范围为-40到85℃</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557"/>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KVV2*6mm2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557"/>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KVV2*8mm2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557"/>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KVV2*4mm2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40"/>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16芯控制线缆</w:t>
            </w:r>
            <w:r/>
          </w:p>
        </w:tc>
        <w:tc>
          <w:tcPr>
            <w:shd w:val="clear" w:color="auto" w:fill="auto"/>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控制线缆KVV16×1mm2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557"/>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4芯控制线缆</w:t>
            </w:r>
            <w:r/>
          </w:p>
        </w:tc>
        <w:tc>
          <w:tcPr>
            <w:shd w:val="clear" w:color="auto" w:fill="auto"/>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控制线缆KVV4×1mm2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557"/>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4芯光缆</w:t>
            </w:r>
            <w:r/>
          </w:p>
        </w:tc>
        <w:tc>
          <w:tcPr>
            <w:shd w:val="clear" w:color="auto" w:fill="auto"/>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单模1310nm 4芯光缆</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557"/>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2芯控制线缆</w:t>
            </w:r>
            <w:r/>
          </w:p>
        </w:tc>
        <w:tc>
          <w:tcPr>
            <w:shd w:val="clear" w:color="auto" w:fill="auto"/>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控制线缆KVV2×1mm2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557"/>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室外六类网线</w:t>
            </w:r>
            <w:r/>
          </w:p>
        </w:tc>
        <w:tc>
          <w:tcPr>
            <w:shd w:val="clear" w:color="auto" w:fill="auto"/>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符合国标</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1469"/>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杆件1</w:t>
            </w:r>
            <w:r/>
          </w:p>
        </w:tc>
        <w:tc>
          <w:tcPr>
            <w:shd w:val="clear" w:color="auto" w:fill="auto"/>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八角杆，立柱6.8米，横臂5米，杆件壁厚、外观与现有设备保持一致，整体热镀锌、喷塑，颜色依据路口需求。法兰盘与现有设备保持一致，如为新增设备，需提供钢筋笼。</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1104"/>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杆件2</w:t>
            </w:r>
            <w:r/>
          </w:p>
        </w:tc>
        <w:tc>
          <w:tcPr>
            <w:shd w:val="clear" w:color="auto" w:fill="auto"/>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八角杆，立柱6.8米，横臂6米，杆件壁厚与现有设备保持一致，整体热镀锌、喷塑，颜色依据路口需求。法兰盘与现有设备保持一致，如为新增设备，需提供钢筋笼。</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557"/>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杆件3</w:t>
            </w:r>
            <w:r/>
          </w:p>
        </w:tc>
        <w:tc>
          <w:tcPr>
            <w:shd w:val="clear" w:color="auto" w:fill="auto"/>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八角杆，立柱6.8米，横臂7米，杆件壁厚、外观与现有设备保持一致，整体热镀锌、喷塑，颜色依据路口需求。法兰盘与现有设备保持一致，如为新增设备，需提供钢筋笼。</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1469"/>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杆件4</w:t>
            </w:r>
            <w:r/>
          </w:p>
        </w:tc>
        <w:tc>
          <w:tcPr>
            <w:shd w:val="clear" w:color="auto" w:fill="auto"/>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八角杆，立柱6.8米，横臂8米，杆件壁厚、外观与现有设备保持一致，整体热镀锌、喷塑，颜色依据路口需求。法兰盘与现有设备保持一致，如为新增设备，需提供钢筋笼。</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1469"/>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杆件5</w:t>
            </w:r>
            <w:r/>
          </w:p>
        </w:tc>
        <w:tc>
          <w:tcPr>
            <w:shd w:val="clear" w:color="auto" w:fill="auto"/>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八角杆，立柱6.8米，横臂10米，杆件壁厚、外观与现有设备保持一致，整体热镀锌、喷塑，颜色依据路口需求。法兰盘与现有设备保持一致，如为新增设备，需提供钢筋笼。</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1469"/>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杆件6</w:t>
            </w:r>
            <w:r/>
          </w:p>
        </w:tc>
        <w:tc>
          <w:tcPr>
            <w:shd w:val="clear" w:color="auto" w:fill="auto"/>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八角杆，立柱6.8米，横臂12米，杆件壁厚、外观与现有设备保持一致，整体热镀锌、喷塑，颜色依据路口需求。法兰盘与现有设备保持一致，如为新增设备，需提供钢筋笼。</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1104"/>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T型杆1</w:t>
            </w:r>
            <w:r/>
          </w:p>
        </w:tc>
        <w:tc>
          <w:tcPr>
            <w:shd w:val="clear" w:color="auto" w:fill="auto"/>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主臂220/280，壁厚8mm，横臂（5米）180/90，壁厚5mm，横臂（3米）160/90，壁厚5mm，、整体热镀锌、喷塑，地笼8*M27，H1.5对角450/法兰550，法兰腰形孔。</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1104"/>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T型杆2</w:t>
            </w:r>
            <w:r/>
          </w:p>
        </w:tc>
        <w:tc>
          <w:tcPr>
            <w:shd w:val="clear" w:color="auto" w:fill="auto"/>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主臂280/340，壁厚10mm，横臂（12米）110/240，壁厚8mm、横臂（3米）160/90，壁厚4.0mm。整体热镀锌、喷塑，地笼8*M30，H1.5对角450/法兰550，法兰腰形孔。</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40"/>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违停抓拍球机杆件</w:t>
            </w:r>
            <w:r/>
          </w:p>
        </w:tc>
        <w:tc>
          <w:tcPr>
            <w:shd w:val="clear" w:color="auto" w:fill="auto"/>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立柱高9米，横臂规格:φ60X4X2500、φ60X4X215，锥型杆厚5mm</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557"/>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光缆成端设备</w:t>
            </w:r>
            <w:r/>
          </w:p>
        </w:tc>
        <w:tc>
          <w:tcPr>
            <w:shd w:val="clear" w:color="auto" w:fill="auto"/>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含分线盒、熔纤盘、尾纤</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557"/>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熔纤盘</w:t>
            </w:r>
            <w:r/>
          </w:p>
        </w:tc>
        <w:tc>
          <w:tcPr>
            <w:shd w:val="clear" w:color="auto" w:fill="auto"/>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定制8芯</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1833"/>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室外工业8口交换机</w:t>
            </w:r>
            <w:r/>
          </w:p>
        </w:tc>
        <w:tc>
          <w:tcPr>
            <w:shd w:val="clear" w:color="auto" w:fill="auto"/>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1、具有 8 个 10/100Base-TX 自适应电口，支持自动 MDI/MDI-X连接；2、低功耗无风扇设计，提供包括壁挂、导轨和集中式在内的多种结构形式，铝合金单肋形机箱表面散热；3、端子式双电源冗余供电，支持冗余电源间的无缝切换。</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40"/>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光纤收发器</w:t>
            </w:r>
            <w:r/>
          </w:p>
        </w:tc>
        <w:tc>
          <w:tcPr>
            <w:shd w:val="clear" w:color="auto" w:fill="auto"/>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工业级光纤收发器提供≥1个千兆光接口，≥8个千兆自适应以太网口；</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40"/>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沥青路面开挖</w:t>
            </w:r>
            <w:r/>
          </w:p>
        </w:tc>
        <w:tc>
          <w:tcPr>
            <w:shd w:val="clear" w:color="auto" w:fill="auto"/>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沥青路面开挖埋管及管道保护，槽道深度不低于40CM，宽度不低于20CM，含回填、养护</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40"/>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绿化路面开挖</w:t>
            </w:r>
            <w:r/>
          </w:p>
        </w:tc>
        <w:tc>
          <w:tcPr>
            <w:shd w:val="clear" w:color="auto" w:fill="auto"/>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绿化路面开挖埋管及管道保护，槽道深度不低于40CM，宽度不低于30CM，含回填、养护</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40"/>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彩砖路面开挖</w:t>
            </w:r>
            <w:r/>
          </w:p>
        </w:tc>
        <w:tc>
          <w:tcPr>
            <w:shd w:val="clear" w:color="auto" w:fill="auto"/>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人行道彩砖开挖埋管及管道保护，槽道深度不低于40CM，宽度不低于30CM，含回填、养护</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1104"/>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手井</w:t>
            </w:r>
            <w:r/>
          </w:p>
        </w:tc>
        <w:tc>
          <w:tcPr>
            <w:shd w:val="clear" w:color="auto" w:fill="auto"/>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（1）砌筑材料品种、规格、强度等级:红机砖.240*115*53；100号（2）勾缝、抹面要求:水泥砂浆抹灰（3）井深:600mm（4）井尺寸:600*600mm（5）井盖、井圈材质及规格:井蓋为市政统一.五防井</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1104"/>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手井盖</w:t>
            </w:r>
            <w:r/>
          </w:p>
        </w:tc>
        <w:tc>
          <w:tcPr>
            <w:shd w:val="clear" w:color="auto" w:fill="auto"/>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井尺寸:500*500mm ，盖板材质、规格:树脂材料500*500mm ，井盖、井圈材质及规格:井蓋为市政统一.五防井</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1104"/>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手井盖</w:t>
            </w:r>
            <w:r/>
          </w:p>
        </w:tc>
        <w:tc>
          <w:tcPr>
            <w:shd w:val="clear" w:color="auto" w:fill="auto"/>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井尺寸:500*500mm ，盖板材质、规格:铸铁材料500*500mm ，井盖、井圈材质及规格:井蓋为市政统一.五防井</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557"/>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接地系统</w:t>
            </w:r>
            <w:r/>
          </w:p>
        </w:tc>
        <w:tc>
          <w:tcPr>
            <w:shd w:val="clear" w:color="auto" w:fill="auto"/>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点位</w:t>
            </w:r>
            <w:r/>
          </w:p>
        </w:tc>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557"/>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管线警示柱</w:t>
            </w:r>
            <w:r/>
          </w:p>
        </w:tc>
        <w:tc>
          <w:tcPr>
            <w:shd w:val="clear" w:color="auto" w:fill="auto"/>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定制，交警线缆指示</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557"/>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管线铭牌</w:t>
            </w:r>
            <w:r/>
          </w:p>
        </w:tc>
        <w:tc>
          <w:tcPr>
            <w:shd w:val="clear" w:color="auto" w:fill="auto"/>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1104"/>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混凝土基础</w:t>
            </w:r>
            <w:r/>
          </w:p>
        </w:tc>
        <w:tc>
          <w:tcPr>
            <w:shd w:val="clear" w:color="auto" w:fill="auto"/>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C25信号机基础结构件混凝土基础浇筑（包括不锈钢地脚螺栓预埋件的制作及安装、穿线管埋设、C25商品混凝土的浇筑养护、基础回填、渣土清运、螺栓混凝土包封）。</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m³</w:t>
            </w:r>
            <w:r/>
          </w:p>
        </w:tc>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557"/>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过路顶管</w:t>
            </w:r>
            <w:r/>
          </w:p>
        </w:tc>
        <w:tc>
          <w:tcPr>
            <w:shd w:val="clear" w:color="auto" w:fill="auto"/>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过路顶管施工，直径110mmPE管</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557"/>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557"/>
        </w:trPr>
        <w:tc>
          <w:tcPr>
            <w:shd w:val="clear" w:color="auto" w:fill="auto"/>
            <w:tcBorders>
              <w:top w:val="single" w:color="000000" w:sz="4" w:space="0"/>
              <w:left w:val="single" w:color="000000" w:sz="4" w:space="0"/>
              <w:bottom w:val="single" w:color="000000" w:sz="4" w:space="0"/>
              <w:right w:val="single" w:color="000000" w:sz="4" w:space="0"/>
            </w:tcBorders>
            <w:tcW w:w="56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1115"/>
        </w:trPr>
        <w:tc>
          <w:tcPr>
            <w:gridSpan w:val="6"/>
            <w:shd w:val="clear" w:color="auto" w:fill="auto"/>
            <w:tcBorders>
              <w:top w:val="single" w:color="000000" w:sz="4" w:space="0"/>
              <w:left w:val="single" w:color="000000" w:sz="4" w:space="0"/>
              <w:bottom w:val="single" w:color="000000" w:sz="4" w:space="0"/>
              <w:right w:val="single" w:color="000000" w:sz="4" w:space="0"/>
            </w:tcBorders>
            <w:tcW w:w="8717" w:type="dxa"/>
            <w:vAlign w:val="center"/>
            <w:textDirection w:val="lrTb"/>
            <w:noWrap/>
          </w:tcPr>
          <w:p>
            <w:pPr>
              <w:ind w:firstLine="420"/>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注：维修配件更换依据由于不可抗力的因素或历史原因造成的设备更新费用按合同设备更新，清单报价以实际发生量进行审计计算；如更新设备不在清单中，由审计单位依据市场价格进行审价。</w:t>
            </w:r>
            <w:r/>
          </w:p>
        </w:tc>
        <w:tc>
          <w:tcPr>
            <w:shd w:val="clear" w:color="auto" w:fill="auto"/>
            <w:tcBorders>
              <w:top w:val="single" w:color="000000" w:sz="4" w:space="0"/>
              <w:left w:val="single" w:color="000000" w:sz="4" w:space="0"/>
              <w:bottom w:val="single" w:color="000000" w:sz="4" w:space="0"/>
              <w:right w:val="single" w:color="000000" w:sz="4" w:space="0"/>
            </w:tcBorders>
            <w:tcW w:w="1052" w:type="dxa"/>
            <w:vAlign w:val="center"/>
            <w:textDirection w:val="lrTb"/>
            <w:noWrap/>
          </w:tcPr>
          <w:p>
            <w:pPr>
              <w:ind w:firstLine="420"/>
              <w:jc w:val="both"/>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bl>
    <w:p>
      <w:pPr>
        <w:ind w:firstLine="0"/>
        <w:spacing w:line="360" w:lineRule="auto"/>
        <w:rPr>
          <w:rFonts w:hint="default" w:ascii="宋体" w:hAnsi="Times New Roman" w:eastAsia="宋体" w:cs="Times New Roman"/>
          <w:b/>
          <w:bCs/>
          <w:sz w:val="24"/>
          <w:szCs w:val="28"/>
        </w:rPr>
      </w:pPr>
      <w:r>
        <w:rPr>
          <w:rFonts w:hint="default" w:ascii="宋体" w:hAnsi="Times New Roman" w:eastAsia="宋体" w:cs="Times New Roman"/>
          <w:b/>
          <w:bCs/>
          <w:sz w:val="24"/>
          <w:szCs w:val="28"/>
        </w:rPr>
      </w:r>
      <w:r/>
    </w:p>
    <w:p>
      <w:pPr>
        <w:spacing w:line="276" w:lineRule="auto"/>
        <w:rPr>
          <w:rFonts w:ascii="宋体" w:hAnsi="宋体" w:cs="宋体"/>
          <w:sz w:val="24"/>
        </w:rPr>
      </w:pPr>
      <w:r>
        <w:rPr>
          <w:rFonts w:ascii="宋体" w:hAnsi="宋体" w:cs="宋体"/>
          <w:sz w:val="24"/>
        </w:rPr>
      </w:r>
      <w:r/>
    </w:p>
    <w:p>
      <w:pPr>
        <w:ind w:firstLine="2280"/>
        <w:spacing w:line="276" w:lineRule="auto"/>
        <w:rPr>
          <w:rFonts w:ascii="宋体" w:hAnsi="宋体" w:cs="宋体"/>
          <w:sz w:val="24"/>
        </w:rPr>
      </w:pPr>
      <w:r>
        <w:rPr>
          <w:rFonts w:hint="eastAsia" w:ascii="宋体" w:hAnsi="宋体" w:cs="宋体"/>
          <w:sz w:val="24"/>
        </w:rPr>
        <w:t xml:space="preserve">     供应商（电子签章）：</w:t>
      </w:r>
      <w:r/>
    </w:p>
    <w:p>
      <w:pPr>
        <w:spacing w:line="276" w:lineRule="auto"/>
        <w:rPr>
          <w:rFonts w:ascii="宋体" w:hAnsi="宋体" w:cs="宋体"/>
          <w:sz w:val="24"/>
        </w:rPr>
      </w:pPr>
      <w:r>
        <w:rPr>
          <w:rFonts w:hint="eastAsia" w:ascii="宋体" w:hAnsi="宋体" w:cs="宋体"/>
          <w:sz w:val="24"/>
        </w:rPr>
        <w:t xml:space="preserve">                        法定代表人（负责人)或授权代表（签字或盖章）：</w:t>
      </w:r>
      <w:r/>
    </w:p>
    <w:p>
      <w:pPr>
        <w:spacing w:line="276" w:lineRule="auto"/>
        <w:rPr>
          <w:rFonts w:ascii="宋体" w:hAnsi="宋体" w:cs="宋体"/>
          <w:sz w:val="24"/>
        </w:rPr>
      </w:pPr>
      <w:r>
        <w:rPr>
          <w:rFonts w:hint="eastAsia" w:ascii="宋体" w:hAnsi="宋体" w:cs="宋体"/>
          <w:sz w:val="24"/>
        </w:rPr>
        <w:t xml:space="preserve">                        日期：</w:t>
      </w:r>
      <w:r/>
    </w:p>
    <w:p>
      <w:pPr>
        <w:spacing w:line="276" w:lineRule="auto"/>
        <w:rPr>
          <w:rFonts w:ascii="宋体" w:hAnsi="宋体" w:cs="宋体"/>
          <w:sz w:val="24"/>
        </w:rPr>
      </w:pPr>
      <w:r>
        <w:rPr>
          <w:rFonts w:ascii="宋体" w:hAnsi="宋体" w:cs="宋体"/>
          <w:sz w:val="24"/>
        </w:rPr>
      </w:r>
      <w:r/>
    </w:p>
    <w:p>
      <w:pPr>
        <w:spacing w:line="276" w:lineRule="auto"/>
        <w:rPr>
          <w:rFonts w:ascii="宋体" w:hAnsi="宋体" w:cs="宋体"/>
          <w:sz w:val="24"/>
        </w:rPr>
      </w:pPr>
      <w:r>
        <w:rPr>
          <w:rFonts w:ascii="宋体" w:hAnsi="宋体" w:cs="宋体"/>
          <w:sz w:val="24"/>
        </w:rPr>
      </w:r>
      <w:r/>
    </w:p>
    <w:p>
      <w:pPr>
        <w:pStyle w:val="927"/>
      </w:pPr>
      <w:r/>
      <w:r/>
    </w:p>
    <w:p>
      <w:pPr>
        <w:ind w:firstLine="480"/>
        <w:spacing w:line="360" w:lineRule="auto"/>
        <w:rPr>
          <w:rFonts w:ascii="宋体" w:hAnsi="宋体" w:cs="宋体"/>
          <w:b/>
          <w:sz w:val="24"/>
        </w:rPr>
      </w:pPr>
      <w:r>
        <w:rPr>
          <w:rFonts w:hint="eastAsia" w:ascii="宋体" w:hAnsi="宋体" w:cs="宋体"/>
          <w:sz w:val="24"/>
        </w:rPr>
        <w:t xml:space="preserve">注：1．</w:t>
      </w:r>
      <w:r>
        <w:rPr>
          <w:rFonts w:hint="eastAsia" w:ascii="宋体" w:hAnsi="宋体" w:cs="宋体"/>
          <w:b/>
          <w:sz w:val="24"/>
        </w:rPr>
        <w:t xml:space="preserve">如果不提供《分项价格表》将视为没有实质性响应。</w:t>
      </w:r>
      <w:r/>
    </w:p>
    <w:p>
      <w:pPr>
        <w:ind w:firstLine="480"/>
        <w:spacing w:line="360" w:lineRule="auto"/>
        <w:rPr>
          <w:rFonts w:ascii="宋体" w:hAnsi="宋体" w:cs="宋体"/>
          <w:sz w:val="24"/>
        </w:rPr>
      </w:pPr>
      <w:r>
        <w:rPr>
          <w:rFonts w:hint="eastAsia" w:ascii="宋体" w:hAnsi="宋体" w:cs="宋体"/>
          <w:bCs/>
          <w:sz w:val="24"/>
        </w:rPr>
        <w:t xml:space="preserve">2.响</w:t>
      </w:r>
      <w:r>
        <w:rPr>
          <w:rFonts w:hint="eastAsia" w:ascii="宋体" w:hAnsi="宋体" w:cs="宋体"/>
          <w:sz w:val="24"/>
        </w:rPr>
        <w:t xml:space="preserve">应供应商对以上数据的真实性负责。</w:t>
      </w:r>
      <w:r/>
    </w:p>
    <w:p>
      <w:pPr>
        <w:ind w:firstLine="482"/>
        <w:jc w:val="left"/>
        <w:spacing w:line="360" w:lineRule="auto"/>
        <w:rPr>
          <w:rFonts w:ascii="宋体" w:hAnsi="宋体" w:cs="宋体"/>
          <w:b/>
          <w:sz w:val="24"/>
          <w:u w:val="single"/>
        </w:rPr>
      </w:pPr>
      <w:r>
        <w:rPr>
          <w:rFonts w:hint="eastAsia" w:ascii="宋体" w:hAnsi="宋体" w:cs="宋体"/>
          <w:b/>
          <w:sz w:val="24"/>
          <w:u w:val="single"/>
        </w:rPr>
        <w:t xml:space="preserve">采购人或采购代理机构有权将以上内容进行公示。</w:t>
      </w:r>
      <w:r/>
    </w:p>
    <w:p>
      <w:pPr>
        <w:ind w:firstLine="482"/>
        <w:jc w:val="left"/>
        <w:spacing w:line="360" w:lineRule="auto"/>
        <w:rPr>
          <w:rFonts w:ascii="宋体" w:hAnsi="宋体" w:cs="宋体"/>
          <w:b/>
          <w:sz w:val="24"/>
          <w:u w:val="single"/>
        </w:rPr>
      </w:pPr>
      <w:r>
        <w:rPr>
          <w:rFonts w:ascii="宋体" w:hAnsi="宋体" w:cs="宋体"/>
          <w:b/>
          <w:sz w:val="24"/>
          <w:u w:val="single"/>
        </w:rPr>
      </w:r>
      <w:r/>
    </w:p>
    <w:p>
      <w:pPr>
        <w:rPr>
          <w:rFonts w:hint="eastAsia" w:eastAsia="宋体" w:cs="宋体"/>
          <w:b/>
          <w:sz w:val="30"/>
          <w:szCs w:val="30"/>
          <w:lang w:val="en-US" w:eastAsia="zh-CN"/>
        </w:rPr>
      </w:pPr>
      <w:r>
        <w:rPr>
          <w:rFonts w:hint="eastAsia" w:eastAsia="宋体" w:cs="宋体"/>
          <w:b/>
          <w:sz w:val="30"/>
          <w:szCs w:val="30"/>
          <w:lang w:val="en-US" w:eastAsia="zh-CN"/>
        </w:rPr>
        <w:br w:type="page" w:clear="all"/>
      </w:r>
      <w:r/>
    </w:p>
    <w:p>
      <w:pPr>
        <w:pStyle w:val="894"/>
        <w:ind w:firstLine="0"/>
        <w:jc w:val="center"/>
        <w:rPr>
          <w:rFonts w:eastAsia="宋体" w:cs="宋体"/>
          <w:b/>
          <w:sz w:val="30"/>
          <w:szCs w:val="30"/>
        </w:rPr>
        <w:outlineLvl w:val="0"/>
      </w:pPr>
      <w:r/>
      <w:bookmarkStart w:id="23" w:name="_Toc4982"/>
      <w:r>
        <w:rPr>
          <w:rFonts w:hint="eastAsia" w:eastAsia="宋体" w:cs="宋体"/>
          <w:b/>
          <w:sz w:val="30"/>
          <w:szCs w:val="30"/>
          <w:lang w:val="en-US" w:eastAsia="zh-CN"/>
        </w:rPr>
        <w:t xml:space="preserve">5</w:t>
      </w:r>
      <w:r>
        <w:rPr>
          <w:rFonts w:hint="eastAsia" w:eastAsia="宋体" w:cs="宋体"/>
          <w:b/>
          <w:sz w:val="30"/>
          <w:szCs w:val="30"/>
        </w:rPr>
        <w:t xml:space="preserve">、偏离表</w:t>
      </w:r>
      <w:bookmarkEnd w:id="23"/>
      <w:r/>
      <w:r/>
    </w:p>
    <w:p>
      <w:pPr>
        <w:jc w:val="left"/>
        <w:spacing w:line="360" w:lineRule="auto"/>
        <w:rPr>
          <w:rFonts w:ascii="宋体" w:hAnsi="宋体" w:cs="宋体"/>
          <w:sz w:val="24"/>
        </w:rPr>
      </w:pPr>
      <w:r>
        <w:rPr>
          <w:rFonts w:hint="eastAsia" w:ascii="宋体" w:hAnsi="宋体" w:cs="宋体"/>
          <w:sz w:val="24"/>
        </w:rPr>
        <w:t xml:space="preserve">项目编号：</w:t>
      </w:r>
      <w:r/>
    </w:p>
    <w:p>
      <w:pPr>
        <w:pStyle w:val="959"/>
        <w:ind w:firstLine="0"/>
        <w:spacing w:before="0" w:after="0" w:line="360" w:lineRule="auto"/>
        <w:rPr>
          <w:rFonts w:ascii="宋体" w:hAnsi="宋体" w:eastAsia="宋体" w:cs="宋体"/>
        </w:rPr>
        <w:outlineLvl w:val="9"/>
      </w:pPr>
      <w:r>
        <w:rPr>
          <w:rFonts w:hint="eastAsia" w:ascii="宋体" w:hAnsi="宋体" w:eastAsia="宋体" w:cs="宋体"/>
          <w:b w:val="0"/>
          <w:bCs w:val="0"/>
          <w:sz w:val="24"/>
          <w:szCs w:val="24"/>
        </w:rPr>
        <w:t xml:space="preserve">项目名称：</w:t>
      </w:r>
      <w:r/>
    </w:p>
    <w:tbl>
      <w:tblPr>
        <w:tblStyle w:val="883"/>
        <w:tblW w:w="4998" w:type="pct"/>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43"/>
        <w:gridCol w:w="803"/>
        <w:gridCol w:w="4004"/>
        <w:gridCol w:w="1644"/>
        <w:gridCol w:w="1335"/>
        <w:gridCol w:w="835"/>
      </w:tblGrid>
      <w:tr>
        <w:trPr>
          <w:jc w:val="center"/>
          <w:trHeight w:val="414"/>
        </w:trPr>
        <w:tc>
          <w:tcPr>
            <w:tcBorders>
              <w:top w:val="single" w:color="000000" w:sz="6" w:space="0"/>
              <w:left w:val="single" w:color="000000" w:sz="6" w:space="0"/>
              <w:bottom w:val="single" w:color="000000" w:sz="6" w:space="0"/>
              <w:right w:val="single" w:color="000000" w:sz="6" w:space="0"/>
            </w:tcBorders>
            <w:tcW w:w="445" w:type="pct"/>
            <w:vAlign w:val="center"/>
            <w:textDirection w:val="lrTb"/>
            <w:noWrap w:val="false"/>
          </w:tcPr>
          <w:p>
            <w:pPr>
              <w:jc w:val="center"/>
              <w:rPr>
                <w:rFonts w:ascii="宋体" w:hAnsi="宋体" w:cs="宋体"/>
                <w:caps/>
                <w:sz w:val="24"/>
              </w:rPr>
            </w:pPr>
            <w:r>
              <w:rPr>
                <w:rFonts w:hint="eastAsia" w:ascii="宋体" w:hAnsi="宋体" w:cs="宋体"/>
                <w:caps/>
                <w:sz w:val="24"/>
              </w:rPr>
              <w:t xml:space="preserve">序号</w:t>
            </w:r>
            <w:r/>
          </w:p>
        </w:tc>
        <w:tc>
          <w:tcPr>
            <w:tcBorders>
              <w:top w:val="single" w:color="000000" w:sz="6" w:space="0"/>
              <w:left w:val="single" w:color="000000" w:sz="6" w:space="0"/>
              <w:bottom w:val="single" w:color="000000" w:sz="6" w:space="0"/>
              <w:right w:val="single" w:color="000000" w:sz="6" w:space="0"/>
            </w:tcBorders>
            <w:tcW w:w="424" w:type="pct"/>
            <w:vAlign w:val="center"/>
            <w:textDirection w:val="lrTb"/>
            <w:noWrap w:val="false"/>
          </w:tcPr>
          <w:p>
            <w:pPr>
              <w:jc w:val="center"/>
              <w:rPr>
                <w:rFonts w:ascii="宋体" w:hAnsi="宋体" w:cs="宋体"/>
                <w:caps/>
                <w:sz w:val="24"/>
              </w:rPr>
            </w:pPr>
            <w:r>
              <w:rPr>
                <w:rFonts w:hint="eastAsia" w:ascii="宋体" w:hAnsi="宋体" w:cs="宋体"/>
                <w:caps/>
                <w:sz w:val="24"/>
              </w:rPr>
              <w:t xml:space="preserve">偏离内容</w:t>
            </w:r>
            <w:r/>
          </w:p>
        </w:tc>
        <w:tc>
          <w:tcPr>
            <w:tcBorders>
              <w:top w:val="single" w:color="000000" w:sz="6" w:space="0"/>
              <w:left w:val="single" w:color="000000" w:sz="6" w:space="0"/>
              <w:bottom w:val="single" w:color="000000" w:sz="6" w:space="0"/>
              <w:right w:val="single" w:color="000000" w:sz="6" w:space="0"/>
            </w:tcBorders>
            <w:tcW w:w="2114" w:type="pct"/>
            <w:vAlign w:val="center"/>
            <w:textDirection w:val="lrTb"/>
            <w:noWrap w:val="false"/>
          </w:tcPr>
          <w:p>
            <w:pPr>
              <w:jc w:val="center"/>
              <w:rPr>
                <w:rFonts w:ascii="宋体" w:hAnsi="宋体" w:cs="宋体"/>
                <w:caps/>
                <w:sz w:val="24"/>
              </w:rPr>
            </w:pPr>
            <w:r>
              <w:rPr>
                <w:rFonts w:hint="eastAsia" w:ascii="宋体" w:hAnsi="宋体" w:cs="宋体"/>
                <w:sz w:val="24"/>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jc w:val="center"/>
              <w:rPr>
                <w:rFonts w:ascii="宋体" w:hAnsi="宋体" w:cs="宋体"/>
                <w:caps/>
                <w:sz w:val="24"/>
              </w:rPr>
            </w:pPr>
            <w:r>
              <w:rPr>
                <w:rFonts w:hint="eastAsia" w:ascii="宋体" w:hAnsi="宋体" w:cs="宋体"/>
                <w:sz w:val="24"/>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705" w:type="pct"/>
            <w:vAlign w:val="center"/>
            <w:textDirection w:val="lrTb"/>
            <w:noWrap w:val="false"/>
          </w:tcPr>
          <w:p>
            <w:pPr>
              <w:rPr>
                <w:rFonts w:ascii="宋体" w:hAnsi="宋体" w:cs="宋体"/>
                <w:caps/>
                <w:sz w:val="24"/>
              </w:rPr>
            </w:pPr>
            <w:r>
              <w:rPr>
                <w:rFonts w:hint="eastAsia" w:ascii="宋体" w:hAnsi="宋体" w:cs="宋体"/>
                <w:caps/>
                <w:sz w:val="24"/>
              </w:rPr>
              <w:t xml:space="preserve">（正/负/无）偏离</w:t>
            </w:r>
            <w:r/>
          </w:p>
        </w:tc>
        <w:tc>
          <w:tcPr>
            <w:tcBorders>
              <w:top w:val="single" w:color="000000" w:sz="6" w:space="0"/>
              <w:left w:val="single" w:color="000000" w:sz="6" w:space="0"/>
              <w:bottom w:val="single" w:color="000000" w:sz="6" w:space="0"/>
              <w:right w:val="single" w:color="000000" w:sz="6" w:space="0"/>
            </w:tcBorders>
            <w:tcW w:w="441" w:type="pct"/>
            <w:vAlign w:val="center"/>
            <w:textDirection w:val="lrTb"/>
            <w:noWrap w:val="false"/>
          </w:tcPr>
          <w:p>
            <w:pPr>
              <w:jc w:val="center"/>
              <w:rPr>
                <w:rFonts w:ascii="宋体" w:hAnsi="宋体" w:cs="宋体"/>
                <w:caps/>
                <w:sz w:val="24"/>
              </w:rPr>
            </w:pPr>
            <w:r>
              <w:rPr>
                <w:rFonts w:hint="eastAsia" w:ascii="宋体" w:hAnsi="宋体" w:cs="宋体"/>
                <w:caps/>
                <w:sz w:val="24"/>
              </w:rPr>
              <w:t xml:space="preserve">说明</w:t>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445" w:type="pct"/>
            <w:vAlign w:val="center"/>
            <w:textDirection w:val="lrTb"/>
            <w:noWrap w:val="false"/>
          </w:tcPr>
          <w:p>
            <w:pPr>
              <w:jc w:val="center"/>
              <w:rPr>
                <w:rFonts w:ascii="宋体" w:hAnsi="宋体" w:cs="宋体"/>
                <w:caps/>
                <w:sz w:val="24"/>
              </w:rPr>
            </w:pPr>
            <w:r>
              <w:rPr>
                <w:rFonts w:ascii="宋体" w:hAnsi="宋体" w:cs="宋体"/>
                <w:caps/>
                <w:sz w:val="24"/>
              </w:rPr>
            </w:r>
            <w:r/>
          </w:p>
        </w:tc>
        <w:tc>
          <w:tcPr>
            <w:tcBorders>
              <w:top w:val="single" w:color="000000" w:sz="6" w:space="0"/>
              <w:left w:val="single" w:color="000000" w:sz="6" w:space="0"/>
              <w:bottom w:val="single" w:color="000000" w:sz="6" w:space="0"/>
              <w:right w:val="single" w:color="000000" w:sz="6" w:space="0"/>
            </w:tcBorders>
            <w:tcW w:w="424" w:type="pct"/>
            <w:vAlign w:val="center"/>
            <w:textDirection w:val="lrTb"/>
            <w:noWrap w:val="false"/>
          </w:tcPr>
          <w:p>
            <w:pPr>
              <w:jc w:val="center"/>
              <w:rPr>
                <w:rFonts w:ascii="宋体" w:hAnsi="宋体" w:cs="宋体"/>
                <w:caps/>
                <w:sz w:val="24"/>
              </w:rPr>
            </w:pPr>
            <w:r>
              <w:rPr>
                <w:rFonts w:ascii="宋体" w:hAnsi="宋体" w:cs="宋体"/>
                <w:caps/>
                <w:sz w:val="24"/>
              </w:rPr>
            </w:r>
            <w:r/>
          </w:p>
        </w:tc>
        <w:tc>
          <w:tcPr>
            <w:tcBorders>
              <w:top w:val="single" w:color="000000" w:sz="6" w:space="0"/>
              <w:left w:val="single" w:color="000000" w:sz="6" w:space="0"/>
              <w:bottom w:val="single" w:color="000000" w:sz="6" w:space="0"/>
              <w:right w:val="single" w:color="000000" w:sz="6" w:space="0"/>
            </w:tcBorders>
            <w:tcW w:w="2114" w:type="pct"/>
            <w:vAlign w:val="center"/>
            <w:textDirection w:val="lrTb"/>
            <w:noWrap w:val="false"/>
          </w:tcPr>
          <w:p>
            <w:pPr>
              <w:jc w:val="center"/>
              <w:rPr>
                <w:rFonts w:ascii="宋体" w:hAnsi="宋体" w:cs="宋体"/>
                <w:caps/>
                <w:sz w:val="24"/>
              </w:rPr>
            </w:pPr>
            <w:r>
              <w:rPr>
                <w:rFonts w:ascii="宋体" w:hAnsi="宋体" w:cs="宋体"/>
                <w:caps/>
                <w:sz w:val="24"/>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jc w:val="center"/>
              <w:rPr>
                <w:rFonts w:ascii="宋体" w:hAnsi="宋体" w:cs="宋体"/>
                <w:caps/>
                <w:sz w:val="24"/>
              </w:rPr>
            </w:pPr>
            <w:r>
              <w:rPr>
                <w:rFonts w:ascii="宋体" w:hAnsi="宋体" w:cs="宋体"/>
                <w:caps/>
                <w:sz w:val="24"/>
              </w:rPr>
            </w:r>
            <w:r/>
          </w:p>
        </w:tc>
        <w:tc>
          <w:tcPr>
            <w:tcBorders>
              <w:top w:val="single" w:color="000000" w:sz="6" w:space="0"/>
              <w:left w:val="single" w:color="000000" w:sz="6" w:space="0"/>
              <w:bottom w:val="single" w:color="000000" w:sz="6" w:space="0"/>
              <w:right w:val="single" w:color="000000" w:sz="6" w:space="0"/>
            </w:tcBorders>
            <w:tcW w:w="705" w:type="pct"/>
            <w:vAlign w:val="center"/>
            <w:textDirection w:val="lrTb"/>
            <w:noWrap w:val="false"/>
          </w:tcPr>
          <w:p>
            <w:pPr>
              <w:jc w:val="center"/>
              <w:rPr>
                <w:rFonts w:ascii="宋体" w:hAnsi="宋体" w:cs="宋体"/>
                <w:caps/>
                <w:sz w:val="24"/>
              </w:rPr>
            </w:pPr>
            <w:r>
              <w:rPr>
                <w:rFonts w:ascii="宋体" w:hAnsi="宋体" w:cs="宋体"/>
                <w:caps/>
                <w:sz w:val="24"/>
              </w:rPr>
            </w:r>
            <w:r/>
          </w:p>
        </w:tc>
        <w:tc>
          <w:tcPr>
            <w:tcBorders>
              <w:top w:val="single" w:color="000000" w:sz="6" w:space="0"/>
              <w:left w:val="single" w:color="000000" w:sz="6" w:space="0"/>
              <w:bottom w:val="single" w:color="000000" w:sz="6" w:space="0"/>
              <w:right w:val="single" w:color="000000" w:sz="6" w:space="0"/>
            </w:tcBorders>
            <w:tcW w:w="441" w:type="pct"/>
            <w:vAlign w:val="center"/>
            <w:textDirection w:val="lrTb"/>
            <w:noWrap w:val="false"/>
          </w:tcPr>
          <w:p>
            <w:pPr>
              <w:jc w:val="center"/>
              <w:rPr>
                <w:rFonts w:ascii="宋体" w:hAnsi="宋体" w:cs="宋体"/>
                <w:caps/>
                <w:sz w:val="24"/>
              </w:rPr>
            </w:pPr>
            <w:r>
              <w:rPr>
                <w:rFonts w:ascii="宋体" w:hAnsi="宋体" w:cs="宋体"/>
                <w:caps/>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445" w:type="pct"/>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424" w:type="pct"/>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114" w:type="pct"/>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705" w:type="pct"/>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441" w:type="pct"/>
            <w:vAlign w:val="center"/>
            <w:textDirection w:val="lrTb"/>
            <w:noWrap w:val="false"/>
          </w:tcPr>
          <w:p>
            <w:pPr>
              <w:rPr>
                <w:rFonts w:ascii="宋体" w:hAnsi="宋体" w:cs="宋体"/>
                <w:sz w:val="24"/>
              </w:rPr>
            </w:pPr>
            <w:r>
              <w:rPr>
                <w:rFonts w:ascii="宋体" w:hAnsi="宋体" w:cs="宋体"/>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445" w:type="pct"/>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424" w:type="pct"/>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114" w:type="pct"/>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705" w:type="pct"/>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441" w:type="pct"/>
            <w:vAlign w:val="center"/>
            <w:textDirection w:val="lrTb"/>
            <w:noWrap w:val="false"/>
          </w:tcPr>
          <w:p>
            <w:pPr>
              <w:rPr>
                <w:rFonts w:ascii="宋体" w:hAnsi="宋体" w:cs="宋体"/>
                <w:sz w:val="24"/>
              </w:rPr>
            </w:pPr>
            <w:r>
              <w:rPr>
                <w:rFonts w:ascii="宋体" w:hAnsi="宋体" w:cs="宋体"/>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445" w:type="pct"/>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424" w:type="pct"/>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114" w:type="pct"/>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705" w:type="pct"/>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441" w:type="pct"/>
            <w:vAlign w:val="center"/>
            <w:textDirection w:val="lrTb"/>
            <w:noWrap w:val="false"/>
          </w:tcPr>
          <w:p>
            <w:pPr>
              <w:rPr>
                <w:rFonts w:ascii="宋体" w:hAnsi="宋体" w:cs="宋体"/>
                <w:sz w:val="24"/>
              </w:rPr>
            </w:pPr>
            <w:r>
              <w:rPr>
                <w:rFonts w:ascii="宋体" w:hAnsi="宋体" w:cs="宋体"/>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445" w:type="pct"/>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424" w:type="pct"/>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114" w:type="pct"/>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705" w:type="pct"/>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441" w:type="pct"/>
            <w:vAlign w:val="center"/>
            <w:textDirection w:val="lrTb"/>
            <w:noWrap w:val="false"/>
          </w:tcPr>
          <w:p>
            <w:pPr>
              <w:rPr>
                <w:rFonts w:ascii="宋体" w:hAnsi="宋体" w:cs="宋体"/>
                <w:sz w:val="24"/>
              </w:rPr>
            </w:pPr>
            <w:r>
              <w:rPr>
                <w:rFonts w:ascii="宋体" w:hAnsi="宋体" w:cs="宋体"/>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445" w:type="pct"/>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424" w:type="pct"/>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114" w:type="pct"/>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705" w:type="pct"/>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441" w:type="pct"/>
            <w:vAlign w:val="center"/>
            <w:textDirection w:val="lrTb"/>
            <w:noWrap w:val="false"/>
          </w:tcPr>
          <w:p>
            <w:pPr>
              <w:rPr>
                <w:rFonts w:ascii="宋体" w:hAnsi="宋体" w:cs="宋体"/>
                <w:sz w:val="24"/>
              </w:rPr>
            </w:pPr>
            <w:r>
              <w:rPr>
                <w:rFonts w:ascii="宋体" w:hAnsi="宋体" w:cs="宋体"/>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445" w:type="pct"/>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424" w:type="pct"/>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114" w:type="pct"/>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705" w:type="pct"/>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441" w:type="pct"/>
            <w:vAlign w:val="center"/>
            <w:textDirection w:val="lrTb"/>
            <w:noWrap w:val="false"/>
          </w:tcPr>
          <w:p>
            <w:pPr>
              <w:rPr>
                <w:rFonts w:ascii="宋体" w:hAnsi="宋体" w:cs="宋体"/>
                <w:sz w:val="24"/>
              </w:rPr>
            </w:pPr>
            <w:r>
              <w:rPr>
                <w:rFonts w:ascii="宋体" w:hAnsi="宋体" w:cs="宋体"/>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445" w:type="pct"/>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424" w:type="pct"/>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114" w:type="pct"/>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705" w:type="pct"/>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441" w:type="pct"/>
            <w:vAlign w:val="center"/>
            <w:textDirection w:val="lrTb"/>
            <w:noWrap w:val="false"/>
          </w:tcPr>
          <w:p>
            <w:pPr>
              <w:rPr>
                <w:rFonts w:ascii="宋体" w:hAnsi="宋体" w:cs="宋体"/>
                <w:sz w:val="24"/>
              </w:rPr>
            </w:pPr>
            <w:r>
              <w:rPr>
                <w:rFonts w:ascii="宋体" w:hAnsi="宋体" w:cs="宋体"/>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445" w:type="pct"/>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424" w:type="pct"/>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114" w:type="pct"/>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705" w:type="pct"/>
            <w:vAlign w:val="center"/>
            <w:textDirection w:val="lrTb"/>
            <w:noWrap w:val="false"/>
          </w:tcPr>
          <w:p>
            <w:pPr>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441" w:type="pct"/>
            <w:vAlign w:val="center"/>
            <w:textDirection w:val="lrTb"/>
            <w:noWrap w:val="false"/>
          </w:tcPr>
          <w:p>
            <w:pPr>
              <w:rPr>
                <w:rFonts w:ascii="宋体" w:hAnsi="宋体" w:cs="宋体"/>
                <w:sz w:val="24"/>
              </w:rPr>
            </w:pPr>
            <w:r>
              <w:rPr>
                <w:rFonts w:ascii="宋体" w:hAnsi="宋体" w:cs="宋体"/>
                <w:sz w:val="24"/>
              </w:rPr>
            </w:r>
            <w:r/>
          </w:p>
        </w:tc>
      </w:tr>
    </w:tbl>
    <w:p>
      <w:pPr>
        <w:rPr>
          <w:rFonts w:ascii="宋体" w:hAnsi="宋体" w:cs="宋体"/>
          <w:sz w:val="24"/>
          <w:u w:val="single"/>
        </w:rPr>
      </w:pPr>
      <w:r>
        <w:rPr>
          <w:rFonts w:ascii="宋体" w:hAnsi="宋体" w:cs="宋体"/>
          <w:sz w:val="24"/>
          <w:u w:val="single"/>
        </w:rPr>
      </w:r>
      <w:r/>
    </w:p>
    <w:p>
      <w:pPr>
        <w:spacing w:line="360" w:lineRule="auto"/>
        <w:rPr>
          <w:rFonts w:ascii="宋体" w:hAnsi="宋体" w:cs="宋体"/>
          <w:sz w:val="24"/>
        </w:rPr>
      </w:pPr>
      <w:r>
        <w:rPr>
          <w:rFonts w:hint="eastAsia" w:ascii="宋体" w:hAnsi="宋体" w:cs="宋体"/>
          <w:sz w:val="24"/>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ind w:right="29"/>
        <w:jc w:val="left"/>
        <w:spacing w:line="360" w:lineRule="auto"/>
        <w:rPr>
          <w:rFonts w:ascii="宋体" w:hAnsi="宋体" w:cs="宋体"/>
          <w:sz w:val="24"/>
        </w:rPr>
      </w:pPr>
      <w:r>
        <w:rPr>
          <w:rFonts w:ascii="宋体" w:hAnsi="宋体" w:cs="宋体"/>
          <w:sz w:val="24"/>
        </w:rPr>
      </w:r>
      <w:r/>
    </w:p>
    <w:p>
      <w:pPr>
        <w:ind w:right="29"/>
        <w:jc w:val="left"/>
        <w:spacing w:line="360" w:lineRule="auto"/>
        <w:rPr>
          <w:rFonts w:ascii="宋体" w:hAnsi="宋体" w:cs="宋体"/>
          <w:sz w:val="24"/>
        </w:rPr>
      </w:pPr>
      <w:r>
        <w:rPr>
          <w:rFonts w:hint="eastAsia" w:ascii="宋体" w:hAnsi="宋体" w:cs="宋体"/>
          <w:sz w:val="24"/>
        </w:rPr>
        <w:t xml:space="preserve">供应商（电子签章）：</w:t>
      </w:r>
      <w:r/>
    </w:p>
    <w:p>
      <w:pPr>
        <w:ind w:right="29"/>
        <w:jc w:val="left"/>
        <w:spacing w:line="360" w:lineRule="auto"/>
        <w:rPr>
          <w:rFonts w:ascii="宋体" w:hAnsi="宋体" w:cs="宋体"/>
          <w:sz w:val="24"/>
        </w:rPr>
      </w:pPr>
      <w:r>
        <w:rPr>
          <w:rFonts w:hint="eastAsia" w:ascii="宋体" w:hAnsi="宋体" w:cs="宋体"/>
          <w:sz w:val="24"/>
        </w:rPr>
        <w:t xml:space="preserve">法定代表人（负责人)或授权代表（签字或盖章）： </w:t>
      </w:r>
      <w:r/>
    </w:p>
    <w:p>
      <w:pPr>
        <w:jc w:val="left"/>
        <w:rPr>
          <w:rFonts w:ascii="宋体" w:hAnsi="宋体" w:cs="宋体"/>
          <w:sz w:val="24"/>
        </w:rPr>
      </w:pPr>
      <w:r>
        <w:rPr>
          <w:rFonts w:hint="eastAsia" w:ascii="宋体" w:hAnsi="宋体" w:cs="宋体"/>
          <w:sz w:val="24"/>
        </w:rPr>
        <w:t xml:space="preserve">日期：</w:t>
      </w:r>
      <w:r/>
    </w:p>
    <w:p>
      <w:pPr>
        <w:ind w:right="29"/>
        <w:jc w:val="center"/>
        <w:spacing w:line="360" w:lineRule="auto"/>
        <w:rPr>
          <w:rFonts w:ascii="宋体" w:hAnsi="宋体" w:cs="宋体"/>
          <w:sz w:val="24"/>
        </w:rPr>
        <w:outlineLvl w:val="0"/>
      </w:pPr>
      <w:r>
        <w:rPr>
          <w:rFonts w:hint="eastAsia" w:ascii="宋体" w:hAnsi="宋体" w:cs="宋体"/>
          <w:b/>
          <w:sz w:val="36"/>
        </w:rPr>
        <w:br w:type="page" w:clear="all"/>
      </w:r>
      <w:bookmarkStart w:id="24" w:name="_Toc3971"/>
      <w:r>
        <w:rPr>
          <w:rFonts w:hint="eastAsia" w:ascii="宋体" w:hAnsi="宋体" w:cs="宋体"/>
          <w:b/>
          <w:sz w:val="36"/>
          <w:lang w:val="en-US" w:eastAsia="zh-CN"/>
        </w:rPr>
        <w:t xml:space="preserve">6</w:t>
      </w:r>
      <w:r>
        <w:rPr>
          <w:rFonts w:hint="eastAsia" w:ascii="宋体" w:hAnsi="宋体" w:cs="宋体"/>
          <w:b/>
          <w:sz w:val="30"/>
          <w:szCs w:val="30"/>
        </w:rPr>
        <w:t xml:space="preserve">、合同草案条款</w:t>
      </w:r>
      <w:bookmarkEnd w:id="24"/>
      <w:r/>
      <w:r/>
    </w:p>
    <w:p>
      <w:pPr>
        <w:ind w:firstLine="482"/>
        <w:jc w:val="center"/>
        <w:spacing w:line="360" w:lineRule="auto"/>
        <w:rPr>
          <w:rFonts w:ascii="宋体" w:hAnsi="宋体" w:cs="宋体"/>
          <w:b/>
          <w:sz w:val="24"/>
        </w:rPr>
      </w:pPr>
      <w:r/>
      <w:bookmarkStart w:id="25" w:name="_Toc65317831"/>
      <w:r>
        <w:rPr>
          <w:rFonts w:hint="eastAsia" w:ascii="宋体" w:hAnsi="宋体" w:cs="宋体"/>
          <w:b/>
          <w:sz w:val="24"/>
        </w:rPr>
        <w:t xml:space="preserve">（以采购人与成交供应商最终签订版本为准）</w:t>
      </w:r>
      <w:bookmarkEnd w:id="25"/>
      <w:r/>
      <w:r/>
    </w:p>
    <w:p>
      <w:pPr>
        <w:spacing w:line="360" w:lineRule="auto"/>
        <w:widowControl/>
        <w:rPr>
          <w:rFonts w:hint="eastAsia" w:ascii="宋体" w:hAnsi="宋体" w:cs="宋体"/>
          <w:sz w:val="24"/>
        </w:rPr>
      </w:pPr>
      <w:r>
        <w:rPr>
          <w:rFonts w:hint="eastAsia" w:ascii="宋体" w:hAnsi="宋体" w:cs="宋体"/>
          <w:sz w:val="24"/>
        </w:rPr>
      </w:r>
      <w:r/>
    </w:p>
    <w:p>
      <w:pPr>
        <w:jc w:val="center"/>
        <w:rPr>
          <w:rFonts w:hint="eastAsia" w:ascii="仿宋" w:hAnsi="仿宋" w:eastAsia="仿宋" w:cs="仿宋"/>
          <w:b/>
          <w:bCs/>
          <w:color w:val="auto"/>
          <w:sz w:val="72"/>
          <w:szCs w:val="72"/>
          <w:highlight w:val="none"/>
        </w:rPr>
      </w:pPr>
      <w:r>
        <w:rPr>
          <w:rFonts w:hint="eastAsia" w:ascii="仿宋" w:hAnsi="仿宋" w:eastAsia="仿宋" w:cs="仿宋"/>
          <w:b/>
          <w:bCs/>
          <w:color w:val="auto"/>
          <w:sz w:val="72"/>
          <w:szCs w:val="72"/>
          <w:highlight w:val="none"/>
        </w:rPr>
      </w:r>
      <w:r/>
    </w:p>
    <w:p>
      <w:pPr>
        <w:jc w:val="center"/>
        <w:rPr>
          <w:rFonts w:hint="eastAsia" w:ascii="宋体" w:hAnsi="宋体" w:eastAsia="宋体" w:cs="宋体"/>
          <w:b/>
          <w:bCs/>
          <w:color w:val="auto"/>
          <w:sz w:val="72"/>
          <w:szCs w:val="72"/>
          <w:highlight w:val="none"/>
        </w:rPr>
      </w:pPr>
      <w:r>
        <w:rPr>
          <w:rFonts w:hint="eastAsia" w:ascii="宋体" w:hAnsi="宋体" w:eastAsia="宋体" w:cs="宋体"/>
          <w:b/>
          <w:bCs/>
          <w:color w:val="auto"/>
          <w:sz w:val="72"/>
          <w:szCs w:val="72"/>
          <w:highlight w:val="none"/>
        </w:rPr>
        <w:t xml:space="preserve">政</w:t>
      </w:r>
      <w:r/>
    </w:p>
    <w:p>
      <w:pPr>
        <w:jc w:val="center"/>
        <w:rPr>
          <w:rFonts w:hint="eastAsia" w:ascii="宋体" w:hAnsi="宋体" w:eastAsia="宋体" w:cs="宋体"/>
          <w:b/>
          <w:bCs/>
          <w:color w:val="auto"/>
          <w:sz w:val="72"/>
          <w:szCs w:val="72"/>
          <w:highlight w:val="none"/>
        </w:rPr>
      </w:pPr>
      <w:r>
        <w:rPr>
          <w:rFonts w:hint="eastAsia" w:ascii="宋体" w:hAnsi="宋体" w:eastAsia="宋体" w:cs="宋体"/>
          <w:b/>
          <w:bCs/>
          <w:color w:val="auto"/>
          <w:sz w:val="72"/>
          <w:szCs w:val="72"/>
          <w:highlight w:val="none"/>
        </w:rPr>
        <w:t xml:space="preserve">府</w:t>
      </w:r>
      <w:r/>
    </w:p>
    <w:p>
      <w:pPr>
        <w:jc w:val="center"/>
        <w:rPr>
          <w:rFonts w:hint="eastAsia" w:ascii="宋体" w:hAnsi="宋体" w:eastAsia="宋体" w:cs="宋体"/>
          <w:b/>
          <w:bCs/>
          <w:color w:val="auto"/>
          <w:sz w:val="72"/>
          <w:szCs w:val="72"/>
          <w:highlight w:val="none"/>
        </w:rPr>
      </w:pPr>
      <w:r>
        <w:rPr>
          <w:rFonts w:hint="eastAsia" w:ascii="宋体" w:hAnsi="宋体" w:eastAsia="宋体" w:cs="宋体"/>
          <w:b/>
          <w:bCs/>
          <w:color w:val="auto"/>
          <w:sz w:val="72"/>
          <w:szCs w:val="72"/>
          <w:highlight w:val="none"/>
        </w:rPr>
        <w:t xml:space="preserve">采</w:t>
      </w:r>
      <w:r/>
    </w:p>
    <w:p>
      <w:pPr>
        <w:jc w:val="center"/>
        <w:rPr>
          <w:rFonts w:hint="eastAsia" w:ascii="宋体" w:hAnsi="宋体" w:eastAsia="宋体" w:cs="宋体"/>
          <w:b/>
          <w:bCs/>
          <w:color w:val="auto"/>
          <w:sz w:val="72"/>
          <w:szCs w:val="72"/>
          <w:highlight w:val="none"/>
        </w:rPr>
      </w:pPr>
      <w:r>
        <w:rPr>
          <w:rFonts w:hint="eastAsia" w:ascii="宋体" w:hAnsi="宋体" w:eastAsia="宋体" w:cs="宋体"/>
          <w:b/>
          <w:bCs/>
          <w:color w:val="auto"/>
          <w:sz w:val="72"/>
          <w:szCs w:val="72"/>
          <w:highlight w:val="none"/>
        </w:rPr>
        <w:t xml:space="preserve">购</w:t>
      </w:r>
      <w:r/>
    </w:p>
    <w:p>
      <w:pPr>
        <w:jc w:val="center"/>
        <w:rPr>
          <w:rFonts w:hint="eastAsia" w:ascii="宋体" w:hAnsi="宋体" w:eastAsia="宋体" w:cs="宋体"/>
          <w:b/>
          <w:bCs/>
          <w:color w:val="auto"/>
          <w:sz w:val="72"/>
          <w:szCs w:val="72"/>
          <w:highlight w:val="none"/>
        </w:rPr>
      </w:pPr>
      <w:r>
        <w:rPr>
          <w:rFonts w:hint="eastAsia" w:ascii="宋体" w:hAnsi="宋体" w:eastAsia="宋体" w:cs="宋体"/>
          <w:b/>
          <w:bCs/>
          <w:color w:val="auto"/>
          <w:sz w:val="72"/>
          <w:szCs w:val="72"/>
          <w:highlight w:val="none"/>
        </w:rPr>
        <w:t xml:space="preserve">合</w:t>
      </w:r>
      <w:r/>
    </w:p>
    <w:p>
      <w:pPr>
        <w:jc w:val="center"/>
        <w:rPr>
          <w:rFonts w:hint="eastAsia" w:ascii="宋体" w:hAnsi="宋体" w:eastAsia="宋体" w:cs="宋体"/>
          <w:b/>
          <w:bCs/>
          <w:color w:val="auto"/>
          <w:sz w:val="84"/>
          <w:szCs w:val="84"/>
          <w:highlight w:val="none"/>
        </w:rPr>
      </w:pPr>
      <w:r>
        <w:rPr>
          <w:rFonts w:hint="eastAsia" w:ascii="宋体" w:hAnsi="宋体" w:eastAsia="宋体" w:cs="宋体"/>
          <w:b/>
          <w:bCs/>
          <w:color w:val="auto"/>
          <w:sz w:val="72"/>
          <w:szCs w:val="72"/>
          <w:highlight w:val="none"/>
        </w:rPr>
        <w:t xml:space="preserve">同</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left"/>
        <w:spacing w:after="120"/>
        <w:widowControl w:val="off"/>
        <w:rPr>
          <w:rFonts w:hint="eastAsia" w:ascii="宋体" w:hAnsi="宋体" w:eastAsia="宋体" w:cs="宋体"/>
          <w:b/>
          <w:color w:val="auto"/>
          <w:sz w:val="28"/>
          <w:szCs w:val="28"/>
          <w:highlight w:val="none"/>
          <w:lang w:val="en-US" w:eastAsia="zh-CN" w:bidi="ar-SA"/>
        </w:rPr>
      </w:pPr>
      <w:r>
        <w:rPr>
          <w:rFonts w:hint="eastAsia" w:ascii="宋体" w:hAnsi="宋体" w:eastAsia="宋体" w:cs="宋体"/>
          <w:b/>
          <w:color w:val="auto"/>
          <w:sz w:val="28"/>
          <w:szCs w:val="28"/>
          <w:highlight w:val="none"/>
          <w:lang w:val="en-US" w:eastAsia="zh-CN" w:bidi="ar-SA"/>
        </w:rPr>
        <w:t xml:space="preserve">采购人：</w:t>
      </w:r>
      <w:r/>
    </w:p>
    <w:p>
      <w:pPr>
        <w:jc w:val="left"/>
        <w:spacing w:after="120"/>
        <w:widowControl w:val="off"/>
        <w:rPr>
          <w:rFonts w:hint="eastAsia" w:ascii="宋体" w:hAnsi="宋体" w:eastAsia="宋体" w:cs="宋体"/>
          <w:b/>
          <w:color w:val="auto"/>
          <w:sz w:val="28"/>
          <w:szCs w:val="28"/>
          <w:highlight w:val="none"/>
          <w:lang w:val="en-US" w:eastAsia="zh-CN" w:bidi="ar-SA"/>
        </w:rPr>
      </w:pPr>
      <w:r>
        <w:rPr>
          <w:rFonts w:hint="eastAsia" w:ascii="宋体" w:hAnsi="宋体" w:eastAsia="宋体" w:cs="宋体"/>
          <w:b/>
          <w:color w:val="auto"/>
          <w:sz w:val="28"/>
          <w:szCs w:val="28"/>
          <w:highlight w:val="none"/>
          <w:lang w:val="en-US" w:eastAsia="zh-CN" w:bidi="ar-SA"/>
        </w:rPr>
        <w:t xml:space="preserve">成交供应商：</w:t>
      </w:r>
      <w:r/>
    </w:p>
    <w:p>
      <w:pPr>
        <w:jc w:val="left"/>
        <w:spacing w:after="120"/>
        <w:widowControl w:val="off"/>
        <w:rPr>
          <w:rFonts w:hint="eastAsia" w:ascii="宋体" w:hAnsi="宋体" w:eastAsia="宋体" w:cs="宋体"/>
          <w:b/>
          <w:color w:val="auto"/>
          <w:sz w:val="28"/>
          <w:szCs w:val="28"/>
          <w:highlight w:val="none"/>
          <w:lang w:val="en-US" w:eastAsia="zh-CN" w:bidi="ar-SA"/>
        </w:rPr>
      </w:pPr>
      <w:r>
        <w:rPr>
          <w:rFonts w:hint="eastAsia" w:ascii="宋体" w:hAnsi="宋体" w:eastAsia="宋体" w:cs="宋体"/>
          <w:b/>
          <w:color w:val="auto"/>
          <w:sz w:val="28"/>
          <w:szCs w:val="28"/>
          <w:highlight w:val="none"/>
          <w:lang w:val="en-US" w:eastAsia="zh-CN" w:bidi="ar-SA"/>
        </w:rPr>
        <w:t xml:space="preserve">合同签订日期：   年   月   日</w:t>
      </w:r>
      <w:r/>
    </w:p>
    <w:p>
      <w:pPr>
        <w:ind w:firstLine="562"/>
        <w:spacing w:line="36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友情提醒：采购人与中标、成交供应商应当在中标、成交通知书发出之日起三十日内，按照采购文件确定的事项签订政府采购合同。</w:t>
      </w:r>
      <w:r/>
    </w:p>
    <w:p>
      <w:pPr>
        <w:ind w:firstLine="560"/>
        <w:spacing w:line="360" w:lineRule="atLeast"/>
        <w:rPr>
          <w:rFonts w:hint="eastAsia" w:ascii="宋体" w:hAnsi="宋体" w:eastAsia="宋体" w:cs="宋体"/>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ind w:left="-218" w:right="2" w:firstLine="480"/>
        <w:jc w:val="center"/>
        <w:spacing w:line="360" w:lineRule="auto"/>
        <w:widowControl w:val="off"/>
        <w:rPr>
          <w:rFonts w:hint="eastAsia" w:ascii="楷体_GB2312" w:hAnsi="Times New Roman" w:eastAsia="楷体_GB2312" w:cs="Times New Roman"/>
          <w:sz w:val="24"/>
          <w:szCs w:val="28"/>
          <w:lang w:val="en-US" w:eastAsia="zh-CN" w:bidi="ar-SA"/>
        </w:rPr>
      </w:pPr>
      <w:r>
        <w:rPr>
          <w:rFonts w:hint="eastAsia" w:ascii="楷体_GB2312" w:hAnsi="Times New Roman" w:eastAsia="楷体_GB2312" w:cs="Times New Roman"/>
          <w:sz w:val="24"/>
          <w:szCs w:val="28"/>
          <w:lang w:val="en-US" w:eastAsia="zh-CN" w:bidi="ar-SA"/>
        </w:rPr>
      </w:r>
      <w:r/>
    </w:p>
    <w:p>
      <w:pPr>
        <w:ind w:left="140" w:hanging="105"/>
        <w:jc w:val="left"/>
        <w:rPr>
          <w:rFonts w:hint="eastAsia" w:ascii="宋体" w:hAnsi="宋体" w:eastAsia="宋体" w:cs="宋体"/>
          <w:b/>
          <w:sz w:val="21"/>
          <w:szCs w:val="20"/>
          <w:lang w:val="zh-CN" w:bidi="zh-CN"/>
        </w:rPr>
      </w:pPr>
      <w:r>
        <w:rPr>
          <w:rFonts w:hint="eastAsia" w:ascii="宋体" w:hAnsi="宋体" w:eastAsia="宋体" w:cs="宋体"/>
          <w:b/>
          <w:sz w:val="21"/>
          <w:szCs w:val="20"/>
          <w:lang w:val="zh-CN" w:bidi="zh-CN"/>
        </w:rPr>
        <w:t xml:space="preserve">注:本合同条款仅供参考，实际合同内容需根据双方实际情况和需求进行调整和补充。以采购人与中标、成交供应商最终签订版本为准。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spacing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甲方：</w:t>
      </w:r>
      <w:r/>
    </w:p>
    <w:p>
      <w:pPr>
        <w:spacing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乙方：</w:t>
      </w:r>
      <w:r/>
    </w:p>
    <w:p>
      <w:pPr>
        <w:ind w:firstLine="560"/>
        <w:spacing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根据《中华人民共和国民法典》、《中华人民共和国政府采购法》及</w:t>
      </w:r>
      <w:r>
        <w:rPr>
          <w:rFonts w:hint="eastAsia" w:ascii="宋体" w:hAnsi="宋体" w:eastAsia="宋体" w:cs="宋体"/>
          <w:color w:val="auto"/>
          <w:sz w:val="24"/>
          <w:szCs w:val="24"/>
          <w:highlight w:val="none"/>
          <w:u w:val="single"/>
          <w:lang w:eastAsia="zh-CN"/>
        </w:rPr>
        <w:t xml:space="preserve">2026年度城区道路带电类交通设施社会化管养服务</w:t>
      </w: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 xml:space="preserve">JSZC-320322-SHKL-C2026-0003</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文件的要求和</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结果，经甲乙双方协商一致，签订本合同。双方共同遵守如下条款：</w:t>
      </w:r>
      <w:r/>
    </w:p>
    <w:p>
      <w:pPr>
        <w:spacing w:line="400" w:lineRule="atLeast"/>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一、服务期限</w:t>
      </w:r>
      <w:r/>
    </w:p>
    <w:p>
      <w:pPr>
        <w:spacing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服务期</w:t>
      </w:r>
      <w:r>
        <w:rPr>
          <w:rFonts w:hint="eastAsia" w:ascii="宋体" w:hAnsi="宋体" w:eastAsia="宋体" w:cs="宋体"/>
          <w:color w:val="auto"/>
          <w:sz w:val="24"/>
          <w:szCs w:val="24"/>
          <w:highlight w:val="none"/>
          <w:u w:val="single"/>
        </w:rPr>
        <w:t xml:space="preserve">   1  </w:t>
      </w:r>
      <w:r>
        <w:rPr>
          <w:rFonts w:hint="eastAsia" w:ascii="宋体" w:hAnsi="宋体" w:eastAsia="宋体" w:cs="宋体"/>
          <w:color w:val="auto"/>
          <w:sz w:val="24"/>
          <w:szCs w:val="24"/>
          <w:highlight w:val="none"/>
        </w:rPr>
        <w:t xml:space="preserve">年，自</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日起至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日止。</w:t>
      </w:r>
      <w:r/>
    </w:p>
    <w:p>
      <w:pPr>
        <w:spacing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二、合同总价为¥</w:t>
      </w:r>
      <w:r>
        <w:rPr>
          <w:rFonts w:hint="eastAsia" w:ascii="宋体" w:hAnsi="宋体" w:eastAsia="宋体" w:cs="宋体"/>
          <w:b/>
          <w:bCs/>
          <w:color w:val="auto"/>
          <w:sz w:val="24"/>
          <w:szCs w:val="24"/>
          <w:highlight w:val="none"/>
          <w:u w:val="single"/>
        </w:rPr>
        <w:t xml:space="preserve">        </w:t>
      </w:r>
      <w:r>
        <w:rPr>
          <w:rFonts w:hint="eastAsia" w:ascii="宋体" w:hAnsi="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rPr>
        <w:t xml:space="preserve">大写：人民币</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rPr>
        <w:t xml:space="preserve">。</w:t>
      </w:r>
      <w:r/>
    </w:p>
    <w:p>
      <w:pPr>
        <w:spacing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具体单价内容如下：                                货币单位：人民币元</w:t>
      </w:r>
      <w:r/>
    </w:p>
    <w:tbl>
      <w:tblPr>
        <w:tblStyle w:val="883"/>
        <w:tblW w:w="977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87"/>
        <w:gridCol w:w="984"/>
        <w:gridCol w:w="2520"/>
        <w:gridCol w:w="1395"/>
        <w:gridCol w:w="960"/>
        <w:gridCol w:w="1119"/>
        <w:gridCol w:w="1119"/>
        <w:gridCol w:w="987"/>
      </w:tblGrid>
      <w:tr>
        <w:trPr>
          <w:jc w:val="center"/>
          <w:trHeight w:val="33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ind w:left="0" w:firstLine="0"/>
              <w:jc w:val="center"/>
              <w:keepLines w:val="0"/>
              <w:keepNext w:val="0"/>
              <w:spacing w:line="36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left="0" w:firstLine="0"/>
              <w:jc w:val="center"/>
              <w:keepLines w:val="0"/>
              <w:keepNext w:val="0"/>
              <w:spacing w:line="36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tcPr>
          <w:p>
            <w:pPr>
              <w:ind w:left="0" w:firstLine="0"/>
              <w:jc w:val="center"/>
              <w:keepLines w:val="0"/>
              <w:keepNext w:val="0"/>
              <w:spacing w:line="36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技术参数</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ind w:left="0" w:firstLine="0"/>
              <w:jc w:val="center"/>
              <w:keepLines w:val="0"/>
              <w:keepNext w:val="0"/>
              <w:spacing w:line="36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ind w:left="0" w:firstLine="0"/>
              <w:jc w:val="center"/>
              <w:keepLines w:val="0"/>
              <w:keepNext w:val="0"/>
              <w:spacing w:line="36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ind w:left="0" w:firstLine="0"/>
              <w:jc w:val="center"/>
              <w:keepLines w:val="0"/>
              <w:keepNext w:val="0"/>
              <w:spacing w:line="36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最高限价单价（元）</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ind w:left="0" w:firstLine="0"/>
              <w:jc w:val="center"/>
              <w:keepLines w:val="0"/>
              <w:keepNext w:val="0"/>
              <w:spacing w:line="36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单价报价（元）</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ind w:left="0" w:firstLine="0"/>
              <w:jc w:val="center"/>
              <w:keepLines w:val="0"/>
              <w:keepNext w:val="0"/>
              <w:spacing w:line="36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品牌及型号</w:t>
            </w:r>
            <w:r/>
          </w:p>
        </w:tc>
      </w:tr>
      <w:tr>
        <w:trPr>
          <w:jc w:val="center"/>
          <w:trHeight w:val="300"/>
        </w:trPr>
        <w:tc>
          <w:tcPr>
            <w:gridSpan w:val="8"/>
            <w:tcBorders>
              <w:top w:val="single" w:color="000000" w:sz="4" w:space="0"/>
              <w:left w:val="single" w:color="000000" w:sz="4" w:space="0"/>
              <w:bottom w:val="single" w:color="000000" w:sz="4" w:space="0"/>
              <w:right w:val="single" w:color="000000" w:sz="4" w:space="0"/>
            </w:tcBorders>
            <w:tcW w:w="9771" w:type="dxa"/>
            <w:vAlign w:val="center"/>
            <w:textDirection w:val="lrTb"/>
            <w:noWrap/>
          </w:tcPr>
          <w:p>
            <w:pPr>
              <w:ind w:firstLine="422"/>
              <w:jc w:val="center"/>
              <w:keepLines w:val="0"/>
              <w:keepNext w:val="0"/>
              <w:spacing w:line="36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一、日常基本巡检维护</w:t>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项目经理</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tcPr>
          <w:p>
            <w:pPr>
              <w:ind w:firstLine="420"/>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按采购需求核算平均每人服务费用</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人/季度</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36000</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前端维护人员</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tcPr>
          <w:p>
            <w:pPr>
              <w:ind w:firstLine="420"/>
              <w:jc w:val="center"/>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人/季度</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22000</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技术支持人员</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tcPr>
          <w:p>
            <w:pPr>
              <w:ind w:firstLine="420"/>
              <w:jc w:val="center"/>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人/季度</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25000</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维修升降车</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tcPr>
          <w:p>
            <w:pPr>
              <w:ind w:firstLine="420"/>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作业高度不低于6米(含燃油费用、保养费用)</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台/季度</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13000</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巡视车辆</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tcPr>
          <w:p>
            <w:pPr>
              <w:ind w:firstLine="420"/>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含燃油费用、保养费用</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台/季度</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10000</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调优车辆</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tcPr>
          <w:p>
            <w:pPr>
              <w:ind w:firstLine="420"/>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含燃油费用、保养费用</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台/季度</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8000</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tcPr>
          <w:p>
            <w:pPr>
              <w:ind w:firstLine="420"/>
              <w:jc w:val="center"/>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114000</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300"/>
        </w:trPr>
        <w:tc>
          <w:tcPr>
            <w:gridSpan w:val="6"/>
            <w:tcBorders>
              <w:top w:val="single" w:color="000000" w:sz="4" w:space="0"/>
              <w:left w:val="single" w:color="000000" w:sz="4" w:space="0"/>
              <w:bottom w:val="single" w:color="000000" w:sz="4" w:space="0"/>
              <w:right w:val="single" w:color="000000" w:sz="4" w:space="0"/>
            </w:tcBorders>
            <w:tcW w:w="7665" w:type="dxa"/>
            <w:vAlign w:val="center"/>
            <w:textDirection w:val="lrTb"/>
            <w:noWrap/>
          </w:tcPr>
          <w:p>
            <w:pPr>
              <w:ind w:firstLine="422"/>
              <w:jc w:val="center"/>
              <w:keepLines w:val="0"/>
              <w:keepNext w:val="0"/>
              <w:spacing w:line="36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二、维修配件更换</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ind w:firstLine="422"/>
              <w:jc w:val="center"/>
              <w:keepLines w:val="0"/>
              <w:keepNext w:val="0"/>
              <w:spacing w:line="36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ind w:firstLine="422"/>
              <w:jc w:val="center"/>
              <w:keepLines w:val="0"/>
              <w:keepNext w:val="0"/>
              <w:spacing w:line="36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信号机电源模块（维修）</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无缝插入现有信号机导轨，做到设备兼容、数据互通</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2000</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信号机主控模块（维修）</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无缝插入现有信号机导轨，做到设备兼容</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3500</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信号机检测模块（维修）</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无缝插入现有信号机导轨，做到设备兼容</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800</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信号机输出模块（维修）</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无缝插入现有信号机导轨，做到设备兼容</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1500</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信号机侧门控制按钮</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适配本地现用信号机主机，原厂配件 1 路手/自动切换、1 路下一步、1 路黄闪控制、1 路灭灯。</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150</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信号机校时定位模块</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适配本地现用信号机主机，原厂配件 定位模块：电源 DC5V、通信串口 RS232、支持 BD 定位与授时。</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信号机触摸控制面板</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适配本地现用信号机主机，原厂配件 电源 DC24V、通信串口 RS232、7 寸 TFT 屏、800*480 分辨率。</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2000</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信号机机柜</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1.包括整套机柜柜体及其附件（含柜体内部布线及电器元件、空开、连接卡槽等，不含信号主机及控制主板）机柜的运输及安装、信号机接线、调试、底部封堵等；2.符合 GB25280-2016 的相关要求，机柜采用的材料应当坚固耐用，并具备良好的防锈蚀性能，正常使用的情况下五年内不得发生锈蚀现象；信号机柜外观须与现有机柜保持一致，标准机柜。</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6500</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信号机机柜普通门锁</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适配本地现用 GB 联网信号机主机，原厂配件</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150</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接线端子</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适配本地现用 GB 联网信号机主机，原厂配件</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400</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电源插线板</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220V，功率≥3000W</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电源浪涌保护器</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适配本地现用 GB 联网信号机主机，原厂配件</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网线防雷器</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适配本地现用 GB 联网信号机主机，原厂配件</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黄闪控制器</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适配本地现用 GB 联网信号机主机，原厂配件</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800</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空开</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1．周围空气温度：-5℃- +70℃，24 小时内其平均值不超过+35℃：安全性能好，导电部件不外露；主触头系统结构独特，触头磨损小，电寿命增加；电磁铁工作可靠，损耗少，噪音小，且具很高的机械强度</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万兆光模块</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SFP10G多模光模块</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600</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灯盘（400直径）（含辅材）</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红黄绿机动车、箭头、特殊定制灯盘。符合《GB14887-2011道路交通信号灯》等国标。采用高亮度发光二极管，使用寿命超过50000小时，发光强度≥150cd；LED可靠性：≥50000小时；平均无故障时间MTBF&gt;20000小时；工作湿度：5%-95%（无冷凝）；工作温度：-40-+80℃；灯具发光条框架为聚碳酸脂材料，外壳、支臂应采用优质铝合金型材，机械强度高，外型美观，密封性能好，灯具表面应作亚光喷涂处理,不生锈，防尘，防水；信号灯图案符合国标附图的相关要求。</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750</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一体化人行灯单文字面板</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适配现有板式人行灯；板式人行灯下方行人提示文字，要求与灯色颜色一致；采用高亮度发光二极管，使用寿命超过50000小时，发光强度≥150cd；</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2300</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人行灯灯盘（含辅材）</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红灯静态行人</w:t>
            </w:r>
            <w:r>
              <w:rPr>
                <w:rFonts w:hint="eastAsia" w:ascii="宋体" w:hAnsi="宋体" w:eastAsia="宋体" w:cs="宋体"/>
                <w:i w:val="0"/>
                <w:color w:val="000000"/>
                <w:sz w:val="21"/>
                <w:szCs w:val="21"/>
                <w:u w:val="none"/>
                <w:lang w:val="en-US" w:eastAsia="zh-CN" w:bidi="ar"/>
              </w:rPr>
              <w:t xml:space="preserve">或绿灯动态行人；采用高亮度发光二极管，使用寿命超过50000小时，发光强度≥150cd；倒计时参数：300圆形倒计时；具有通讯式、触发式、跟随式三种工作模式自主切换功能；LED可靠性：≥50000小时；平均无故障时间MTBF&gt;20000小时；工作湿度：5%-95%（无冷凝）；工作温度：-40-+80℃；独立发光单元设计，拆卸维修方便，灯具发光条框架为聚碳酸脂材料，外壳、支臂应采用优质铝合金型材，机械强度高，外型美观，密封性能好，灯具表面应作亚光喷涂处理,不生锈，防尘，防水；信号灯图案符合国标附图的相关要求。</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600</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太阳能黄闪灯（含辅材）</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直径400mm，太阳能板+黄闪灯，铝合金外壳，二层防护。</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1500</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倒计时主控板</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产品符合GA/T508-2014《道路交通信号倒计时显示器》标准的相关要求，支持通讯、跟随、触发模式控制，与现有倒计时器匹配</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900</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信号灯发光单元帽沿</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根据现有进行定制、颜色与样式与现有一致。</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信号灯支架</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定制</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信号灯抱箍</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定制</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柱式人行灯抱箍</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定制</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杆件检修口盖板（定制）</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定制</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移动信号灯</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双头移动信号灯：2灯盘（方向指示信号灯+满屏信号灯），发光面直径：300m；太阳能电池板 ：功率100W，双太阳能板，正常工作寿命 大于8年，太阳能锂电池： 12V80AH；阴雨天可持续工作5天以上；发光体颜色:红，黄，绿。可视距离大于800m   产品材质：铁型材+高透光性聚碳酸酯PC(工艺：喷塑处理)     尺寸：2.4m-3.1m可调</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10000</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1200万电警抓拍单元</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1200万电子警察抓拍单元由防护罩组件及高清智能摄像机组成，抓拍单元防护罩前面板具有防尘、防水功能，单元内置LED暖光灯，单元支持网络防雷、防浪涌，宽温宽压等。</w:t>
            </w:r>
            <w:r>
              <w:rPr>
                <w:rFonts w:hint="eastAsia" w:ascii="宋体" w:hAnsi="宋体" w:eastAsia="宋体" w:cs="宋体"/>
                <w:i w:val="0"/>
                <w:color w:val="000000"/>
                <w:sz w:val="21"/>
                <w:szCs w:val="21"/>
                <w:u w:val="none"/>
                <w:lang w:val="en-US" w:eastAsia="zh-CN" w:bidi="ar"/>
              </w:rPr>
              <w:br/>
            </w:r>
            <w:r>
              <w:rPr>
                <w:rFonts w:hint="eastAsia" w:ascii="宋体" w:hAnsi="宋体" w:eastAsia="宋体" w:cs="宋体"/>
                <w:i w:val="0"/>
                <w:color w:val="000000"/>
                <w:sz w:val="21"/>
                <w:szCs w:val="21"/>
                <w:u w:val="none"/>
                <w:lang w:val="en-US" w:eastAsia="zh-CN" w:bidi="ar"/>
              </w:rPr>
              <w:t xml:space="preserve">内置摄像机采用1.1英寸高帧率全局曝光CMOS传感器，分辨率可达4112 × 3072，帧率高达25帧，具有清晰度高、照度低、帧率高、色彩还原度好等特点。</w:t>
            </w:r>
            <w:r>
              <w:rPr>
                <w:rFonts w:hint="eastAsia" w:ascii="宋体" w:hAnsi="宋体" w:eastAsia="宋体" w:cs="宋体"/>
                <w:i w:val="0"/>
                <w:color w:val="000000"/>
                <w:sz w:val="21"/>
                <w:szCs w:val="21"/>
                <w:u w:val="none"/>
                <w:lang w:val="en-US" w:eastAsia="zh-CN" w:bidi="ar"/>
              </w:rPr>
              <w:br/>
            </w:r>
            <w:r>
              <w:rPr>
                <w:rFonts w:hint="eastAsia" w:ascii="宋体" w:hAnsi="宋体" w:eastAsia="宋体" w:cs="宋体"/>
                <w:i w:val="0"/>
                <w:color w:val="000000"/>
                <w:sz w:val="21"/>
                <w:szCs w:val="21"/>
                <w:u w:val="none"/>
                <w:lang w:val="en-US" w:eastAsia="zh-CN" w:bidi="ar"/>
              </w:rPr>
              <w:t xml:space="preserve">视频采用H.265、H.264或MJPEG编码，低延时，低码率，压缩比高，处理灵活。</w:t>
            </w:r>
            <w:r>
              <w:rPr>
                <w:rFonts w:hint="eastAsia" w:ascii="宋体" w:hAnsi="宋体" w:eastAsia="宋体" w:cs="宋体"/>
                <w:i w:val="0"/>
                <w:color w:val="000000"/>
                <w:sz w:val="21"/>
                <w:szCs w:val="21"/>
                <w:u w:val="none"/>
                <w:lang w:val="en-US" w:eastAsia="zh-CN" w:bidi="ar"/>
              </w:rPr>
              <w:br/>
            </w:r>
            <w:r>
              <w:rPr>
                <w:rFonts w:hint="eastAsia" w:ascii="宋体" w:hAnsi="宋体" w:eastAsia="宋体" w:cs="宋体"/>
                <w:i w:val="0"/>
                <w:color w:val="000000"/>
                <w:sz w:val="21"/>
                <w:szCs w:val="21"/>
                <w:u w:val="none"/>
                <w:lang w:val="en-US" w:eastAsia="zh-CN" w:bidi="ar"/>
              </w:rPr>
              <w:t xml:space="preserve">支持LED频闪灯同步补光，防护罩内置LED车牌补光灯。支持机动车辆、非机动车、行人抓拍。支持车牌、车型、车身颜色（环境光有要求）、车标、子品牌等信息识别功能，支持压线、逆行、闯红灯、不按导向行驶等违法检测功能。红绿灯信号检测方式支持：IO信号，红绿灯检测器，视频检测。</w:t>
            </w:r>
            <w:r>
              <w:rPr>
                <w:rFonts w:hint="eastAsia" w:ascii="宋体" w:hAnsi="宋体" w:eastAsia="宋体" w:cs="宋体"/>
                <w:i w:val="0"/>
                <w:color w:val="000000"/>
                <w:sz w:val="21"/>
                <w:szCs w:val="21"/>
                <w:u w:val="none"/>
                <w:lang w:val="en-US" w:eastAsia="zh-CN" w:bidi="ar"/>
              </w:rPr>
              <w:br/>
            </w:r>
            <w:r>
              <w:rPr>
                <w:rFonts w:hint="eastAsia" w:ascii="宋体" w:hAnsi="宋体" w:eastAsia="宋体" w:cs="宋体"/>
                <w:i w:val="0"/>
                <w:color w:val="000000"/>
                <w:sz w:val="21"/>
                <w:szCs w:val="21"/>
                <w:u w:val="none"/>
                <w:lang w:val="en-US" w:eastAsia="zh-CN" w:bidi="ar"/>
              </w:rPr>
              <w:t xml:space="preserve">支持远程数据上传，GB/T 28181视频联网标准、GA/T 1400视图库标准、FTP协议，可将抓拍的图片上传给终端服务器、FTP服务器或者后端平台。可支持TF插卡本地存储，可支持至256G，抓拍图片可断网续传。</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14000</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900万电警抓拍单元</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包含摄像机、高清镜头、室外防护罩、风</w:t>
            </w:r>
            <w:r>
              <w:rPr>
                <w:rFonts w:hint="eastAsia" w:ascii="宋体" w:hAnsi="宋体" w:eastAsia="宋体" w:cs="宋体"/>
                <w:i w:val="0"/>
                <w:color w:val="000000"/>
                <w:sz w:val="21"/>
                <w:szCs w:val="21"/>
                <w:u w:val="none"/>
                <w:lang w:val="en-US" w:eastAsia="zh-CN" w:bidi="ar"/>
              </w:rPr>
              <w:t xml:space="preserve">扇、内置补光灯、电源适配器、相机内置防雷模块、安装万向节等。像素：900W；分辨率：最大支持4096*2160；帧率：25fps；感光器件：4/3" GMOS                                                                                                                                      镜头：16mm镜头；照度：彩色:0.005Lux ；视频压缩标准：H.265/H.26</w:t>
            </w:r>
            <w:r>
              <w:rPr>
                <w:rFonts w:hint="eastAsia" w:ascii="宋体" w:hAnsi="宋体" w:eastAsia="宋体" w:cs="宋体"/>
                <w:i w:val="0"/>
                <w:color w:val="000000"/>
                <w:sz w:val="21"/>
                <w:szCs w:val="21"/>
                <w:u w:val="none"/>
                <w:lang w:val="en-US" w:eastAsia="zh-CN" w:bidi="ar"/>
              </w:rPr>
              <w:t xml:space="preserve">4/MJPEG；图像输出格式：JPEG；输出：电平量信号。通讯接口：2个RJ45 100M/1000M自适应网口，3个RS485接口，1个RS232接口。外部接口：4路外部触发输入，6路(5V TTL电平量)输出，可作为闪光灯同步输出控制，SYNC信号灯电源同步输入。存储支持：最大支持128G TF卡；自动光圈镜头：支持；工作电压：220VAC±20%；频率：50HZ±2%；；功耗：＜20W；支持智能识别功能：内置视频识别功能，支持车牌识别、视频触发、车身颜色识别、车型识别，通行车辆信息捕获和违章检测功能。</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9500</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500万电警抓拍单元</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采用2/3英寸500万像素高帧率彩色全局曝光CMOS高清智能摄像机，最大分辨率可达2448*2048，帧率高达25帧；输出图片格式：JPEG；支持LED频闪灯同步补光，防护罩内置LED车牌补光灯；支持车牌、车型、车身颜色等信息识别功能，支持压线、逆行、闯红灯、不按导向行驶等违法检测功能</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8000</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频闪灯</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集成数字式照度传感器，具备自动光感功能；光照角度：25°；有效补光距离：16m～21m；频闪亮度等级可调；频闪频率可选；触发方式：电平，+5VDC；工作温度-30℃~+70℃；防护等级IP66；外壳材质：金属铝</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1900</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环保爆闪灯</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环保型，光源采用氙气灯；色温：≥4000K。在正常工作条件下，机壳的温升不超过40℃；回电时间≤80ms。闪光次数≥300万次；功耗：平均＜100W(@1闪/s)，瞬间最大＜300W。防眩目处理：可内置光栅，进行光污染处理。工作温度-30℃~+70℃；防护等级IP65</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2200</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电子警察前端控制主机</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采用高性能嵌入式处理芯片，不得使用X86计算机架构（包括：工控机、嵌入式工控机等），内存容量≥2G，嵌入式Linux操作系统，操作界面以WEB方式；最大支持4个3.5〃或2.5〃硬盘；集成8个RJ45 10M/100M自适应以太网口；2个RJ45 1000M接口；可接入12路高清网络摄像机（支持视频和图片同时接入）和2路高清BNC接口模拟高清摄像机；支持12路图片、12路录像实时预览及存储功能；具备DC12V输出接口，可方便现场外围设备供电。</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7500</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环保900万卡口抓拍单元</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环保车辆人脸卡口抓拍单元由防护罩组件及高清智</w:t>
            </w:r>
            <w:r>
              <w:rPr>
                <w:rFonts w:hint="eastAsia" w:ascii="宋体" w:hAnsi="宋体" w:eastAsia="宋体" w:cs="宋体"/>
                <w:i w:val="0"/>
                <w:color w:val="000000"/>
                <w:sz w:val="21"/>
                <w:szCs w:val="21"/>
                <w:u w:val="none"/>
                <w:lang w:val="en-US" w:eastAsia="zh-CN" w:bidi="ar"/>
              </w:rPr>
              <w:t xml:space="preserve">能摄像机组成，抓拍单元防护罩前面板具有防尘、防水功能，单元内置LED暖光灯，单元支持网络防雷、防浪涌，宽温宽压等。内置摄像机采用2个1英寸高帧率全局曝光CMOS传感器，分辨率可达4096 × 2160，帧率高达25帧，具有清晰度高、照度低、帧率高、色彩还原度好等特点。支持白天用白光爆闪，晚上用内置灯或外置LED灯加红外爆闪同步补光。支持视频触发等多种触发模式并实现全结构化：支持深度学习算法，支持多目标混合场景应用，实时提取机动车、非机动车、行人、人脸等目标全结构化信息，为大数据业务提供全方位的特征数据基础。</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12800</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电警/卡口设备维修</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设备过质保期维修，更换的部件与现有的设备兼容</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1000</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频闪灯/爆闪灯维修</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设备过质保期维修，更换的部件与现有的设备兼容</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400</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37</w:t>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智能终端维修</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设备过质保期维修，更换的部件与现有的设备兼容</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1200</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38</w:t>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400万高清监控球机</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不低于400万像素；采用1/1.8英寸CMOS（GMOS）图像传感器；视频输出支持2560×1440@25fps；超低照度：彩色0.001Lux，黑白0.0001Lux；不低于30倍光学变焦；支持1路音频输入和1路音频输出；支持7路报警输入和2路报警输出；支持车型识别、车身颜色识别，车辆品牌识别；支持300个预置位；压缩格式：H.264/MJPEG；压缩格式：H.264/MJPEG；</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7000</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39</w:t>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违停抓拍球机</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支持32倍光学变倍，16倍数字变倍。道路违章取证：违停、逆行、压线、变道、机占非、掉头。多场景巡航下，违停有效检测距离300 m</w:t>
            </w:r>
            <w:r>
              <w:rPr>
                <w:rFonts w:hint="eastAsia" w:ascii="宋体" w:hAnsi="宋体" w:eastAsia="宋体" w:cs="宋体"/>
                <w:i w:val="0"/>
                <w:color w:val="000000"/>
                <w:sz w:val="21"/>
                <w:szCs w:val="21"/>
                <w:u w:val="none"/>
                <w:lang w:val="en-US" w:eastAsia="zh-CN" w:bidi="ar"/>
              </w:rPr>
              <w:br/>
            </w:r>
            <w:r>
              <w:rPr>
                <w:rFonts w:hint="eastAsia" w:ascii="宋体" w:hAnsi="宋体" w:eastAsia="宋体" w:cs="宋体"/>
                <w:i w:val="0"/>
                <w:color w:val="000000"/>
                <w:sz w:val="21"/>
                <w:szCs w:val="21"/>
                <w:u w:val="none"/>
                <w:lang w:val="en-US" w:eastAsia="zh-CN" w:bidi="ar"/>
              </w:rPr>
              <w:t xml:space="preserve">支持多场景巡航检测，并可配置场景巡航自适应功能；支持对静止或运动车辆的手动取证功能。 ；支持违法数据的断点续传功能 </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8500</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高空监控球机</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采用800万像素1/1.8英寸 CMOS；内置GPU芯片，支持深度学习算法，有效提升检测准确率。支持视频结构化</w:t>
            </w:r>
            <w:r>
              <w:rPr>
                <w:rFonts w:hint="eastAsia" w:ascii="宋体" w:hAnsi="宋体" w:eastAsia="宋体" w:cs="宋体"/>
                <w:i w:val="0"/>
                <w:color w:val="000000"/>
                <w:sz w:val="21"/>
                <w:szCs w:val="21"/>
                <w:u w:val="none"/>
                <w:lang w:val="en-US" w:eastAsia="zh-CN" w:bidi="ar"/>
              </w:rPr>
              <w:t xml:space="preserve">功能：支持机动车抓拍、机动车属性提取，支持非机动车抓拍、非机动车属性提取，支持人体抓拍、人体属性提取，支持人脸抓拍、人脸属性提取，支持机非人数量统计；支持绊线入侵、区域入侵、穿越围栏、徘徊、物品遗留、物品搬移、快速移动、停车、人员聚集检测；支持人车分类报警；支持联动跟踪。支持人脸检测；支持人脸优选抓拍；支持人脸增强；支持人脸属性提取；支持6种属性8种表情：性别，年龄，眼镜，表情，口罩，，胡子；支持多种人脸抠图方案设置：单寸照，人脸；支持人脸识别（前端支持导入1万张人脸库）。支持48倍光学变倍，16倍数字变倍</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18500</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41</w:t>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智能终端</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采用高性能嵌入式处理芯片，不得使用X86计算机架构（包括：工控机、嵌入式工控机等）；内存容量≥2G；嵌入式Linux操作系统，操作界</w:t>
            </w:r>
            <w:r>
              <w:rPr>
                <w:rFonts w:hint="eastAsia" w:ascii="宋体" w:hAnsi="宋体" w:eastAsia="宋体" w:cs="宋体"/>
                <w:i w:val="0"/>
                <w:color w:val="000000"/>
                <w:sz w:val="21"/>
                <w:szCs w:val="21"/>
                <w:u w:val="none"/>
                <w:lang w:val="en-US" w:eastAsia="zh-CN" w:bidi="ar"/>
              </w:rPr>
              <w:t xml:space="preserve">面以WEB方式；最大支持4个3.5〃或2.5〃硬盘；集成8个RJ45 10M/100M自适应以太网口；2个RJ45 1000M接口；可接入12路高清网络摄像机（支持视频和图片同时接入）和4路标清BNC接口模拟摄像机；支持12路图片、16路录像实时预览及存储功能；支持违章图片合成，支持合成顺序及特写位置选择；支持故障自动恢复功能，故障前的信息不丢失；支持车辆查询，支持按时间、通道、违章类型、车牌、车速、车道查询；工作电源DC 12V；功耗： ＜20W；全机身散热，内部不得含有风扇；工作温度：-40℃～+70℃</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7500</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万象支架</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与现有设备无缝对接</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120</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相机电源</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与现有设备无缝对接</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150</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44</w:t>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车辆检测器</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能与现有信号控制机通过协议无缝对接；视频流量检测器，覆盖三车道及以上；支持分车道统计车流量等交通数据。</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12000</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车辆检测器电源适配器</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适配本地现用视频车辆检测器，原厂配件</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120</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46</w:t>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抱杆机箱</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产品尺寸不小于600mm*400mm*400mm，防护等级IP54，工作温度范围为-40到85℃</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600</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47</w:t>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电源线</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KVV2*6mm2</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48</w:t>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电源线</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KVV2*8mm2</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49</w:t>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电源线</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KVV2*4mm2</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16芯控制线缆</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控制线缆KVV16×1mm2</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51</w:t>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4芯控制线缆</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控制线缆KVV4×1mm2</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52</w:t>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4芯光缆</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单模1310nm 4芯光缆</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53</w:t>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2芯控制线缆</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控制线缆KVV2×1mm2</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54</w:t>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室外六类网线</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符合国标</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55</w:t>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杆件1</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八角杆，立柱6.8米，横臂5米，杆件壁厚、外观与现有设备保持一致，整体热镀锌、喷塑，颜色依据路口需求。法兰盘与现有设备保持一致，如为新增设备，需提供钢筋笼。</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5800</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杆件2</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八角杆，立柱6.8米，横臂6米，杆件壁厚与现有设备保持一致，整体热镀锌、喷塑，颜色依据路口需求。法兰盘与现有设备保持一致，如为新增设备，需提供钢筋笼。</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6500</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57</w:t>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杆件3</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八角杆，立柱6.8米，横臂7米，杆件壁厚、外观与现有设备保持一致，整体热镀锌、喷塑，颜色依据路口需求。法兰盘与现有设备保持一致，如为新增设备，需提供钢筋笼。</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7500</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58</w:t>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杆件4</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八角杆，立柱6.8米，横臂8米，杆件壁厚、外观与现有设备保持一致，整体热镀锌、喷塑，颜色依据路口需求。法兰盘与现有设备保持一致，如为新增设备，需提供钢筋笼。</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8500</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59</w:t>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杆件5</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八角杆，立柱6.8米，横臂10米，杆件壁厚、外观与现有设备保持一致，整体热镀锌、喷塑，颜色依据路口需求。法兰盘与现有设备保持一致，如为新增设备，需提供钢筋笼。</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11500</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杆件6</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八角杆，立柱6.8米，横臂12米，杆件壁厚、外观与现有设备保持一致，整体热镀锌、喷塑，颜色依据路口需求。法兰盘与现有设备保持一致，如为新增设备，需提供钢筋笼。</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14500</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61</w:t>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T型杆1</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主臂220/280，壁厚8mm，横臂（5米）180/90，壁厚5mm，横臂（3米）160/90，壁厚5mm，、整体热镀锌、喷塑，地笼8*M27，H1.5对角450/法兰550，法兰腰形孔。</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8800</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62</w:t>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T型杆2</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主臂280/340，壁厚10mm，横臂（12米）110/240，壁厚8mm、横臂（3米）160/90，壁厚4.0mm。整体热镀锌、喷塑，地笼8*M30，H1.5对角450/法兰550，法兰腰形孔。</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15000</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63</w:t>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违停抓拍球机杆件</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立柱高9米，横臂规格:φ60X4X2500、φ60X4X215，锥型杆厚5mm</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7000</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64</w:t>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光缆成端设备</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含分线盒、熔纤盘、尾纤</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65</w:t>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熔纤盘</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定制8芯</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66</w:t>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室外工业8口交换机</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1、具有 8 个 10/100Base-TX 自适应电口，支持自动 MDI/MDI-X连接；2、低功耗无风扇设计，提供包括壁挂、导轨和集中式在内的多种结构形式，铝合金单肋形机箱表面散热；3、端子式双电源冗余供电，支持冗余电源间的无缝切换。</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800</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67</w:t>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光纤收发器</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工业级光纤收发器提供≥1个千兆光接口，≥8个千兆自适应以太网口；</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500</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68</w:t>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沥青路面开挖</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沥青路面开挖埋管及管道保护，槽道深度不低于40CM，宽度不低于20CM，含回填、养护</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90</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69</w:t>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绿化路面开挖</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绿化路面开挖埋管及管道保护，槽道深度不低于40CM，宽度不低于30CM，含回填、养护</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70</w:t>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彩砖路面开挖</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人行道彩砖开挖埋管及管道保护，槽道深度不低于40CM，宽度不低于30CM，含回填、养护</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71</w:t>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手井</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（1）砌筑材料品种、规格、强度等级:红机砖.240*115*53；100号（2）勾缝、抹面要求:水泥砂浆抹灰（3）井深:600mm（4）井尺寸:600*600mm（5）井盖、井圈材质及规格:井蓋为市政统一.五防井</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650</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72</w:t>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手井盖</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井尺寸:500*500mm ，盖板材质、规格:树脂材料500*500mm ，井盖、井圈材质及规格:井蓋为市政统一.五防井</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180</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73</w:t>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手井盖</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井尺寸:500*500mm ，盖板材质、规格:铸铁材料500*500mm ，井盖、井圈材质及规格:井蓋为市政统一.五防井</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240</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74</w:t>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接地系统</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定制</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点位</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500</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75</w:t>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管线警示柱</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定制，交警线缆指示</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76</w:t>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管线铭牌</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定制</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77</w:t>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混凝土基础</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C25信号机基础结构件混凝土基础浇筑（包括不锈钢地脚螺栓预埋件的制作及安装、穿线管埋设、C25商品混凝土的浇筑养护、基础回填、渣土清运、螺栓混凝土包封）。</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m³</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1300</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78</w:t>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过路顶管</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tcPr>
          <w:p>
            <w:pPr>
              <w:ind w:firstLine="0"/>
              <w:jc w:val="center"/>
              <w:keepLines w:val="0"/>
              <w:keepNext w:val="0"/>
              <w:spacing w:line="240" w:lineRule="auto"/>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过路顶管施工，直径110mmPE管</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130</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79</w:t>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238118</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352118</w:t>
            </w:r>
            <w:r/>
          </w:p>
        </w:tc>
        <w:tc>
          <w:tcPr>
            <w:tcBorders>
              <w:top w:val="single" w:color="000000" w:sz="4" w:space="0"/>
              <w:left w:val="single" w:color="000000" w:sz="4" w:space="0"/>
              <w:bottom w:val="single" w:color="000000" w:sz="4" w:space="0"/>
              <w:right w:val="single" w:color="000000" w:sz="4" w:space="0"/>
            </w:tcBorders>
            <w:tcW w:w="1119"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ind w:left="0" w:firstLine="0"/>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300"/>
        </w:trPr>
        <w:tc>
          <w:tcPr>
            <w:gridSpan w:val="8"/>
            <w:tcBorders>
              <w:top w:val="single" w:color="000000" w:sz="4" w:space="0"/>
              <w:left w:val="single" w:color="000000" w:sz="4" w:space="0"/>
              <w:bottom w:val="single" w:color="000000" w:sz="4" w:space="0"/>
              <w:right w:val="single" w:color="000000" w:sz="4" w:space="0"/>
            </w:tcBorders>
            <w:tcW w:w="9771" w:type="dxa"/>
            <w:vAlign w:val="center"/>
            <w:textDirection w:val="lrTb"/>
            <w:noWrap/>
          </w:tcPr>
          <w:p>
            <w:pPr>
              <w:ind w:firstLine="420"/>
              <w:jc w:val="both"/>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注：维修配件更换依据由于不可抗力的因素或历史原因造成的设备更新费用按合同设备更新，清单报价以实际发生量进行审计计算；如更新设备不在清单中，由审计单位依据市场价格进行审价。</w:t>
            </w:r>
            <w:r/>
          </w:p>
        </w:tc>
      </w:tr>
    </w:tbl>
    <w:p>
      <w:pPr>
        <w:numPr>
          <w:ilvl w:val="0"/>
          <w:numId w:val="0"/>
        </w:numPr>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tabs>
          <w:tab w:val="left" w:pos="0" w:leader="none"/>
        </w:tabs>
        <w:rPr>
          <w:rFonts w:hint="eastAsia" w:ascii="仿宋" w:hAnsi="仿宋" w:eastAsia="仿宋" w:cs="仿宋"/>
          <w:b/>
          <w:bCs/>
          <w:color w:val="auto"/>
          <w:sz w:val="24"/>
          <w:szCs w:val="32"/>
          <w:highlight w:val="none"/>
        </w:rPr>
      </w:pPr>
      <w:r>
        <w:rPr>
          <w:rFonts w:hint="eastAsia" w:ascii="仿宋" w:hAnsi="仿宋" w:eastAsia="仿宋" w:cs="仿宋"/>
          <w:b/>
          <w:bCs/>
          <w:color w:val="auto"/>
          <w:sz w:val="24"/>
          <w:szCs w:val="32"/>
          <w:highlight w:val="none"/>
        </w:rPr>
      </w:r>
      <w:r/>
    </w:p>
    <w:p>
      <w:pPr>
        <w:spacing w:line="400" w:lineRule="atLeast"/>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三、技术标准（包括质量要求及验收标准）；</w:t>
      </w:r>
      <w:r/>
    </w:p>
    <w:p>
      <w:pPr>
        <w:ind w:firstLine="560"/>
        <w:spacing w:line="400" w:lineRule="atLeast"/>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相关的技术标准和要求按照招标文件中要求执行；</w:t>
      </w:r>
      <w:r/>
    </w:p>
    <w:p>
      <w:pPr>
        <w:spacing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四、支付</w:t>
      </w:r>
      <w:r/>
    </w:p>
    <w:p>
      <w:pPr>
        <w:spacing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经双方协商一致，选择以下第</w:t>
      </w:r>
      <w:r>
        <w:rPr>
          <w:rFonts w:hint="eastAsia" w:ascii="宋体" w:hAnsi="宋体" w:eastAsia="宋体" w:cs="宋体"/>
          <w:color w:val="auto"/>
          <w:sz w:val="24"/>
          <w:szCs w:val="24"/>
          <w:highlight w:val="none"/>
          <w:u w:val="single"/>
          <w:lang w:eastAsia="zh-CN"/>
        </w:rPr>
        <w:t xml:space="preserve">二</w:t>
      </w:r>
      <w:r>
        <w:rPr>
          <w:rFonts w:hint="eastAsia" w:ascii="宋体" w:hAnsi="宋体" w:eastAsia="宋体" w:cs="宋体"/>
          <w:color w:val="auto"/>
          <w:sz w:val="24"/>
          <w:szCs w:val="24"/>
          <w:highlight w:val="none"/>
        </w:rPr>
        <w:t xml:space="preserve">种付款方式：</w:t>
      </w:r>
      <w:r/>
    </w:p>
    <w:p>
      <w:pPr>
        <w:ind w:firstLine="281"/>
        <w:spacing w:line="400" w:lineRule="atLeast"/>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付款方式一：提交预付款保函的</w:t>
      </w:r>
      <w:r/>
    </w:p>
    <w:p>
      <w:pPr>
        <w:ind w:firstLine="560"/>
        <w:spacing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合同价款的百分之三十(30%)即¥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元整，在双方签订合同，乙方向甲方出具等额预付款保函后，甲方办理政府采购资金结算手续后10个工作日内支付给乙方。</w:t>
      </w:r>
      <w:r/>
    </w:p>
    <w:p>
      <w:pPr>
        <w:ind w:firstLine="560"/>
        <w:spacing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前6个月服务期结束后10日内，乙方向甲方提交前6个月已完成服务对应价款明细清单</w:t>
      </w:r>
      <w:r>
        <w:rPr>
          <w:rFonts w:hint="eastAsia" w:ascii="宋体" w:hAnsi="宋体" w:eastAsia="宋体" w:cs="宋体"/>
          <w:b/>
          <w:bCs/>
          <w:color w:val="auto"/>
          <w:sz w:val="24"/>
          <w:szCs w:val="24"/>
          <w:highlight w:val="none"/>
        </w:rPr>
        <w:t xml:space="preserve">结合月度考核结果</w:t>
      </w:r>
      <w:r>
        <w:rPr>
          <w:rFonts w:hint="eastAsia" w:ascii="宋体" w:hAnsi="宋体" w:eastAsia="宋体" w:cs="宋体"/>
          <w:color w:val="auto"/>
          <w:sz w:val="24"/>
          <w:szCs w:val="24"/>
          <w:highlight w:val="none"/>
        </w:rPr>
        <w:t xml:space="preserve">，经甲方及其委托的第三方审计、监理机构审核认可后，一次性支付对应服务费用（如前6个月已完成服务对应价款小于合同金额的50%，则按照实际已完成服务对应价款支付（含预付款），如前6个月已完成服务对应价款大于或等于合同金额的50%，则按照合同金额的50%进行支付（含预付款））；后6个月服务期结束后10日内，乙方向甲方提交后6个月已完成服务对应价款明细清单，</w:t>
      </w:r>
      <w:r>
        <w:rPr>
          <w:rFonts w:hint="eastAsia" w:ascii="宋体" w:hAnsi="宋体" w:eastAsia="宋体" w:cs="宋体"/>
          <w:b/>
          <w:bCs/>
          <w:color w:val="auto"/>
          <w:sz w:val="24"/>
          <w:szCs w:val="24"/>
          <w:highlight w:val="none"/>
        </w:rPr>
        <w:t xml:space="preserve">结合月度考核结果，</w:t>
      </w:r>
      <w:r>
        <w:rPr>
          <w:rFonts w:hint="eastAsia" w:ascii="宋体" w:hAnsi="宋体" w:eastAsia="宋体" w:cs="宋体"/>
          <w:color w:val="auto"/>
          <w:sz w:val="24"/>
          <w:szCs w:val="24"/>
          <w:highlight w:val="none"/>
        </w:rPr>
        <w:t xml:space="preserve">经甲方及其委托的第三方审计、监理机构审核认可后，支付对应服务费用。（如12个月已完成服务对应价款小于合同金额的100%，则按照12个月服务期内实际对应价款结算，如12个月已完成服务对应价款大于或等于合同金额的100%，则以合同金额100%进行结算）。</w:t>
      </w:r>
      <w:r/>
    </w:p>
    <w:p>
      <w:pPr>
        <w:ind w:firstLine="280"/>
        <w:spacing w:line="400" w:lineRule="atLeast"/>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付款方式二：不提交预付款保函的</w:t>
      </w:r>
      <w:r/>
    </w:p>
    <w:p>
      <w:pPr>
        <w:ind w:firstLine="560"/>
        <w:spacing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预付款限额为工程中标价的40%，分三批拨付启动资金和工程预付款，即工程开工确认后付工程中标价的16%，工程量确认完成50%后付工程中标价的12%，工程竣工验收后付工程中标价的12%。</w:t>
      </w:r>
      <w:r/>
    </w:p>
    <w:p>
      <w:pPr>
        <w:ind w:firstLine="560"/>
        <w:spacing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工程竣工验收结算审计后，余款2年内分4次付清，即第一年中秋、春节各付余款25%，第二年中秋、春节各付余款25%。并以双方约定的审计机构审定的工程造价，扣除审减额的5%后作为工程的最终结算依据，审计费由乙方支付。</w:t>
      </w:r>
      <w:r/>
    </w:p>
    <w:p>
      <w:pPr>
        <w:ind w:firstLine="560"/>
        <w:spacing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卖方需提交的支付文件包括：</w:t>
      </w:r>
      <w:r/>
    </w:p>
    <w:p>
      <w:pPr>
        <w:ind w:firstLine="560"/>
        <w:spacing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卖方出具的全额正式发票；</w:t>
      </w:r>
      <w:r/>
    </w:p>
    <w:p>
      <w:pPr>
        <w:ind w:firstLine="560"/>
        <w:spacing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（一）乙方应在甲方办理支付手续前5个工作日内提供等额的正式发票给甲方，以便甲方及时办理支付手续。</w:t>
      </w:r>
      <w:r/>
    </w:p>
    <w:p>
      <w:pPr>
        <w:ind w:firstLine="560"/>
        <w:spacing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（二）乙方服务费支付比例和季度考核情况挂钩，考评办法见合同附件。</w:t>
      </w:r>
      <w:r/>
    </w:p>
    <w:p>
      <w:pPr>
        <w:ind w:firstLine="560"/>
        <w:spacing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（三）履行合同期间费用超出合同总价，甲方不再支付合同总价以外的任何费用，乙方应无条件继续履行合同至服务期（含质保期）满。</w:t>
      </w:r>
      <w:r/>
    </w:p>
    <w:p>
      <w:pPr>
        <w:ind w:firstLine="560"/>
        <w:spacing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（四）乙方申请付款需提交的支付文件包括:</w:t>
      </w:r>
      <w:r/>
    </w:p>
    <w:p>
      <w:pPr>
        <w:ind w:firstLine="560"/>
        <w:spacing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1、乙方需提交的支付文件：</w:t>
      </w:r>
      <w:r/>
    </w:p>
    <w:p>
      <w:pPr>
        <w:ind w:firstLine="560"/>
        <w:spacing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①乙方出具的正式发票和完税证明;</w:t>
      </w:r>
      <w:r/>
    </w:p>
    <w:p>
      <w:pPr>
        <w:ind w:firstLine="560"/>
        <w:spacing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②乙方出具的验收报告(结算款)或者甲方签收履约保证金的书面材料。</w:t>
      </w:r>
      <w:r/>
    </w:p>
    <w:p>
      <w:pPr>
        <w:ind w:firstLine="560"/>
        <w:spacing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如因乙方未能开具真实有效的发票或未提供支付申请而导致甲方延期付款的，责任由乙方承担。开具发票为本合同乙方主要义务。甲方内部正常审批流程不计算在付款期限之内。若因财政付款审批程序滞后，甲方不承担逾期付款的违约责任。</w:t>
      </w:r>
      <w:r/>
    </w:p>
    <w:p>
      <w:pPr>
        <w:spacing w:line="400" w:lineRule="atLeast"/>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五、履约保证金</w:t>
      </w:r>
      <w:r/>
    </w:p>
    <w:p>
      <w:pPr>
        <w:ind w:firstLine="560"/>
        <w:spacing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合同总价的</w:t>
      </w:r>
      <w:r>
        <w:rPr>
          <w:rFonts w:hint="eastAsia" w:ascii="宋体" w:hAnsi="宋体" w:eastAsia="宋体" w:cs="宋体"/>
          <w:color w:val="auto"/>
          <w:sz w:val="24"/>
          <w:szCs w:val="24"/>
          <w:highlight w:val="none"/>
          <w:u w:val="single"/>
        </w:rPr>
        <w:t xml:space="preserve">10%</w:t>
      </w:r>
      <w:r>
        <w:rPr>
          <w:rFonts w:hint="eastAsia" w:ascii="宋体" w:hAnsi="宋体" w:eastAsia="宋体" w:cs="宋体"/>
          <w:color w:val="auto"/>
          <w:sz w:val="24"/>
          <w:szCs w:val="24"/>
          <w:highlight w:val="none"/>
        </w:rPr>
        <w:t xml:space="preserve">（非现金形式），签订合同前提交，以支票、汇票、本票或者金融机构、担保机构出具的保函等非现金形式缴纳，中标人可自愿使用履约保函(保险）代替缴纳履约保证金，具体详见《关于在全省政府采购领域推行电子履约保函(保险)的通知》(苏财购(2023)150号)规定)，若乙方没有违约行为，履约保证金在合同服务期限满后15个工作日内由甲方无息退还乙方。</w:t>
      </w:r>
      <w:r/>
    </w:p>
    <w:p>
      <w:pPr>
        <w:spacing w:line="400" w:lineRule="atLeast"/>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六、甲方的权利和义务</w:t>
      </w:r>
      <w:r/>
    </w:p>
    <w:p>
      <w:pPr>
        <w:ind w:firstLine="280"/>
        <w:spacing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（一）服务期内，甲方可全天24小时随时向乙方发出指令，要求乙方在规定的服务区域内提供道路监控内外场设备维护服务。</w:t>
      </w:r>
      <w:r/>
    </w:p>
    <w:p>
      <w:pPr>
        <w:ind w:firstLine="280"/>
        <w:spacing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（二）遇有重大赛事、重大活动、突发事件及其它工作需求，甲方有权统筹安排，要求乙方紧急处理道路监控内外场设备。</w:t>
      </w:r>
      <w:r/>
    </w:p>
    <w:p>
      <w:pPr>
        <w:ind w:firstLine="280"/>
        <w:spacing w:line="400" w:lineRule="atLeast"/>
        <w:tabs>
          <w:tab w:val="left" w:pos="487"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（三）按时办理财政集中支付手续。</w:t>
      </w:r>
      <w:r/>
    </w:p>
    <w:p>
      <w:pPr>
        <w:ind w:firstLine="280"/>
        <w:spacing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甲方有权按照《考评办法》对乙方在合同服务期内违反合同规定的各种情况进行登记，建立诚信档案，制作季度考评表，按考评表分数比例扣减当季度服务费用。考评表评分按百分制，每季度为一个计分周期，当得分低于60分的，视为不合格，甲方不支付该季度服务费用，且可单方面解除合同。</w:t>
      </w:r>
      <w:r/>
    </w:p>
    <w:p>
      <w:pPr>
        <w:ind w:firstLine="280"/>
        <w:spacing w:line="400" w:lineRule="atLeast"/>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（五）若上级政府部门对道路监控内外场设备维护有其他规定的，从其规定</w:t>
      </w:r>
      <w:r>
        <w:rPr>
          <w:rFonts w:hint="eastAsia" w:ascii="宋体" w:hAnsi="宋体" w:eastAsia="宋体" w:cs="宋体"/>
          <w:color w:val="auto"/>
          <w:sz w:val="24"/>
          <w:szCs w:val="24"/>
          <w:highlight w:val="none"/>
          <w:lang w:eastAsia="zh-CN"/>
        </w:rPr>
        <w:t xml:space="preserve">。</w:t>
      </w:r>
      <w:r/>
    </w:p>
    <w:p>
      <w:pPr>
        <w:spacing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七、乙方的权利和义务</w:t>
      </w:r>
      <w:r/>
    </w:p>
    <w:p>
      <w:pPr>
        <w:ind w:firstLine="280"/>
        <w:spacing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（一）维护人员、车辆方案：详见招标文件“采购需求”和乙方投标文件。</w:t>
      </w:r>
      <w:r/>
    </w:p>
    <w:p>
      <w:pPr>
        <w:ind w:firstLine="280"/>
        <w:spacing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（二）实施方案：详见招标文件“采购需求”和乙方投标文件。</w:t>
      </w:r>
      <w:r/>
    </w:p>
    <w:p>
      <w:pPr>
        <w:ind w:firstLine="280"/>
        <w:spacing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（三）费用支付标准要求: 详见招标文件“采购需求”和乙方投标文件中承诺文件。</w:t>
      </w:r>
      <w:r/>
    </w:p>
    <w:p>
      <w:pPr>
        <w:ind w:firstLine="280"/>
        <w:spacing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（四）区域内设立服务办公场所（非住宅小区类）的要求：详见招标文件“采购需求”和乙方投标文件中承诺文件。</w:t>
      </w:r>
      <w:r/>
    </w:p>
    <w:p>
      <w:pPr>
        <w:ind w:firstLine="281"/>
        <w:spacing w:line="400" w:lineRule="atLeast"/>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五）维护过程中必须严格执行安全管理方面的法律法规及标准，切实做好管养安全防护工作，由于管养单位自身原因造成所有的人员伤亡或车辆损失或财物损失，由乙方承担一切法律、经济责任，采购人将不承担任何责任。</w:t>
      </w:r>
      <w:r/>
    </w:p>
    <w:p>
      <w:pPr>
        <w:ind w:firstLine="281"/>
        <w:spacing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（六）</w:t>
      </w:r>
      <w:r>
        <w:rPr>
          <w:rFonts w:hint="eastAsia" w:ascii="宋体" w:hAnsi="宋体" w:eastAsia="宋体" w:cs="宋体"/>
          <w:color w:val="auto"/>
          <w:sz w:val="24"/>
          <w:szCs w:val="24"/>
          <w:highlight w:val="none"/>
        </w:rPr>
        <w:t xml:space="preserve">服从甲方临时安排道路监控内外场设备维护服务。</w:t>
      </w:r>
      <w:r/>
    </w:p>
    <w:p>
      <w:pPr>
        <w:keepLines w:val="0"/>
        <w:keepNext w:val="0"/>
        <w:pageBreakBefore w:val="0"/>
        <w:spacing w:line="288"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八、违约责任</w:t>
      </w:r>
      <w:r/>
    </w:p>
    <w:p>
      <w:pPr>
        <w:ind w:firstLine="280"/>
        <w:keepLines w:val="0"/>
        <w:keepNext w:val="0"/>
        <w:pageBreakBefore w:val="0"/>
        <w:spacing w:line="288"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（一设备进场后由乙方委派的专人负责保管，在成品验收合格并交接之前货物毁损、丢失的风险由</w:t>
      </w:r>
      <w:r>
        <w:rPr>
          <w:rFonts w:hint="eastAsia" w:ascii="宋体" w:hAnsi="宋体" w:eastAsia="宋体" w:cs="宋体"/>
          <w:color w:val="auto"/>
          <w:sz w:val="24"/>
          <w:szCs w:val="24"/>
          <w:highlight w:val="none"/>
        </w:rPr>
        <w:t xml:space="preserve">乙方自行承担。乙方所交货物品种、型号、规格、质量、加工要求不符合合同规定的，如果甲方同意使用，应当按质论价;如果甲方认为不能使用的，应根据货物的具体情况，由乙方在5个工作日内负责更换为符合合同要求的货物，并承担因调换、运输而产生的全部费用。乙方不能在前述时间内完成调换，或者调换后的货物仍不符合合同规定的，甲方有权退货，并要求乙方按合同总货款的10%承担违约责任。乙方在投标时承诺采用进口产品或部件，而货到工地后未提供原产地证明或不能证明为进口部件的，甲方有权要求乙方支付合同金额10%的违约金，严重时解除合同。</w:t>
      </w:r>
      <w:r/>
    </w:p>
    <w:p>
      <w:pPr>
        <w:ind w:firstLine="280"/>
        <w:keepLines w:val="0"/>
        <w:keepNext w:val="0"/>
        <w:pageBreakBefore w:val="0"/>
        <w:spacing w:line="288"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乙方提前交付，甲方接货后，仍可按合同规定的交货时间付款。乙方逾期交货的，应在发货前书面通知甲方，与甲方协商，甲方仍需要的，乙方应继续交货，并按每逾期一日支付合同价款的0.1%承担逾期交货违约责任;甲方不再需要的，应当在接到乙方通知后5日内通知乙方，有权单方解除合同，并有权要求乙方赔偿因逾期交货给甲方造成的损失。不论乙方是否书面通知甲方，如乙方逾期交货超过30天，甲方即有权单方解除合同，并要求乙方赔偿因逾期交货给甲方造成的损失，损失不能确定的赔偿金额为合同总金额 20%。</w:t>
      </w:r>
      <w:r/>
    </w:p>
    <w:p>
      <w:pPr>
        <w:ind w:firstLine="280"/>
        <w:jc w:val="both"/>
        <w:keepLines w:val="0"/>
        <w:keepNext w:val="0"/>
        <w:pageBreakBefore w:val="0"/>
        <w:spacing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乙方不能按本合同要求提供保修服务的，应向甲方偿付合同总价款的5%的违约金并赔偿因此给甲方造成的损失。如果此等违约造成本合同项下货物的使用目的无法实现的，甲方有权解除合同并主张除违约金以外的损害赔偿。</w:t>
      </w:r>
      <w:r/>
    </w:p>
    <w:p>
      <w:pPr>
        <w:ind w:firstLine="280"/>
        <w:jc w:val="both"/>
        <w:keepLines w:val="0"/>
        <w:keepNext w:val="0"/>
        <w:pageBreakBefore w:val="0"/>
        <w:spacing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（四）乙方不能按本合同要求提供安装服务的，应向甲方偿付合同总价款的20%的违约金。如果此等违约造成本合同项下货物的使用目的无法实现的，甲方有权解除合同并主张除违约金以外的损害赔偿。</w:t>
      </w:r>
      <w:r/>
    </w:p>
    <w:p>
      <w:pPr>
        <w:ind w:firstLine="280"/>
        <w:jc w:val="both"/>
        <w:keepLines w:val="0"/>
        <w:keepNext w:val="0"/>
        <w:pageBreakBefore w:val="0"/>
        <w:spacing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乙方技术负责人必须亲临施工现场、组织本项目的施工，每周在工地主持施工工作不少于5天，每天工作时间不少于8小时，必须严格遵循现行的有关法律、法规，切实履行自己的权利和义务。乙方不能按本合同要求提供所承诺的技术人员安装的，应向甲方偿付合同总价款的5%的违约金。如果此等违约造成本合同项下货物的使用目的无法实现的，甲方有权解除合同并主张除违约金以外的损害赔偿。</w:t>
      </w:r>
      <w:r/>
    </w:p>
    <w:p>
      <w:pPr>
        <w:ind w:firstLine="280"/>
        <w:jc w:val="both"/>
        <w:keepLines w:val="0"/>
        <w:keepNext w:val="0"/>
        <w:pageBreakBefore w:val="0"/>
        <w:spacing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如果发生声称本合同项下货物侵犯他人专利、版权、商标权或商业秘密等权利而针对甲方提起索赔或诉讼仲裁的情况，除下款另有规定外，乙方应支付由此而产生的全部费用及赔偿金、律师费用。如甲方将第三方提起索赔或诉讼仲裁的情况及时通知了乙方，并且授权乙方独立应诉和解决索</w:t>
      </w:r>
      <w:r>
        <w:rPr>
          <w:rFonts w:hint="eastAsia" w:ascii="宋体" w:hAnsi="宋体" w:eastAsia="宋体" w:cs="宋体"/>
          <w:color w:val="auto"/>
          <w:sz w:val="24"/>
          <w:szCs w:val="24"/>
          <w:highlight w:val="none"/>
        </w:rPr>
        <w:t xml:space="preserve">赔问题，则乙方将自费应诉，并支付全部费用、和解赔偿金和由于该案最终裁定或判决而支付的赔偿金。如果依照中华人民共和国法律，甲方不能实现授权乙方独立应诉和解决索赔问题，则甲方可以选择独立应诉或与乙方联合应诉，乙方将承担由此而支付的全部费用、和解赔偿金和按最终裁定或判决而需要甲方或乙方支付的赔偿金及律师费用。如果乙方不积极应诉或解决纠纷，甲方为自身利益有权独立应诉、与第三方做出任何重大决定，包括庭外和解、法庭抗辩，乙方将承担由此而支付的全部费用、和解赔偿金和按最终裁定或判决而需要甲方或乙方支付的赔偿金及律师费用。</w:t>
      </w:r>
      <w:r/>
    </w:p>
    <w:p>
      <w:pPr>
        <w:ind w:firstLine="280"/>
        <w:jc w:val="both"/>
        <w:keepLines w:val="0"/>
        <w:keepNext w:val="0"/>
        <w:pageBreakBefore w:val="0"/>
        <w:spacing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（七）甲方有权按照合同约定可以在应付款中直接扣除违约金。</w:t>
      </w:r>
      <w:r/>
    </w:p>
    <w:p>
      <w:pPr>
        <w:ind w:firstLine="280"/>
        <w:jc w:val="both"/>
        <w:keepLines w:val="0"/>
        <w:keepNext w:val="0"/>
        <w:pageBreakBefore w:val="0"/>
        <w:spacing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产品品质如因乙方原因导致验收不合格的，乙方负责维修、更换工作并承担由此产生的全部费用，且赔偿甲方由此产生的损失。经过乙方维修、更换工作仍无法通过验收的，甲方有权单方解除本合同，乙方除应退还甲方已支付的合同款外还应另外向甲方支付合同总价20%的违约金。</w:t>
      </w:r>
      <w:r/>
    </w:p>
    <w:p>
      <w:pPr>
        <w:ind w:firstLine="280"/>
        <w:jc w:val="both"/>
        <w:keepLines w:val="0"/>
        <w:keepNext w:val="0"/>
        <w:pageBreakBefore w:val="0"/>
        <w:spacing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甲方若发现乙方向甲方提交的投标资料以及本合同所载内容有弄虚作假、隐瞒事实内容等情形的，甲方有权视情形单方解除本合同，乙方除应退还甲方已支付的合同款外，还应向甲方支付合同总金额20%的违约金。</w:t>
      </w:r>
      <w:r/>
    </w:p>
    <w:p>
      <w:pPr>
        <w:ind w:firstLine="280"/>
        <w:jc w:val="both"/>
        <w:keepLines w:val="0"/>
        <w:keepNext w:val="0"/>
        <w:pageBreakBefore w:val="0"/>
        <w:spacing w:line="288"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（十）因乙方违约导致合同终止的，相关责任和损失由乙方承担，并扣除履约保证金。</w:t>
      </w:r>
      <w:r/>
    </w:p>
    <w:p>
      <w:pPr>
        <w:spacing w:line="400" w:lineRule="atLeast"/>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九、不可抗力</w:t>
      </w:r>
      <w:r/>
    </w:p>
    <w:p>
      <w:pPr>
        <w:ind w:firstLine="280"/>
        <w:spacing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（一）由于不可预见、不可避免、不可克服等不可抗力的原因，一方不能履行约定义务的，应当在不可抗力发生之日起3天内以书面形式通知对方，阐明不可抗力事件的存在。</w:t>
      </w:r>
      <w:r/>
    </w:p>
    <w:p>
      <w:pPr>
        <w:ind w:firstLine="280"/>
        <w:spacing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（二）不可抗力事件发生后，双方应当积极寻求合理的方式履行本合同。如不可抗力无法消除，致使合同目的无法实现的，双方均有权解除合同，且无需承担赔偿责任。</w:t>
      </w:r>
      <w:r/>
    </w:p>
    <w:p>
      <w:pPr>
        <w:spacing w:line="400" w:lineRule="atLeast"/>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十、争议的解决方法</w:t>
      </w:r>
      <w:r/>
    </w:p>
    <w:p>
      <w:pPr>
        <w:ind w:firstLine="280"/>
        <w:spacing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（一）因服务的质量问题发生争议的，应当邀请国家认可的质量检测机构对服务质量进行鉴定，不符合质量标准的，鉴定费由乙方承担。</w:t>
      </w:r>
      <w:r/>
    </w:p>
    <w:p>
      <w:pPr>
        <w:ind w:firstLine="280"/>
        <w:spacing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（二）凡与本合同有关的一切争议，甲乙双方应通过协商解决;如经协商后仍不能达成协议时,双方同意向合同签订地即甲方所在地法院提出诉讼解决。</w:t>
      </w:r>
      <w:r/>
    </w:p>
    <w:p>
      <w:pPr>
        <w:ind w:firstLine="280"/>
        <w:spacing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（三）本合同的诉讼管辖地为徐州市有管辖权的法院。</w:t>
      </w:r>
      <w:r/>
    </w:p>
    <w:p>
      <w:pPr>
        <w:ind w:firstLine="280"/>
        <w:spacing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（四）在诉讼期间，除有争议部分的事项外，合同其他部分仍继续履行。</w:t>
      </w:r>
      <w:r/>
    </w:p>
    <w:p>
      <w:pPr>
        <w:spacing w:line="400" w:lineRule="atLeast"/>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十一、其他约定事项</w:t>
      </w:r>
      <w:r/>
    </w:p>
    <w:p>
      <w:pPr>
        <w:ind w:firstLine="280"/>
        <w:spacing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（一）服务期内如遇国家重大政策变化，经双方协商，可对本合同的条款进行补充，并以书面形式签订补充协议，补充协议与本合同具有同等法律效力。</w:t>
      </w:r>
      <w:r/>
    </w:p>
    <w:p>
      <w:pPr>
        <w:ind w:firstLine="280"/>
        <w:spacing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（二）本合同经双方授权代表签字并加盖合同专用章或公章之日起生效，双方签署日期不一致的，以时间在后的为准。</w:t>
      </w:r>
      <w:r/>
    </w:p>
    <w:p>
      <w:pPr>
        <w:ind w:firstLine="280"/>
        <w:spacing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（三）本项目中标通知书、招标文件、投标文件及附件均是本合同不可分割的部分，解释的顺序除特别说明外，以文件生成时间在后的为准。</w:t>
      </w:r>
      <w:r/>
    </w:p>
    <w:p>
      <w:pPr>
        <w:ind w:firstLine="280"/>
        <w:spacing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（四）在执行合同过程中，所有经甲乙双方签署确认的文件（包括会议纪要、补充协议、往来信函）即成为本合同的有效组成部分，其生效日期为双方签字盖章确认的日期。</w:t>
      </w:r>
      <w:r/>
    </w:p>
    <w:p>
      <w:pPr>
        <w:ind w:firstLine="280"/>
        <w:spacing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（五）除甲方事先书面同意外，乙方不得部分或全部转让其应履行的合同项下的义务。</w:t>
      </w:r>
      <w:r/>
    </w:p>
    <w:p>
      <w:pPr>
        <w:ind w:firstLine="280"/>
        <w:spacing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（六）合同一式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份，具有同等法律效力，买方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份，卖方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份。</w:t>
      </w:r>
      <w:r/>
    </w:p>
    <w:p>
      <w:pPr>
        <w:ind w:firstLine="280"/>
        <w:spacing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（七）本合同其他未尽事宜及与采购文件有矛盾之处，以采购文件[项目编号：             ]为准。</w:t>
      </w:r>
      <w:r/>
    </w:p>
    <w:p>
      <w:pPr>
        <w:spacing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spacing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甲方（盖章）：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乙方（盖章）：              </w:t>
      </w:r>
      <w:r/>
    </w:p>
    <w:p>
      <w:pPr>
        <w:spacing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地址：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地址：                     </w:t>
      </w:r>
      <w:r/>
    </w:p>
    <w:p>
      <w:pPr>
        <w:spacing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法定代表人（盖章或签字）：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法定代表人（盖章或签字）：               </w:t>
      </w:r>
      <w:r/>
    </w:p>
    <w:p>
      <w:pPr>
        <w:spacing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委托代理人（盖章或签字）：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委托代理人（盖章或签字）：               </w:t>
      </w:r>
      <w:r/>
    </w:p>
    <w:p>
      <w:pPr>
        <w:spacing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电话：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电话：                     </w:t>
      </w:r>
      <w:r/>
    </w:p>
    <w:p>
      <w:pPr>
        <w:spacing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传真：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传真：                     </w:t>
      </w:r>
      <w:r/>
    </w:p>
    <w:p>
      <w:pPr>
        <w:spacing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开户银行：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开户银行：                 </w:t>
      </w:r>
      <w:r/>
    </w:p>
    <w:p>
      <w:pPr>
        <w:spacing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账号：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账号：   </w:t>
      </w:r>
      <w:r/>
    </w:p>
    <w:p>
      <w:pPr>
        <w:spacing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签订日期：   年 月 日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签订日期：   年 月 日</w:t>
      </w:r>
      <w:r/>
    </w:p>
    <w:p>
      <w:pPr>
        <w:jc w:val="center"/>
        <w:spacing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br w:type="page" w:clear="all"/>
      </w:r>
      <w:r/>
    </w:p>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32"/>
          <w:szCs w:val="32"/>
          <w:highlight w:val="none"/>
        </w:rPr>
        <w:t xml:space="preserve">合同附件</w:t>
      </w:r>
      <w:r/>
    </w:p>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目录</w:t>
      </w:r>
      <w:r/>
    </w:p>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合同附件1：《采购需求》</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(见本项目</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文件。)</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合同附件2：人员、设备配备方案</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(见乙方投标文件中《人员配备》、《设备配置方案》)</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合同附件3：服务方案</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(见乙方投标文件中关于本项目的管养方案）</w:t>
      </w:r>
      <w:r/>
    </w:p>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合同附件4：《考核办法》</w:t>
      </w:r>
      <w:r/>
    </w:p>
    <w:p>
      <w:p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left="0" w:right="2" w:firstLine="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合同附件5：《保密协议》</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spacing w:before="120" w:after="120" w:line="360" w:lineRule="exact"/>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合同附件4：</w:t>
      </w:r>
      <w:r/>
    </w:p>
    <w:p>
      <w:pPr>
        <w:ind w:firstLine="562"/>
        <w:jc w:val="center"/>
        <w:keepLines w:val="0"/>
        <w:keepNext w:val="0"/>
        <w:pageBreakBefore w:val="0"/>
        <w:spacing w:before="120" w:after="120" w:line="288" w:lineRule="auto"/>
        <w:widowControl w:val="off"/>
        <w:tabs>
          <w:tab w:val="left" w:pos="426" w:leader="none"/>
        </w:tabs>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2026年度城区道路带电类交通设施社会化管养服务考核办法</w:t>
      </w:r>
      <w:r/>
    </w:p>
    <w:p>
      <w:pPr>
        <w:ind w:firstLine="480"/>
        <w:spacing w:line="360" w:lineRule="auto"/>
        <w:rPr>
          <w:rFonts w:hint="default" w:ascii="宋体" w:hAnsi="Times New Roman" w:eastAsia="宋体" w:cs="Times New Roman"/>
          <w:sz w:val="24"/>
          <w:szCs w:val="28"/>
        </w:rPr>
      </w:pPr>
      <w:r>
        <w:rPr>
          <w:rFonts w:hint="eastAsia" w:ascii="宋体" w:hAnsi="Times New Roman" w:eastAsia="宋体" w:cs="Times New Roman"/>
          <w:sz w:val="24"/>
          <w:szCs w:val="28"/>
        </w:rPr>
        <w:t xml:space="preserve">1、考核扣分</w:t>
      </w:r>
      <w:r/>
    </w:p>
    <w:tbl>
      <w:tblPr>
        <w:tblStyle w:val="88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2"/>
        <w:gridCol w:w="1579"/>
        <w:gridCol w:w="5272"/>
        <w:gridCol w:w="769"/>
        <w:gridCol w:w="1006"/>
      </w:tblGrid>
      <w:tr>
        <w:trPr>
          <w:jc w:val="center"/>
        </w:trPr>
        <w:tc>
          <w:tcPr>
            <w:tcBorders>
              <w:top w:val="single" w:color="auto" w:sz="4" w:space="0"/>
              <w:left w:val="single" w:color="auto" w:sz="4" w:space="0"/>
              <w:bottom w:val="single" w:color="auto" w:sz="4" w:space="0"/>
              <w:right w:val="single" w:color="auto" w:sz="4" w:space="0"/>
            </w:tcBorders>
            <w:tcW w:w="445" w:type="pct"/>
            <w:vAlign w:val="center"/>
            <w:textDirection w:val="lrTb"/>
            <w:noWrap w:val="false"/>
          </w:tcPr>
          <w:p>
            <w:pPr>
              <w:ind w:firstLine="0"/>
              <w:jc w:val="center"/>
              <w:spacing w:line="240" w:lineRule="auto"/>
              <w:rPr>
                <w:rFonts w:hint="default" w:ascii="宋体" w:hAnsi="Times New Roman" w:eastAsia="宋体" w:cs="Times New Roman"/>
                <w:b/>
                <w:bCs/>
                <w:sz w:val="21"/>
                <w:szCs w:val="21"/>
              </w:rPr>
            </w:pPr>
            <w:r>
              <w:rPr>
                <w:rFonts w:hint="eastAsia" w:ascii="宋体" w:hAnsi="Times New Roman" w:eastAsia="宋体" w:cs="Times New Roman"/>
                <w:b/>
                <w:bCs/>
                <w:sz w:val="21"/>
                <w:szCs w:val="21"/>
              </w:rPr>
              <w:t xml:space="preserve">序号</w:t>
            </w:r>
            <w:r/>
          </w:p>
        </w:tc>
        <w:tc>
          <w:tcPr>
            <w:tcBorders>
              <w:top w:val="single" w:color="auto" w:sz="4" w:space="0"/>
              <w:left w:val="single" w:color="auto" w:sz="4" w:space="0"/>
              <w:bottom w:val="single" w:color="auto" w:sz="4" w:space="0"/>
              <w:right w:val="single" w:color="auto" w:sz="4" w:space="0"/>
            </w:tcBorders>
            <w:tcW w:w="834" w:type="pct"/>
            <w:vAlign w:val="center"/>
            <w:textDirection w:val="lrTb"/>
            <w:noWrap w:val="false"/>
          </w:tcPr>
          <w:p>
            <w:pPr>
              <w:ind w:firstLine="0"/>
              <w:jc w:val="center"/>
              <w:spacing w:line="240" w:lineRule="auto"/>
              <w:rPr>
                <w:rFonts w:hint="default" w:ascii="宋体" w:hAnsi="Times New Roman" w:eastAsia="宋体" w:cs="Times New Roman"/>
                <w:b/>
                <w:bCs/>
                <w:sz w:val="21"/>
                <w:szCs w:val="21"/>
              </w:rPr>
            </w:pPr>
            <w:r>
              <w:rPr>
                <w:rFonts w:hint="eastAsia" w:ascii="宋体" w:hAnsi="Times New Roman" w:eastAsia="宋体" w:cs="Times New Roman"/>
                <w:b/>
                <w:bCs/>
                <w:sz w:val="21"/>
                <w:szCs w:val="21"/>
              </w:rPr>
              <w:t xml:space="preserve">指标</w:t>
            </w:r>
            <w:r/>
          </w:p>
        </w:tc>
        <w:tc>
          <w:tcPr>
            <w:tcBorders>
              <w:top w:val="single" w:color="auto" w:sz="4" w:space="0"/>
              <w:left w:val="single" w:color="auto" w:sz="4" w:space="0"/>
              <w:bottom w:val="single" w:color="auto" w:sz="4" w:space="0"/>
              <w:right w:val="single" w:color="auto" w:sz="4" w:space="0"/>
            </w:tcBorders>
            <w:tcW w:w="2784" w:type="pct"/>
            <w:vAlign w:val="center"/>
            <w:textDirection w:val="lrTb"/>
            <w:noWrap w:val="false"/>
          </w:tcPr>
          <w:p>
            <w:pPr>
              <w:ind w:firstLine="0"/>
              <w:jc w:val="center"/>
              <w:spacing w:line="240" w:lineRule="auto"/>
              <w:rPr>
                <w:rFonts w:hint="default" w:ascii="宋体" w:hAnsi="Times New Roman" w:eastAsia="宋体" w:cs="Times New Roman"/>
                <w:b/>
                <w:bCs/>
                <w:sz w:val="21"/>
                <w:szCs w:val="21"/>
              </w:rPr>
            </w:pPr>
            <w:r>
              <w:rPr>
                <w:rFonts w:hint="eastAsia" w:ascii="宋体" w:hAnsi="Times New Roman" w:eastAsia="宋体" w:cs="Times New Roman"/>
                <w:b/>
                <w:bCs/>
                <w:sz w:val="21"/>
                <w:szCs w:val="21"/>
              </w:rPr>
              <w:t xml:space="preserve">检查、考核情况</w:t>
            </w:r>
            <w:r/>
          </w:p>
        </w:tc>
        <w:tc>
          <w:tcPr>
            <w:tcBorders>
              <w:top w:val="single" w:color="auto" w:sz="4" w:space="0"/>
              <w:left w:val="single" w:color="auto" w:sz="4" w:space="0"/>
              <w:bottom w:val="single" w:color="auto" w:sz="4" w:space="0"/>
              <w:right w:val="single" w:color="auto" w:sz="4" w:space="0"/>
            </w:tcBorders>
            <w:tcW w:w="406" w:type="pct"/>
            <w:vAlign w:val="center"/>
            <w:textDirection w:val="lrTb"/>
            <w:noWrap w:val="false"/>
          </w:tcPr>
          <w:p>
            <w:pPr>
              <w:ind w:firstLine="0"/>
              <w:jc w:val="center"/>
              <w:spacing w:line="240" w:lineRule="auto"/>
              <w:rPr>
                <w:rFonts w:hint="default" w:ascii="宋体" w:hAnsi="Times New Roman" w:eastAsia="宋体" w:cs="Times New Roman"/>
                <w:b/>
                <w:bCs/>
                <w:sz w:val="21"/>
                <w:szCs w:val="21"/>
              </w:rPr>
            </w:pPr>
            <w:r>
              <w:rPr>
                <w:rFonts w:hint="eastAsia" w:ascii="宋体" w:hAnsi="Times New Roman" w:eastAsia="宋体" w:cs="Times New Roman"/>
                <w:b/>
                <w:bCs/>
                <w:sz w:val="21"/>
                <w:szCs w:val="21"/>
              </w:rPr>
              <w:t xml:space="preserve">单位</w:t>
            </w:r>
            <w:r/>
          </w:p>
        </w:tc>
        <w:tc>
          <w:tcPr>
            <w:tcBorders>
              <w:top w:val="single" w:color="auto" w:sz="4" w:space="0"/>
              <w:left w:val="single" w:color="auto" w:sz="4" w:space="0"/>
              <w:bottom w:val="single" w:color="auto" w:sz="4" w:space="0"/>
              <w:right w:val="single" w:color="auto" w:sz="4" w:space="0"/>
            </w:tcBorders>
            <w:tcW w:w="531" w:type="pct"/>
            <w:vAlign w:val="center"/>
            <w:textDirection w:val="lrTb"/>
            <w:noWrap w:val="false"/>
          </w:tcPr>
          <w:p>
            <w:pPr>
              <w:ind w:firstLine="0"/>
              <w:jc w:val="center"/>
              <w:spacing w:line="240" w:lineRule="auto"/>
              <w:rPr>
                <w:rFonts w:hint="default" w:ascii="宋体" w:hAnsi="Times New Roman" w:eastAsia="宋体" w:cs="Times New Roman"/>
                <w:b/>
                <w:bCs/>
                <w:sz w:val="21"/>
                <w:szCs w:val="21"/>
              </w:rPr>
            </w:pPr>
            <w:r>
              <w:rPr>
                <w:rFonts w:hint="eastAsia" w:ascii="宋体" w:hAnsi="Times New Roman" w:eastAsia="宋体" w:cs="Times New Roman"/>
                <w:b/>
                <w:bCs/>
                <w:sz w:val="21"/>
                <w:szCs w:val="21"/>
              </w:rPr>
              <w:t xml:space="preserve">扣分</w:t>
            </w:r>
            <w:r/>
          </w:p>
        </w:tc>
      </w:tr>
      <w:tr>
        <w:trPr>
          <w:jc w:val="center"/>
          <w:trHeight w:val="325"/>
        </w:trPr>
        <w:tc>
          <w:tcPr>
            <w:tcBorders>
              <w:top w:val="single" w:color="auto" w:sz="4" w:space="0"/>
              <w:left w:val="single" w:color="auto" w:sz="4" w:space="0"/>
              <w:bottom w:val="single" w:color="auto" w:sz="4" w:space="0"/>
              <w:right w:val="single" w:color="auto" w:sz="4" w:space="0"/>
            </w:tcBorders>
            <w:tcW w:w="445" w:type="pct"/>
            <w:vAlign w:val="center"/>
            <w:textDirection w:val="lrTb"/>
            <w:noWrap w:val="false"/>
          </w:tcPr>
          <w:p>
            <w:pPr>
              <w:ind w:firstLine="0"/>
              <w:jc w:val="center"/>
              <w:spacing w:line="240" w:lineRule="auto"/>
              <w:rPr>
                <w:rFonts w:hint="default" w:ascii="宋体" w:hAnsi="Times New Roman" w:eastAsia="宋体" w:cs="Times New Roman"/>
                <w:sz w:val="21"/>
                <w:szCs w:val="21"/>
              </w:rPr>
            </w:pPr>
            <w:r>
              <w:rPr>
                <w:rFonts w:hint="eastAsia" w:ascii="宋体" w:hAnsi="Times New Roman" w:eastAsia="宋体" w:cs="Times New Roman"/>
                <w:sz w:val="21"/>
                <w:szCs w:val="21"/>
              </w:rPr>
              <w:t xml:space="preserve">1</w:t>
            </w:r>
            <w:r/>
          </w:p>
        </w:tc>
        <w:tc>
          <w:tcPr>
            <w:tcBorders>
              <w:top w:val="none" w:color="000000" w:sz="4" w:space="0"/>
              <w:left w:val="single" w:color="auto" w:sz="4" w:space="0"/>
              <w:bottom w:val="single" w:color="auto" w:sz="4" w:space="0"/>
              <w:right w:val="single" w:color="auto" w:sz="4" w:space="0"/>
            </w:tcBorders>
            <w:tcW w:w="834" w:type="pct"/>
            <w:vAlign w:val="center"/>
            <w:vMerge w:val="restart"/>
            <w:textDirection w:val="lrTb"/>
            <w:noWrap w:val="false"/>
          </w:tcPr>
          <w:p>
            <w:pPr>
              <w:ind w:firstLine="0"/>
              <w:jc w:val="center"/>
              <w:spacing w:line="240" w:lineRule="auto"/>
              <w:rPr>
                <w:rFonts w:hint="default" w:ascii="宋体" w:hAnsi="Times New Roman" w:eastAsia="宋体" w:cs="Times New Roman"/>
                <w:sz w:val="21"/>
                <w:szCs w:val="21"/>
              </w:rPr>
            </w:pPr>
            <w:r>
              <w:rPr>
                <w:rFonts w:hint="eastAsia" w:ascii="宋体" w:hAnsi="Times New Roman" w:eastAsia="宋体" w:cs="Times New Roman"/>
                <w:bCs/>
                <w:sz w:val="21"/>
                <w:szCs w:val="21"/>
              </w:rPr>
              <w:t xml:space="preserve">人员车辆在岗情况</w:t>
            </w:r>
            <w:r/>
          </w:p>
        </w:tc>
        <w:tc>
          <w:tcPr>
            <w:tcBorders>
              <w:top w:val="single" w:color="auto" w:sz="4" w:space="0"/>
              <w:left w:val="single" w:color="auto" w:sz="4" w:space="0"/>
              <w:bottom w:val="single" w:color="auto" w:sz="4" w:space="0"/>
              <w:right w:val="single" w:color="auto" w:sz="4" w:space="0"/>
            </w:tcBorders>
            <w:tcW w:w="2784" w:type="pct"/>
            <w:vAlign w:val="center"/>
            <w:textDirection w:val="lrTb"/>
            <w:noWrap w:val="false"/>
          </w:tcPr>
          <w:p>
            <w:pPr>
              <w:ind w:firstLine="0"/>
              <w:jc w:val="left"/>
              <w:spacing w:line="240" w:lineRule="auto"/>
              <w:rPr>
                <w:rFonts w:hint="default" w:ascii="宋体" w:hAnsi="Times New Roman" w:eastAsia="宋体" w:cs="Times New Roman"/>
                <w:sz w:val="21"/>
                <w:szCs w:val="21"/>
              </w:rPr>
            </w:pPr>
            <w:r>
              <w:rPr>
                <w:rFonts w:hint="eastAsia" w:ascii="宋体" w:hAnsi="Times New Roman" w:eastAsia="宋体" w:cs="Times New Roman"/>
                <w:sz w:val="21"/>
                <w:szCs w:val="21"/>
              </w:rPr>
              <w:t xml:space="preserve">维护人员不在岗</w:t>
            </w:r>
            <w:r/>
          </w:p>
        </w:tc>
        <w:tc>
          <w:tcPr>
            <w:tcBorders>
              <w:top w:val="single" w:color="auto" w:sz="4" w:space="0"/>
              <w:left w:val="single" w:color="auto" w:sz="4" w:space="0"/>
              <w:bottom w:val="single" w:color="auto" w:sz="4" w:space="0"/>
              <w:right w:val="single" w:color="auto" w:sz="4" w:space="0"/>
            </w:tcBorders>
            <w:tcW w:w="406" w:type="pct"/>
            <w:vAlign w:val="center"/>
            <w:textDirection w:val="lrTb"/>
            <w:noWrap w:val="false"/>
          </w:tcPr>
          <w:p>
            <w:pPr>
              <w:ind w:firstLine="0"/>
              <w:jc w:val="center"/>
              <w:spacing w:line="240" w:lineRule="auto"/>
              <w:rPr>
                <w:rFonts w:hint="default" w:ascii="宋体" w:hAnsi="Times New Roman" w:eastAsia="宋体" w:cs="Times New Roman"/>
                <w:sz w:val="21"/>
                <w:szCs w:val="21"/>
              </w:rPr>
            </w:pPr>
            <w:r>
              <w:rPr>
                <w:rFonts w:hint="eastAsia" w:ascii="宋体" w:hAnsi="Times New Roman" w:eastAsia="宋体" w:cs="Times New Roman"/>
                <w:sz w:val="21"/>
                <w:szCs w:val="21"/>
              </w:rPr>
              <w:t xml:space="preserve">次</w:t>
            </w:r>
            <w:r/>
          </w:p>
        </w:tc>
        <w:tc>
          <w:tcPr>
            <w:tcBorders>
              <w:top w:val="single" w:color="auto" w:sz="4" w:space="0"/>
              <w:left w:val="single" w:color="auto" w:sz="4" w:space="0"/>
              <w:bottom w:val="single" w:color="auto" w:sz="4" w:space="0"/>
              <w:right w:val="single" w:color="auto" w:sz="4" w:space="0"/>
            </w:tcBorders>
            <w:tcW w:w="531" w:type="pct"/>
            <w:vAlign w:val="center"/>
            <w:textDirection w:val="lrTb"/>
            <w:noWrap w:val="false"/>
          </w:tcPr>
          <w:p>
            <w:pPr>
              <w:ind w:firstLine="0"/>
              <w:jc w:val="center"/>
              <w:spacing w:line="240" w:lineRule="auto"/>
              <w:rPr>
                <w:rFonts w:hint="default" w:ascii="宋体" w:hAnsi="Times New Roman" w:eastAsia="宋体" w:cs="Times New Roman"/>
                <w:sz w:val="21"/>
                <w:szCs w:val="21"/>
              </w:rPr>
            </w:pPr>
            <w:r>
              <w:rPr>
                <w:rFonts w:hint="eastAsia" w:ascii="宋体" w:hAnsi="Times New Roman" w:eastAsia="宋体" w:cs="Times New Roman"/>
                <w:sz w:val="21"/>
                <w:szCs w:val="21"/>
              </w:rPr>
              <w:t xml:space="preserve">0.3</w:t>
            </w:r>
            <w:r/>
          </w:p>
        </w:tc>
      </w:tr>
      <w:tr>
        <w:trPr>
          <w:jc w:val="center"/>
          <w:trHeight w:val="90"/>
        </w:trPr>
        <w:tc>
          <w:tcPr>
            <w:tcBorders>
              <w:top w:val="single" w:color="auto" w:sz="4" w:space="0"/>
              <w:left w:val="single" w:color="auto" w:sz="4" w:space="0"/>
              <w:bottom w:val="single" w:color="auto" w:sz="4" w:space="0"/>
              <w:right w:val="single" w:color="auto" w:sz="4" w:space="0"/>
            </w:tcBorders>
            <w:tcW w:w="445" w:type="pct"/>
            <w:vAlign w:val="center"/>
            <w:textDirection w:val="lrTb"/>
            <w:noWrap w:val="false"/>
          </w:tcPr>
          <w:p>
            <w:pPr>
              <w:ind w:firstLine="0"/>
              <w:jc w:val="center"/>
              <w:spacing w:line="240" w:lineRule="auto"/>
              <w:rPr>
                <w:rFonts w:hint="default" w:ascii="宋体" w:hAnsi="Times New Roman" w:eastAsia="宋体" w:cs="Times New Roman"/>
                <w:sz w:val="21"/>
                <w:szCs w:val="21"/>
              </w:rPr>
            </w:pPr>
            <w:r>
              <w:rPr>
                <w:rFonts w:hint="eastAsia" w:ascii="宋体" w:hAnsi="Times New Roman" w:eastAsia="宋体" w:cs="Times New Roman"/>
                <w:sz w:val="21"/>
                <w:szCs w:val="21"/>
              </w:rPr>
              <w:t xml:space="preserve">2</w:t>
            </w:r>
            <w:r/>
          </w:p>
        </w:tc>
        <w:tc>
          <w:tcPr>
            <w:tcBorders>
              <w:top w:val="none" w:color="000000" w:sz="4" w:space="0"/>
              <w:left w:val="single" w:color="auto" w:sz="4" w:space="0"/>
              <w:bottom w:val="single" w:color="auto" w:sz="4" w:space="0"/>
              <w:right w:val="single" w:color="auto" w:sz="4" w:space="0"/>
            </w:tcBorders>
            <w:tcW w:w="834" w:type="pct"/>
            <w:vAlign w:val="center"/>
            <w:vMerge w:val="continue"/>
            <w:textDirection w:val="lrTb"/>
            <w:noWrap w:val="false"/>
          </w:tcPr>
          <w:p>
            <w:pPr>
              <w:ind w:firstLine="0"/>
              <w:jc w:val="center"/>
              <w:spacing w:line="240" w:lineRule="auto"/>
              <w:rPr>
                <w:rFonts w:hint="default" w:ascii="宋体" w:hAnsi="Times New Roman" w:eastAsia="宋体" w:cs="Times New Roman"/>
                <w:sz w:val="21"/>
                <w:szCs w:val="21"/>
              </w:rPr>
            </w:pPr>
            <w:r>
              <w:rPr>
                <w:rFonts w:hint="default" w:ascii="宋体" w:hAnsi="Times New Roman" w:eastAsia="宋体" w:cs="Times New Roman"/>
                <w:sz w:val="21"/>
                <w:szCs w:val="21"/>
              </w:rPr>
            </w:r>
            <w:r/>
          </w:p>
        </w:tc>
        <w:tc>
          <w:tcPr>
            <w:tcBorders>
              <w:top w:val="single" w:color="auto" w:sz="4" w:space="0"/>
              <w:left w:val="single" w:color="auto" w:sz="4" w:space="0"/>
              <w:bottom w:val="single" w:color="auto" w:sz="4" w:space="0"/>
              <w:right w:val="single" w:color="auto" w:sz="4" w:space="0"/>
            </w:tcBorders>
            <w:tcW w:w="2784" w:type="pct"/>
            <w:vAlign w:val="center"/>
            <w:textDirection w:val="lrTb"/>
            <w:noWrap w:val="false"/>
          </w:tcPr>
          <w:p>
            <w:pPr>
              <w:ind w:firstLine="0"/>
              <w:jc w:val="left"/>
              <w:spacing w:line="240" w:lineRule="auto"/>
              <w:rPr>
                <w:rFonts w:hint="default" w:ascii="宋体" w:hAnsi="Times New Roman" w:eastAsia="宋体" w:cs="Times New Roman"/>
                <w:sz w:val="21"/>
                <w:szCs w:val="21"/>
              </w:rPr>
            </w:pPr>
            <w:r>
              <w:rPr>
                <w:rFonts w:hint="eastAsia" w:ascii="宋体" w:hAnsi="Times New Roman" w:eastAsia="宋体" w:cs="Times New Roman"/>
                <w:sz w:val="21"/>
                <w:szCs w:val="21"/>
              </w:rPr>
              <w:t xml:space="preserve">巡检车辆运行轨迹不完整或缺失</w:t>
            </w:r>
            <w:r/>
          </w:p>
        </w:tc>
        <w:tc>
          <w:tcPr>
            <w:tcBorders>
              <w:top w:val="single" w:color="auto" w:sz="4" w:space="0"/>
              <w:left w:val="single" w:color="auto" w:sz="4" w:space="0"/>
              <w:bottom w:val="single" w:color="auto" w:sz="4" w:space="0"/>
              <w:right w:val="single" w:color="auto" w:sz="4" w:space="0"/>
            </w:tcBorders>
            <w:tcW w:w="406" w:type="pct"/>
            <w:vAlign w:val="center"/>
            <w:textDirection w:val="lrTb"/>
            <w:noWrap w:val="false"/>
          </w:tcPr>
          <w:p>
            <w:pPr>
              <w:ind w:firstLine="0"/>
              <w:jc w:val="center"/>
              <w:spacing w:line="240" w:lineRule="auto"/>
              <w:rPr>
                <w:rFonts w:hint="default" w:ascii="宋体" w:hAnsi="Times New Roman" w:eastAsia="宋体" w:cs="Times New Roman"/>
                <w:sz w:val="21"/>
                <w:szCs w:val="21"/>
              </w:rPr>
            </w:pPr>
            <w:r>
              <w:rPr>
                <w:rFonts w:hint="eastAsia" w:ascii="宋体" w:hAnsi="Times New Roman" w:eastAsia="宋体" w:cs="Times New Roman"/>
                <w:sz w:val="21"/>
                <w:szCs w:val="21"/>
              </w:rPr>
              <w:t xml:space="preserve">次</w:t>
            </w:r>
            <w:r/>
          </w:p>
        </w:tc>
        <w:tc>
          <w:tcPr>
            <w:tcBorders>
              <w:top w:val="single" w:color="auto" w:sz="4" w:space="0"/>
              <w:left w:val="single" w:color="auto" w:sz="4" w:space="0"/>
              <w:bottom w:val="single" w:color="auto" w:sz="4" w:space="0"/>
              <w:right w:val="single" w:color="auto" w:sz="4" w:space="0"/>
            </w:tcBorders>
            <w:tcW w:w="531" w:type="pct"/>
            <w:vAlign w:val="center"/>
            <w:textDirection w:val="lrTb"/>
            <w:noWrap w:val="false"/>
          </w:tcPr>
          <w:p>
            <w:pPr>
              <w:ind w:firstLine="0"/>
              <w:jc w:val="center"/>
              <w:spacing w:line="240" w:lineRule="auto"/>
              <w:rPr>
                <w:rFonts w:hint="default" w:ascii="宋体" w:hAnsi="Times New Roman" w:eastAsia="宋体" w:cs="Times New Roman"/>
                <w:sz w:val="21"/>
                <w:szCs w:val="21"/>
              </w:rPr>
            </w:pPr>
            <w:r>
              <w:rPr>
                <w:rFonts w:hint="eastAsia" w:ascii="宋体" w:hAnsi="Times New Roman" w:eastAsia="宋体" w:cs="Times New Roman"/>
                <w:sz w:val="21"/>
                <w:szCs w:val="21"/>
              </w:rPr>
              <w:t xml:space="preserve">0.1</w:t>
            </w:r>
            <w:r/>
          </w:p>
        </w:tc>
      </w:tr>
      <w:tr>
        <w:trPr>
          <w:jc w:val="center"/>
        </w:trPr>
        <w:tc>
          <w:tcPr>
            <w:tcBorders>
              <w:top w:val="single" w:color="auto" w:sz="4" w:space="0"/>
              <w:left w:val="single" w:color="auto" w:sz="4" w:space="0"/>
              <w:bottom w:val="single" w:color="auto" w:sz="4" w:space="0"/>
              <w:right w:val="single" w:color="auto" w:sz="4" w:space="0"/>
            </w:tcBorders>
            <w:tcW w:w="445" w:type="pct"/>
            <w:vAlign w:val="center"/>
            <w:textDirection w:val="lrTb"/>
            <w:noWrap w:val="false"/>
          </w:tcPr>
          <w:p>
            <w:pPr>
              <w:ind w:firstLine="0"/>
              <w:jc w:val="center"/>
              <w:spacing w:line="240" w:lineRule="auto"/>
              <w:rPr>
                <w:rFonts w:hint="default" w:ascii="宋体" w:hAnsi="Times New Roman" w:eastAsia="宋体" w:cs="Times New Roman"/>
                <w:sz w:val="21"/>
                <w:szCs w:val="21"/>
              </w:rPr>
            </w:pPr>
            <w:r>
              <w:rPr>
                <w:rFonts w:hint="eastAsia" w:ascii="宋体" w:hAnsi="Times New Roman" w:eastAsia="宋体" w:cs="Times New Roman"/>
                <w:sz w:val="21"/>
                <w:szCs w:val="21"/>
              </w:rPr>
              <w:t xml:space="preserve">3</w:t>
            </w:r>
            <w:r/>
          </w:p>
        </w:tc>
        <w:tc>
          <w:tcPr>
            <w:tcBorders>
              <w:top w:val="none" w:color="000000" w:sz="4" w:space="0"/>
              <w:left w:val="single" w:color="auto" w:sz="4" w:space="0"/>
              <w:bottom w:val="single" w:color="auto" w:sz="4" w:space="0"/>
              <w:right w:val="single" w:color="auto" w:sz="4" w:space="0"/>
            </w:tcBorders>
            <w:tcW w:w="834" w:type="pct"/>
            <w:vAlign w:val="center"/>
            <w:vMerge w:val="continue"/>
            <w:textDirection w:val="lrTb"/>
            <w:noWrap w:val="false"/>
          </w:tcPr>
          <w:p>
            <w:pPr>
              <w:ind w:firstLine="0"/>
              <w:jc w:val="center"/>
              <w:spacing w:line="240" w:lineRule="auto"/>
              <w:rPr>
                <w:rFonts w:hint="default" w:ascii="宋体" w:hAnsi="Times New Roman" w:eastAsia="宋体" w:cs="Times New Roman"/>
                <w:sz w:val="21"/>
                <w:szCs w:val="21"/>
              </w:rPr>
            </w:pPr>
            <w:r>
              <w:rPr>
                <w:rFonts w:hint="default" w:ascii="宋体" w:hAnsi="Times New Roman" w:eastAsia="宋体" w:cs="Times New Roman"/>
                <w:sz w:val="21"/>
                <w:szCs w:val="21"/>
              </w:rPr>
            </w:r>
            <w:r/>
          </w:p>
        </w:tc>
        <w:tc>
          <w:tcPr>
            <w:tcBorders>
              <w:top w:val="single" w:color="auto" w:sz="4" w:space="0"/>
              <w:left w:val="single" w:color="auto" w:sz="4" w:space="0"/>
              <w:bottom w:val="single" w:color="auto" w:sz="4" w:space="0"/>
              <w:right w:val="single" w:color="auto" w:sz="4" w:space="0"/>
            </w:tcBorders>
            <w:tcW w:w="2784" w:type="pct"/>
            <w:vAlign w:val="center"/>
            <w:textDirection w:val="lrTb"/>
            <w:noWrap w:val="false"/>
          </w:tcPr>
          <w:p>
            <w:pPr>
              <w:ind w:firstLine="0"/>
              <w:jc w:val="left"/>
              <w:spacing w:line="240" w:lineRule="auto"/>
              <w:rPr>
                <w:rFonts w:hint="default" w:ascii="宋体" w:hAnsi="Times New Roman" w:eastAsia="宋体" w:cs="Times New Roman"/>
                <w:sz w:val="21"/>
                <w:szCs w:val="21"/>
              </w:rPr>
            </w:pPr>
            <w:r>
              <w:rPr>
                <w:rFonts w:hint="eastAsia" w:ascii="宋体" w:hAnsi="Times New Roman" w:eastAsia="宋体" w:cs="Times New Roman"/>
                <w:sz w:val="21"/>
                <w:szCs w:val="21"/>
              </w:rPr>
              <w:t xml:space="preserve">路口巡检频次不达标的</w:t>
            </w:r>
            <w:r/>
          </w:p>
        </w:tc>
        <w:tc>
          <w:tcPr>
            <w:tcBorders>
              <w:top w:val="single" w:color="auto" w:sz="4" w:space="0"/>
              <w:left w:val="single" w:color="auto" w:sz="4" w:space="0"/>
              <w:bottom w:val="single" w:color="auto" w:sz="4" w:space="0"/>
              <w:right w:val="single" w:color="auto" w:sz="4" w:space="0"/>
            </w:tcBorders>
            <w:tcW w:w="406" w:type="pct"/>
            <w:vAlign w:val="center"/>
            <w:textDirection w:val="lrTb"/>
            <w:noWrap w:val="false"/>
          </w:tcPr>
          <w:p>
            <w:pPr>
              <w:ind w:firstLine="0"/>
              <w:jc w:val="center"/>
              <w:spacing w:line="240" w:lineRule="auto"/>
              <w:rPr>
                <w:rFonts w:hint="default" w:ascii="宋体" w:hAnsi="Times New Roman" w:eastAsia="宋体" w:cs="Times New Roman"/>
                <w:sz w:val="21"/>
                <w:szCs w:val="21"/>
              </w:rPr>
            </w:pPr>
            <w:r>
              <w:rPr>
                <w:rFonts w:hint="eastAsia" w:ascii="宋体" w:hAnsi="Times New Roman" w:eastAsia="宋体" w:cs="Times New Roman"/>
                <w:sz w:val="21"/>
                <w:szCs w:val="21"/>
              </w:rPr>
              <w:t xml:space="preserve">天</w:t>
            </w:r>
            <w:r/>
          </w:p>
        </w:tc>
        <w:tc>
          <w:tcPr>
            <w:tcBorders>
              <w:top w:val="single" w:color="auto" w:sz="4" w:space="0"/>
              <w:left w:val="single" w:color="auto" w:sz="4" w:space="0"/>
              <w:bottom w:val="single" w:color="auto" w:sz="4" w:space="0"/>
              <w:right w:val="single" w:color="auto" w:sz="4" w:space="0"/>
            </w:tcBorders>
            <w:tcW w:w="531" w:type="pct"/>
            <w:vAlign w:val="center"/>
            <w:textDirection w:val="lrTb"/>
            <w:noWrap w:val="false"/>
          </w:tcPr>
          <w:p>
            <w:pPr>
              <w:ind w:firstLine="0"/>
              <w:jc w:val="center"/>
              <w:spacing w:line="240" w:lineRule="auto"/>
              <w:rPr>
                <w:rFonts w:hint="default" w:ascii="宋体" w:hAnsi="Times New Roman" w:eastAsia="宋体" w:cs="Times New Roman"/>
                <w:sz w:val="21"/>
                <w:szCs w:val="21"/>
              </w:rPr>
            </w:pPr>
            <w:r>
              <w:rPr>
                <w:rFonts w:hint="eastAsia" w:ascii="宋体" w:hAnsi="Times New Roman" w:eastAsia="宋体" w:cs="Times New Roman"/>
                <w:sz w:val="21"/>
                <w:szCs w:val="21"/>
              </w:rPr>
              <w:t xml:space="preserve">0.1</w:t>
            </w:r>
            <w:r/>
          </w:p>
        </w:tc>
      </w:tr>
      <w:tr>
        <w:trPr>
          <w:jc w:val="center"/>
        </w:trPr>
        <w:tc>
          <w:tcPr>
            <w:tcBorders>
              <w:top w:val="single" w:color="auto" w:sz="4" w:space="0"/>
              <w:left w:val="single" w:color="auto" w:sz="4" w:space="0"/>
              <w:bottom w:val="single" w:color="auto" w:sz="4" w:space="0"/>
              <w:right w:val="single" w:color="auto" w:sz="4" w:space="0"/>
            </w:tcBorders>
            <w:tcW w:w="445" w:type="pct"/>
            <w:vAlign w:val="center"/>
            <w:textDirection w:val="lrTb"/>
            <w:noWrap w:val="false"/>
          </w:tcPr>
          <w:p>
            <w:pPr>
              <w:ind w:firstLine="0"/>
              <w:jc w:val="center"/>
              <w:spacing w:line="240" w:lineRule="auto"/>
              <w:rPr>
                <w:rFonts w:hint="default" w:ascii="宋体" w:hAnsi="Times New Roman" w:eastAsia="宋体" w:cs="Times New Roman"/>
                <w:sz w:val="21"/>
                <w:szCs w:val="21"/>
              </w:rPr>
            </w:pPr>
            <w:r>
              <w:rPr>
                <w:rFonts w:hint="eastAsia" w:ascii="宋体" w:hAnsi="Times New Roman" w:eastAsia="宋体" w:cs="Times New Roman"/>
                <w:sz w:val="21"/>
                <w:szCs w:val="21"/>
              </w:rPr>
              <w:t xml:space="preserve">4</w:t>
            </w:r>
            <w:r/>
          </w:p>
        </w:tc>
        <w:tc>
          <w:tcPr>
            <w:tcBorders>
              <w:top w:val="none" w:color="000000" w:sz="4" w:space="0"/>
              <w:left w:val="single" w:color="auto" w:sz="4" w:space="0"/>
              <w:bottom w:val="single" w:color="auto" w:sz="4" w:space="0"/>
              <w:right w:val="single" w:color="auto" w:sz="4" w:space="0"/>
            </w:tcBorders>
            <w:tcW w:w="834" w:type="pct"/>
            <w:vAlign w:val="center"/>
            <w:vMerge w:val="continue"/>
            <w:textDirection w:val="lrTb"/>
            <w:noWrap w:val="false"/>
          </w:tcPr>
          <w:p>
            <w:pPr>
              <w:ind w:firstLine="0"/>
              <w:jc w:val="center"/>
              <w:spacing w:line="240" w:lineRule="auto"/>
              <w:rPr>
                <w:rFonts w:hint="default" w:ascii="宋体" w:hAnsi="Times New Roman" w:eastAsia="宋体" w:cs="Times New Roman"/>
                <w:sz w:val="21"/>
                <w:szCs w:val="21"/>
              </w:rPr>
            </w:pPr>
            <w:r>
              <w:rPr>
                <w:rFonts w:hint="default" w:ascii="宋体" w:hAnsi="Times New Roman" w:eastAsia="宋体" w:cs="Times New Roman"/>
                <w:sz w:val="21"/>
                <w:szCs w:val="21"/>
              </w:rPr>
            </w:r>
            <w:r/>
          </w:p>
        </w:tc>
        <w:tc>
          <w:tcPr>
            <w:tcBorders>
              <w:top w:val="single" w:color="auto" w:sz="4" w:space="0"/>
              <w:left w:val="single" w:color="auto" w:sz="4" w:space="0"/>
              <w:bottom w:val="single" w:color="auto" w:sz="4" w:space="0"/>
              <w:right w:val="single" w:color="auto" w:sz="4" w:space="0"/>
            </w:tcBorders>
            <w:tcW w:w="2784" w:type="pct"/>
            <w:vAlign w:val="center"/>
            <w:textDirection w:val="lrTb"/>
            <w:noWrap w:val="false"/>
          </w:tcPr>
          <w:p>
            <w:pPr>
              <w:ind w:firstLine="0"/>
              <w:jc w:val="left"/>
              <w:spacing w:line="240" w:lineRule="auto"/>
              <w:rPr>
                <w:rFonts w:hint="default" w:ascii="宋体" w:hAnsi="Times New Roman" w:eastAsia="宋体" w:cs="Times New Roman"/>
                <w:sz w:val="21"/>
                <w:szCs w:val="21"/>
              </w:rPr>
            </w:pPr>
            <w:r>
              <w:rPr>
                <w:rFonts w:hint="eastAsia" w:ascii="宋体" w:hAnsi="Times New Roman" w:eastAsia="宋体" w:cs="Times New Roman"/>
                <w:sz w:val="21"/>
                <w:szCs w:val="21"/>
              </w:rPr>
              <w:t xml:space="preserve">巡检车辆无故驶离服务范围</w:t>
            </w:r>
            <w:r/>
          </w:p>
        </w:tc>
        <w:tc>
          <w:tcPr>
            <w:tcBorders>
              <w:top w:val="single" w:color="auto" w:sz="4" w:space="0"/>
              <w:left w:val="single" w:color="auto" w:sz="4" w:space="0"/>
              <w:bottom w:val="single" w:color="auto" w:sz="4" w:space="0"/>
              <w:right w:val="single" w:color="auto" w:sz="4" w:space="0"/>
            </w:tcBorders>
            <w:tcW w:w="406" w:type="pct"/>
            <w:vAlign w:val="center"/>
            <w:textDirection w:val="lrTb"/>
            <w:noWrap w:val="false"/>
          </w:tcPr>
          <w:p>
            <w:pPr>
              <w:ind w:firstLine="0"/>
              <w:jc w:val="center"/>
              <w:spacing w:line="240" w:lineRule="auto"/>
              <w:rPr>
                <w:rFonts w:hint="default" w:ascii="宋体" w:hAnsi="Times New Roman" w:eastAsia="宋体" w:cs="Times New Roman"/>
                <w:sz w:val="21"/>
                <w:szCs w:val="21"/>
              </w:rPr>
            </w:pPr>
            <w:r>
              <w:rPr>
                <w:rFonts w:hint="eastAsia" w:ascii="宋体" w:hAnsi="Times New Roman" w:eastAsia="宋体" w:cs="Times New Roman"/>
                <w:sz w:val="21"/>
                <w:szCs w:val="21"/>
              </w:rPr>
              <w:t xml:space="preserve">次</w:t>
            </w:r>
            <w:r/>
          </w:p>
        </w:tc>
        <w:tc>
          <w:tcPr>
            <w:tcBorders>
              <w:top w:val="single" w:color="auto" w:sz="4" w:space="0"/>
              <w:left w:val="single" w:color="auto" w:sz="4" w:space="0"/>
              <w:bottom w:val="single" w:color="auto" w:sz="4" w:space="0"/>
              <w:right w:val="single" w:color="auto" w:sz="4" w:space="0"/>
            </w:tcBorders>
            <w:tcW w:w="531" w:type="pct"/>
            <w:vAlign w:val="center"/>
            <w:textDirection w:val="lrTb"/>
            <w:noWrap w:val="false"/>
          </w:tcPr>
          <w:p>
            <w:pPr>
              <w:ind w:firstLine="0"/>
              <w:jc w:val="center"/>
              <w:spacing w:line="240" w:lineRule="auto"/>
              <w:rPr>
                <w:rFonts w:hint="default" w:ascii="宋体" w:hAnsi="Times New Roman" w:eastAsia="宋体" w:cs="Times New Roman"/>
                <w:sz w:val="21"/>
                <w:szCs w:val="21"/>
              </w:rPr>
            </w:pPr>
            <w:r>
              <w:rPr>
                <w:rFonts w:hint="eastAsia" w:ascii="宋体" w:hAnsi="Times New Roman" w:eastAsia="宋体" w:cs="Times New Roman"/>
                <w:sz w:val="21"/>
                <w:szCs w:val="21"/>
              </w:rPr>
              <w:t xml:space="preserve">0.2</w:t>
            </w:r>
            <w:r/>
          </w:p>
        </w:tc>
      </w:tr>
      <w:tr>
        <w:trPr>
          <w:jc w:val="center"/>
        </w:trPr>
        <w:tc>
          <w:tcPr>
            <w:tcBorders>
              <w:top w:val="single" w:color="auto" w:sz="4" w:space="0"/>
              <w:left w:val="single" w:color="auto" w:sz="4" w:space="0"/>
              <w:bottom w:val="single" w:color="auto" w:sz="4" w:space="0"/>
              <w:right w:val="single" w:color="auto" w:sz="4" w:space="0"/>
            </w:tcBorders>
            <w:tcW w:w="445" w:type="pct"/>
            <w:vAlign w:val="center"/>
            <w:textDirection w:val="lrTb"/>
            <w:noWrap w:val="false"/>
          </w:tcPr>
          <w:p>
            <w:pPr>
              <w:ind w:firstLine="0"/>
              <w:jc w:val="center"/>
              <w:spacing w:line="240" w:lineRule="auto"/>
              <w:rPr>
                <w:rFonts w:hint="default" w:ascii="宋体" w:hAnsi="Times New Roman" w:eastAsia="宋体" w:cs="Times New Roman"/>
                <w:sz w:val="21"/>
                <w:szCs w:val="21"/>
              </w:rPr>
            </w:pPr>
            <w:r>
              <w:rPr>
                <w:rFonts w:hint="eastAsia" w:ascii="宋体" w:hAnsi="Times New Roman" w:eastAsia="宋体" w:cs="Times New Roman"/>
                <w:sz w:val="21"/>
                <w:szCs w:val="21"/>
              </w:rPr>
              <w:t xml:space="preserve">5</w:t>
            </w:r>
            <w:r/>
          </w:p>
        </w:tc>
        <w:tc>
          <w:tcPr>
            <w:tcBorders>
              <w:top w:val="none" w:color="000000" w:sz="4" w:space="0"/>
              <w:left w:val="single" w:color="auto" w:sz="4" w:space="0"/>
              <w:bottom w:val="single" w:color="auto" w:sz="4" w:space="0"/>
              <w:right w:val="single" w:color="auto" w:sz="4" w:space="0"/>
            </w:tcBorders>
            <w:tcW w:w="834" w:type="pct"/>
            <w:vAlign w:val="center"/>
            <w:vMerge w:val="continue"/>
            <w:textDirection w:val="lrTb"/>
            <w:noWrap w:val="false"/>
          </w:tcPr>
          <w:p>
            <w:pPr>
              <w:ind w:firstLine="0"/>
              <w:jc w:val="center"/>
              <w:spacing w:line="240" w:lineRule="auto"/>
              <w:rPr>
                <w:rFonts w:hint="default" w:ascii="宋体" w:hAnsi="Times New Roman" w:eastAsia="宋体" w:cs="Times New Roman"/>
                <w:sz w:val="21"/>
                <w:szCs w:val="21"/>
              </w:rPr>
            </w:pPr>
            <w:r>
              <w:rPr>
                <w:rFonts w:hint="default" w:ascii="宋体" w:hAnsi="Times New Roman" w:eastAsia="宋体" w:cs="Times New Roman"/>
                <w:sz w:val="21"/>
                <w:szCs w:val="21"/>
              </w:rPr>
            </w:r>
            <w:r/>
          </w:p>
        </w:tc>
        <w:tc>
          <w:tcPr>
            <w:tcBorders>
              <w:top w:val="single" w:color="auto" w:sz="4" w:space="0"/>
              <w:left w:val="single" w:color="auto" w:sz="4" w:space="0"/>
              <w:bottom w:val="single" w:color="auto" w:sz="4" w:space="0"/>
              <w:right w:val="single" w:color="auto" w:sz="4" w:space="0"/>
            </w:tcBorders>
            <w:tcW w:w="2784" w:type="pct"/>
            <w:vAlign w:val="center"/>
            <w:textDirection w:val="lrTb"/>
            <w:noWrap w:val="false"/>
          </w:tcPr>
          <w:p>
            <w:pPr>
              <w:ind w:firstLine="0"/>
              <w:jc w:val="left"/>
              <w:spacing w:line="240" w:lineRule="auto"/>
              <w:rPr>
                <w:rFonts w:hint="default" w:ascii="宋体" w:hAnsi="Times New Roman" w:eastAsia="宋体" w:cs="Times New Roman"/>
                <w:sz w:val="21"/>
                <w:szCs w:val="21"/>
              </w:rPr>
            </w:pPr>
            <w:r>
              <w:rPr>
                <w:rFonts w:hint="eastAsia" w:ascii="宋体" w:hAnsi="Times New Roman" w:eastAsia="宋体" w:cs="Times New Roman"/>
                <w:sz w:val="21"/>
                <w:szCs w:val="21"/>
              </w:rPr>
              <w:t xml:space="preserve">巡检车辆从事与本项目无关的业务</w:t>
            </w:r>
            <w:r/>
          </w:p>
        </w:tc>
        <w:tc>
          <w:tcPr>
            <w:tcBorders>
              <w:top w:val="single" w:color="auto" w:sz="4" w:space="0"/>
              <w:left w:val="single" w:color="auto" w:sz="4" w:space="0"/>
              <w:bottom w:val="single" w:color="auto" w:sz="4" w:space="0"/>
              <w:right w:val="single" w:color="auto" w:sz="4" w:space="0"/>
            </w:tcBorders>
            <w:tcW w:w="406" w:type="pct"/>
            <w:vAlign w:val="center"/>
            <w:textDirection w:val="lrTb"/>
            <w:noWrap w:val="false"/>
          </w:tcPr>
          <w:p>
            <w:pPr>
              <w:ind w:firstLine="0"/>
              <w:jc w:val="center"/>
              <w:spacing w:line="240" w:lineRule="auto"/>
              <w:rPr>
                <w:rFonts w:hint="default" w:ascii="宋体" w:hAnsi="Times New Roman" w:eastAsia="宋体" w:cs="Times New Roman"/>
                <w:sz w:val="21"/>
                <w:szCs w:val="21"/>
              </w:rPr>
            </w:pPr>
            <w:r>
              <w:rPr>
                <w:rFonts w:hint="eastAsia" w:ascii="宋体" w:hAnsi="Times New Roman" w:eastAsia="宋体" w:cs="Times New Roman"/>
                <w:sz w:val="21"/>
                <w:szCs w:val="21"/>
              </w:rPr>
              <w:t xml:space="preserve">次</w:t>
            </w:r>
            <w:r/>
          </w:p>
        </w:tc>
        <w:tc>
          <w:tcPr>
            <w:tcBorders>
              <w:top w:val="single" w:color="auto" w:sz="4" w:space="0"/>
              <w:left w:val="single" w:color="auto" w:sz="4" w:space="0"/>
              <w:bottom w:val="single" w:color="auto" w:sz="4" w:space="0"/>
              <w:right w:val="single" w:color="auto" w:sz="4" w:space="0"/>
            </w:tcBorders>
            <w:tcW w:w="531" w:type="pct"/>
            <w:vAlign w:val="center"/>
            <w:textDirection w:val="lrTb"/>
            <w:noWrap w:val="false"/>
          </w:tcPr>
          <w:p>
            <w:pPr>
              <w:ind w:firstLine="0"/>
              <w:jc w:val="center"/>
              <w:spacing w:line="240" w:lineRule="auto"/>
              <w:rPr>
                <w:rFonts w:hint="default" w:ascii="宋体" w:hAnsi="Times New Roman" w:eastAsia="宋体" w:cs="Times New Roman"/>
                <w:sz w:val="21"/>
                <w:szCs w:val="21"/>
              </w:rPr>
            </w:pPr>
            <w:r>
              <w:rPr>
                <w:rFonts w:hint="eastAsia" w:ascii="宋体" w:hAnsi="Times New Roman" w:eastAsia="宋体" w:cs="Times New Roman"/>
                <w:sz w:val="21"/>
                <w:szCs w:val="21"/>
              </w:rPr>
              <w:t xml:space="preserve">0.1</w:t>
            </w:r>
            <w:r/>
          </w:p>
        </w:tc>
      </w:tr>
      <w:tr>
        <w:trPr>
          <w:jc w:val="center"/>
        </w:trPr>
        <w:tc>
          <w:tcPr>
            <w:tcBorders>
              <w:top w:val="single" w:color="auto" w:sz="4" w:space="0"/>
              <w:left w:val="single" w:color="auto" w:sz="4" w:space="0"/>
              <w:bottom w:val="single" w:color="auto" w:sz="4" w:space="0"/>
              <w:right w:val="single" w:color="auto" w:sz="4" w:space="0"/>
            </w:tcBorders>
            <w:tcW w:w="445" w:type="pct"/>
            <w:vAlign w:val="center"/>
            <w:textDirection w:val="lrTb"/>
            <w:noWrap w:val="false"/>
          </w:tcPr>
          <w:p>
            <w:pPr>
              <w:ind w:firstLine="0"/>
              <w:jc w:val="center"/>
              <w:spacing w:line="240" w:lineRule="auto"/>
              <w:rPr>
                <w:rFonts w:hint="default" w:ascii="宋体" w:hAnsi="Times New Roman" w:eastAsia="宋体" w:cs="Times New Roman"/>
                <w:sz w:val="21"/>
                <w:szCs w:val="21"/>
              </w:rPr>
            </w:pPr>
            <w:r>
              <w:rPr>
                <w:rFonts w:hint="eastAsia" w:ascii="宋体" w:hAnsi="Times New Roman" w:eastAsia="宋体" w:cs="Times New Roman"/>
                <w:sz w:val="21"/>
                <w:szCs w:val="21"/>
              </w:rPr>
              <w:t xml:space="preserve">6</w:t>
            </w:r>
            <w:r/>
          </w:p>
        </w:tc>
        <w:tc>
          <w:tcPr>
            <w:tcBorders>
              <w:top w:val="none" w:color="000000" w:sz="4" w:space="0"/>
              <w:left w:val="single" w:color="auto" w:sz="4" w:space="0"/>
              <w:bottom w:val="single" w:color="auto" w:sz="4" w:space="0"/>
              <w:right w:val="single" w:color="auto" w:sz="4" w:space="0"/>
            </w:tcBorders>
            <w:tcW w:w="834" w:type="pct"/>
            <w:vAlign w:val="center"/>
            <w:vMerge w:val="continue"/>
            <w:textDirection w:val="lrTb"/>
            <w:noWrap w:val="false"/>
          </w:tcPr>
          <w:p>
            <w:pPr>
              <w:ind w:firstLine="0"/>
              <w:jc w:val="center"/>
              <w:spacing w:line="240" w:lineRule="auto"/>
              <w:rPr>
                <w:rFonts w:hint="default" w:ascii="宋体" w:hAnsi="Times New Roman" w:eastAsia="宋体" w:cs="Times New Roman"/>
                <w:sz w:val="21"/>
                <w:szCs w:val="21"/>
              </w:rPr>
            </w:pPr>
            <w:r>
              <w:rPr>
                <w:rFonts w:hint="default" w:ascii="宋体" w:hAnsi="Times New Roman" w:eastAsia="宋体" w:cs="Times New Roman"/>
                <w:sz w:val="21"/>
                <w:szCs w:val="21"/>
              </w:rPr>
            </w:r>
            <w:r/>
          </w:p>
        </w:tc>
        <w:tc>
          <w:tcPr>
            <w:tcBorders>
              <w:top w:val="single" w:color="auto" w:sz="4" w:space="0"/>
              <w:left w:val="single" w:color="auto" w:sz="4" w:space="0"/>
              <w:bottom w:val="single" w:color="auto" w:sz="4" w:space="0"/>
              <w:right w:val="single" w:color="auto" w:sz="4" w:space="0"/>
            </w:tcBorders>
            <w:tcW w:w="2784" w:type="pct"/>
            <w:vAlign w:val="center"/>
            <w:textDirection w:val="lrTb"/>
            <w:noWrap w:val="false"/>
          </w:tcPr>
          <w:p>
            <w:pPr>
              <w:ind w:firstLine="0"/>
              <w:jc w:val="left"/>
              <w:spacing w:line="240" w:lineRule="auto"/>
              <w:rPr>
                <w:rFonts w:hint="default" w:ascii="宋体" w:hAnsi="Times New Roman" w:eastAsia="宋体" w:cs="Times New Roman"/>
                <w:sz w:val="21"/>
                <w:szCs w:val="21"/>
              </w:rPr>
            </w:pPr>
            <w:r>
              <w:rPr>
                <w:rFonts w:hint="eastAsia" w:ascii="宋体" w:hAnsi="Times New Roman" w:eastAsia="宋体" w:cs="Times New Roman"/>
                <w:sz w:val="21"/>
                <w:szCs w:val="21"/>
              </w:rPr>
              <w:t xml:space="preserve">维保团队人员通讯失联超过5分钟</w:t>
            </w:r>
            <w:r/>
          </w:p>
        </w:tc>
        <w:tc>
          <w:tcPr>
            <w:tcBorders>
              <w:top w:val="single" w:color="auto" w:sz="4" w:space="0"/>
              <w:left w:val="single" w:color="auto" w:sz="4" w:space="0"/>
              <w:bottom w:val="single" w:color="auto" w:sz="4" w:space="0"/>
              <w:right w:val="single" w:color="auto" w:sz="4" w:space="0"/>
            </w:tcBorders>
            <w:tcW w:w="406" w:type="pct"/>
            <w:vAlign w:val="center"/>
            <w:textDirection w:val="lrTb"/>
            <w:noWrap w:val="false"/>
          </w:tcPr>
          <w:p>
            <w:pPr>
              <w:ind w:firstLine="0"/>
              <w:jc w:val="center"/>
              <w:spacing w:line="240" w:lineRule="auto"/>
              <w:rPr>
                <w:rFonts w:hint="default" w:ascii="宋体" w:hAnsi="Times New Roman" w:eastAsia="宋体" w:cs="Times New Roman"/>
                <w:sz w:val="21"/>
                <w:szCs w:val="21"/>
              </w:rPr>
            </w:pPr>
            <w:r>
              <w:rPr>
                <w:rFonts w:hint="eastAsia" w:ascii="宋体" w:hAnsi="Times New Roman" w:eastAsia="宋体" w:cs="Times New Roman"/>
                <w:sz w:val="21"/>
                <w:szCs w:val="21"/>
              </w:rPr>
              <w:t xml:space="preserve">次</w:t>
            </w:r>
            <w:r/>
          </w:p>
        </w:tc>
        <w:tc>
          <w:tcPr>
            <w:tcBorders>
              <w:top w:val="single" w:color="auto" w:sz="4" w:space="0"/>
              <w:left w:val="single" w:color="auto" w:sz="4" w:space="0"/>
              <w:bottom w:val="single" w:color="auto" w:sz="4" w:space="0"/>
              <w:right w:val="single" w:color="auto" w:sz="4" w:space="0"/>
            </w:tcBorders>
            <w:tcW w:w="531" w:type="pct"/>
            <w:vAlign w:val="center"/>
            <w:textDirection w:val="lrTb"/>
            <w:noWrap w:val="false"/>
          </w:tcPr>
          <w:p>
            <w:pPr>
              <w:ind w:firstLine="0"/>
              <w:jc w:val="center"/>
              <w:spacing w:line="240" w:lineRule="auto"/>
              <w:rPr>
                <w:rFonts w:hint="default" w:ascii="宋体" w:hAnsi="Times New Roman" w:eastAsia="宋体" w:cs="Times New Roman"/>
                <w:sz w:val="21"/>
                <w:szCs w:val="21"/>
              </w:rPr>
            </w:pPr>
            <w:r>
              <w:rPr>
                <w:rFonts w:hint="eastAsia" w:ascii="宋体" w:hAnsi="Times New Roman" w:eastAsia="宋体" w:cs="Times New Roman"/>
                <w:sz w:val="21"/>
                <w:szCs w:val="21"/>
              </w:rPr>
              <w:t xml:space="preserve">0.1</w:t>
            </w:r>
            <w:r/>
          </w:p>
        </w:tc>
      </w:tr>
      <w:tr>
        <w:trPr>
          <w:jc w:val="center"/>
          <w:trHeight w:val="90"/>
        </w:trPr>
        <w:tc>
          <w:tcPr>
            <w:tcBorders>
              <w:top w:val="single" w:color="auto" w:sz="4" w:space="0"/>
              <w:left w:val="single" w:color="auto" w:sz="4" w:space="0"/>
              <w:bottom w:val="single" w:color="auto" w:sz="4" w:space="0"/>
              <w:right w:val="single" w:color="auto" w:sz="4" w:space="0"/>
            </w:tcBorders>
            <w:tcW w:w="445" w:type="pct"/>
            <w:vAlign w:val="center"/>
            <w:textDirection w:val="lrTb"/>
            <w:noWrap w:val="false"/>
          </w:tcPr>
          <w:p>
            <w:pPr>
              <w:ind w:firstLine="0"/>
              <w:jc w:val="center"/>
              <w:spacing w:line="240" w:lineRule="auto"/>
              <w:rPr>
                <w:rFonts w:hint="default" w:ascii="宋体" w:hAnsi="Times New Roman" w:eastAsia="宋体" w:cs="Times New Roman"/>
                <w:sz w:val="21"/>
                <w:szCs w:val="21"/>
              </w:rPr>
            </w:pPr>
            <w:r>
              <w:rPr>
                <w:rFonts w:hint="eastAsia" w:ascii="宋体" w:hAnsi="Times New Roman" w:eastAsia="宋体" w:cs="Times New Roman"/>
                <w:sz w:val="21"/>
                <w:szCs w:val="21"/>
              </w:rPr>
              <w:t xml:space="preserve">7</w:t>
            </w:r>
            <w:r/>
          </w:p>
        </w:tc>
        <w:tc>
          <w:tcPr>
            <w:tcBorders>
              <w:top w:val="none" w:color="000000" w:sz="4" w:space="0"/>
              <w:left w:val="single" w:color="auto" w:sz="4" w:space="0"/>
              <w:bottom w:val="single" w:color="auto" w:sz="4" w:space="0"/>
              <w:right w:val="single" w:color="auto" w:sz="4" w:space="0"/>
            </w:tcBorders>
            <w:tcW w:w="834" w:type="pct"/>
            <w:vAlign w:val="center"/>
            <w:vMerge w:val="continue"/>
            <w:textDirection w:val="lrTb"/>
            <w:noWrap w:val="false"/>
          </w:tcPr>
          <w:p>
            <w:pPr>
              <w:ind w:firstLine="0"/>
              <w:jc w:val="center"/>
              <w:spacing w:line="240" w:lineRule="auto"/>
              <w:rPr>
                <w:rFonts w:hint="default" w:ascii="宋体" w:hAnsi="Times New Roman" w:eastAsia="宋体" w:cs="Times New Roman"/>
                <w:sz w:val="21"/>
                <w:szCs w:val="21"/>
              </w:rPr>
            </w:pPr>
            <w:r>
              <w:rPr>
                <w:rFonts w:hint="default" w:ascii="宋体" w:hAnsi="Times New Roman" w:eastAsia="宋体" w:cs="Times New Roman"/>
                <w:sz w:val="21"/>
                <w:szCs w:val="21"/>
              </w:rPr>
            </w:r>
            <w:r/>
          </w:p>
        </w:tc>
        <w:tc>
          <w:tcPr>
            <w:tcBorders>
              <w:top w:val="single" w:color="auto" w:sz="4" w:space="0"/>
              <w:left w:val="single" w:color="auto" w:sz="4" w:space="0"/>
              <w:bottom w:val="single" w:color="auto" w:sz="4" w:space="0"/>
              <w:right w:val="single" w:color="auto" w:sz="4" w:space="0"/>
            </w:tcBorders>
            <w:tcW w:w="2784" w:type="pct"/>
            <w:vAlign w:val="center"/>
            <w:textDirection w:val="lrTb"/>
            <w:noWrap w:val="false"/>
          </w:tcPr>
          <w:p>
            <w:pPr>
              <w:ind w:firstLine="0"/>
              <w:jc w:val="left"/>
              <w:spacing w:line="240" w:lineRule="auto"/>
              <w:rPr>
                <w:rFonts w:hint="default" w:ascii="宋体" w:hAnsi="Times New Roman" w:eastAsia="宋体" w:cs="Times New Roman"/>
                <w:sz w:val="21"/>
                <w:szCs w:val="21"/>
              </w:rPr>
            </w:pPr>
            <w:r>
              <w:rPr>
                <w:rFonts w:hint="eastAsia" w:ascii="宋体" w:hAnsi="Times New Roman" w:eastAsia="宋体" w:cs="Times New Roman"/>
                <w:sz w:val="21"/>
                <w:szCs w:val="21"/>
              </w:rPr>
              <w:t xml:space="preserve">接任务后超过规定时间到达现场的</w:t>
            </w:r>
            <w:r/>
          </w:p>
        </w:tc>
        <w:tc>
          <w:tcPr>
            <w:tcBorders>
              <w:top w:val="single" w:color="auto" w:sz="4" w:space="0"/>
              <w:left w:val="single" w:color="auto" w:sz="4" w:space="0"/>
              <w:bottom w:val="single" w:color="auto" w:sz="4" w:space="0"/>
              <w:right w:val="single" w:color="auto" w:sz="4" w:space="0"/>
            </w:tcBorders>
            <w:tcW w:w="406" w:type="pct"/>
            <w:vAlign w:val="center"/>
            <w:textDirection w:val="lrTb"/>
            <w:noWrap w:val="false"/>
          </w:tcPr>
          <w:p>
            <w:pPr>
              <w:ind w:firstLine="0"/>
              <w:jc w:val="center"/>
              <w:spacing w:line="240" w:lineRule="auto"/>
              <w:rPr>
                <w:rFonts w:hint="default" w:ascii="宋体" w:hAnsi="Times New Roman" w:eastAsia="宋体" w:cs="Times New Roman"/>
                <w:sz w:val="21"/>
                <w:szCs w:val="21"/>
              </w:rPr>
            </w:pPr>
            <w:r>
              <w:rPr>
                <w:rFonts w:hint="eastAsia" w:ascii="宋体" w:hAnsi="Times New Roman" w:eastAsia="宋体" w:cs="Times New Roman"/>
                <w:sz w:val="21"/>
                <w:szCs w:val="21"/>
              </w:rPr>
              <w:t xml:space="preserve">次</w:t>
            </w:r>
            <w:r/>
          </w:p>
        </w:tc>
        <w:tc>
          <w:tcPr>
            <w:tcBorders>
              <w:top w:val="single" w:color="auto" w:sz="4" w:space="0"/>
              <w:left w:val="single" w:color="auto" w:sz="4" w:space="0"/>
              <w:bottom w:val="single" w:color="auto" w:sz="4" w:space="0"/>
              <w:right w:val="single" w:color="auto" w:sz="4" w:space="0"/>
            </w:tcBorders>
            <w:tcW w:w="531" w:type="pct"/>
            <w:vAlign w:val="center"/>
            <w:textDirection w:val="lrTb"/>
            <w:noWrap w:val="false"/>
          </w:tcPr>
          <w:p>
            <w:pPr>
              <w:ind w:firstLine="0"/>
              <w:jc w:val="center"/>
              <w:spacing w:line="240" w:lineRule="auto"/>
              <w:rPr>
                <w:rFonts w:hint="default" w:ascii="宋体" w:hAnsi="Times New Roman" w:eastAsia="宋体" w:cs="Times New Roman"/>
                <w:sz w:val="21"/>
                <w:szCs w:val="21"/>
              </w:rPr>
            </w:pPr>
            <w:r>
              <w:rPr>
                <w:rFonts w:hint="eastAsia" w:ascii="宋体" w:hAnsi="Times New Roman" w:eastAsia="宋体" w:cs="Times New Roman"/>
                <w:sz w:val="21"/>
                <w:szCs w:val="21"/>
              </w:rPr>
              <w:t xml:space="preserve">0.2</w:t>
            </w:r>
            <w:r/>
          </w:p>
        </w:tc>
      </w:tr>
      <w:tr>
        <w:trPr>
          <w:jc w:val="center"/>
          <w:trHeight w:val="509"/>
        </w:trPr>
        <w:tc>
          <w:tcPr>
            <w:tcBorders>
              <w:top w:val="single" w:color="auto" w:sz="4" w:space="0"/>
              <w:left w:val="single" w:color="auto" w:sz="4" w:space="0"/>
              <w:bottom w:val="single" w:color="auto" w:sz="4" w:space="0"/>
              <w:right w:val="single" w:color="auto" w:sz="4" w:space="0"/>
            </w:tcBorders>
            <w:tcW w:w="445" w:type="pct"/>
            <w:vAlign w:val="center"/>
            <w:textDirection w:val="lrTb"/>
            <w:noWrap w:val="false"/>
          </w:tcPr>
          <w:p>
            <w:pPr>
              <w:ind w:firstLine="0"/>
              <w:jc w:val="center"/>
              <w:spacing w:line="240" w:lineRule="auto"/>
              <w:rPr>
                <w:rFonts w:hint="default" w:ascii="宋体" w:hAnsi="Times New Roman" w:eastAsia="宋体" w:cs="Times New Roman"/>
                <w:sz w:val="21"/>
                <w:szCs w:val="21"/>
              </w:rPr>
            </w:pPr>
            <w:r>
              <w:rPr>
                <w:rFonts w:hint="eastAsia" w:ascii="宋体" w:hAnsi="Times New Roman" w:eastAsia="宋体" w:cs="Times New Roman"/>
                <w:sz w:val="21"/>
                <w:szCs w:val="21"/>
              </w:rPr>
              <w:t xml:space="preserve">8</w:t>
            </w:r>
            <w:r/>
          </w:p>
        </w:tc>
        <w:tc>
          <w:tcPr>
            <w:tcBorders>
              <w:top w:val="none" w:color="000000" w:sz="4" w:space="0"/>
              <w:left w:val="single" w:color="auto" w:sz="4" w:space="0"/>
              <w:bottom w:val="single" w:color="auto" w:sz="4" w:space="0"/>
              <w:right w:val="single" w:color="auto" w:sz="4" w:space="0"/>
            </w:tcBorders>
            <w:tcW w:w="834" w:type="pct"/>
            <w:vAlign w:val="center"/>
            <w:vMerge w:val="continue"/>
            <w:textDirection w:val="lrTb"/>
            <w:noWrap w:val="false"/>
          </w:tcPr>
          <w:p>
            <w:pPr>
              <w:ind w:firstLine="0"/>
              <w:jc w:val="center"/>
              <w:spacing w:line="240" w:lineRule="auto"/>
              <w:rPr>
                <w:rFonts w:hint="default" w:ascii="宋体" w:hAnsi="Times New Roman" w:eastAsia="宋体" w:cs="Times New Roman"/>
                <w:sz w:val="21"/>
                <w:szCs w:val="21"/>
              </w:rPr>
            </w:pPr>
            <w:r>
              <w:rPr>
                <w:rFonts w:hint="default" w:ascii="宋体" w:hAnsi="Times New Roman" w:eastAsia="宋体" w:cs="Times New Roman"/>
                <w:sz w:val="21"/>
                <w:szCs w:val="21"/>
              </w:rPr>
            </w:r>
            <w:r/>
          </w:p>
        </w:tc>
        <w:tc>
          <w:tcPr>
            <w:tcBorders>
              <w:top w:val="single" w:color="auto" w:sz="4" w:space="0"/>
              <w:left w:val="single" w:color="auto" w:sz="4" w:space="0"/>
              <w:bottom w:val="single" w:color="auto" w:sz="4" w:space="0"/>
              <w:right w:val="single" w:color="auto" w:sz="4" w:space="0"/>
            </w:tcBorders>
            <w:tcW w:w="2784" w:type="pct"/>
            <w:vAlign w:val="center"/>
            <w:textDirection w:val="lrTb"/>
            <w:noWrap w:val="false"/>
          </w:tcPr>
          <w:p>
            <w:pPr>
              <w:ind w:firstLine="0"/>
              <w:jc w:val="left"/>
              <w:spacing w:line="240" w:lineRule="auto"/>
              <w:rPr>
                <w:rFonts w:hint="default" w:ascii="宋体" w:hAnsi="Times New Roman" w:eastAsia="宋体" w:cs="Times New Roman"/>
                <w:sz w:val="21"/>
                <w:szCs w:val="21"/>
              </w:rPr>
            </w:pPr>
            <w:r>
              <w:rPr>
                <w:rFonts w:hint="eastAsia" w:ascii="宋体" w:hAnsi="Times New Roman" w:eastAsia="宋体" w:cs="Times New Roman"/>
                <w:sz w:val="21"/>
                <w:szCs w:val="21"/>
              </w:rPr>
              <w:t xml:space="preserve">维修不当、不及时、又无其他处置措施，造成交通堵塞或事故发生的</w:t>
            </w:r>
            <w:r/>
          </w:p>
        </w:tc>
        <w:tc>
          <w:tcPr>
            <w:tcBorders>
              <w:top w:val="single" w:color="auto" w:sz="4" w:space="0"/>
              <w:left w:val="single" w:color="auto" w:sz="4" w:space="0"/>
              <w:bottom w:val="single" w:color="auto" w:sz="4" w:space="0"/>
              <w:right w:val="single" w:color="auto" w:sz="4" w:space="0"/>
            </w:tcBorders>
            <w:tcW w:w="406" w:type="pct"/>
            <w:vAlign w:val="center"/>
            <w:textDirection w:val="lrTb"/>
            <w:noWrap w:val="false"/>
          </w:tcPr>
          <w:p>
            <w:pPr>
              <w:ind w:firstLine="0"/>
              <w:jc w:val="center"/>
              <w:spacing w:line="240" w:lineRule="auto"/>
              <w:rPr>
                <w:rFonts w:hint="default" w:ascii="宋体" w:hAnsi="Times New Roman" w:eastAsia="宋体" w:cs="Times New Roman"/>
                <w:sz w:val="21"/>
                <w:szCs w:val="21"/>
              </w:rPr>
            </w:pPr>
            <w:r>
              <w:rPr>
                <w:rFonts w:hint="eastAsia" w:ascii="宋体" w:hAnsi="Times New Roman" w:eastAsia="宋体" w:cs="Times New Roman"/>
                <w:sz w:val="21"/>
                <w:szCs w:val="21"/>
              </w:rPr>
              <w:t xml:space="preserve">次</w:t>
            </w:r>
            <w:r/>
          </w:p>
        </w:tc>
        <w:tc>
          <w:tcPr>
            <w:tcBorders>
              <w:top w:val="single" w:color="auto" w:sz="4" w:space="0"/>
              <w:left w:val="single" w:color="auto" w:sz="4" w:space="0"/>
              <w:bottom w:val="single" w:color="auto" w:sz="4" w:space="0"/>
              <w:right w:val="single" w:color="auto" w:sz="4" w:space="0"/>
            </w:tcBorders>
            <w:tcW w:w="531" w:type="pct"/>
            <w:vAlign w:val="center"/>
            <w:textDirection w:val="lrTb"/>
            <w:noWrap w:val="false"/>
          </w:tcPr>
          <w:p>
            <w:pPr>
              <w:ind w:firstLine="0"/>
              <w:jc w:val="center"/>
              <w:spacing w:line="240" w:lineRule="auto"/>
              <w:rPr>
                <w:rFonts w:hint="default" w:ascii="宋体" w:hAnsi="Times New Roman" w:eastAsia="宋体" w:cs="Times New Roman"/>
                <w:sz w:val="21"/>
                <w:szCs w:val="21"/>
              </w:rPr>
            </w:pPr>
            <w:r>
              <w:rPr>
                <w:rFonts w:hint="eastAsia" w:ascii="宋体" w:hAnsi="Times New Roman" w:eastAsia="宋体" w:cs="Times New Roman"/>
                <w:sz w:val="21"/>
                <w:szCs w:val="21"/>
              </w:rPr>
              <w:t xml:space="preserve">2</w:t>
            </w:r>
            <w:r/>
          </w:p>
        </w:tc>
      </w:tr>
      <w:tr>
        <w:trPr>
          <w:jc w:val="center"/>
        </w:trPr>
        <w:tc>
          <w:tcPr>
            <w:tcBorders>
              <w:top w:val="single" w:color="auto" w:sz="4" w:space="0"/>
              <w:left w:val="single" w:color="auto" w:sz="4" w:space="0"/>
              <w:bottom w:val="single" w:color="auto" w:sz="4" w:space="0"/>
              <w:right w:val="single" w:color="auto" w:sz="4" w:space="0"/>
            </w:tcBorders>
            <w:tcW w:w="445" w:type="pct"/>
            <w:vAlign w:val="center"/>
            <w:textDirection w:val="lrTb"/>
            <w:noWrap w:val="false"/>
          </w:tcPr>
          <w:p>
            <w:pPr>
              <w:ind w:firstLine="0"/>
              <w:jc w:val="center"/>
              <w:spacing w:line="240" w:lineRule="auto"/>
              <w:rPr>
                <w:rFonts w:hint="default" w:ascii="宋体" w:hAnsi="Times New Roman" w:eastAsia="宋体" w:cs="Times New Roman"/>
                <w:sz w:val="21"/>
                <w:szCs w:val="21"/>
              </w:rPr>
            </w:pPr>
            <w:r>
              <w:rPr>
                <w:rFonts w:hint="eastAsia" w:ascii="宋体" w:hAnsi="Times New Roman" w:eastAsia="宋体" w:cs="Times New Roman"/>
                <w:sz w:val="21"/>
                <w:szCs w:val="21"/>
              </w:rPr>
              <w:t xml:space="preserve">9</w:t>
            </w:r>
            <w:r/>
          </w:p>
        </w:tc>
        <w:tc>
          <w:tcPr>
            <w:tcBorders>
              <w:top w:val="none" w:color="000000" w:sz="4" w:space="0"/>
              <w:left w:val="single" w:color="auto" w:sz="4" w:space="0"/>
              <w:bottom w:val="single" w:color="auto" w:sz="4" w:space="0"/>
              <w:right w:val="single" w:color="auto" w:sz="4" w:space="0"/>
            </w:tcBorders>
            <w:tcW w:w="834" w:type="pct"/>
            <w:vAlign w:val="center"/>
            <w:vMerge w:val="restart"/>
            <w:textDirection w:val="lrTb"/>
            <w:noWrap w:val="false"/>
          </w:tcPr>
          <w:p>
            <w:pPr>
              <w:ind w:firstLine="0"/>
              <w:jc w:val="center"/>
              <w:spacing w:line="240" w:lineRule="auto"/>
              <w:rPr>
                <w:rFonts w:hint="default" w:ascii="宋体" w:hAnsi="Times New Roman" w:eastAsia="宋体" w:cs="Times New Roman"/>
                <w:sz w:val="21"/>
                <w:szCs w:val="21"/>
              </w:rPr>
            </w:pPr>
            <w:r>
              <w:rPr>
                <w:rFonts w:hint="eastAsia" w:ascii="宋体" w:hAnsi="Times New Roman" w:eastAsia="宋体" w:cs="Times New Roman"/>
                <w:bCs/>
                <w:sz w:val="21"/>
                <w:szCs w:val="21"/>
              </w:rPr>
              <w:t xml:space="preserve">应急设备或维修、更换备品仓储情况</w:t>
            </w:r>
            <w:r/>
          </w:p>
        </w:tc>
        <w:tc>
          <w:tcPr>
            <w:tcBorders>
              <w:top w:val="single" w:color="auto" w:sz="4" w:space="0"/>
              <w:left w:val="single" w:color="auto" w:sz="4" w:space="0"/>
              <w:bottom w:val="single" w:color="auto" w:sz="4" w:space="0"/>
              <w:right w:val="single" w:color="auto" w:sz="4" w:space="0"/>
            </w:tcBorders>
            <w:tcW w:w="2784" w:type="pct"/>
            <w:vAlign w:val="center"/>
            <w:textDirection w:val="lrTb"/>
            <w:noWrap w:val="false"/>
          </w:tcPr>
          <w:p>
            <w:pPr>
              <w:ind w:firstLine="0"/>
              <w:jc w:val="left"/>
              <w:spacing w:line="240" w:lineRule="auto"/>
              <w:rPr>
                <w:rFonts w:hint="default" w:ascii="宋体" w:hAnsi="Times New Roman" w:eastAsia="宋体" w:cs="Times New Roman"/>
                <w:sz w:val="21"/>
                <w:szCs w:val="21"/>
              </w:rPr>
            </w:pPr>
            <w:r>
              <w:rPr>
                <w:rFonts w:hint="eastAsia" w:ascii="宋体" w:hAnsi="Times New Roman" w:eastAsia="宋体" w:cs="Times New Roman"/>
                <w:sz w:val="21"/>
                <w:szCs w:val="21"/>
              </w:rPr>
              <w:t xml:space="preserve">没有按规定配备应急处置设备或设备不能正常工作的</w:t>
            </w:r>
            <w:r/>
          </w:p>
        </w:tc>
        <w:tc>
          <w:tcPr>
            <w:tcBorders>
              <w:top w:val="single" w:color="auto" w:sz="4" w:space="0"/>
              <w:left w:val="single" w:color="auto" w:sz="4" w:space="0"/>
              <w:bottom w:val="single" w:color="auto" w:sz="4" w:space="0"/>
              <w:right w:val="single" w:color="auto" w:sz="4" w:space="0"/>
            </w:tcBorders>
            <w:tcW w:w="406" w:type="pct"/>
            <w:vAlign w:val="center"/>
            <w:textDirection w:val="lrTb"/>
            <w:noWrap w:val="false"/>
          </w:tcPr>
          <w:p>
            <w:pPr>
              <w:ind w:firstLine="0"/>
              <w:jc w:val="center"/>
              <w:spacing w:line="240" w:lineRule="auto"/>
              <w:rPr>
                <w:rFonts w:hint="default" w:ascii="宋体" w:hAnsi="Times New Roman" w:eastAsia="宋体" w:cs="Times New Roman"/>
                <w:sz w:val="21"/>
                <w:szCs w:val="21"/>
              </w:rPr>
            </w:pPr>
            <w:r>
              <w:rPr>
                <w:rFonts w:hint="eastAsia" w:ascii="宋体" w:hAnsi="Times New Roman" w:eastAsia="宋体" w:cs="Times New Roman"/>
                <w:sz w:val="21"/>
                <w:szCs w:val="21"/>
              </w:rPr>
              <w:t xml:space="preserve">批次</w:t>
            </w:r>
            <w:r/>
          </w:p>
        </w:tc>
        <w:tc>
          <w:tcPr>
            <w:tcBorders>
              <w:top w:val="single" w:color="auto" w:sz="4" w:space="0"/>
              <w:left w:val="single" w:color="auto" w:sz="4" w:space="0"/>
              <w:bottom w:val="single" w:color="auto" w:sz="4" w:space="0"/>
              <w:right w:val="single" w:color="auto" w:sz="4" w:space="0"/>
            </w:tcBorders>
            <w:tcW w:w="531" w:type="pct"/>
            <w:vAlign w:val="center"/>
            <w:textDirection w:val="lrTb"/>
            <w:noWrap w:val="false"/>
          </w:tcPr>
          <w:p>
            <w:pPr>
              <w:ind w:firstLine="0"/>
              <w:jc w:val="center"/>
              <w:spacing w:line="240" w:lineRule="auto"/>
              <w:rPr>
                <w:rFonts w:hint="default" w:ascii="宋体" w:hAnsi="Times New Roman" w:eastAsia="宋体" w:cs="Times New Roman"/>
                <w:sz w:val="21"/>
                <w:szCs w:val="21"/>
              </w:rPr>
            </w:pPr>
            <w:r>
              <w:rPr>
                <w:rFonts w:hint="eastAsia" w:ascii="宋体" w:hAnsi="Times New Roman" w:eastAsia="宋体" w:cs="Times New Roman"/>
                <w:sz w:val="21"/>
                <w:szCs w:val="21"/>
              </w:rPr>
              <w:t xml:space="preserve">0.3</w:t>
            </w:r>
            <w:r/>
          </w:p>
        </w:tc>
      </w:tr>
      <w:tr>
        <w:trPr>
          <w:jc w:val="center"/>
          <w:trHeight w:val="489"/>
        </w:trPr>
        <w:tc>
          <w:tcPr>
            <w:tcBorders>
              <w:top w:val="single" w:color="auto" w:sz="4" w:space="0"/>
              <w:left w:val="single" w:color="auto" w:sz="4" w:space="0"/>
              <w:bottom w:val="single" w:color="auto" w:sz="4" w:space="0"/>
              <w:right w:val="single" w:color="auto" w:sz="4" w:space="0"/>
            </w:tcBorders>
            <w:tcW w:w="445" w:type="pct"/>
            <w:vAlign w:val="center"/>
            <w:textDirection w:val="lrTb"/>
            <w:noWrap w:val="false"/>
          </w:tcPr>
          <w:p>
            <w:pPr>
              <w:ind w:firstLine="0"/>
              <w:jc w:val="center"/>
              <w:spacing w:line="240" w:lineRule="auto"/>
              <w:rPr>
                <w:rFonts w:hint="default" w:ascii="宋体" w:hAnsi="Times New Roman" w:eastAsia="宋体" w:cs="Times New Roman"/>
                <w:sz w:val="21"/>
                <w:szCs w:val="21"/>
              </w:rPr>
            </w:pPr>
            <w:r>
              <w:rPr>
                <w:rFonts w:hint="eastAsia" w:ascii="宋体" w:hAnsi="Times New Roman" w:eastAsia="宋体" w:cs="Times New Roman"/>
                <w:sz w:val="21"/>
                <w:szCs w:val="21"/>
              </w:rPr>
              <w:t xml:space="preserve">10</w:t>
            </w:r>
            <w:r/>
          </w:p>
        </w:tc>
        <w:tc>
          <w:tcPr>
            <w:tcBorders>
              <w:top w:val="none" w:color="000000" w:sz="4" w:space="0"/>
              <w:left w:val="single" w:color="auto" w:sz="4" w:space="0"/>
              <w:bottom w:val="single" w:color="auto" w:sz="4" w:space="0"/>
              <w:right w:val="single" w:color="auto" w:sz="4" w:space="0"/>
            </w:tcBorders>
            <w:tcW w:w="834" w:type="pct"/>
            <w:vAlign w:val="center"/>
            <w:vMerge w:val="continue"/>
            <w:textDirection w:val="lrTb"/>
            <w:noWrap w:val="false"/>
          </w:tcPr>
          <w:p>
            <w:pPr>
              <w:ind w:firstLine="0"/>
              <w:jc w:val="center"/>
              <w:spacing w:line="240" w:lineRule="auto"/>
              <w:rPr>
                <w:rFonts w:hint="default" w:ascii="宋体" w:hAnsi="Times New Roman" w:eastAsia="宋体" w:cs="Times New Roman"/>
                <w:sz w:val="21"/>
                <w:szCs w:val="21"/>
              </w:rPr>
            </w:pPr>
            <w:r>
              <w:rPr>
                <w:rFonts w:hint="default" w:ascii="宋体" w:hAnsi="Times New Roman" w:eastAsia="宋体" w:cs="Times New Roman"/>
                <w:sz w:val="21"/>
                <w:szCs w:val="21"/>
              </w:rPr>
            </w:r>
            <w:r/>
          </w:p>
        </w:tc>
        <w:tc>
          <w:tcPr>
            <w:tcBorders>
              <w:top w:val="single" w:color="auto" w:sz="4" w:space="0"/>
              <w:left w:val="single" w:color="auto" w:sz="4" w:space="0"/>
              <w:bottom w:val="single" w:color="auto" w:sz="4" w:space="0"/>
              <w:right w:val="single" w:color="auto" w:sz="4" w:space="0"/>
            </w:tcBorders>
            <w:tcW w:w="2784" w:type="pct"/>
            <w:vAlign w:val="center"/>
            <w:textDirection w:val="lrTb"/>
            <w:noWrap w:val="false"/>
          </w:tcPr>
          <w:p>
            <w:pPr>
              <w:ind w:firstLine="0"/>
              <w:jc w:val="left"/>
              <w:spacing w:line="240" w:lineRule="auto"/>
              <w:rPr>
                <w:rFonts w:hint="default" w:ascii="宋体" w:hAnsi="Times New Roman" w:eastAsia="宋体" w:cs="Times New Roman"/>
                <w:sz w:val="21"/>
                <w:szCs w:val="21"/>
              </w:rPr>
            </w:pPr>
            <w:r>
              <w:rPr>
                <w:rFonts w:hint="eastAsia" w:ascii="宋体" w:hAnsi="Times New Roman" w:eastAsia="宋体" w:cs="Times New Roman"/>
                <w:sz w:val="21"/>
                <w:szCs w:val="21"/>
              </w:rPr>
              <w:t xml:space="preserve">没有按规定库存维修、更换的备品的</w:t>
            </w:r>
            <w:r/>
          </w:p>
        </w:tc>
        <w:tc>
          <w:tcPr>
            <w:tcBorders>
              <w:top w:val="single" w:color="auto" w:sz="4" w:space="0"/>
              <w:left w:val="single" w:color="auto" w:sz="4" w:space="0"/>
              <w:bottom w:val="single" w:color="auto" w:sz="4" w:space="0"/>
              <w:right w:val="single" w:color="auto" w:sz="4" w:space="0"/>
            </w:tcBorders>
            <w:tcW w:w="406" w:type="pct"/>
            <w:vAlign w:val="center"/>
            <w:textDirection w:val="lrTb"/>
            <w:noWrap w:val="false"/>
          </w:tcPr>
          <w:p>
            <w:pPr>
              <w:ind w:firstLine="0"/>
              <w:jc w:val="center"/>
              <w:spacing w:line="240" w:lineRule="auto"/>
              <w:rPr>
                <w:rFonts w:hint="default" w:ascii="宋体" w:hAnsi="Times New Roman" w:eastAsia="宋体" w:cs="Times New Roman"/>
                <w:sz w:val="21"/>
                <w:szCs w:val="21"/>
              </w:rPr>
            </w:pPr>
            <w:r>
              <w:rPr>
                <w:rFonts w:hint="eastAsia" w:ascii="宋体" w:hAnsi="Times New Roman" w:eastAsia="宋体" w:cs="Times New Roman"/>
                <w:sz w:val="21"/>
                <w:szCs w:val="21"/>
              </w:rPr>
              <w:t xml:space="preserve">批次</w:t>
            </w:r>
            <w:r/>
          </w:p>
        </w:tc>
        <w:tc>
          <w:tcPr>
            <w:tcBorders>
              <w:top w:val="single" w:color="auto" w:sz="4" w:space="0"/>
              <w:left w:val="single" w:color="auto" w:sz="4" w:space="0"/>
              <w:bottom w:val="single" w:color="auto" w:sz="4" w:space="0"/>
              <w:right w:val="single" w:color="auto" w:sz="4" w:space="0"/>
            </w:tcBorders>
            <w:tcW w:w="531" w:type="pct"/>
            <w:vAlign w:val="center"/>
            <w:textDirection w:val="lrTb"/>
            <w:noWrap w:val="false"/>
          </w:tcPr>
          <w:p>
            <w:pPr>
              <w:ind w:firstLine="0"/>
              <w:jc w:val="center"/>
              <w:spacing w:line="240" w:lineRule="auto"/>
              <w:rPr>
                <w:rFonts w:hint="default" w:ascii="宋体" w:hAnsi="Times New Roman" w:eastAsia="宋体" w:cs="Times New Roman"/>
                <w:sz w:val="21"/>
                <w:szCs w:val="21"/>
              </w:rPr>
            </w:pPr>
            <w:r>
              <w:rPr>
                <w:rFonts w:hint="eastAsia" w:ascii="宋体" w:hAnsi="Times New Roman" w:eastAsia="宋体" w:cs="Times New Roman"/>
                <w:sz w:val="21"/>
                <w:szCs w:val="21"/>
              </w:rPr>
              <w:t xml:space="preserve">0.5</w:t>
            </w:r>
            <w:r/>
          </w:p>
        </w:tc>
      </w:tr>
      <w:tr>
        <w:trPr>
          <w:jc w:val="center"/>
        </w:trPr>
        <w:tc>
          <w:tcPr>
            <w:tcBorders>
              <w:top w:val="single" w:color="auto" w:sz="4" w:space="0"/>
              <w:left w:val="single" w:color="auto" w:sz="4" w:space="0"/>
              <w:bottom w:val="single" w:color="auto" w:sz="4" w:space="0"/>
              <w:right w:val="single" w:color="auto" w:sz="4" w:space="0"/>
            </w:tcBorders>
            <w:tcW w:w="445" w:type="pct"/>
            <w:vAlign w:val="center"/>
            <w:textDirection w:val="lrTb"/>
            <w:noWrap w:val="false"/>
          </w:tcPr>
          <w:p>
            <w:pPr>
              <w:ind w:firstLine="0"/>
              <w:jc w:val="center"/>
              <w:spacing w:line="240" w:lineRule="auto"/>
              <w:rPr>
                <w:rFonts w:hint="default" w:ascii="宋体" w:hAnsi="Times New Roman" w:eastAsia="宋体" w:cs="Times New Roman"/>
                <w:sz w:val="21"/>
                <w:szCs w:val="21"/>
              </w:rPr>
            </w:pPr>
            <w:r>
              <w:rPr>
                <w:rFonts w:hint="eastAsia" w:ascii="宋体" w:hAnsi="Times New Roman" w:eastAsia="宋体" w:cs="Times New Roman"/>
                <w:sz w:val="21"/>
                <w:szCs w:val="21"/>
              </w:rPr>
              <w:t xml:space="preserve">11</w:t>
            </w:r>
            <w:r/>
          </w:p>
        </w:tc>
        <w:tc>
          <w:tcPr>
            <w:tcBorders>
              <w:top w:val="none" w:color="000000" w:sz="4" w:space="0"/>
              <w:left w:val="single" w:color="auto" w:sz="4" w:space="0"/>
              <w:bottom w:val="single" w:color="auto" w:sz="4" w:space="0"/>
              <w:right w:val="single" w:color="auto" w:sz="4" w:space="0"/>
            </w:tcBorders>
            <w:tcW w:w="834" w:type="pct"/>
            <w:vAlign w:val="center"/>
            <w:vMerge w:val="continue"/>
            <w:textDirection w:val="lrTb"/>
            <w:noWrap w:val="false"/>
          </w:tcPr>
          <w:p>
            <w:pPr>
              <w:ind w:firstLine="0"/>
              <w:jc w:val="center"/>
              <w:spacing w:line="240" w:lineRule="auto"/>
              <w:rPr>
                <w:rFonts w:hint="default" w:ascii="宋体" w:hAnsi="Times New Roman" w:eastAsia="宋体" w:cs="Times New Roman"/>
                <w:sz w:val="21"/>
                <w:szCs w:val="21"/>
              </w:rPr>
            </w:pPr>
            <w:r>
              <w:rPr>
                <w:rFonts w:hint="default" w:ascii="宋体" w:hAnsi="Times New Roman" w:eastAsia="宋体" w:cs="Times New Roman"/>
                <w:sz w:val="21"/>
                <w:szCs w:val="21"/>
              </w:rPr>
            </w:r>
            <w:r/>
          </w:p>
        </w:tc>
        <w:tc>
          <w:tcPr>
            <w:tcBorders>
              <w:top w:val="single" w:color="auto" w:sz="4" w:space="0"/>
              <w:left w:val="single" w:color="auto" w:sz="4" w:space="0"/>
              <w:bottom w:val="single" w:color="auto" w:sz="4" w:space="0"/>
              <w:right w:val="single" w:color="auto" w:sz="4" w:space="0"/>
            </w:tcBorders>
            <w:tcW w:w="2784" w:type="pct"/>
            <w:vAlign w:val="center"/>
            <w:textDirection w:val="lrTb"/>
            <w:noWrap w:val="false"/>
          </w:tcPr>
          <w:p>
            <w:pPr>
              <w:ind w:firstLine="0"/>
              <w:jc w:val="left"/>
              <w:spacing w:line="240" w:lineRule="auto"/>
              <w:rPr>
                <w:rFonts w:hint="default" w:ascii="宋体" w:hAnsi="Times New Roman" w:eastAsia="宋体" w:cs="Times New Roman"/>
                <w:sz w:val="21"/>
                <w:szCs w:val="21"/>
              </w:rPr>
            </w:pPr>
            <w:r>
              <w:rPr>
                <w:rFonts w:hint="eastAsia" w:ascii="宋体" w:hAnsi="Times New Roman" w:eastAsia="宋体" w:cs="Times New Roman"/>
                <w:sz w:val="21"/>
                <w:szCs w:val="21"/>
              </w:rPr>
              <w:t xml:space="preserve">未经甲方许可擅自更换设备的</w:t>
            </w:r>
            <w:r/>
          </w:p>
        </w:tc>
        <w:tc>
          <w:tcPr>
            <w:tcBorders>
              <w:top w:val="single" w:color="auto" w:sz="4" w:space="0"/>
              <w:left w:val="single" w:color="auto" w:sz="4" w:space="0"/>
              <w:bottom w:val="single" w:color="auto" w:sz="4" w:space="0"/>
              <w:right w:val="single" w:color="auto" w:sz="4" w:space="0"/>
            </w:tcBorders>
            <w:tcW w:w="406" w:type="pct"/>
            <w:vAlign w:val="center"/>
            <w:textDirection w:val="lrTb"/>
            <w:noWrap w:val="false"/>
          </w:tcPr>
          <w:p>
            <w:pPr>
              <w:ind w:firstLine="0"/>
              <w:jc w:val="center"/>
              <w:spacing w:line="240" w:lineRule="auto"/>
              <w:rPr>
                <w:rFonts w:hint="default" w:ascii="宋体" w:hAnsi="Times New Roman" w:eastAsia="宋体" w:cs="Times New Roman"/>
                <w:sz w:val="21"/>
                <w:szCs w:val="21"/>
              </w:rPr>
            </w:pPr>
            <w:r>
              <w:rPr>
                <w:rFonts w:hint="eastAsia" w:ascii="宋体" w:hAnsi="Times New Roman" w:eastAsia="宋体" w:cs="Times New Roman"/>
                <w:sz w:val="21"/>
                <w:szCs w:val="21"/>
              </w:rPr>
              <w:t xml:space="preserve">次</w:t>
            </w:r>
            <w:r/>
          </w:p>
        </w:tc>
        <w:tc>
          <w:tcPr>
            <w:tcBorders>
              <w:top w:val="single" w:color="auto" w:sz="4" w:space="0"/>
              <w:left w:val="single" w:color="auto" w:sz="4" w:space="0"/>
              <w:bottom w:val="single" w:color="auto" w:sz="4" w:space="0"/>
              <w:right w:val="single" w:color="auto" w:sz="4" w:space="0"/>
            </w:tcBorders>
            <w:tcW w:w="531" w:type="pct"/>
            <w:vAlign w:val="center"/>
            <w:textDirection w:val="lrTb"/>
            <w:noWrap w:val="false"/>
          </w:tcPr>
          <w:p>
            <w:pPr>
              <w:ind w:firstLine="0"/>
              <w:jc w:val="center"/>
              <w:spacing w:line="240" w:lineRule="auto"/>
              <w:rPr>
                <w:rFonts w:hint="default" w:ascii="宋体" w:hAnsi="Times New Roman" w:eastAsia="宋体" w:cs="Times New Roman"/>
                <w:sz w:val="21"/>
                <w:szCs w:val="21"/>
              </w:rPr>
            </w:pPr>
            <w:r>
              <w:rPr>
                <w:rFonts w:hint="eastAsia" w:ascii="宋体" w:hAnsi="Times New Roman" w:eastAsia="宋体" w:cs="Times New Roman"/>
                <w:sz w:val="21"/>
                <w:szCs w:val="21"/>
              </w:rPr>
              <w:t xml:space="preserve">1</w:t>
            </w:r>
            <w:r/>
          </w:p>
        </w:tc>
      </w:tr>
      <w:tr>
        <w:trPr>
          <w:jc w:val="center"/>
        </w:trPr>
        <w:tc>
          <w:tcPr>
            <w:tcBorders>
              <w:top w:val="single" w:color="auto" w:sz="4" w:space="0"/>
              <w:left w:val="single" w:color="auto" w:sz="4" w:space="0"/>
              <w:bottom w:val="single" w:color="auto" w:sz="4" w:space="0"/>
              <w:right w:val="single" w:color="auto" w:sz="4" w:space="0"/>
            </w:tcBorders>
            <w:tcW w:w="445" w:type="pct"/>
            <w:vAlign w:val="center"/>
            <w:textDirection w:val="lrTb"/>
            <w:noWrap w:val="false"/>
          </w:tcPr>
          <w:p>
            <w:pPr>
              <w:ind w:firstLine="0"/>
              <w:jc w:val="center"/>
              <w:spacing w:line="240" w:lineRule="auto"/>
              <w:rPr>
                <w:rFonts w:hint="default" w:ascii="宋体" w:hAnsi="Times New Roman" w:eastAsia="宋体" w:cs="Times New Roman"/>
                <w:sz w:val="21"/>
                <w:szCs w:val="21"/>
              </w:rPr>
            </w:pPr>
            <w:r>
              <w:rPr>
                <w:rFonts w:hint="eastAsia" w:ascii="宋体" w:hAnsi="Times New Roman" w:eastAsia="宋体" w:cs="Times New Roman"/>
                <w:sz w:val="21"/>
                <w:szCs w:val="21"/>
              </w:rPr>
              <w:t xml:space="preserve">12</w:t>
            </w:r>
            <w:r/>
          </w:p>
        </w:tc>
        <w:tc>
          <w:tcPr>
            <w:tcBorders>
              <w:top w:val="none" w:color="000000" w:sz="4" w:space="0"/>
              <w:left w:val="single" w:color="auto" w:sz="4" w:space="0"/>
              <w:bottom w:val="single" w:color="auto" w:sz="4" w:space="0"/>
              <w:right w:val="single" w:color="auto" w:sz="4" w:space="0"/>
            </w:tcBorders>
            <w:tcW w:w="834" w:type="pct"/>
            <w:vAlign w:val="center"/>
            <w:vMerge w:val="restart"/>
            <w:textDirection w:val="lrTb"/>
            <w:noWrap w:val="false"/>
          </w:tcPr>
          <w:p>
            <w:pPr>
              <w:ind w:firstLine="0"/>
              <w:jc w:val="center"/>
              <w:spacing w:line="240" w:lineRule="auto"/>
              <w:rPr>
                <w:rFonts w:hint="default" w:ascii="宋体" w:hAnsi="Times New Roman" w:eastAsia="宋体" w:cs="Times New Roman"/>
                <w:sz w:val="21"/>
                <w:szCs w:val="21"/>
              </w:rPr>
            </w:pPr>
            <w:r>
              <w:rPr>
                <w:rFonts w:hint="eastAsia" w:ascii="宋体" w:hAnsi="Times New Roman" w:eastAsia="宋体" w:cs="Times New Roman"/>
                <w:bCs/>
                <w:sz w:val="21"/>
                <w:szCs w:val="21"/>
              </w:rPr>
              <w:t xml:space="preserve">工作任务的完成效率，维保、施工质量和时效。</w:t>
            </w:r>
            <w:r/>
          </w:p>
        </w:tc>
        <w:tc>
          <w:tcPr>
            <w:tcBorders>
              <w:top w:val="single" w:color="auto" w:sz="4" w:space="0"/>
              <w:left w:val="single" w:color="auto" w:sz="4" w:space="0"/>
              <w:bottom w:val="single" w:color="auto" w:sz="4" w:space="0"/>
              <w:right w:val="single" w:color="auto" w:sz="4" w:space="0"/>
            </w:tcBorders>
            <w:tcW w:w="2784" w:type="pct"/>
            <w:vAlign w:val="center"/>
            <w:textDirection w:val="lrTb"/>
            <w:noWrap w:val="false"/>
          </w:tcPr>
          <w:p>
            <w:pPr>
              <w:ind w:firstLine="0"/>
              <w:jc w:val="left"/>
              <w:spacing w:line="240" w:lineRule="auto"/>
              <w:rPr>
                <w:rFonts w:hint="default" w:ascii="宋体" w:hAnsi="Times New Roman" w:eastAsia="宋体" w:cs="Times New Roman"/>
                <w:sz w:val="21"/>
                <w:szCs w:val="21"/>
              </w:rPr>
            </w:pPr>
            <w:r>
              <w:rPr>
                <w:rFonts w:hint="eastAsia" w:ascii="宋体" w:hAnsi="Times New Roman" w:eastAsia="宋体" w:cs="Times New Roman"/>
                <w:sz w:val="21"/>
                <w:szCs w:val="21"/>
              </w:rPr>
              <w:t xml:space="preserve">灯杆被刮蹭、被撞，观察孔盖板松动、缺失，机箱、电源门未关好或被撬等情况接到通知未在4个小时内处理完毕的</w:t>
            </w:r>
            <w:r/>
          </w:p>
        </w:tc>
        <w:tc>
          <w:tcPr>
            <w:tcBorders>
              <w:top w:val="single" w:color="auto" w:sz="4" w:space="0"/>
              <w:left w:val="single" w:color="auto" w:sz="4" w:space="0"/>
              <w:bottom w:val="single" w:color="auto" w:sz="4" w:space="0"/>
              <w:right w:val="single" w:color="auto" w:sz="4" w:space="0"/>
            </w:tcBorders>
            <w:tcW w:w="406" w:type="pct"/>
            <w:vAlign w:val="center"/>
            <w:textDirection w:val="lrTb"/>
            <w:noWrap w:val="false"/>
          </w:tcPr>
          <w:p>
            <w:pPr>
              <w:ind w:firstLine="0"/>
              <w:jc w:val="center"/>
              <w:spacing w:line="240" w:lineRule="auto"/>
              <w:rPr>
                <w:rFonts w:hint="default" w:ascii="宋体" w:hAnsi="Times New Roman" w:eastAsia="宋体" w:cs="Times New Roman"/>
                <w:sz w:val="21"/>
                <w:szCs w:val="21"/>
              </w:rPr>
            </w:pPr>
            <w:r>
              <w:rPr>
                <w:rFonts w:hint="eastAsia" w:ascii="宋体" w:hAnsi="Times New Roman" w:eastAsia="宋体" w:cs="Times New Roman"/>
                <w:sz w:val="21"/>
                <w:szCs w:val="21"/>
              </w:rPr>
              <w:t xml:space="preserve">次</w:t>
            </w:r>
            <w:r/>
          </w:p>
        </w:tc>
        <w:tc>
          <w:tcPr>
            <w:tcBorders>
              <w:top w:val="single" w:color="auto" w:sz="4" w:space="0"/>
              <w:left w:val="single" w:color="auto" w:sz="4" w:space="0"/>
              <w:bottom w:val="single" w:color="auto" w:sz="4" w:space="0"/>
              <w:right w:val="single" w:color="auto" w:sz="4" w:space="0"/>
            </w:tcBorders>
            <w:tcW w:w="531" w:type="pct"/>
            <w:vAlign w:val="center"/>
            <w:textDirection w:val="lrTb"/>
            <w:noWrap w:val="false"/>
          </w:tcPr>
          <w:p>
            <w:pPr>
              <w:ind w:firstLine="0"/>
              <w:jc w:val="center"/>
              <w:spacing w:line="240" w:lineRule="auto"/>
              <w:rPr>
                <w:rFonts w:hint="default" w:ascii="宋体" w:hAnsi="Times New Roman" w:eastAsia="宋体" w:cs="Times New Roman"/>
                <w:sz w:val="21"/>
                <w:szCs w:val="21"/>
              </w:rPr>
            </w:pPr>
            <w:r>
              <w:rPr>
                <w:rFonts w:hint="eastAsia" w:ascii="宋体" w:hAnsi="Times New Roman" w:eastAsia="宋体" w:cs="Times New Roman"/>
                <w:sz w:val="21"/>
                <w:szCs w:val="21"/>
              </w:rPr>
              <w:t xml:space="preserve">0.1</w:t>
            </w:r>
            <w:r/>
          </w:p>
        </w:tc>
      </w:tr>
      <w:tr>
        <w:trPr>
          <w:jc w:val="center"/>
        </w:trPr>
        <w:tc>
          <w:tcPr>
            <w:tcBorders>
              <w:top w:val="single" w:color="auto" w:sz="4" w:space="0"/>
              <w:left w:val="single" w:color="auto" w:sz="4" w:space="0"/>
              <w:bottom w:val="single" w:color="auto" w:sz="4" w:space="0"/>
              <w:right w:val="single" w:color="auto" w:sz="4" w:space="0"/>
            </w:tcBorders>
            <w:tcW w:w="445" w:type="pct"/>
            <w:vAlign w:val="center"/>
            <w:textDirection w:val="lrTb"/>
            <w:noWrap w:val="false"/>
          </w:tcPr>
          <w:p>
            <w:pPr>
              <w:ind w:firstLine="0"/>
              <w:jc w:val="center"/>
              <w:spacing w:line="240" w:lineRule="auto"/>
              <w:rPr>
                <w:rFonts w:hint="default" w:ascii="宋体" w:hAnsi="Times New Roman" w:eastAsia="宋体" w:cs="Times New Roman"/>
                <w:sz w:val="21"/>
                <w:szCs w:val="21"/>
              </w:rPr>
            </w:pPr>
            <w:r>
              <w:rPr>
                <w:rFonts w:hint="eastAsia" w:ascii="宋体" w:hAnsi="Times New Roman" w:eastAsia="宋体" w:cs="Times New Roman"/>
                <w:sz w:val="21"/>
                <w:szCs w:val="21"/>
              </w:rPr>
              <w:t xml:space="preserve">13</w:t>
            </w:r>
            <w:r/>
          </w:p>
        </w:tc>
        <w:tc>
          <w:tcPr>
            <w:tcBorders>
              <w:top w:val="none" w:color="000000" w:sz="4" w:space="0"/>
              <w:left w:val="single" w:color="auto" w:sz="4" w:space="0"/>
              <w:bottom w:val="single" w:color="auto" w:sz="4" w:space="0"/>
              <w:right w:val="single" w:color="auto" w:sz="4" w:space="0"/>
            </w:tcBorders>
            <w:tcW w:w="834" w:type="pct"/>
            <w:vAlign w:val="center"/>
            <w:vMerge w:val="continue"/>
            <w:textDirection w:val="lrTb"/>
            <w:noWrap w:val="false"/>
          </w:tcPr>
          <w:p>
            <w:pPr>
              <w:ind w:firstLine="0"/>
              <w:jc w:val="center"/>
              <w:spacing w:line="240" w:lineRule="auto"/>
              <w:rPr>
                <w:rFonts w:hint="default" w:ascii="宋体" w:hAnsi="Times New Roman" w:eastAsia="宋体" w:cs="Times New Roman"/>
                <w:sz w:val="21"/>
                <w:szCs w:val="21"/>
              </w:rPr>
            </w:pPr>
            <w:r>
              <w:rPr>
                <w:rFonts w:hint="default" w:ascii="宋体" w:hAnsi="Times New Roman" w:eastAsia="宋体" w:cs="Times New Roman"/>
                <w:sz w:val="21"/>
                <w:szCs w:val="21"/>
              </w:rPr>
            </w:r>
            <w:r/>
          </w:p>
        </w:tc>
        <w:tc>
          <w:tcPr>
            <w:tcBorders>
              <w:top w:val="single" w:color="auto" w:sz="4" w:space="0"/>
              <w:left w:val="single" w:color="auto" w:sz="4" w:space="0"/>
              <w:bottom w:val="single" w:color="auto" w:sz="4" w:space="0"/>
              <w:right w:val="single" w:color="auto" w:sz="4" w:space="0"/>
            </w:tcBorders>
            <w:tcW w:w="2784" w:type="pct"/>
            <w:vAlign w:val="center"/>
            <w:textDirection w:val="lrTb"/>
            <w:noWrap w:val="false"/>
          </w:tcPr>
          <w:p>
            <w:pPr>
              <w:ind w:firstLine="0"/>
              <w:jc w:val="left"/>
              <w:spacing w:line="240" w:lineRule="auto"/>
              <w:rPr>
                <w:rFonts w:hint="default" w:ascii="宋体" w:hAnsi="Times New Roman" w:eastAsia="宋体" w:cs="Times New Roman"/>
                <w:sz w:val="21"/>
                <w:szCs w:val="21"/>
              </w:rPr>
            </w:pPr>
            <w:r>
              <w:rPr>
                <w:rFonts w:hint="eastAsia" w:ascii="宋体" w:hAnsi="Times New Roman" w:eastAsia="宋体" w:cs="Times New Roman"/>
                <w:sz w:val="21"/>
                <w:szCs w:val="21"/>
              </w:rPr>
              <w:t xml:space="preserve">信号灯遮沿、面罩、裙边等歪斜吊挂或脱落的，未及时纠正的</w:t>
            </w:r>
            <w:r/>
          </w:p>
        </w:tc>
        <w:tc>
          <w:tcPr>
            <w:tcBorders>
              <w:top w:val="single" w:color="auto" w:sz="4" w:space="0"/>
              <w:left w:val="single" w:color="auto" w:sz="4" w:space="0"/>
              <w:bottom w:val="single" w:color="auto" w:sz="4" w:space="0"/>
              <w:right w:val="single" w:color="auto" w:sz="4" w:space="0"/>
            </w:tcBorders>
            <w:tcW w:w="406" w:type="pct"/>
            <w:vAlign w:val="center"/>
            <w:textDirection w:val="lrTb"/>
            <w:noWrap w:val="false"/>
          </w:tcPr>
          <w:p>
            <w:pPr>
              <w:ind w:firstLine="0"/>
              <w:jc w:val="center"/>
              <w:spacing w:line="240" w:lineRule="auto"/>
              <w:rPr>
                <w:rFonts w:hint="default" w:ascii="宋体" w:hAnsi="Times New Roman" w:eastAsia="宋体" w:cs="Times New Roman"/>
                <w:sz w:val="21"/>
                <w:szCs w:val="21"/>
              </w:rPr>
            </w:pPr>
            <w:r>
              <w:rPr>
                <w:rFonts w:hint="eastAsia" w:ascii="宋体" w:hAnsi="Times New Roman" w:eastAsia="宋体" w:cs="Times New Roman"/>
                <w:sz w:val="21"/>
                <w:szCs w:val="21"/>
              </w:rPr>
              <w:t xml:space="preserve">次</w:t>
            </w:r>
            <w:r/>
          </w:p>
        </w:tc>
        <w:tc>
          <w:tcPr>
            <w:tcBorders>
              <w:top w:val="single" w:color="auto" w:sz="4" w:space="0"/>
              <w:left w:val="single" w:color="auto" w:sz="4" w:space="0"/>
              <w:bottom w:val="single" w:color="auto" w:sz="4" w:space="0"/>
              <w:right w:val="single" w:color="auto" w:sz="4" w:space="0"/>
            </w:tcBorders>
            <w:tcW w:w="531" w:type="pct"/>
            <w:vAlign w:val="center"/>
            <w:textDirection w:val="lrTb"/>
            <w:noWrap w:val="false"/>
          </w:tcPr>
          <w:p>
            <w:pPr>
              <w:ind w:firstLine="0"/>
              <w:jc w:val="center"/>
              <w:spacing w:line="240" w:lineRule="auto"/>
              <w:rPr>
                <w:rFonts w:hint="default" w:ascii="宋体" w:hAnsi="Times New Roman" w:eastAsia="宋体" w:cs="Times New Roman"/>
                <w:sz w:val="21"/>
                <w:szCs w:val="21"/>
              </w:rPr>
            </w:pPr>
            <w:r>
              <w:rPr>
                <w:rFonts w:hint="eastAsia" w:ascii="宋体" w:hAnsi="Times New Roman" w:eastAsia="宋体" w:cs="Times New Roman"/>
                <w:sz w:val="21"/>
                <w:szCs w:val="21"/>
              </w:rPr>
              <w:t xml:space="preserve">0.1</w:t>
            </w:r>
            <w:r/>
          </w:p>
        </w:tc>
      </w:tr>
      <w:tr>
        <w:trPr>
          <w:jc w:val="center"/>
        </w:trPr>
        <w:tc>
          <w:tcPr>
            <w:tcBorders>
              <w:top w:val="single" w:color="auto" w:sz="4" w:space="0"/>
              <w:left w:val="single" w:color="auto" w:sz="4" w:space="0"/>
              <w:bottom w:val="single" w:color="auto" w:sz="4" w:space="0"/>
              <w:right w:val="single" w:color="auto" w:sz="4" w:space="0"/>
            </w:tcBorders>
            <w:tcW w:w="445" w:type="pct"/>
            <w:vAlign w:val="center"/>
            <w:textDirection w:val="lrTb"/>
            <w:noWrap w:val="false"/>
          </w:tcPr>
          <w:p>
            <w:pPr>
              <w:ind w:firstLine="0"/>
              <w:jc w:val="center"/>
              <w:spacing w:line="240" w:lineRule="auto"/>
              <w:rPr>
                <w:rFonts w:hint="default" w:ascii="宋体" w:hAnsi="Times New Roman" w:eastAsia="宋体" w:cs="Times New Roman"/>
                <w:sz w:val="21"/>
                <w:szCs w:val="21"/>
              </w:rPr>
            </w:pPr>
            <w:r>
              <w:rPr>
                <w:rFonts w:hint="eastAsia" w:ascii="宋体" w:hAnsi="Times New Roman" w:eastAsia="宋体" w:cs="Times New Roman"/>
                <w:sz w:val="21"/>
                <w:szCs w:val="21"/>
              </w:rPr>
              <w:t xml:space="preserve">14</w:t>
            </w:r>
            <w:r/>
          </w:p>
        </w:tc>
        <w:tc>
          <w:tcPr>
            <w:tcBorders>
              <w:top w:val="none" w:color="000000" w:sz="4" w:space="0"/>
              <w:left w:val="single" w:color="auto" w:sz="4" w:space="0"/>
              <w:bottom w:val="single" w:color="auto" w:sz="4" w:space="0"/>
              <w:right w:val="single" w:color="auto" w:sz="4" w:space="0"/>
            </w:tcBorders>
            <w:tcW w:w="834" w:type="pct"/>
            <w:vAlign w:val="center"/>
            <w:vMerge w:val="continue"/>
            <w:textDirection w:val="lrTb"/>
            <w:noWrap w:val="false"/>
          </w:tcPr>
          <w:p>
            <w:pPr>
              <w:ind w:firstLine="0"/>
              <w:jc w:val="center"/>
              <w:spacing w:line="240" w:lineRule="auto"/>
              <w:rPr>
                <w:rFonts w:hint="default" w:ascii="宋体" w:hAnsi="Times New Roman" w:eastAsia="宋体" w:cs="Times New Roman"/>
                <w:sz w:val="21"/>
                <w:szCs w:val="21"/>
              </w:rPr>
            </w:pPr>
            <w:r>
              <w:rPr>
                <w:rFonts w:hint="default" w:ascii="宋体" w:hAnsi="Times New Roman" w:eastAsia="宋体" w:cs="Times New Roman"/>
                <w:sz w:val="21"/>
                <w:szCs w:val="21"/>
              </w:rPr>
            </w:r>
            <w:r/>
          </w:p>
        </w:tc>
        <w:tc>
          <w:tcPr>
            <w:tcBorders>
              <w:top w:val="single" w:color="auto" w:sz="4" w:space="0"/>
              <w:left w:val="single" w:color="auto" w:sz="4" w:space="0"/>
              <w:bottom w:val="single" w:color="auto" w:sz="4" w:space="0"/>
              <w:right w:val="single" w:color="auto" w:sz="4" w:space="0"/>
            </w:tcBorders>
            <w:tcW w:w="2784" w:type="pct"/>
            <w:vAlign w:val="center"/>
            <w:textDirection w:val="lrTb"/>
            <w:noWrap w:val="false"/>
          </w:tcPr>
          <w:p>
            <w:pPr>
              <w:ind w:firstLine="0"/>
              <w:jc w:val="left"/>
              <w:spacing w:line="240" w:lineRule="auto"/>
              <w:rPr>
                <w:rFonts w:hint="default" w:ascii="宋体" w:hAnsi="Times New Roman" w:eastAsia="宋体" w:cs="Times New Roman"/>
                <w:sz w:val="21"/>
                <w:szCs w:val="21"/>
              </w:rPr>
            </w:pPr>
            <w:r>
              <w:rPr>
                <w:rFonts w:hint="eastAsia" w:ascii="宋体" w:hAnsi="Times New Roman" w:eastAsia="宋体" w:cs="Times New Roman"/>
                <w:sz w:val="21"/>
                <w:szCs w:val="21"/>
              </w:rPr>
              <w:t xml:space="preserve">手工井塌陷、井圈外露、井盖破碎，管线外露或因施工被拆、被损毁，架空线脱落、破损等情况接到通知未在4个小时内处理完毕的</w:t>
            </w:r>
            <w:r/>
          </w:p>
        </w:tc>
        <w:tc>
          <w:tcPr>
            <w:tcBorders>
              <w:top w:val="single" w:color="auto" w:sz="4" w:space="0"/>
              <w:left w:val="single" w:color="auto" w:sz="4" w:space="0"/>
              <w:bottom w:val="single" w:color="auto" w:sz="4" w:space="0"/>
              <w:right w:val="single" w:color="auto" w:sz="4" w:space="0"/>
            </w:tcBorders>
            <w:tcW w:w="406" w:type="pct"/>
            <w:vAlign w:val="center"/>
            <w:textDirection w:val="lrTb"/>
            <w:noWrap w:val="false"/>
          </w:tcPr>
          <w:p>
            <w:pPr>
              <w:ind w:firstLine="0"/>
              <w:jc w:val="center"/>
              <w:spacing w:line="240" w:lineRule="auto"/>
              <w:rPr>
                <w:rFonts w:hint="default" w:ascii="宋体" w:hAnsi="Times New Roman" w:eastAsia="宋体" w:cs="Times New Roman"/>
                <w:sz w:val="21"/>
                <w:szCs w:val="21"/>
              </w:rPr>
            </w:pPr>
            <w:r>
              <w:rPr>
                <w:rFonts w:hint="eastAsia" w:ascii="宋体" w:hAnsi="Times New Roman" w:eastAsia="宋体" w:cs="Times New Roman"/>
                <w:sz w:val="21"/>
                <w:szCs w:val="21"/>
              </w:rPr>
              <w:t xml:space="preserve">次</w:t>
            </w:r>
            <w:r/>
          </w:p>
        </w:tc>
        <w:tc>
          <w:tcPr>
            <w:tcBorders>
              <w:top w:val="single" w:color="auto" w:sz="4" w:space="0"/>
              <w:left w:val="single" w:color="auto" w:sz="4" w:space="0"/>
              <w:bottom w:val="single" w:color="auto" w:sz="4" w:space="0"/>
              <w:right w:val="single" w:color="auto" w:sz="4" w:space="0"/>
            </w:tcBorders>
            <w:tcW w:w="531" w:type="pct"/>
            <w:vAlign w:val="center"/>
            <w:textDirection w:val="lrTb"/>
            <w:noWrap w:val="false"/>
          </w:tcPr>
          <w:p>
            <w:pPr>
              <w:ind w:firstLine="0"/>
              <w:jc w:val="center"/>
              <w:spacing w:line="240" w:lineRule="auto"/>
              <w:rPr>
                <w:rFonts w:hint="default" w:ascii="宋体" w:hAnsi="Times New Roman" w:eastAsia="宋体" w:cs="Times New Roman"/>
                <w:sz w:val="21"/>
                <w:szCs w:val="21"/>
              </w:rPr>
            </w:pPr>
            <w:r>
              <w:rPr>
                <w:rFonts w:hint="eastAsia" w:ascii="宋体" w:hAnsi="Times New Roman" w:eastAsia="宋体" w:cs="Times New Roman"/>
                <w:sz w:val="21"/>
                <w:szCs w:val="21"/>
              </w:rPr>
              <w:t xml:space="preserve">0.1</w:t>
            </w:r>
            <w:r/>
          </w:p>
        </w:tc>
      </w:tr>
      <w:tr>
        <w:trPr>
          <w:jc w:val="center"/>
        </w:trPr>
        <w:tc>
          <w:tcPr>
            <w:tcBorders>
              <w:top w:val="single" w:color="auto" w:sz="4" w:space="0"/>
              <w:left w:val="single" w:color="auto" w:sz="4" w:space="0"/>
              <w:bottom w:val="single" w:color="auto" w:sz="4" w:space="0"/>
              <w:right w:val="single" w:color="auto" w:sz="4" w:space="0"/>
            </w:tcBorders>
            <w:tcW w:w="445" w:type="pct"/>
            <w:vAlign w:val="center"/>
            <w:textDirection w:val="lrTb"/>
            <w:noWrap w:val="false"/>
          </w:tcPr>
          <w:p>
            <w:pPr>
              <w:ind w:firstLine="0"/>
              <w:jc w:val="center"/>
              <w:spacing w:line="240" w:lineRule="auto"/>
              <w:rPr>
                <w:rFonts w:hint="default" w:ascii="宋体" w:hAnsi="Times New Roman" w:eastAsia="宋体" w:cs="Times New Roman"/>
                <w:sz w:val="21"/>
                <w:szCs w:val="21"/>
              </w:rPr>
            </w:pPr>
            <w:r>
              <w:rPr>
                <w:rFonts w:hint="eastAsia" w:ascii="宋体" w:hAnsi="Times New Roman" w:eastAsia="宋体" w:cs="Times New Roman"/>
                <w:sz w:val="21"/>
                <w:szCs w:val="21"/>
              </w:rPr>
              <w:t xml:space="preserve">15</w:t>
            </w:r>
            <w:r/>
          </w:p>
        </w:tc>
        <w:tc>
          <w:tcPr>
            <w:tcBorders>
              <w:top w:val="none" w:color="000000" w:sz="4" w:space="0"/>
              <w:left w:val="single" w:color="auto" w:sz="4" w:space="0"/>
              <w:bottom w:val="single" w:color="auto" w:sz="4" w:space="0"/>
              <w:right w:val="single" w:color="auto" w:sz="4" w:space="0"/>
            </w:tcBorders>
            <w:tcW w:w="834" w:type="pct"/>
            <w:vAlign w:val="center"/>
            <w:vMerge w:val="continue"/>
            <w:textDirection w:val="lrTb"/>
            <w:noWrap w:val="false"/>
          </w:tcPr>
          <w:p>
            <w:pPr>
              <w:ind w:firstLine="0"/>
              <w:jc w:val="center"/>
              <w:spacing w:line="240" w:lineRule="auto"/>
              <w:rPr>
                <w:rFonts w:hint="default" w:ascii="宋体" w:hAnsi="Times New Roman" w:eastAsia="宋体" w:cs="Times New Roman"/>
                <w:sz w:val="21"/>
                <w:szCs w:val="21"/>
              </w:rPr>
            </w:pPr>
            <w:r>
              <w:rPr>
                <w:rFonts w:hint="default" w:ascii="宋体" w:hAnsi="Times New Roman" w:eastAsia="宋体" w:cs="Times New Roman"/>
                <w:sz w:val="21"/>
                <w:szCs w:val="21"/>
              </w:rPr>
            </w:r>
            <w:r/>
          </w:p>
        </w:tc>
        <w:tc>
          <w:tcPr>
            <w:tcBorders>
              <w:top w:val="single" w:color="auto" w:sz="4" w:space="0"/>
              <w:left w:val="single" w:color="auto" w:sz="4" w:space="0"/>
              <w:bottom w:val="single" w:color="auto" w:sz="4" w:space="0"/>
              <w:right w:val="single" w:color="auto" w:sz="4" w:space="0"/>
            </w:tcBorders>
            <w:tcW w:w="2784" w:type="pct"/>
            <w:vAlign w:val="center"/>
            <w:textDirection w:val="lrTb"/>
            <w:noWrap w:val="false"/>
          </w:tcPr>
          <w:p>
            <w:pPr>
              <w:ind w:firstLine="0"/>
              <w:jc w:val="left"/>
              <w:spacing w:line="240" w:lineRule="auto"/>
              <w:rPr>
                <w:rFonts w:hint="default" w:ascii="宋体" w:hAnsi="Times New Roman" w:eastAsia="宋体" w:cs="Times New Roman"/>
                <w:sz w:val="21"/>
                <w:szCs w:val="21"/>
              </w:rPr>
            </w:pPr>
            <w:r>
              <w:rPr>
                <w:rFonts w:hint="eastAsia" w:ascii="宋体" w:hAnsi="Times New Roman" w:eastAsia="宋体" w:cs="Times New Roman"/>
                <w:sz w:val="21"/>
                <w:szCs w:val="21"/>
              </w:rPr>
              <w:t xml:space="preserve">灯具老化、发光色弱，影响识别，未能及时提出维护、更换申请的</w:t>
            </w:r>
            <w:r/>
          </w:p>
        </w:tc>
        <w:tc>
          <w:tcPr>
            <w:tcBorders>
              <w:top w:val="single" w:color="auto" w:sz="4" w:space="0"/>
              <w:left w:val="single" w:color="auto" w:sz="4" w:space="0"/>
              <w:bottom w:val="single" w:color="auto" w:sz="4" w:space="0"/>
              <w:right w:val="single" w:color="auto" w:sz="4" w:space="0"/>
            </w:tcBorders>
            <w:tcW w:w="406" w:type="pct"/>
            <w:vAlign w:val="center"/>
            <w:textDirection w:val="lrTb"/>
            <w:noWrap w:val="false"/>
          </w:tcPr>
          <w:p>
            <w:pPr>
              <w:ind w:firstLine="0"/>
              <w:jc w:val="center"/>
              <w:spacing w:line="240" w:lineRule="auto"/>
              <w:rPr>
                <w:rFonts w:hint="default" w:ascii="宋体" w:hAnsi="Times New Roman" w:eastAsia="宋体" w:cs="Times New Roman"/>
                <w:sz w:val="21"/>
                <w:szCs w:val="21"/>
              </w:rPr>
            </w:pPr>
            <w:r>
              <w:rPr>
                <w:rFonts w:hint="eastAsia" w:ascii="宋体" w:hAnsi="Times New Roman" w:eastAsia="宋体" w:cs="Times New Roman"/>
                <w:sz w:val="21"/>
                <w:szCs w:val="21"/>
              </w:rPr>
              <w:t xml:space="preserve">次</w:t>
            </w:r>
            <w:r/>
          </w:p>
        </w:tc>
        <w:tc>
          <w:tcPr>
            <w:tcBorders>
              <w:top w:val="single" w:color="auto" w:sz="4" w:space="0"/>
              <w:left w:val="single" w:color="auto" w:sz="4" w:space="0"/>
              <w:bottom w:val="single" w:color="auto" w:sz="4" w:space="0"/>
              <w:right w:val="single" w:color="auto" w:sz="4" w:space="0"/>
            </w:tcBorders>
            <w:tcW w:w="531" w:type="pct"/>
            <w:vAlign w:val="center"/>
            <w:textDirection w:val="lrTb"/>
            <w:noWrap w:val="false"/>
          </w:tcPr>
          <w:p>
            <w:pPr>
              <w:ind w:firstLine="0"/>
              <w:jc w:val="center"/>
              <w:spacing w:line="240" w:lineRule="auto"/>
              <w:rPr>
                <w:rFonts w:hint="default" w:ascii="宋体" w:hAnsi="Times New Roman" w:eastAsia="宋体" w:cs="Times New Roman"/>
                <w:sz w:val="21"/>
                <w:szCs w:val="21"/>
              </w:rPr>
            </w:pPr>
            <w:r>
              <w:rPr>
                <w:rFonts w:hint="eastAsia" w:ascii="宋体" w:hAnsi="Times New Roman" w:eastAsia="宋体" w:cs="Times New Roman"/>
                <w:sz w:val="21"/>
                <w:szCs w:val="21"/>
              </w:rPr>
              <w:t xml:space="preserve">0.1</w:t>
            </w:r>
            <w:r/>
          </w:p>
        </w:tc>
      </w:tr>
      <w:tr>
        <w:trPr>
          <w:jc w:val="center"/>
        </w:trPr>
        <w:tc>
          <w:tcPr>
            <w:tcBorders>
              <w:top w:val="single" w:color="auto" w:sz="4" w:space="0"/>
              <w:left w:val="single" w:color="auto" w:sz="4" w:space="0"/>
              <w:bottom w:val="single" w:color="auto" w:sz="4" w:space="0"/>
              <w:right w:val="single" w:color="auto" w:sz="4" w:space="0"/>
            </w:tcBorders>
            <w:tcW w:w="445" w:type="pct"/>
            <w:vAlign w:val="center"/>
            <w:textDirection w:val="lrTb"/>
            <w:noWrap w:val="false"/>
          </w:tcPr>
          <w:p>
            <w:pPr>
              <w:ind w:firstLine="0"/>
              <w:jc w:val="center"/>
              <w:spacing w:line="240" w:lineRule="auto"/>
              <w:rPr>
                <w:rFonts w:hint="default" w:ascii="宋体" w:hAnsi="Times New Roman" w:eastAsia="宋体" w:cs="Times New Roman"/>
                <w:sz w:val="21"/>
                <w:szCs w:val="21"/>
              </w:rPr>
            </w:pPr>
            <w:r>
              <w:rPr>
                <w:rFonts w:hint="eastAsia" w:ascii="宋体" w:hAnsi="Times New Roman" w:eastAsia="宋体" w:cs="Times New Roman"/>
                <w:sz w:val="21"/>
                <w:szCs w:val="21"/>
              </w:rPr>
              <w:t xml:space="preserve">16</w:t>
            </w:r>
            <w:r/>
          </w:p>
        </w:tc>
        <w:tc>
          <w:tcPr>
            <w:tcBorders>
              <w:top w:val="none" w:color="000000" w:sz="4" w:space="0"/>
              <w:left w:val="single" w:color="auto" w:sz="4" w:space="0"/>
              <w:bottom w:val="single" w:color="auto" w:sz="4" w:space="0"/>
              <w:right w:val="single" w:color="auto" w:sz="4" w:space="0"/>
            </w:tcBorders>
            <w:tcW w:w="834" w:type="pct"/>
            <w:vAlign w:val="center"/>
            <w:vMerge w:val="continue"/>
            <w:textDirection w:val="lrTb"/>
            <w:noWrap w:val="false"/>
          </w:tcPr>
          <w:p>
            <w:pPr>
              <w:ind w:firstLine="0"/>
              <w:jc w:val="center"/>
              <w:spacing w:line="240" w:lineRule="auto"/>
              <w:rPr>
                <w:rFonts w:hint="default" w:ascii="宋体" w:hAnsi="Times New Roman" w:eastAsia="宋体" w:cs="Times New Roman"/>
                <w:sz w:val="21"/>
                <w:szCs w:val="21"/>
              </w:rPr>
            </w:pPr>
            <w:r>
              <w:rPr>
                <w:rFonts w:hint="default" w:ascii="宋体" w:hAnsi="Times New Roman" w:eastAsia="宋体" w:cs="Times New Roman"/>
                <w:sz w:val="21"/>
                <w:szCs w:val="21"/>
              </w:rPr>
            </w:r>
            <w:r/>
          </w:p>
        </w:tc>
        <w:tc>
          <w:tcPr>
            <w:tcBorders>
              <w:top w:val="single" w:color="auto" w:sz="4" w:space="0"/>
              <w:left w:val="single" w:color="auto" w:sz="4" w:space="0"/>
              <w:bottom w:val="single" w:color="auto" w:sz="4" w:space="0"/>
              <w:right w:val="single" w:color="auto" w:sz="4" w:space="0"/>
            </w:tcBorders>
            <w:tcW w:w="2784" w:type="pct"/>
            <w:vAlign w:val="center"/>
            <w:textDirection w:val="lrTb"/>
            <w:noWrap w:val="false"/>
          </w:tcPr>
          <w:p>
            <w:pPr>
              <w:ind w:firstLine="0"/>
              <w:jc w:val="left"/>
              <w:spacing w:line="240" w:lineRule="auto"/>
              <w:rPr>
                <w:rFonts w:hint="default" w:ascii="宋体" w:hAnsi="Times New Roman" w:eastAsia="宋体" w:cs="Times New Roman"/>
                <w:sz w:val="21"/>
                <w:szCs w:val="21"/>
              </w:rPr>
            </w:pPr>
            <w:r>
              <w:rPr>
                <w:rFonts w:hint="eastAsia" w:ascii="宋体" w:hAnsi="Times New Roman" w:eastAsia="宋体" w:cs="Times New Roman"/>
                <w:sz w:val="21"/>
                <w:szCs w:val="21"/>
              </w:rPr>
              <w:t xml:space="preserve">灯具不能正常工作，未在3个小时内修复的</w:t>
            </w:r>
            <w:r/>
          </w:p>
        </w:tc>
        <w:tc>
          <w:tcPr>
            <w:tcBorders>
              <w:top w:val="single" w:color="auto" w:sz="4" w:space="0"/>
              <w:left w:val="single" w:color="auto" w:sz="4" w:space="0"/>
              <w:bottom w:val="single" w:color="auto" w:sz="4" w:space="0"/>
              <w:right w:val="single" w:color="auto" w:sz="4" w:space="0"/>
            </w:tcBorders>
            <w:tcW w:w="406" w:type="pct"/>
            <w:vAlign w:val="center"/>
            <w:textDirection w:val="lrTb"/>
            <w:noWrap w:val="false"/>
          </w:tcPr>
          <w:p>
            <w:pPr>
              <w:ind w:firstLine="0"/>
              <w:jc w:val="center"/>
              <w:spacing w:line="240" w:lineRule="auto"/>
              <w:rPr>
                <w:rFonts w:hint="default" w:ascii="宋体" w:hAnsi="Times New Roman" w:eastAsia="宋体" w:cs="Times New Roman"/>
                <w:sz w:val="21"/>
                <w:szCs w:val="21"/>
              </w:rPr>
            </w:pPr>
            <w:r>
              <w:rPr>
                <w:rFonts w:hint="eastAsia" w:ascii="宋体" w:hAnsi="Times New Roman" w:eastAsia="宋体" w:cs="Times New Roman"/>
                <w:sz w:val="21"/>
                <w:szCs w:val="21"/>
              </w:rPr>
              <w:t xml:space="preserve">次</w:t>
            </w:r>
            <w:r/>
          </w:p>
        </w:tc>
        <w:tc>
          <w:tcPr>
            <w:tcBorders>
              <w:top w:val="single" w:color="auto" w:sz="4" w:space="0"/>
              <w:left w:val="single" w:color="auto" w:sz="4" w:space="0"/>
              <w:bottom w:val="single" w:color="auto" w:sz="4" w:space="0"/>
              <w:right w:val="single" w:color="auto" w:sz="4" w:space="0"/>
            </w:tcBorders>
            <w:tcW w:w="531" w:type="pct"/>
            <w:vAlign w:val="center"/>
            <w:textDirection w:val="lrTb"/>
            <w:noWrap w:val="false"/>
          </w:tcPr>
          <w:p>
            <w:pPr>
              <w:ind w:firstLine="0"/>
              <w:jc w:val="center"/>
              <w:spacing w:line="240" w:lineRule="auto"/>
              <w:rPr>
                <w:rFonts w:hint="default" w:ascii="宋体" w:hAnsi="Times New Roman" w:eastAsia="宋体" w:cs="Times New Roman"/>
                <w:sz w:val="21"/>
                <w:szCs w:val="21"/>
              </w:rPr>
            </w:pPr>
            <w:r>
              <w:rPr>
                <w:rFonts w:hint="eastAsia" w:ascii="宋体" w:hAnsi="Times New Roman" w:eastAsia="宋体" w:cs="Times New Roman"/>
                <w:sz w:val="21"/>
                <w:szCs w:val="21"/>
              </w:rPr>
              <w:t xml:space="preserve">0.3</w:t>
            </w:r>
            <w:r/>
          </w:p>
        </w:tc>
      </w:tr>
      <w:tr>
        <w:trPr>
          <w:jc w:val="center"/>
          <w:trHeight w:val="633"/>
        </w:trPr>
        <w:tc>
          <w:tcPr>
            <w:tcBorders>
              <w:top w:val="single" w:color="auto" w:sz="4" w:space="0"/>
              <w:left w:val="single" w:color="auto" w:sz="4" w:space="0"/>
              <w:bottom w:val="single" w:color="auto" w:sz="4" w:space="0"/>
              <w:right w:val="single" w:color="auto" w:sz="4" w:space="0"/>
            </w:tcBorders>
            <w:tcW w:w="445" w:type="pct"/>
            <w:vAlign w:val="center"/>
            <w:textDirection w:val="lrTb"/>
            <w:noWrap w:val="false"/>
          </w:tcPr>
          <w:p>
            <w:pPr>
              <w:ind w:firstLine="0"/>
              <w:jc w:val="center"/>
              <w:spacing w:line="240" w:lineRule="auto"/>
              <w:rPr>
                <w:rFonts w:hint="default" w:ascii="宋体" w:hAnsi="Times New Roman" w:eastAsia="宋体" w:cs="Times New Roman"/>
                <w:sz w:val="21"/>
                <w:szCs w:val="21"/>
              </w:rPr>
            </w:pPr>
            <w:r>
              <w:rPr>
                <w:rFonts w:hint="eastAsia" w:ascii="宋体" w:hAnsi="Times New Roman" w:eastAsia="宋体" w:cs="Times New Roman"/>
                <w:sz w:val="21"/>
                <w:szCs w:val="21"/>
              </w:rPr>
              <w:t xml:space="preserve">17</w:t>
            </w:r>
            <w:r/>
          </w:p>
        </w:tc>
        <w:tc>
          <w:tcPr>
            <w:tcBorders>
              <w:top w:val="none" w:color="000000" w:sz="4" w:space="0"/>
              <w:left w:val="single" w:color="auto" w:sz="4" w:space="0"/>
              <w:bottom w:val="single" w:color="auto" w:sz="4" w:space="0"/>
              <w:right w:val="single" w:color="auto" w:sz="4" w:space="0"/>
            </w:tcBorders>
            <w:tcW w:w="834" w:type="pct"/>
            <w:vAlign w:val="center"/>
            <w:vMerge w:val="continue"/>
            <w:textDirection w:val="lrTb"/>
            <w:noWrap w:val="false"/>
          </w:tcPr>
          <w:p>
            <w:pPr>
              <w:ind w:firstLine="0"/>
              <w:jc w:val="center"/>
              <w:spacing w:line="240" w:lineRule="auto"/>
              <w:rPr>
                <w:rFonts w:hint="default" w:ascii="宋体" w:hAnsi="Times New Roman" w:eastAsia="宋体" w:cs="Times New Roman"/>
                <w:sz w:val="21"/>
                <w:szCs w:val="21"/>
              </w:rPr>
            </w:pPr>
            <w:r>
              <w:rPr>
                <w:rFonts w:hint="default" w:ascii="宋体" w:hAnsi="Times New Roman" w:eastAsia="宋体" w:cs="Times New Roman"/>
                <w:sz w:val="21"/>
                <w:szCs w:val="21"/>
              </w:rPr>
            </w:r>
            <w:r/>
          </w:p>
        </w:tc>
        <w:tc>
          <w:tcPr>
            <w:tcBorders>
              <w:top w:val="single" w:color="auto" w:sz="4" w:space="0"/>
              <w:left w:val="single" w:color="auto" w:sz="4" w:space="0"/>
              <w:bottom w:val="single" w:color="auto" w:sz="4" w:space="0"/>
              <w:right w:val="single" w:color="auto" w:sz="4" w:space="0"/>
            </w:tcBorders>
            <w:tcW w:w="2784" w:type="pct"/>
            <w:vAlign w:val="center"/>
            <w:textDirection w:val="lrTb"/>
            <w:noWrap w:val="false"/>
          </w:tcPr>
          <w:p>
            <w:pPr>
              <w:ind w:firstLine="0"/>
              <w:jc w:val="left"/>
              <w:spacing w:line="240" w:lineRule="auto"/>
              <w:rPr>
                <w:rFonts w:hint="default" w:ascii="宋体" w:hAnsi="Times New Roman" w:eastAsia="宋体" w:cs="Times New Roman"/>
                <w:sz w:val="21"/>
                <w:szCs w:val="21"/>
              </w:rPr>
            </w:pPr>
            <w:r>
              <w:rPr>
                <w:rFonts w:hint="eastAsia" w:ascii="宋体" w:hAnsi="Times New Roman" w:eastAsia="宋体" w:cs="Times New Roman"/>
                <w:sz w:val="21"/>
                <w:szCs w:val="21"/>
              </w:rPr>
              <w:t xml:space="preserve">树木或其他设施影响、遮挡信号设备，未及时纠正、清除的</w:t>
            </w:r>
            <w:r/>
          </w:p>
        </w:tc>
        <w:tc>
          <w:tcPr>
            <w:tcBorders>
              <w:top w:val="single" w:color="auto" w:sz="4" w:space="0"/>
              <w:left w:val="single" w:color="auto" w:sz="4" w:space="0"/>
              <w:bottom w:val="single" w:color="auto" w:sz="4" w:space="0"/>
              <w:right w:val="single" w:color="auto" w:sz="4" w:space="0"/>
            </w:tcBorders>
            <w:tcW w:w="406" w:type="pct"/>
            <w:vAlign w:val="center"/>
            <w:textDirection w:val="lrTb"/>
            <w:noWrap w:val="false"/>
          </w:tcPr>
          <w:p>
            <w:pPr>
              <w:ind w:firstLine="0"/>
              <w:jc w:val="center"/>
              <w:spacing w:line="240" w:lineRule="auto"/>
              <w:rPr>
                <w:rFonts w:hint="default" w:ascii="宋体" w:hAnsi="Times New Roman" w:eastAsia="宋体" w:cs="Times New Roman"/>
                <w:sz w:val="21"/>
                <w:szCs w:val="21"/>
              </w:rPr>
            </w:pPr>
            <w:r>
              <w:rPr>
                <w:rFonts w:hint="eastAsia" w:ascii="宋体" w:hAnsi="Times New Roman" w:eastAsia="宋体" w:cs="Times New Roman"/>
                <w:sz w:val="21"/>
                <w:szCs w:val="21"/>
              </w:rPr>
              <w:t xml:space="preserve">次</w:t>
            </w:r>
            <w:r/>
          </w:p>
        </w:tc>
        <w:tc>
          <w:tcPr>
            <w:tcBorders>
              <w:top w:val="single" w:color="auto" w:sz="4" w:space="0"/>
              <w:left w:val="single" w:color="auto" w:sz="4" w:space="0"/>
              <w:bottom w:val="single" w:color="auto" w:sz="4" w:space="0"/>
              <w:right w:val="single" w:color="auto" w:sz="4" w:space="0"/>
            </w:tcBorders>
            <w:tcW w:w="531" w:type="pct"/>
            <w:vAlign w:val="center"/>
            <w:textDirection w:val="lrTb"/>
            <w:noWrap w:val="false"/>
          </w:tcPr>
          <w:p>
            <w:pPr>
              <w:ind w:firstLine="0"/>
              <w:jc w:val="center"/>
              <w:spacing w:line="240" w:lineRule="auto"/>
              <w:rPr>
                <w:rFonts w:hint="default" w:ascii="宋体" w:hAnsi="Times New Roman" w:eastAsia="宋体" w:cs="Times New Roman"/>
                <w:sz w:val="21"/>
                <w:szCs w:val="21"/>
              </w:rPr>
            </w:pPr>
            <w:r>
              <w:rPr>
                <w:rFonts w:hint="eastAsia" w:ascii="宋体" w:hAnsi="Times New Roman" w:eastAsia="宋体" w:cs="Times New Roman"/>
                <w:sz w:val="21"/>
                <w:szCs w:val="21"/>
              </w:rPr>
              <w:t xml:space="preserve">0.1</w:t>
            </w:r>
            <w:r/>
          </w:p>
        </w:tc>
      </w:tr>
      <w:tr>
        <w:trPr>
          <w:jc w:val="center"/>
        </w:trPr>
        <w:tc>
          <w:tcPr>
            <w:tcBorders>
              <w:top w:val="single" w:color="auto" w:sz="4" w:space="0"/>
              <w:left w:val="single" w:color="auto" w:sz="4" w:space="0"/>
              <w:bottom w:val="single" w:color="auto" w:sz="4" w:space="0"/>
              <w:right w:val="single" w:color="auto" w:sz="4" w:space="0"/>
            </w:tcBorders>
            <w:tcW w:w="445" w:type="pct"/>
            <w:vAlign w:val="center"/>
            <w:textDirection w:val="lrTb"/>
            <w:noWrap w:val="false"/>
          </w:tcPr>
          <w:p>
            <w:pPr>
              <w:ind w:firstLine="0"/>
              <w:jc w:val="center"/>
              <w:spacing w:line="240" w:lineRule="auto"/>
              <w:rPr>
                <w:rFonts w:hint="default" w:ascii="宋体" w:hAnsi="Times New Roman" w:eastAsia="宋体" w:cs="Times New Roman"/>
                <w:sz w:val="21"/>
                <w:szCs w:val="21"/>
              </w:rPr>
            </w:pPr>
            <w:r>
              <w:rPr>
                <w:rFonts w:hint="eastAsia" w:ascii="宋体" w:hAnsi="Times New Roman" w:eastAsia="宋体" w:cs="Times New Roman"/>
                <w:sz w:val="21"/>
                <w:szCs w:val="21"/>
              </w:rPr>
              <w:t xml:space="preserve">18</w:t>
            </w:r>
            <w:r/>
          </w:p>
        </w:tc>
        <w:tc>
          <w:tcPr>
            <w:tcBorders>
              <w:top w:val="none" w:color="000000" w:sz="4" w:space="0"/>
              <w:left w:val="single" w:color="auto" w:sz="4" w:space="0"/>
              <w:bottom w:val="single" w:color="auto" w:sz="4" w:space="0"/>
              <w:right w:val="single" w:color="auto" w:sz="4" w:space="0"/>
            </w:tcBorders>
            <w:tcW w:w="834" w:type="pct"/>
            <w:vAlign w:val="center"/>
            <w:vMerge w:val="continue"/>
            <w:textDirection w:val="lrTb"/>
            <w:noWrap w:val="false"/>
          </w:tcPr>
          <w:p>
            <w:pPr>
              <w:ind w:firstLine="0"/>
              <w:jc w:val="center"/>
              <w:spacing w:line="240" w:lineRule="auto"/>
              <w:rPr>
                <w:rFonts w:hint="default" w:ascii="宋体" w:hAnsi="Times New Roman" w:eastAsia="宋体" w:cs="Times New Roman"/>
                <w:sz w:val="21"/>
                <w:szCs w:val="21"/>
              </w:rPr>
            </w:pPr>
            <w:r>
              <w:rPr>
                <w:rFonts w:hint="default" w:ascii="宋体" w:hAnsi="Times New Roman" w:eastAsia="宋体" w:cs="Times New Roman"/>
                <w:sz w:val="21"/>
                <w:szCs w:val="21"/>
              </w:rPr>
            </w:r>
            <w:r/>
          </w:p>
        </w:tc>
        <w:tc>
          <w:tcPr>
            <w:tcBorders>
              <w:top w:val="single" w:color="auto" w:sz="4" w:space="0"/>
              <w:left w:val="single" w:color="auto" w:sz="4" w:space="0"/>
              <w:bottom w:val="single" w:color="auto" w:sz="4" w:space="0"/>
              <w:right w:val="single" w:color="auto" w:sz="4" w:space="0"/>
            </w:tcBorders>
            <w:tcW w:w="2784" w:type="pct"/>
            <w:vAlign w:val="center"/>
            <w:textDirection w:val="lrTb"/>
            <w:noWrap w:val="false"/>
          </w:tcPr>
          <w:p>
            <w:pPr>
              <w:ind w:firstLine="0"/>
              <w:jc w:val="left"/>
              <w:spacing w:line="240" w:lineRule="auto"/>
              <w:rPr>
                <w:rFonts w:hint="default" w:ascii="宋体" w:hAnsi="Times New Roman" w:eastAsia="宋体" w:cs="Times New Roman"/>
                <w:sz w:val="21"/>
                <w:szCs w:val="21"/>
              </w:rPr>
            </w:pPr>
            <w:r>
              <w:rPr>
                <w:rFonts w:hint="eastAsia" w:ascii="宋体" w:hAnsi="Times New Roman" w:eastAsia="宋体" w:cs="Times New Roman"/>
                <w:sz w:val="21"/>
                <w:szCs w:val="21"/>
              </w:rPr>
              <w:t xml:space="preserve">一个月内同一地点、故障维修超过三次以上的</w:t>
            </w:r>
            <w:r/>
          </w:p>
        </w:tc>
        <w:tc>
          <w:tcPr>
            <w:tcBorders>
              <w:top w:val="single" w:color="auto" w:sz="4" w:space="0"/>
              <w:left w:val="single" w:color="auto" w:sz="4" w:space="0"/>
              <w:bottom w:val="single" w:color="auto" w:sz="4" w:space="0"/>
              <w:right w:val="single" w:color="auto" w:sz="4" w:space="0"/>
            </w:tcBorders>
            <w:tcW w:w="406" w:type="pct"/>
            <w:vAlign w:val="center"/>
            <w:textDirection w:val="lrTb"/>
            <w:noWrap w:val="false"/>
          </w:tcPr>
          <w:p>
            <w:pPr>
              <w:ind w:firstLine="0"/>
              <w:jc w:val="center"/>
              <w:spacing w:line="240" w:lineRule="auto"/>
              <w:rPr>
                <w:rFonts w:hint="default" w:ascii="宋体" w:hAnsi="Times New Roman" w:eastAsia="宋体" w:cs="Times New Roman"/>
                <w:sz w:val="21"/>
                <w:szCs w:val="21"/>
              </w:rPr>
            </w:pPr>
            <w:r>
              <w:rPr>
                <w:rFonts w:hint="eastAsia" w:ascii="宋体" w:hAnsi="Times New Roman" w:eastAsia="宋体" w:cs="Times New Roman"/>
                <w:sz w:val="21"/>
                <w:szCs w:val="21"/>
              </w:rPr>
              <w:t xml:space="preserve">次</w:t>
            </w:r>
            <w:r/>
          </w:p>
        </w:tc>
        <w:tc>
          <w:tcPr>
            <w:tcBorders>
              <w:top w:val="single" w:color="auto" w:sz="4" w:space="0"/>
              <w:left w:val="single" w:color="auto" w:sz="4" w:space="0"/>
              <w:bottom w:val="single" w:color="auto" w:sz="4" w:space="0"/>
              <w:right w:val="single" w:color="auto" w:sz="4" w:space="0"/>
            </w:tcBorders>
            <w:tcW w:w="531" w:type="pct"/>
            <w:vAlign w:val="center"/>
            <w:textDirection w:val="lrTb"/>
            <w:noWrap w:val="false"/>
          </w:tcPr>
          <w:p>
            <w:pPr>
              <w:ind w:firstLine="0"/>
              <w:jc w:val="center"/>
              <w:spacing w:line="240" w:lineRule="auto"/>
              <w:rPr>
                <w:rFonts w:hint="default" w:ascii="宋体" w:hAnsi="Times New Roman" w:eastAsia="宋体" w:cs="Times New Roman"/>
                <w:sz w:val="21"/>
                <w:szCs w:val="21"/>
              </w:rPr>
            </w:pPr>
            <w:r>
              <w:rPr>
                <w:rFonts w:hint="eastAsia" w:ascii="宋体" w:hAnsi="Times New Roman" w:eastAsia="宋体" w:cs="Times New Roman"/>
                <w:sz w:val="21"/>
                <w:szCs w:val="21"/>
              </w:rPr>
              <w:t xml:space="preserve">0.5</w:t>
            </w:r>
            <w:r/>
          </w:p>
        </w:tc>
      </w:tr>
      <w:tr>
        <w:trPr>
          <w:jc w:val="center"/>
        </w:trPr>
        <w:tc>
          <w:tcPr>
            <w:tcBorders>
              <w:top w:val="single" w:color="auto" w:sz="4" w:space="0"/>
              <w:left w:val="single" w:color="auto" w:sz="4" w:space="0"/>
              <w:bottom w:val="single" w:color="auto" w:sz="4" w:space="0"/>
              <w:right w:val="single" w:color="auto" w:sz="4" w:space="0"/>
            </w:tcBorders>
            <w:tcW w:w="445" w:type="pct"/>
            <w:vAlign w:val="center"/>
            <w:textDirection w:val="lrTb"/>
            <w:noWrap w:val="false"/>
          </w:tcPr>
          <w:p>
            <w:pPr>
              <w:ind w:firstLine="0"/>
              <w:jc w:val="center"/>
              <w:spacing w:line="240" w:lineRule="auto"/>
              <w:rPr>
                <w:rFonts w:hint="default" w:ascii="宋体" w:hAnsi="Times New Roman" w:eastAsia="宋体" w:cs="Times New Roman"/>
                <w:sz w:val="21"/>
                <w:szCs w:val="21"/>
              </w:rPr>
            </w:pPr>
            <w:r>
              <w:rPr>
                <w:rFonts w:hint="eastAsia" w:ascii="宋体" w:hAnsi="Times New Roman" w:eastAsia="宋体" w:cs="Times New Roman"/>
                <w:sz w:val="21"/>
                <w:szCs w:val="21"/>
              </w:rPr>
              <w:t xml:space="preserve">19</w:t>
            </w:r>
            <w:r/>
          </w:p>
        </w:tc>
        <w:tc>
          <w:tcPr>
            <w:tcBorders>
              <w:top w:val="none" w:color="000000" w:sz="4" w:space="0"/>
              <w:left w:val="single" w:color="auto" w:sz="4" w:space="0"/>
              <w:bottom w:val="single" w:color="auto" w:sz="4" w:space="0"/>
              <w:right w:val="single" w:color="auto" w:sz="4" w:space="0"/>
            </w:tcBorders>
            <w:tcW w:w="834" w:type="pct"/>
            <w:vAlign w:val="center"/>
            <w:vMerge w:val="continue"/>
            <w:textDirection w:val="lrTb"/>
            <w:noWrap w:val="false"/>
          </w:tcPr>
          <w:p>
            <w:pPr>
              <w:ind w:firstLine="0"/>
              <w:jc w:val="center"/>
              <w:spacing w:line="240" w:lineRule="auto"/>
              <w:rPr>
                <w:rFonts w:hint="default" w:ascii="宋体" w:hAnsi="Times New Roman" w:eastAsia="宋体" w:cs="Times New Roman"/>
                <w:sz w:val="21"/>
                <w:szCs w:val="21"/>
              </w:rPr>
            </w:pPr>
            <w:r>
              <w:rPr>
                <w:rFonts w:hint="default" w:ascii="宋体" w:hAnsi="Times New Roman" w:eastAsia="宋体" w:cs="Times New Roman"/>
                <w:sz w:val="21"/>
                <w:szCs w:val="21"/>
              </w:rPr>
            </w:r>
            <w:r/>
          </w:p>
        </w:tc>
        <w:tc>
          <w:tcPr>
            <w:tcBorders>
              <w:top w:val="single" w:color="auto" w:sz="4" w:space="0"/>
              <w:left w:val="single" w:color="auto" w:sz="4" w:space="0"/>
              <w:bottom w:val="single" w:color="auto" w:sz="4" w:space="0"/>
              <w:right w:val="single" w:color="auto" w:sz="4" w:space="0"/>
            </w:tcBorders>
            <w:tcW w:w="2784" w:type="pct"/>
            <w:vAlign w:val="center"/>
            <w:textDirection w:val="lrTb"/>
            <w:noWrap w:val="false"/>
          </w:tcPr>
          <w:p>
            <w:pPr>
              <w:ind w:firstLine="0"/>
              <w:jc w:val="left"/>
              <w:spacing w:line="240" w:lineRule="auto"/>
              <w:rPr>
                <w:rFonts w:hint="default" w:ascii="宋体" w:hAnsi="Times New Roman" w:eastAsia="宋体" w:cs="Times New Roman"/>
                <w:sz w:val="21"/>
                <w:szCs w:val="21"/>
              </w:rPr>
            </w:pPr>
            <w:r>
              <w:rPr>
                <w:rFonts w:hint="eastAsia" w:ascii="宋体" w:hAnsi="Times New Roman" w:eastAsia="宋体" w:cs="Times New Roman"/>
                <w:sz w:val="21"/>
                <w:szCs w:val="21"/>
              </w:rPr>
              <w:t xml:space="preserve">未按时完成采购人下达的维修或施工任务的</w:t>
            </w:r>
            <w:r/>
          </w:p>
        </w:tc>
        <w:tc>
          <w:tcPr>
            <w:tcBorders>
              <w:top w:val="single" w:color="auto" w:sz="4" w:space="0"/>
              <w:left w:val="single" w:color="auto" w:sz="4" w:space="0"/>
              <w:bottom w:val="single" w:color="auto" w:sz="4" w:space="0"/>
              <w:right w:val="single" w:color="auto" w:sz="4" w:space="0"/>
            </w:tcBorders>
            <w:tcW w:w="406" w:type="pct"/>
            <w:vAlign w:val="center"/>
            <w:textDirection w:val="lrTb"/>
            <w:noWrap w:val="false"/>
          </w:tcPr>
          <w:p>
            <w:pPr>
              <w:ind w:firstLine="0"/>
              <w:jc w:val="center"/>
              <w:spacing w:line="240" w:lineRule="auto"/>
              <w:rPr>
                <w:rFonts w:hint="default" w:ascii="宋体" w:hAnsi="Times New Roman" w:eastAsia="宋体" w:cs="Times New Roman"/>
                <w:sz w:val="21"/>
                <w:szCs w:val="21"/>
              </w:rPr>
            </w:pPr>
            <w:r>
              <w:rPr>
                <w:rFonts w:hint="eastAsia" w:ascii="宋体" w:hAnsi="Times New Roman" w:eastAsia="宋体" w:cs="Times New Roman"/>
                <w:sz w:val="21"/>
                <w:szCs w:val="21"/>
              </w:rPr>
              <w:t xml:space="preserve">次</w:t>
            </w:r>
            <w:r/>
          </w:p>
        </w:tc>
        <w:tc>
          <w:tcPr>
            <w:tcBorders>
              <w:top w:val="single" w:color="auto" w:sz="4" w:space="0"/>
              <w:left w:val="single" w:color="auto" w:sz="4" w:space="0"/>
              <w:bottom w:val="single" w:color="auto" w:sz="4" w:space="0"/>
              <w:right w:val="single" w:color="auto" w:sz="4" w:space="0"/>
            </w:tcBorders>
            <w:tcW w:w="531" w:type="pct"/>
            <w:vAlign w:val="center"/>
            <w:textDirection w:val="lrTb"/>
            <w:noWrap w:val="false"/>
          </w:tcPr>
          <w:p>
            <w:pPr>
              <w:ind w:firstLine="0"/>
              <w:jc w:val="center"/>
              <w:spacing w:line="240" w:lineRule="auto"/>
              <w:rPr>
                <w:rFonts w:hint="default" w:ascii="宋体" w:hAnsi="Times New Roman" w:eastAsia="宋体" w:cs="Times New Roman"/>
                <w:sz w:val="21"/>
                <w:szCs w:val="21"/>
              </w:rPr>
            </w:pPr>
            <w:r>
              <w:rPr>
                <w:rFonts w:hint="eastAsia" w:ascii="宋体" w:hAnsi="Times New Roman" w:eastAsia="宋体" w:cs="Times New Roman"/>
                <w:sz w:val="21"/>
                <w:szCs w:val="21"/>
              </w:rPr>
              <w:t xml:space="preserve">1</w:t>
            </w:r>
            <w:r/>
          </w:p>
        </w:tc>
      </w:tr>
      <w:tr>
        <w:trPr>
          <w:jc w:val="center"/>
        </w:trPr>
        <w:tc>
          <w:tcPr>
            <w:tcBorders>
              <w:top w:val="single" w:color="auto" w:sz="4" w:space="0"/>
              <w:left w:val="single" w:color="auto" w:sz="4" w:space="0"/>
              <w:bottom w:val="single" w:color="auto" w:sz="4" w:space="0"/>
              <w:right w:val="single" w:color="auto" w:sz="4" w:space="0"/>
            </w:tcBorders>
            <w:tcW w:w="445" w:type="pct"/>
            <w:vAlign w:val="center"/>
            <w:textDirection w:val="lrTb"/>
            <w:noWrap w:val="false"/>
          </w:tcPr>
          <w:p>
            <w:pPr>
              <w:ind w:firstLine="0"/>
              <w:jc w:val="center"/>
              <w:spacing w:line="240" w:lineRule="auto"/>
              <w:rPr>
                <w:rFonts w:hint="default" w:ascii="宋体" w:hAnsi="Times New Roman" w:eastAsia="宋体" w:cs="Times New Roman"/>
                <w:sz w:val="21"/>
                <w:szCs w:val="21"/>
              </w:rPr>
            </w:pPr>
            <w:r>
              <w:rPr>
                <w:rFonts w:hint="eastAsia" w:ascii="宋体" w:hAnsi="Times New Roman" w:eastAsia="宋体" w:cs="Times New Roman"/>
                <w:sz w:val="21"/>
                <w:szCs w:val="21"/>
              </w:rPr>
              <w:t xml:space="preserve">20</w:t>
            </w:r>
            <w:r/>
          </w:p>
        </w:tc>
        <w:tc>
          <w:tcPr>
            <w:tcBorders>
              <w:top w:val="none" w:color="000000" w:sz="4" w:space="0"/>
              <w:left w:val="single" w:color="auto" w:sz="4" w:space="0"/>
              <w:bottom w:val="single" w:color="auto" w:sz="4" w:space="0"/>
              <w:right w:val="single" w:color="auto" w:sz="4" w:space="0"/>
            </w:tcBorders>
            <w:tcW w:w="834" w:type="pct"/>
            <w:vAlign w:val="center"/>
            <w:vMerge w:val="continue"/>
            <w:textDirection w:val="lrTb"/>
            <w:noWrap w:val="false"/>
          </w:tcPr>
          <w:p>
            <w:pPr>
              <w:ind w:firstLine="0"/>
              <w:jc w:val="center"/>
              <w:spacing w:line="240" w:lineRule="auto"/>
              <w:rPr>
                <w:rFonts w:hint="default" w:ascii="宋体" w:hAnsi="Times New Roman" w:eastAsia="宋体" w:cs="Times New Roman"/>
                <w:sz w:val="21"/>
                <w:szCs w:val="21"/>
              </w:rPr>
            </w:pPr>
            <w:r>
              <w:rPr>
                <w:rFonts w:hint="default" w:ascii="宋体" w:hAnsi="Times New Roman" w:eastAsia="宋体" w:cs="Times New Roman"/>
                <w:sz w:val="21"/>
                <w:szCs w:val="21"/>
              </w:rPr>
            </w:r>
            <w:r/>
          </w:p>
        </w:tc>
        <w:tc>
          <w:tcPr>
            <w:tcBorders>
              <w:top w:val="single" w:color="auto" w:sz="4" w:space="0"/>
              <w:left w:val="single" w:color="auto" w:sz="4" w:space="0"/>
              <w:bottom w:val="single" w:color="auto" w:sz="4" w:space="0"/>
              <w:right w:val="single" w:color="auto" w:sz="4" w:space="0"/>
            </w:tcBorders>
            <w:tcW w:w="2784" w:type="pct"/>
            <w:vAlign w:val="center"/>
            <w:textDirection w:val="lrTb"/>
            <w:noWrap w:val="false"/>
          </w:tcPr>
          <w:p>
            <w:pPr>
              <w:ind w:firstLine="0"/>
              <w:jc w:val="left"/>
              <w:spacing w:line="240" w:lineRule="auto"/>
              <w:rPr>
                <w:rFonts w:hint="default" w:ascii="宋体" w:hAnsi="Times New Roman" w:eastAsia="宋体" w:cs="Times New Roman"/>
                <w:sz w:val="21"/>
                <w:szCs w:val="21"/>
              </w:rPr>
            </w:pPr>
            <w:r>
              <w:rPr>
                <w:rFonts w:hint="eastAsia" w:ascii="宋体" w:hAnsi="Times New Roman" w:eastAsia="宋体" w:cs="Times New Roman"/>
                <w:sz w:val="21"/>
                <w:szCs w:val="21"/>
              </w:rPr>
              <w:t xml:space="preserve">路口信号系统故障不能正常运转、电力缺失等，未及时投放移动信号灯和使用应急电源的</w:t>
            </w:r>
            <w:r/>
          </w:p>
        </w:tc>
        <w:tc>
          <w:tcPr>
            <w:tcBorders>
              <w:top w:val="single" w:color="auto" w:sz="4" w:space="0"/>
              <w:left w:val="single" w:color="auto" w:sz="4" w:space="0"/>
              <w:bottom w:val="single" w:color="auto" w:sz="4" w:space="0"/>
              <w:right w:val="single" w:color="auto" w:sz="4" w:space="0"/>
            </w:tcBorders>
            <w:tcW w:w="406" w:type="pct"/>
            <w:vAlign w:val="center"/>
            <w:textDirection w:val="lrTb"/>
            <w:noWrap w:val="false"/>
          </w:tcPr>
          <w:p>
            <w:pPr>
              <w:ind w:firstLine="0"/>
              <w:jc w:val="center"/>
              <w:spacing w:line="240" w:lineRule="auto"/>
              <w:rPr>
                <w:rFonts w:hint="default" w:ascii="宋体" w:hAnsi="Times New Roman" w:eastAsia="宋体" w:cs="Times New Roman"/>
                <w:sz w:val="21"/>
                <w:szCs w:val="21"/>
              </w:rPr>
            </w:pPr>
            <w:r>
              <w:rPr>
                <w:rFonts w:hint="eastAsia" w:ascii="宋体" w:hAnsi="Times New Roman" w:eastAsia="宋体" w:cs="Times New Roman"/>
                <w:sz w:val="21"/>
                <w:szCs w:val="21"/>
              </w:rPr>
              <w:t xml:space="preserve">次</w:t>
            </w:r>
            <w:r/>
          </w:p>
        </w:tc>
        <w:tc>
          <w:tcPr>
            <w:tcBorders>
              <w:top w:val="single" w:color="auto" w:sz="4" w:space="0"/>
              <w:left w:val="single" w:color="auto" w:sz="4" w:space="0"/>
              <w:bottom w:val="single" w:color="auto" w:sz="4" w:space="0"/>
              <w:right w:val="single" w:color="auto" w:sz="4" w:space="0"/>
            </w:tcBorders>
            <w:tcW w:w="531" w:type="pct"/>
            <w:vAlign w:val="center"/>
            <w:textDirection w:val="lrTb"/>
            <w:noWrap w:val="false"/>
          </w:tcPr>
          <w:p>
            <w:pPr>
              <w:ind w:firstLine="0"/>
              <w:jc w:val="center"/>
              <w:spacing w:line="240" w:lineRule="auto"/>
              <w:rPr>
                <w:rFonts w:hint="default" w:ascii="宋体" w:hAnsi="Times New Roman" w:eastAsia="宋体" w:cs="Times New Roman"/>
                <w:sz w:val="21"/>
                <w:szCs w:val="21"/>
              </w:rPr>
            </w:pPr>
            <w:r>
              <w:rPr>
                <w:rFonts w:hint="eastAsia" w:ascii="宋体" w:hAnsi="Times New Roman" w:eastAsia="宋体" w:cs="Times New Roman"/>
                <w:sz w:val="21"/>
                <w:szCs w:val="21"/>
              </w:rPr>
              <w:t xml:space="preserve">0.5</w:t>
            </w:r>
            <w:r/>
          </w:p>
        </w:tc>
      </w:tr>
      <w:tr>
        <w:trPr>
          <w:jc w:val="center"/>
        </w:trPr>
        <w:tc>
          <w:tcPr>
            <w:tcBorders>
              <w:top w:val="single" w:color="auto" w:sz="4" w:space="0"/>
              <w:left w:val="single" w:color="auto" w:sz="4" w:space="0"/>
              <w:bottom w:val="single" w:color="auto" w:sz="4" w:space="0"/>
              <w:right w:val="single" w:color="auto" w:sz="4" w:space="0"/>
            </w:tcBorders>
            <w:tcW w:w="445" w:type="pct"/>
            <w:vAlign w:val="center"/>
            <w:textDirection w:val="lrTb"/>
            <w:noWrap w:val="false"/>
          </w:tcPr>
          <w:p>
            <w:pPr>
              <w:ind w:firstLine="0"/>
              <w:jc w:val="center"/>
              <w:spacing w:line="240" w:lineRule="auto"/>
              <w:rPr>
                <w:rFonts w:hint="default" w:ascii="宋体" w:hAnsi="Times New Roman" w:eastAsia="宋体" w:cs="Times New Roman"/>
                <w:sz w:val="21"/>
                <w:szCs w:val="21"/>
              </w:rPr>
            </w:pPr>
            <w:r>
              <w:rPr>
                <w:rFonts w:hint="eastAsia" w:ascii="宋体" w:hAnsi="Times New Roman" w:eastAsia="宋体" w:cs="Times New Roman"/>
                <w:sz w:val="21"/>
                <w:szCs w:val="21"/>
              </w:rPr>
              <w:t xml:space="preserve">21</w:t>
            </w:r>
            <w:r/>
          </w:p>
        </w:tc>
        <w:tc>
          <w:tcPr>
            <w:tcBorders>
              <w:top w:val="none" w:color="000000" w:sz="4" w:space="0"/>
              <w:left w:val="single" w:color="auto" w:sz="4" w:space="0"/>
              <w:bottom w:val="single" w:color="auto" w:sz="4" w:space="0"/>
              <w:right w:val="single" w:color="auto" w:sz="4" w:space="0"/>
            </w:tcBorders>
            <w:tcW w:w="834" w:type="pct"/>
            <w:vAlign w:val="center"/>
            <w:vMerge w:val="continue"/>
            <w:textDirection w:val="lrTb"/>
            <w:noWrap w:val="false"/>
          </w:tcPr>
          <w:p>
            <w:pPr>
              <w:ind w:firstLine="0"/>
              <w:jc w:val="center"/>
              <w:spacing w:line="240" w:lineRule="auto"/>
              <w:rPr>
                <w:rFonts w:hint="default" w:ascii="宋体" w:hAnsi="Times New Roman" w:eastAsia="宋体" w:cs="Times New Roman"/>
                <w:sz w:val="21"/>
                <w:szCs w:val="21"/>
              </w:rPr>
            </w:pPr>
            <w:r>
              <w:rPr>
                <w:rFonts w:hint="default" w:ascii="宋体" w:hAnsi="Times New Roman" w:eastAsia="宋体" w:cs="Times New Roman"/>
                <w:sz w:val="21"/>
                <w:szCs w:val="21"/>
              </w:rPr>
            </w:r>
            <w:r/>
          </w:p>
        </w:tc>
        <w:tc>
          <w:tcPr>
            <w:tcBorders>
              <w:top w:val="single" w:color="auto" w:sz="4" w:space="0"/>
              <w:left w:val="single" w:color="auto" w:sz="4" w:space="0"/>
              <w:bottom w:val="single" w:color="auto" w:sz="4" w:space="0"/>
              <w:right w:val="single" w:color="auto" w:sz="4" w:space="0"/>
            </w:tcBorders>
            <w:tcW w:w="2784" w:type="pct"/>
            <w:vAlign w:val="center"/>
            <w:textDirection w:val="lrTb"/>
            <w:noWrap w:val="false"/>
          </w:tcPr>
          <w:p>
            <w:pPr>
              <w:ind w:firstLine="0"/>
              <w:jc w:val="left"/>
              <w:spacing w:line="240" w:lineRule="auto"/>
              <w:rPr>
                <w:rFonts w:hint="default" w:ascii="宋体" w:hAnsi="Times New Roman" w:eastAsia="宋体" w:cs="Times New Roman"/>
                <w:sz w:val="21"/>
                <w:szCs w:val="21"/>
              </w:rPr>
            </w:pPr>
            <w:r>
              <w:rPr>
                <w:rFonts w:hint="eastAsia" w:ascii="宋体" w:hAnsi="Times New Roman" w:eastAsia="宋体" w:cs="Times New Roman"/>
                <w:sz w:val="21"/>
                <w:szCs w:val="21"/>
              </w:rPr>
              <w:t xml:space="preserve">接采购人通知协助执行特勤任务，未按时达到指定地点或执行不力的</w:t>
            </w:r>
            <w:r/>
          </w:p>
        </w:tc>
        <w:tc>
          <w:tcPr>
            <w:tcBorders>
              <w:top w:val="single" w:color="auto" w:sz="4" w:space="0"/>
              <w:left w:val="single" w:color="auto" w:sz="4" w:space="0"/>
              <w:bottom w:val="single" w:color="auto" w:sz="4" w:space="0"/>
              <w:right w:val="single" w:color="auto" w:sz="4" w:space="0"/>
            </w:tcBorders>
            <w:tcW w:w="406" w:type="pct"/>
            <w:vAlign w:val="center"/>
            <w:textDirection w:val="lrTb"/>
            <w:noWrap w:val="false"/>
          </w:tcPr>
          <w:p>
            <w:pPr>
              <w:ind w:firstLine="0"/>
              <w:jc w:val="center"/>
              <w:spacing w:line="240" w:lineRule="auto"/>
              <w:rPr>
                <w:rFonts w:hint="default" w:ascii="宋体" w:hAnsi="Times New Roman" w:eastAsia="宋体" w:cs="Times New Roman"/>
                <w:sz w:val="21"/>
                <w:szCs w:val="21"/>
              </w:rPr>
            </w:pPr>
            <w:r>
              <w:rPr>
                <w:rFonts w:hint="eastAsia" w:ascii="宋体" w:hAnsi="Times New Roman" w:eastAsia="宋体" w:cs="Times New Roman"/>
                <w:sz w:val="21"/>
                <w:szCs w:val="21"/>
              </w:rPr>
              <w:t xml:space="preserve">次</w:t>
            </w:r>
            <w:r/>
          </w:p>
        </w:tc>
        <w:tc>
          <w:tcPr>
            <w:tcBorders>
              <w:top w:val="single" w:color="auto" w:sz="4" w:space="0"/>
              <w:left w:val="single" w:color="auto" w:sz="4" w:space="0"/>
              <w:bottom w:val="single" w:color="auto" w:sz="4" w:space="0"/>
              <w:right w:val="single" w:color="auto" w:sz="4" w:space="0"/>
            </w:tcBorders>
            <w:tcW w:w="531" w:type="pct"/>
            <w:vAlign w:val="center"/>
            <w:textDirection w:val="lrTb"/>
            <w:noWrap w:val="false"/>
          </w:tcPr>
          <w:p>
            <w:pPr>
              <w:ind w:firstLine="0"/>
              <w:jc w:val="center"/>
              <w:spacing w:line="240" w:lineRule="auto"/>
              <w:rPr>
                <w:rFonts w:hint="default" w:ascii="宋体" w:hAnsi="Times New Roman" w:eastAsia="宋体" w:cs="Times New Roman"/>
                <w:sz w:val="21"/>
                <w:szCs w:val="21"/>
              </w:rPr>
            </w:pPr>
            <w:r>
              <w:rPr>
                <w:rFonts w:hint="eastAsia" w:ascii="宋体" w:hAnsi="Times New Roman" w:eastAsia="宋体" w:cs="Times New Roman"/>
                <w:sz w:val="21"/>
                <w:szCs w:val="21"/>
              </w:rPr>
              <w:t xml:space="preserve">1</w:t>
            </w:r>
            <w:r/>
          </w:p>
        </w:tc>
      </w:tr>
      <w:tr>
        <w:trPr>
          <w:jc w:val="center"/>
        </w:trPr>
        <w:tc>
          <w:tcPr>
            <w:tcBorders>
              <w:top w:val="single" w:color="auto" w:sz="4" w:space="0"/>
              <w:left w:val="single" w:color="auto" w:sz="4" w:space="0"/>
              <w:bottom w:val="single" w:color="auto" w:sz="4" w:space="0"/>
              <w:right w:val="single" w:color="auto" w:sz="4" w:space="0"/>
            </w:tcBorders>
            <w:tcW w:w="445" w:type="pct"/>
            <w:vAlign w:val="center"/>
            <w:textDirection w:val="lrTb"/>
            <w:noWrap w:val="false"/>
          </w:tcPr>
          <w:p>
            <w:pPr>
              <w:ind w:firstLine="0"/>
              <w:jc w:val="center"/>
              <w:spacing w:line="240" w:lineRule="auto"/>
              <w:rPr>
                <w:rFonts w:hint="default" w:ascii="宋体" w:hAnsi="Times New Roman" w:eastAsia="宋体" w:cs="Times New Roman"/>
                <w:sz w:val="21"/>
                <w:szCs w:val="21"/>
              </w:rPr>
            </w:pPr>
            <w:r>
              <w:rPr>
                <w:rFonts w:hint="eastAsia" w:ascii="宋体" w:hAnsi="Times New Roman" w:eastAsia="宋体" w:cs="Times New Roman"/>
                <w:sz w:val="21"/>
                <w:szCs w:val="21"/>
              </w:rPr>
              <w:t xml:space="preserve">22</w:t>
            </w:r>
            <w:r/>
          </w:p>
        </w:tc>
        <w:tc>
          <w:tcPr>
            <w:tcBorders>
              <w:top w:val="none" w:color="000000" w:sz="4" w:space="0"/>
              <w:left w:val="single" w:color="auto" w:sz="4" w:space="0"/>
              <w:bottom w:val="single" w:color="auto" w:sz="4" w:space="0"/>
              <w:right w:val="single" w:color="auto" w:sz="4" w:space="0"/>
            </w:tcBorders>
            <w:tcW w:w="834" w:type="pct"/>
            <w:vAlign w:val="center"/>
            <w:vMerge w:val="continue"/>
            <w:textDirection w:val="lrTb"/>
            <w:noWrap w:val="false"/>
          </w:tcPr>
          <w:p>
            <w:pPr>
              <w:ind w:firstLine="0"/>
              <w:jc w:val="center"/>
              <w:spacing w:line="240" w:lineRule="auto"/>
              <w:rPr>
                <w:rFonts w:hint="default" w:ascii="宋体" w:hAnsi="Times New Roman" w:eastAsia="宋体" w:cs="Times New Roman"/>
                <w:sz w:val="21"/>
                <w:szCs w:val="21"/>
              </w:rPr>
            </w:pPr>
            <w:r>
              <w:rPr>
                <w:rFonts w:hint="default" w:ascii="宋体" w:hAnsi="Times New Roman" w:eastAsia="宋体" w:cs="Times New Roman"/>
                <w:sz w:val="21"/>
                <w:szCs w:val="21"/>
              </w:rPr>
            </w:r>
            <w:r/>
          </w:p>
        </w:tc>
        <w:tc>
          <w:tcPr>
            <w:tcBorders>
              <w:top w:val="single" w:color="auto" w:sz="4" w:space="0"/>
              <w:left w:val="single" w:color="auto" w:sz="4" w:space="0"/>
              <w:bottom w:val="single" w:color="auto" w:sz="4" w:space="0"/>
              <w:right w:val="single" w:color="auto" w:sz="4" w:space="0"/>
            </w:tcBorders>
            <w:tcW w:w="2784" w:type="pct"/>
            <w:vAlign w:val="center"/>
            <w:textDirection w:val="lrTb"/>
            <w:noWrap w:val="false"/>
          </w:tcPr>
          <w:p>
            <w:pPr>
              <w:ind w:firstLine="0"/>
              <w:jc w:val="left"/>
              <w:spacing w:line="240" w:lineRule="auto"/>
              <w:rPr>
                <w:rFonts w:hint="default" w:ascii="宋体" w:hAnsi="Times New Roman" w:eastAsia="宋体" w:cs="Times New Roman"/>
                <w:sz w:val="21"/>
                <w:szCs w:val="21"/>
              </w:rPr>
            </w:pPr>
            <w:r>
              <w:rPr>
                <w:rFonts w:hint="eastAsia" w:ascii="宋体" w:hAnsi="Times New Roman" w:eastAsia="宋体" w:cs="Times New Roman"/>
                <w:sz w:val="21"/>
                <w:szCs w:val="21"/>
              </w:rPr>
              <w:t xml:space="preserve">因维修不及时、不科学，被采购人发现或被</w:t>
            </w:r>
            <w:r>
              <w:rPr>
                <w:rFonts w:hint="eastAsia" w:ascii="宋体" w:hAnsi="Times New Roman" w:eastAsia="宋体" w:cs="Times New Roman"/>
                <w:bCs/>
                <w:sz w:val="21"/>
                <w:szCs w:val="21"/>
              </w:rPr>
              <w:t xml:space="preserve">市（网）民投诉的</w:t>
            </w:r>
            <w:r/>
          </w:p>
        </w:tc>
        <w:tc>
          <w:tcPr>
            <w:tcBorders>
              <w:top w:val="single" w:color="auto" w:sz="4" w:space="0"/>
              <w:left w:val="single" w:color="auto" w:sz="4" w:space="0"/>
              <w:bottom w:val="single" w:color="auto" w:sz="4" w:space="0"/>
              <w:right w:val="single" w:color="auto" w:sz="4" w:space="0"/>
            </w:tcBorders>
            <w:tcW w:w="406" w:type="pct"/>
            <w:vAlign w:val="center"/>
            <w:textDirection w:val="lrTb"/>
            <w:noWrap w:val="false"/>
          </w:tcPr>
          <w:p>
            <w:pPr>
              <w:ind w:firstLine="0"/>
              <w:jc w:val="center"/>
              <w:spacing w:line="240" w:lineRule="auto"/>
              <w:rPr>
                <w:rFonts w:hint="default" w:ascii="宋体" w:hAnsi="Times New Roman" w:eastAsia="宋体" w:cs="Times New Roman"/>
                <w:sz w:val="21"/>
                <w:szCs w:val="21"/>
              </w:rPr>
            </w:pPr>
            <w:r>
              <w:rPr>
                <w:rFonts w:hint="eastAsia" w:ascii="宋体" w:hAnsi="Times New Roman" w:eastAsia="宋体" w:cs="Times New Roman"/>
                <w:sz w:val="21"/>
                <w:szCs w:val="21"/>
              </w:rPr>
              <w:t xml:space="preserve">次</w:t>
            </w:r>
            <w:r/>
          </w:p>
        </w:tc>
        <w:tc>
          <w:tcPr>
            <w:tcBorders>
              <w:top w:val="single" w:color="auto" w:sz="4" w:space="0"/>
              <w:left w:val="single" w:color="auto" w:sz="4" w:space="0"/>
              <w:bottom w:val="single" w:color="auto" w:sz="4" w:space="0"/>
              <w:right w:val="single" w:color="auto" w:sz="4" w:space="0"/>
            </w:tcBorders>
            <w:tcW w:w="531" w:type="pct"/>
            <w:vAlign w:val="center"/>
            <w:textDirection w:val="lrTb"/>
            <w:noWrap w:val="false"/>
          </w:tcPr>
          <w:p>
            <w:pPr>
              <w:ind w:firstLine="0"/>
              <w:jc w:val="center"/>
              <w:spacing w:line="240" w:lineRule="auto"/>
              <w:rPr>
                <w:rFonts w:hint="default" w:ascii="宋体" w:hAnsi="Times New Roman" w:eastAsia="宋体" w:cs="Times New Roman"/>
                <w:sz w:val="21"/>
                <w:szCs w:val="21"/>
              </w:rPr>
            </w:pPr>
            <w:r>
              <w:rPr>
                <w:rFonts w:hint="eastAsia" w:ascii="宋体" w:hAnsi="Times New Roman" w:eastAsia="宋体" w:cs="Times New Roman"/>
                <w:sz w:val="21"/>
                <w:szCs w:val="21"/>
              </w:rPr>
              <w:t xml:space="preserve">0.5</w:t>
            </w:r>
            <w:r/>
          </w:p>
        </w:tc>
      </w:tr>
      <w:tr>
        <w:trPr>
          <w:jc w:val="center"/>
        </w:trPr>
        <w:tc>
          <w:tcPr>
            <w:tcBorders>
              <w:top w:val="single" w:color="auto" w:sz="4" w:space="0"/>
              <w:left w:val="single" w:color="auto" w:sz="4" w:space="0"/>
              <w:bottom w:val="single" w:color="auto" w:sz="4" w:space="0"/>
              <w:right w:val="single" w:color="auto" w:sz="4" w:space="0"/>
            </w:tcBorders>
            <w:tcW w:w="445" w:type="pct"/>
            <w:vAlign w:val="center"/>
            <w:textDirection w:val="lrTb"/>
            <w:noWrap w:val="false"/>
          </w:tcPr>
          <w:p>
            <w:pPr>
              <w:ind w:firstLine="0"/>
              <w:jc w:val="center"/>
              <w:spacing w:line="240" w:lineRule="auto"/>
              <w:rPr>
                <w:rFonts w:hint="default" w:ascii="宋体" w:hAnsi="Times New Roman" w:eastAsia="宋体" w:cs="Times New Roman"/>
                <w:sz w:val="21"/>
                <w:szCs w:val="21"/>
              </w:rPr>
            </w:pPr>
            <w:r>
              <w:rPr>
                <w:rFonts w:hint="eastAsia" w:ascii="宋体" w:hAnsi="Times New Roman" w:eastAsia="宋体" w:cs="Times New Roman"/>
                <w:sz w:val="21"/>
                <w:szCs w:val="21"/>
              </w:rPr>
              <w:t xml:space="preserve">23</w:t>
            </w:r>
            <w:r/>
          </w:p>
        </w:tc>
        <w:tc>
          <w:tcPr>
            <w:tcBorders>
              <w:top w:val="none" w:color="000000" w:sz="4" w:space="0"/>
              <w:left w:val="single" w:color="auto" w:sz="4" w:space="0"/>
              <w:bottom w:val="single" w:color="auto" w:sz="4" w:space="0"/>
              <w:right w:val="single" w:color="auto" w:sz="4" w:space="0"/>
            </w:tcBorders>
            <w:tcW w:w="834" w:type="pct"/>
            <w:vAlign w:val="center"/>
            <w:vMerge w:val="continue"/>
            <w:textDirection w:val="lrTb"/>
            <w:noWrap w:val="false"/>
          </w:tcPr>
          <w:p>
            <w:pPr>
              <w:ind w:firstLine="0"/>
              <w:jc w:val="center"/>
              <w:spacing w:line="240" w:lineRule="auto"/>
              <w:rPr>
                <w:rFonts w:hint="default" w:ascii="宋体" w:hAnsi="Times New Roman" w:eastAsia="宋体" w:cs="Times New Roman"/>
                <w:sz w:val="21"/>
                <w:szCs w:val="21"/>
              </w:rPr>
            </w:pPr>
            <w:r>
              <w:rPr>
                <w:rFonts w:hint="default" w:ascii="宋体" w:hAnsi="Times New Roman" w:eastAsia="宋体" w:cs="Times New Roman"/>
                <w:sz w:val="21"/>
                <w:szCs w:val="21"/>
              </w:rPr>
            </w:r>
            <w:r/>
          </w:p>
        </w:tc>
        <w:tc>
          <w:tcPr>
            <w:tcBorders>
              <w:top w:val="single" w:color="auto" w:sz="4" w:space="0"/>
              <w:left w:val="single" w:color="auto" w:sz="4" w:space="0"/>
              <w:bottom w:val="single" w:color="auto" w:sz="4" w:space="0"/>
              <w:right w:val="single" w:color="auto" w:sz="4" w:space="0"/>
            </w:tcBorders>
            <w:tcW w:w="2784" w:type="pct"/>
            <w:vAlign w:val="center"/>
            <w:textDirection w:val="lrTb"/>
            <w:noWrap w:val="false"/>
          </w:tcPr>
          <w:p>
            <w:pPr>
              <w:ind w:firstLine="0"/>
              <w:jc w:val="left"/>
              <w:spacing w:line="240" w:lineRule="auto"/>
              <w:rPr>
                <w:rFonts w:hint="default" w:ascii="宋体" w:hAnsi="Times New Roman" w:eastAsia="宋体" w:cs="Times New Roman"/>
                <w:sz w:val="21"/>
                <w:szCs w:val="21"/>
              </w:rPr>
            </w:pPr>
            <w:r>
              <w:rPr>
                <w:rFonts w:hint="eastAsia" w:ascii="宋体" w:hAnsi="Times New Roman" w:eastAsia="宋体" w:cs="Times New Roman"/>
                <w:sz w:val="21"/>
                <w:szCs w:val="21"/>
              </w:rPr>
              <w:t xml:space="preserve">因维修不及时</w:t>
            </w:r>
            <w:r>
              <w:rPr>
                <w:rFonts w:hint="eastAsia" w:ascii="宋体" w:hAnsi="Times New Roman" w:eastAsia="宋体" w:cs="Times New Roman"/>
                <w:bCs/>
                <w:sz w:val="21"/>
                <w:szCs w:val="21"/>
              </w:rPr>
              <w:t xml:space="preserve">被新闻媒体曝光。</w:t>
            </w:r>
            <w:r/>
          </w:p>
        </w:tc>
        <w:tc>
          <w:tcPr>
            <w:tcBorders>
              <w:top w:val="single" w:color="auto" w:sz="4" w:space="0"/>
              <w:left w:val="single" w:color="auto" w:sz="4" w:space="0"/>
              <w:bottom w:val="single" w:color="auto" w:sz="4" w:space="0"/>
              <w:right w:val="single" w:color="auto" w:sz="4" w:space="0"/>
            </w:tcBorders>
            <w:tcW w:w="406" w:type="pct"/>
            <w:vAlign w:val="center"/>
            <w:textDirection w:val="lrTb"/>
            <w:noWrap w:val="false"/>
          </w:tcPr>
          <w:p>
            <w:pPr>
              <w:ind w:firstLine="0"/>
              <w:jc w:val="center"/>
              <w:spacing w:line="240" w:lineRule="auto"/>
              <w:rPr>
                <w:rFonts w:hint="default" w:ascii="宋体" w:hAnsi="Times New Roman" w:eastAsia="宋体" w:cs="Times New Roman"/>
                <w:sz w:val="21"/>
                <w:szCs w:val="21"/>
              </w:rPr>
            </w:pPr>
            <w:r>
              <w:rPr>
                <w:rFonts w:hint="eastAsia" w:ascii="宋体" w:hAnsi="Times New Roman" w:eastAsia="宋体" w:cs="Times New Roman"/>
                <w:sz w:val="21"/>
                <w:szCs w:val="21"/>
              </w:rPr>
              <w:t xml:space="preserve">次</w:t>
            </w:r>
            <w:r/>
          </w:p>
        </w:tc>
        <w:tc>
          <w:tcPr>
            <w:tcBorders>
              <w:top w:val="single" w:color="auto" w:sz="4" w:space="0"/>
              <w:left w:val="single" w:color="auto" w:sz="4" w:space="0"/>
              <w:bottom w:val="single" w:color="auto" w:sz="4" w:space="0"/>
              <w:right w:val="single" w:color="auto" w:sz="4" w:space="0"/>
            </w:tcBorders>
            <w:tcW w:w="531" w:type="pct"/>
            <w:vAlign w:val="center"/>
            <w:textDirection w:val="lrTb"/>
            <w:noWrap w:val="false"/>
          </w:tcPr>
          <w:p>
            <w:pPr>
              <w:ind w:firstLine="0"/>
              <w:jc w:val="center"/>
              <w:spacing w:line="240" w:lineRule="auto"/>
              <w:rPr>
                <w:rFonts w:hint="default" w:ascii="宋体" w:hAnsi="Times New Roman" w:eastAsia="宋体" w:cs="Times New Roman"/>
                <w:sz w:val="21"/>
                <w:szCs w:val="21"/>
              </w:rPr>
            </w:pPr>
            <w:r>
              <w:rPr>
                <w:rFonts w:hint="eastAsia" w:ascii="宋体" w:hAnsi="Times New Roman" w:eastAsia="宋体" w:cs="Times New Roman"/>
                <w:sz w:val="21"/>
                <w:szCs w:val="21"/>
              </w:rPr>
              <w:t xml:space="preserve">1</w:t>
            </w:r>
            <w:r/>
          </w:p>
        </w:tc>
      </w:tr>
      <w:tr>
        <w:trPr>
          <w:jc w:val="center"/>
          <w:trHeight w:val="382"/>
        </w:trPr>
        <w:tc>
          <w:tcPr>
            <w:tcBorders>
              <w:top w:val="single" w:color="auto" w:sz="4" w:space="0"/>
              <w:left w:val="single" w:color="auto" w:sz="4" w:space="0"/>
              <w:bottom w:val="single" w:color="auto" w:sz="4" w:space="0"/>
              <w:right w:val="single" w:color="auto" w:sz="4" w:space="0"/>
            </w:tcBorders>
            <w:tcW w:w="445" w:type="pct"/>
            <w:vAlign w:val="center"/>
            <w:textDirection w:val="lrTb"/>
            <w:noWrap w:val="false"/>
          </w:tcPr>
          <w:p>
            <w:pPr>
              <w:ind w:firstLine="0"/>
              <w:jc w:val="center"/>
              <w:spacing w:line="240" w:lineRule="auto"/>
              <w:rPr>
                <w:rFonts w:hint="default" w:ascii="宋体" w:hAnsi="Times New Roman" w:eastAsia="宋体" w:cs="Times New Roman"/>
                <w:sz w:val="21"/>
                <w:szCs w:val="21"/>
              </w:rPr>
            </w:pPr>
            <w:r>
              <w:rPr>
                <w:rFonts w:hint="eastAsia" w:ascii="宋体" w:hAnsi="Times New Roman" w:eastAsia="宋体" w:cs="Times New Roman"/>
                <w:sz w:val="21"/>
                <w:szCs w:val="21"/>
              </w:rPr>
              <w:t xml:space="preserve">24</w:t>
            </w:r>
            <w:r/>
          </w:p>
        </w:tc>
        <w:tc>
          <w:tcPr>
            <w:tcBorders>
              <w:top w:val="none" w:color="000000" w:sz="4" w:space="0"/>
              <w:left w:val="single" w:color="auto" w:sz="4" w:space="0"/>
              <w:bottom w:val="single" w:color="auto" w:sz="4" w:space="0"/>
              <w:right w:val="single" w:color="auto" w:sz="4" w:space="0"/>
            </w:tcBorders>
            <w:tcW w:w="834" w:type="pct"/>
            <w:vAlign w:val="center"/>
            <w:vMerge w:val="continue"/>
            <w:textDirection w:val="lrTb"/>
            <w:noWrap w:val="false"/>
          </w:tcPr>
          <w:p>
            <w:pPr>
              <w:ind w:firstLine="0"/>
              <w:jc w:val="center"/>
              <w:spacing w:line="240" w:lineRule="auto"/>
              <w:rPr>
                <w:rFonts w:hint="default" w:ascii="宋体" w:hAnsi="Times New Roman" w:eastAsia="宋体" w:cs="Times New Roman"/>
                <w:sz w:val="21"/>
                <w:szCs w:val="21"/>
              </w:rPr>
            </w:pPr>
            <w:r>
              <w:rPr>
                <w:rFonts w:hint="default" w:ascii="宋体" w:hAnsi="Times New Roman" w:eastAsia="宋体" w:cs="Times New Roman"/>
                <w:sz w:val="21"/>
                <w:szCs w:val="21"/>
              </w:rPr>
            </w:r>
            <w:r/>
          </w:p>
        </w:tc>
        <w:tc>
          <w:tcPr>
            <w:tcBorders>
              <w:top w:val="single" w:color="auto" w:sz="4" w:space="0"/>
              <w:left w:val="single" w:color="auto" w:sz="4" w:space="0"/>
              <w:bottom w:val="single" w:color="auto" w:sz="4" w:space="0"/>
              <w:right w:val="single" w:color="auto" w:sz="4" w:space="0"/>
            </w:tcBorders>
            <w:tcW w:w="2784" w:type="pct"/>
            <w:vAlign w:val="center"/>
            <w:textDirection w:val="lrTb"/>
            <w:noWrap w:val="false"/>
          </w:tcPr>
          <w:p>
            <w:pPr>
              <w:ind w:firstLine="0"/>
              <w:jc w:val="left"/>
              <w:spacing w:line="240" w:lineRule="auto"/>
              <w:rPr>
                <w:rFonts w:hint="default" w:ascii="宋体" w:hAnsi="Times New Roman" w:eastAsia="宋体" w:cs="Times New Roman"/>
                <w:sz w:val="21"/>
                <w:szCs w:val="21"/>
              </w:rPr>
            </w:pPr>
            <w:r>
              <w:rPr>
                <w:rFonts w:hint="eastAsia" w:ascii="宋体" w:hAnsi="Times New Roman" w:eastAsia="宋体" w:cs="Times New Roman"/>
                <w:sz w:val="21"/>
                <w:szCs w:val="21"/>
              </w:rPr>
              <w:t xml:space="preserve">不听从采购人监督意见的</w:t>
            </w:r>
            <w:r/>
          </w:p>
        </w:tc>
        <w:tc>
          <w:tcPr>
            <w:tcBorders>
              <w:top w:val="single" w:color="auto" w:sz="4" w:space="0"/>
              <w:left w:val="single" w:color="auto" w:sz="4" w:space="0"/>
              <w:bottom w:val="single" w:color="auto" w:sz="4" w:space="0"/>
              <w:right w:val="single" w:color="auto" w:sz="4" w:space="0"/>
            </w:tcBorders>
            <w:tcW w:w="406" w:type="pct"/>
            <w:vAlign w:val="center"/>
            <w:textDirection w:val="lrTb"/>
            <w:noWrap w:val="false"/>
          </w:tcPr>
          <w:p>
            <w:pPr>
              <w:ind w:firstLine="0"/>
              <w:jc w:val="center"/>
              <w:spacing w:line="240" w:lineRule="auto"/>
              <w:rPr>
                <w:rFonts w:hint="default" w:ascii="宋体" w:hAnsi="Times New Roman" w:eastAsia="宋体" w:cs="Times New Roman"/>
                <w:sz w:val="21"/>
                <w:szCs w:val="21"/>
              </w:rPr>
            </w:pPr>
            <w:r>
              <w:rPr>
                <w:rFonts w:hint="eastAsia" w:ascii="宋体" w:hAnsi="Times New Roman" w:eastAsia="宋体" w:cs="Times New Roman"/>
                <w:sz w:val="21"/>
                <w:szCs w:val="21"/>
              </w:rPr>
              <w:t xml:space="preserve">次</w:t>
            </w:r>
            <w:r/>
          </w:p>
        </w:tc>
        <w:tc>
          <w:tcPr>
            <w:tcBorders>
              <w:top w:val="single" w:color="auto" w:sz="4" w:space="0"/>
              <w:left w:val="single" w:color="auto" w:sz="4" w:space="0"/>
              <w:bottom w:val="single" w:color="auto" w:sz="4" w:space="0"/>
              <w:right w:val="single" w:color="auto" w:sz="4" w:space="0"/>
            </w:tcBorders>
            <w:tcW w:w="531" w:type="pct"/>
            <w:vAlign w:val="center"/>
            <w:textDirection w:val="lrTb"/>
            <w:noWrap w:val="false"/>
          </w:tcPr>
          <w:p>
            <w:pPr>
              <w:ind w:firstLine="0"/>
              <w:jc w:val="center"/>
              <w:spacing w:line="240" w:lineRule="auto"/>
              <w:rPr>
                <w:rFonts w:hint="default" w:ascii="宋体" w:hAnsi="Times New Roman" w:eastAsia="宋体" w:cs="Times New Roman"/>
                <w:sz w:val="21"/>
                <w:szCs w:val="21"/>
              </w:rPr>
            </w:pPr>
            <w:r>
              <w:rPr>
                <w:rFonts w:hint="eastAsia" w:ascii="宋体" w:hAnsi="Times New Roman" w:eastAsia="宋体" w:cs="Times New Roman"/>
                <w:sz w:val="21"/>
                <w:szCs w:val="21"/>
              </w:rPr>
              <w:t xml:space="preserve">2</w:t>
            </w:r>
            <w:r/>
          </w:p>
        </w:tc>
      </w:tr>
      <w:tr>
        <w:trPr>
          <w:jc w:val="center"/>
          <w:trHeight w:val="382"/>
        </w:trPr>
        <w:tc>
          <w:tcPr>
            <w:tcBorders>
              <w:top w:val="single" w:color="auto" w:sz="4" w:space="0"/>
              <w:left w:val="single" w:color="auto" w:sz="4" w:space="0"/>
              <w:bottom w:val="single" w:color="auto" w:sz="4" w:space="0"/>
              <w:right w:val="single" w:color="auto" w:sz="4" w:space="0"/>
            </w:tcBorders>
            <w:tcW w:w="445" w:type="pct"/>
            <w:vAlign w:val="center"/>
            <w:textDirection w:val="lrTb"/>
            <w:noWrap w:val="false"/>
          </w:tcPr>
          <w:p>
            <w:pPr>
              <w:ind w:firstLine="0"/>
              <w:jc w:val="center"/>
              <w:spacing w:line="240" w:lineRule="auto"/>
              <w:rPr>
                <w:rFonts w:hint="default" w:ascii="宋体" w:hAnsi="Times New Roman" w:eastAsia="宋体" w:cs="Times New Roman"/>
                <w:sz w:val="21"/>
                <w:szCs w:val="21"/>
              </w:rPr>
            </w:pPr>
            <w:r>
              <w:rPr>
                <w:rFonts w:hint="eastAsia" w:ascii="宋体" w:hAnsi="Times New Roman" w:eastAsia="宋体" w:cs="Times New Roman"/>
                <w:sz w:val="21"/>
                <w:szCs w:val="21"/>
              </w:rPr>
              <w:t xml:space="preserve">25</w:t>
            </w:r>
            <w:r/>
          </w:p>
        </w:tc>
        <w:tc>
          <w:tcPr>
            <w:tcBorders>
              <w:top w:val="none" w:color="000000" w:sz="4" w:space="0"/>
              <w:left w:val="single" w:color="auto" w:sz="4" w:space="0"/>
              <w:bottom w:val="single" w:color="auto" w:sz="4" w:space="0"/>
              <w:right w:val="single" w:color="auto" w:sz="4" w:space="0"/>
            </w:tcBorders>
            <w:tcW w:w="834" w:type="pct"/>
            <w:vAlign w:val="center"/>
            <w:vMerge w:val="restart"/>
            <w:textDirection w:val="lrTb"/>
            <w:noWrap w:val="false"/>
          </w:tcPr>
          <w:p>
            <w:pPr>
              <w:ind w:firstLine="0"/>
              <w:jc w:val="center"/>
              <w:spacing w:line="240" w:lineRule="auto"/>
              <w:rPr>
                <w:rFonts w:hint="default" w:ascii="宋体" w:hAnsi="Times New Roman" w:eastAsia="宋体" w:cs="Times New Roman"/>
                <w:sz w:val="21"/>
                <w:szCs w:val="21"/>
              </w:rPr>
            </w:pPr>
            <w:r>
              <w:rPr>
                <w:rFonts w:hint="eastAsia" w:ascii="宋体" w:hAnsi="Times New Roman" w:eastAsia="宋体" w:cs="Times New Roman"/>
                <w:sz w:val="21"/>
                <w:szCs w:val="21"/>
              </w:rPr>
              <w:t xml:space="preserve">电警设备在线情况</w:t>
            </w:r>
            <w:r/>
          </w:p>
        </w:tc>
        <w:tc>
          <w:tcPr>
            <w:tcBorders>
              <w:top w:val="single" w:color="auto" w:sz="4" w:space="0"/>
              <w:left w:val="single" w:color="auto" w:sz="4" w:space="0"/>
              <w:bottom w:val="single" w:color="auto" w:sz="4" w:space="0"/>
              <w:right w:val="single" w:color="auto" w:sz="4" w:space="0"/>
            </w:tcBorders>
            <w:tcW w:w="2784" w:type="pct"/>
            <w:vAlign w:val="center"/>
            <w:textDirection w:val="lrTb"/>
            <w:noWrap w:val="false"/>
          </w:tcPr>
          <w:p>
            <w:pPr>
              <w:ind w:firstLine="0"/>
              <w:jc w:val="left"/>
              <w:spacing w:line="240" w:lineRule="auto"/>
              <w:rPr>
                <w:rFonts w:hint="default" w:ascii="宋体" w:hAnsi="Times New Roman" w:eastAsia="宋体" w:cs="Times New Roman"/>
                <w:sz w:val="21"/>
                <w:szCs w:val="21"/>
              </w:rPr>
            </w:pPr>
            <w:r>
              <w:rPr>
                <w:rFonts w:hint="eastAsia" w:ascii="宋体" w:hAnsi="Times New Roman" w:eastAsia="宋体" w:cs="Times New Roman"/>
                <w:sz w:val="21"/>
                <w:szCs w:val="21"/>
              </w:rPr>
              <w:t xml:space="preserve">每季度不定期、不限次数抽查设备在线率，普通设备在线率低于95%及以上，重要设备在线率低于99%的</w:t>
            </w:r>
            <w:r/>
          </w:p>
        </w:tc>
        <w:tc>
          <w:tcPr>
            <w:tcBorders>
              <w:top w:val="single" w:color="auto" w:sz="4" w:space="0"/>
              <w:left w:val="single" w:color="auto" w:sz="4" w:space="0"/>
              <w:bottom w:val="single" w:color="auto" w:sz="4" w:space="0"/>
              <w:right w:val="single" w:color="auto" w:sz="4" w:space="0"/>
            </w:tcBorders>
            <w:tcW w:w="406" w:type="pct"/>
            <w:vAlign w:val="center"/>
            <w:textDirection w:val="lrTb"/>
            <w:noWrap w:val="false"/>
          </w:tcPr>
          <w:p>
            <w:pPr>
              <w:ind w:firstLine="0"/>
              <w:jc w:val="center"/>
              <w:spacing w:line="240" w:lineRule="auto"/>
              <w:rPr>
                <w:rFonts w:hint="default" w:ascii="宋体" w:hAnsi="Times New Roman" w:eastAsia="宋体" w:cs="Times New Roman"/>
                <w:sz w:val="21"/>
                <w:szCs w:val="21"/>
              </w:rPr>
            </w:pPr>
            <w:r>
              <w:rPr>
                <w:rFonts w:hint="eastAsia" w:ascii="宋体" w:hAnsi="Times New Roman" w:eastAsia="宋体" w:cs="Times New Roman"/>
                <w:sz w:val="21"/>
                <w:szCs w:val="21"/>
              </w:rPr>
              <w:t xml:space="preserve">次</w:t>
            </w:r>
            <w:r/>
          </w:p>
        </w:tc>
        <w:tc>
          <w:tcPr>
            <w:tcBorders>
              <w:top w:val="single" w:color="auto" w:sz="4" w:space="0"/>
              <w:left w:val="single" w:color="auto" w:sz="4" w:space="0"/>
              <w:bottom w:val="single" w:color="auto" w:sz="4" w:space="0"/>
              <w:right w:val="single" w:color="auto" w:sz="4" w:space="0"/>
            </w:tcBorders>
            <w:tcW w:w="531" w:type="pct"/>
            <w:vAlign w:val="center"/>
            <w:textDirection w:val="lrTb"/>
            <w:noWrap w:val="false"/>
          </w:tcPr>
          <w:p>
            <w:pPr>
              <w:ind w:firstLine="0"/>
              <w:jc w:val="center"/>
              <w:spacing w:line="240" w:lineRule="auto"/>
              <w:rPr>
                <w:rFonts w:hint="default" w:ascii="宋体" w:hAnsi="Times New Roman" w:eastAsia="宋体" w:cs="Times New Roman"/>
                <w:sz w:val="21"/>
                <w:szCs w:val="21"/>
              </w:rPr>
            </w:pPr>
            <w:r>
              <w:rPr>
                <w:rFonts w:hint="eastAsia" w:ascii="宋体" w:hAnsi="Times New Roman" w:eastAsia="宋体" w:cs="Times New Roman"/>
                <w:sz w:val="21"/>
                <w:szCs w:val="21"/>
              </w:rPr>
              <w:t xml:space="preserve">0.2</w:t>
            </w:r>
            <w:r/>
          </w:p>
        </w:tc>
      </w:tr>
      <w:tr>
        <w:trPr>
          <w:jc w:val="center"/>
          <w:trHeight w:val="382"/>
        </w:trPr>
        <w:tc>
          <w:tcPr>
            <w:tcBorders>
              <w:top w:val="single" w:color="auto" w:sz="4" w:space="0"/>
              <w:left w:val="single" w:color="auto" w:sz="4" w:space="0"/>
              <w:bottom w:val="single" w:color="auto" w:sz="4" w:space="0"/>
              <w:right w:val="single" w:color="auto" w:sz="4" w:space="0"/>
            </w:tcBorders>
            <w:tcW w:w="445" w:type="pct"/>
            <w:vAlign w:val="center"/>
            <w:textDirection w:val="lrTb"/>
            <w:noWrap w:val="false"/>
          </w:tcPr>
          <w:p>
            <w:pPr>
              <w:ind w:firstLine="0"/>
              <w:jc w:val="center"/>
              <w:spacing w:line="240" w:lineRule="auto"/>
              <w:rPr>
                <w:rFonts w:hint="default" w:ascii="宋体" w:hAnsi="Times New Roman" w:eastAsia="宋体" w:cs="Times New Roman"/>
                <w:sz w:val="21"/>
                <w:szCs w:val="21"/>
              </w:rPr>
            </w:pPr>
            <w:r>
              <w:rPr>
                <w:rFonts w:hint="eastAsia" w:ascii="宋体" w:hAnsi="Times New Roman" w:eastAsia="宋体" w:cs="Times New Roman"/>
                <w:sz w:val="21"/>
                <w:szCs w:val="21"/>
              </w:rPr>
              <w:t xml:space="preserve">26</w:t>
            </w:r>
            <w:r/>
          </w:p>
        </w:tc>
        <w:tc>
          <w:tcPr>
            <w:tcBorders>
              <w:top w:val="none" w:color="000000" w:sz="4" w:space="0"/>
              <w:left w:val="single" w:color="auto" w:sz="4" w:space="0"/>
              <w:bottom w:val="single" w:color="auto" w:sz="4" w:space="0"/>
              <w:right w:val="single" w:color="auto" w:sz="4" w:space="0"/>
            </w:tcBorders>
            <w:tcW w:w="834" w:type="pct"/>
            <w:vAlign w:val="center"/>
            <w:vMerge w:val="continue"/>
            <w:textDirection w:val="lrTb"/>
            <w:noWrap w:val="false"/>
          </w:tcPr>
          <w:p>
            <w:pPr>
              <w:ind w:firstLine="0"/>
              <w:jc w:val="center"/>
              <w:spacing w:line="240" w:lineRule="auto"/>
              <w:rPr>
                <w:rFonts w:hint="default" w:ascii="宋体" w:hAnsi="Times New Roman" w:eastAsia="宋体" w:cs="Times New Roman"/>
                <w:sz w:val="21"/>
                <w:szCs w:val="21"/>
              </w:rPr>
            </w:pPr>
            <w:r>
              <w:rPr>
                <w:rFonts w:hint="default" w:ascii="宋体" w:hAnsi="Times New Roman" w:eastAsia="宋体" w:cs="Times New Roman"/>
                <w:sz w:val="21"/>
                <w:szCs w:val="21"/>
              </w:rPr>
            </w:r>
            <w:r/>
          </w:p>
        </w:tc>
        <w:tc>
          <w:tcPr>
            <w:tcBorders>
              <w:top w:val="single" w:color="auto" w:sz="4" w:space="0"/>
              <w:left w:val="single" w:color="auto" w:sz="4" w:space="0"/>
              <w:bottom w:val="single" w:color="auto" w:sz="4" w:space="0"/>
              <w:right w:val="single" w:color="auto" w:sz="4" w:space="0"/>
            </w:tcBorders>
            <w:tcW w:w="2784" w:type="pct"/>
            <w:vAlign w:val="center"/>
            <w:textDirection w:val="lrTb"/>
            <w:noWrap w:val="false"/>
          </w:tcPr>
          <w:p>
            <w:pPr>
              <w:ind w:firstLine="0"/>
              <w:jc w:val="left"/>
              <w:spacing w:line="240" w:lineRule="auto"/>
              <w:rPr>
                <w:rFonts w:hint="default" w:ascii="宋体" w:hAnsi="Times New Roman" w:eastAsia="宋体" w:cs="Times New Roman"/>
                <w:sz w:val="21"/>
                <w:szCs w:val="21"/>
              </w:rPr>
            </w:pPr>
            <w:r>
              <w:rPr>
                <w:rFonts w:hint="eastAsia" w:ascii="宋体" w:hAnsi="Times New Roman" w:eastAsia="宋体" w:cs="Times New Roman"/>
                <w:sz w:val="21"/>
                <w:szCs w:val="21"/>
              </w:rPr>
              <w:t xml:space="preserve">重点点位单个设备离线时间单次超过8小时（网路问题除外）未处理的</w:t>
            </w:r>
            <w:r/>
          </w:p>
        </w:tc>
        <w:tc>
          <w:tcPr>
            <w:tcBorders>
              <w:top w:val="single" w:color="auto" w:sz="4" w:space="0"/>
              <w:left w:val="single" w:color="auto" w:sz="4" w:space="0"/>
              <w:bottom w:val="single" w:color="auto" w:sz="4" w:space="0"/>
              <w:right w:val="single" w:color="auto" w:sz="4" w:space="0"/>
            </w:tcBorders>
            <w:tcW w:w="406" w:type="pct"/>
            <w:vAlign w:val="center"/>
            <w:textDirection w:val="lrTb"/>
            <w:noWrap w:val="false"/>
          </w:tcPr>
          <w:p>
            <w:pPr>
              <w:ind w:firstLine="0"/>
              <w:jc w:val="center"/>
              <w:spacing w:line="240" w:lineRule="auto"/>
              <w:rPr>
                <w:rFonts w:hint="default" w:ascii="宋体" w:hAnsi="Times New Roman" w:eastAsia="宋体" w:cs="Times New Roman"/>
                <w:sz w:val="21"/>
                <w:szCs w:val="21"/>
              </w:rPr>
            </w:pPr>
            <w:r>
              <w:rPr>
                <w:rFonts w:hint="eastAsia" w:ascii="宋体" w:hAnsi="Times New Roman" w:eastAsia="宋体" w:cs="Times New Roman"/>
                <w:sz w:val="21"/>
                <w:szCs w:val="21"/>
              </w:rPr>
              <w:t xml:space="preserve">次</w:t>
            </w:r>
            <w:r/>
          </w:p>
        </w:tc>
        <w:tc>
          <w:tcPr>
            <w:tcBorders>
              <w:top w:val="single" w:color="auto" w:sz="4" w:space="0"/>
              <w:left w:val="single" w:color="auto" w:sz="4" w:space="0"/>
              <w:bottom w:val="single" w:color="auto" w:sz="4" w:space="0"/>
              <w:right w:val="single" w:color="auto" w:sz="4" w:space="0"/>
            </w:tcBorders>
            <w:tcW w:w="531" w:type="pct"/>
            <w:vAlign w:val="center"/>
            <w:textDirection w:val="lrTb"/>
            <w:noWrap w:val="false"/>
          </w:tcPr>
          <w:p>
            <w:pPr>
              <w:ind w:firstLine="0"/>
              <w:jc w:val="center"/>
              <w:spacing w:line="240" w:lineRule="auto"/>
              <w:rPr>
                <w:rFonts w:hint="default" w:ascii="宋体" w:hAnsi="Times New Roman" w:eastAsia="宋体" w:cs="Times New Roman"/>
                <w:sz w:val="21"/>
                <w:szCs w:val="21"/>
              </w:rPr>
            </w:pPr>
            <w:r>
              <w:rPr>
                <w:rFonts w:hint="eastAsia" w:ascii="宋体" w:hAnsi="Times New Roman" w:eastAsia="宋体" w:cs="Times New Roman"/>
                <w:sz w:val="21"/>
                <w:szCs w:val="21"/>
              </w:rPr>
              <w:t xml:space="preserve">0.2</w:t>
            </w:r>
            <w:r/>
          </w:p>
        </w:tc>
      </w:tr>
      <w:tr>
        <w:trPr>
          <w:jc w:val="center"/>
        </w:trPr>
        <w:tc>
          <w:tcPr>
            <w:tcBorders>
              <w:top w:val="single" w:color="auto" w:sz="4" w:space="0"/>
              <w:left w:val="single" w:color="auto" w:sz="4" w:space="0"/>
              <w:bottom w:val="single" w:color="auto" w:sz="4" w:space="0"/>
              <w:right w:val="single" w:color="auto" w:sz="4" w:space="0"/>
            </w:tcBorders>
            <w:tcW w:w="445" w:type="pct"/>
            <w:vAlign w:val="center"/>
            <w:textDirection w:val="lrTb"/>
            <w:noWrap w:val="false"/>
          </w:tcPr>
          <w:p>
            <w:pPr>
              <w:ind w:firstLine="0"/>
              <w:jc w:val="center"/>
              <w:spacing w:line="240" w:lineRule="auto"/>
              <w:rPr>
                <w:rFonts w:hint="default" w:ascii="宋体" w:hAnsi="Times New Roman" w:eastAsia="宋体" w:cs="Times New Roman"/>
                <w:sz w:val="21"/>
                <w:szCs w:val="21"/>
              </w:rPr>
            </w:pPr>
            <w:r>
              <w:rPr>
                <w:rFonts w:hint="eastAsia" w:ascii="宋体" w:hAnsi="Times New Roman" w:eastAsia="宋体" w:cs="Times New Roman"/>
                <w:sz w:val="21"/>
                <w:szCs w:val="21"/>
              </w:rPr>
              <w:t xml:space="preserve">27</w:t>
            </w:r>
            <w:r/>
          </w:p>
        </w:tc>
        <w:tc>
          <w:tcPr>
            <w:tcBorders>
              <w:top w:val="none" w:color="000000" w:sz="4" w:space="0"/>
              <w:left w:val="single" w:color="auto" w:sz="4" w:space="0"/>
              <w:bottom w:val="single" w:color="auto" w:sz="4" w:space="0"/>
              <w:right w:val="single" w:color="auto" w:sz="4" w:space="0"/>
            </w:tcBorders>
            <w:tcW w:w="834" w:type="pct"/>
            <w:vAlign w:val="center"/>
            <w:vMerge w:val="restart"/>
            <w:textDirection w:val="lrTb"/>
            <w:noWrap w:val="false"/>
          </w:tcPr>
          <w:p>
            <w:pPr>
              <w:ind w:firstLine="0"/>
              <w:jc w:val="center"/>
              <w:spacing w:line="240" w:lineRule="auto"/>
              <w:rPr>
                <w:rFonts w:hint="default" w:ascii="宋体" w:hAnsi="Times New Roman" w:eastAsia="宋体" w:cs="Times New Roman"/>
                <w:bCs/>
                <w:sz w:val="21"/>
                <w:szCs w:val="21"/>
              </w:rPr>
            </w:pPr>
            <w:r>
              <w:rPr>
                <w:rFonts w:hint="eastAsia" w:ascii="宋体" w:hAnsi="Times New Roman" w:eastAsia="宋体" w:cs="Times New Roman"/>
                <w:bCs/>
                <w:sz w:val="21"/>
                <w:szCs w:val="21"/>
              </w:rPr>
              <w:t xml:space="preserve">服从采购人监督的情况投诉情况</w:t>
            </w:r>
            <w:r/>
          </w:p>
        </w:tc>
        <w:tc>
          <w:tcPr>
            <w:tcBorders>
              <w:top w:val="single" w:color="auto" w:sz="4" w:space="0"/>
              <w:left w:val="single" w:color="auto" w:sz="4" w:space="0"/>
              <w:bottom w:val="single" w:color="auto" w:sz="4" w:space="0"/>
              <w:right w:val="single" w:color="auto" w:sz="4" w:space="0"/>
            </w:tcBorders>
            <w:tcW w:w="2784" w:type="pct"/>
            <w:vAlign w:val="center"/>
            <w:textDirection w:val="lrTb"/>
            <w:noWrap w:val="false"/>
          </w:tcPr>
          <w:p>
            <w:pPr>
              <w:ind w:firstLine="0"/>
              <w:jc w:val="left"/>
              <w:spacing w:line="240" w:lineRule="auto"/>
              <w:rPr>
                <w:rFonts w:hint="default" w:ascii="宋体" w:hAnsi="Times New Roman" w:eastAsia="宋体" w:cs="Times New Roman"/>
                <w:sz w:val="21"/>
                <w:szCs w:val="21"/>
              </w:rPr>
            </w:pPr>
            <w:r>
              <w:rPr>
                <w:rFonts w:hint="eastAsia" w:ascii="宋体" w:hAnsi="Times New Roman" w:eastAsia="宋体" w:cs="Times New Roman"/>
                <w:sz w:val="21"/>
                <w:szCs w:val="21"/>
              </w:rPr>
              <w:t xml:space="preserve">不执行采购人安排的施工或维保顺序的</w:t>
            </w:r>
            <w:r/>
          </w:p>
        </w:tc>
        <w:tc>
          <w:tcPr>
            <w:tcBorders>
              <w:top w:val="single" w:color="auto" w:sz="4" w:space="0"/>
              <w:left w:val="single" w:color="auto" w:sz="4" w:space="0"/>
              <w:bottom w:val="single" w:color="auto" w:sz="4" w:space="0"/>
              <w:right w:val="single" w:color="auto" w:sz="4" w:space="0"/>
            </w:tcBorders>
            <w:tcW w:w="406" w:type="pct"/>
            <w:vAlign w:val="center"/>
            <w:textDirection w:val="lrTb"/>
            <w:noWrap w:val="false"/>
          </w:tcPr>
          <w:p>
            <w:pPr>
              <w:ind w:firstLine="0"/>
              <w:jc w:val="center"/>
              <w:spacing w:line="240" w:lineRule="auto"/>
              <w:rPr>
                <w:rFonts w:hint="default" w:ascii="宋体" w:hAnsi="Times New Roman" w:eastAsia="宋体" w:cs="Times New Roman"/>
                <w:sz w:val="21"/>
                <w:szCs w:val="21"/>
              </w:rPr>
            </w:pPr>
            <w:r>
              <w:rPr>
                <w:rFonts w:hint="eastAsia" w:ascii="宋体" w:hAnsi="Times New Roman" w:eastAsia="宋体" w:cs="Times New Roman"/>
                <w:sz w:val="21"/>
                <w:szCs w:val="21"/>
              </w:rPr>
              <w:t xml:space="preserve">次</w:t>
            </w:r>
            <w:r/>
          </w:p>
        </w:tc>
        <w:tc>
          <w:tcPr>
            <w:tcBorders>
              <w:top w:val="single" w:color="auto" w:sz="4" w:space="0"/>
              <w:left w:val="single" w:color="auto" w:sz="4" w:space="0"/>
              <w:bottom w:val="single" w:color="auto" w:sz="4" w:space="0"/>
              <w:right w:val="single" w:color="auto" w:sz="4" w:space="0"/>
            </w:tcBorders>
            <w:tcW w:w="531" w:type="pct"/>
            <w:vAlign w:val="center"/>
            <w:textDirection w:val="lrTb"/>
            <w:noWrap w:val="false"/>
          </w:tcPr>
          <w:p>
            <w:pPr>
              <w:ind w:firstLine="0"/>
              <w:jc w:val="center"/>
              <w:spacing w:line="240" w:lineRule="auto"/>
              <w:rPr>
                <w:rFonts w:hint="default" w:ascii="宋体" w:hAnsi="Times New Roman" w:eastAsia="宋体" w:cs="Times New Roman"/>
                <w:sz w:val="21"/>
                <w:szCs w:val="21"/>
              </w:rPr>
            </w:pPr>
            <w:r>
              <w:rPr>
                <w:rFonts w:hint="eastAsia" w:ascii="宋体" w:hAnsi="Times New Roman" w:eastAsia="宋体" w:cs="Times New Roman"/>
                <w:sz w:val="21"/>
                <w:szCs w:val="21"/>
              </w:rPr>
              <w:t xml:space="preserve">0.2</w:t>
            </w:r>
            <w:r/>
          </w:p>
        </w:tc>
      </w:tr>
      <w:tr>
        <w:trPr>
          <w:jc w:val="center"/>
        </w:trPr>
        <w:tc>
          <w:tcPr>
            <w:tcBorders>
              <w:top w:val="single" w:color="auto" w:sz="4" w:space="0"/>
              <w:left w:val="single" w:color="auto" w:sz="4" w:space="0"/>
              <w:bottom w:val="single" w:color="auto" w:sz="4" w:space="0"/>
              <w:right w:val="single" w:color="auto" w:sz="4" w:space="0"/>
            </w:tcBorders>
            <w:tcW w:w="445" w:type="pct"/>
            <w:vAlign w:val="center"/>
            <w:textDirection w:val="lrTb"/>
            <w:noWrap w:val="false"/>
          </w:tcPr>
          <w:p>
            <w:pPr>
              <w:ind w:firstLine="0"/>
              <w:jc w:val="center"/>
              <w:spacing w:line="240" w:lineRule="auto"/>
              <w:rPr>
                <w:rFonts w:hint="default" w:ascii="宋体" w:hAnsi="Times New Roman" w:eastAsia="宋体" w:cs="Times New Roman"/>
                <w:sz w:val="21"/>
                <w:szCs w:val="21"/>
              </w:rPr>
            </w:pPr>
            <w:r>
              <w:rPr>
                <w:rFonts w:hint="eastAsia" w:ascii="宋体" w:hAnsi="Times New Roman" w:eastAsia="宋体" w:cs="Times New Roman"/>
                <w:sz w:val="21"/>
                <w:szCs w:val="21"/>
              </w:rPr>
              <w:t xml:space="preserve">28</w:t>
            </w:r>
            <w:r/>
          </w:p>
        </w:tc>
        <w:tc>
          <w:tcPr>
            <w:tcBorders>
              <w:top w:val="none" w:color="000000" w:sz="4" w:space="0"/>
              <w:left w:val="single" w:color="auto" w:sz="4" w:space="0"/>
              <w:bottom w:val="single" w:color="auto" w:sz="4" w:space="0"/>
              <w:right w:val="single" w:color="auto" w:sz="4" w:space="0"/>
            </w:tcBorders>
            <w:tcW w:w="834" w:type="pct"/>
            <w:vAlign w:val="center"/>
            <w:vMerge w:val="continue"/>
            <w:textDirection w:val="lrTb"/>
            <w:noWrap w:val="false"/>
          </w:tcPr>
          <w:p>
            <w:pPr>
              <w:ind w:firstLine="0"/>
              <w:jc w:val="center"/>
              <w:spacing w:line="240" w:lineRule="auto"/>
              <w:rPr>
                <w:rFonts w:hint="default" w:ascii="宋体" w:hAnsi="Times New Roman" w:eastAsia="宋体" w:cs="Times New Roman"/>
                <w:bCs/>
                <w:sz w:val="21"/>
                <w:szCs w:val="21"/>
              </w:rPr>
            </w:pPr>
            <w:r>
              <w:rPr>
                <w:rFonts w:hint="default" w:ascii="宋体" w:hAnsi="Times New Roman" w:eastAsia="宋体" w:cs="Times New Roman"/>
                <w:bCs/>
                <w:sz w:val="21"/>
                <w:szCs w:val="21"/>
              </w:rPr>
            </w:r>
            <w:r/>
          </w:p>
        </w:tc>
        <w:tc>
          <w:tcPr>
            <w:tcBorders>
              <w:top w:val="single" w:color="auto" w:sz="4" w:space="0"/>
              <w:left w:val="single" w:color="auto" w:sz="4" w:space="0"/>
              <w:bottom w:val="single" w:color="auto" w:sz="4" w:space="0"/>
              <w:right w:val="single" w:color="auto" w:sz="4" w:space="0"/>
            </w:tcBorders>
            <w:tcW w:w="2784" w:type="pct"/>
            <w:vAlign w:val="center"/>
            <w:textDirection w:val="lrTb"/>
            <w:noWrap w:val="false"/>
          </w:tcPr>
          <w:p>
            <w:pPr>
              <w:ind w:firstLine="0"/>
              <w:jc w:val="left"/>
              <w:spacing w:line="240" w:lineRule="auto"/>
              <w:rPr>
                <w:rFonts w:hint="default" w:ascii="宋体" w:hAnsi="Times New Roman" w:eastAsia="宋体" w:cs="Times New Roman"/>
                <w:sz w:val="21"/>
                <w:szCs w:val="21"/>
              </w:rPr>
            </w:pPr>
            <w:r>
              <w:rPr>
                <w:rFonts w:hint="eastAsia" w:ascii="宋体" w:hAnsi="Times New Roman" w:eastAsia="宋体" w:cs="Times New Roman"/>
                <w:sz w:val="21"/>
                <w:szCs w:val="21"/>
              </w:rPr>
              <w:t xml:space="preserve">发生涉交安信号的交通事故及认为损坏，超中标价向责任人索赔的</w:t>
            </w:r>
            <w:r/>
          </w:p>
        </w:tc>
        <w:tc>
          <w:tcPr>
            <w:tcBorders>
              <w:top w:val="single" w:color="auto" w:sz="4" w:space="0"/>
              <w:left w:val="single" w:color="auto" w:sz="4" w:space="0"/>
              <w:bottom w:val="single" w:color="auto" w:sz="4" w:space="0"/>
              <w:right w:val="single" w:color="auto" w:sz="4" w:space="0"/>
            </w:tcBorders>
            <w:tcW w:w="406" w:type="pct"/>
            <w:vAlign w:val="center"/>
            <w:textDirection w:val="lrTb"/>
            <w:noWrap w:val="false"/>
          </w:tcPr>
          <w:p>
            <w:pPr>
              <w:ind w:firstLine="0"/>
              <w:jc w:val="center"/>
              <w:spacing w:line="240" w:lineRule="auto"/>
              <w:rPr>
                <w:rFonts w:hint="default" w:ascii="宋体" w:hAnsi="Times New Roman" w:eastAsia="宋体" w:cs="Times New Roman"/>
                <w:sz w:val="21"/>
                <w:szCs w:val="21"/>
              </w:rPr>
            </w:pPr>
            <w:r>
              <w:rPr>
                <w:rFonts w:hint="eastAsia" w:ascii="宋体" w:hAnsi="Times New Roman" w:eastAsia="宋体" w:cs="Times New Roman"/>
                <w:sz w:val="21"/>
                <w:szCs w:val="21"/>
              </w:rPr>
              <w:t xml:space="preserve">次</w:t>
            </w:r>
            <w:r/>
          </w:p>
        </w:tc>
        <w:tc>
          <w:tcPr>
            <w:tcBorders>
              <w:top w:val="single" w:color="auto" w:sz="4" w:space="0"/>
              <w:left w:val="single" w:color="auto" w:sz="4" w:space="0"/>
              <w:bottom w:val="single" w:color="auto" w:sz="4" w:space="0"/>
              <w:right w:val="single" w:color="auto" w:sz="4" w:space="0"/>
            </w:tcBorders>
            <w:tcW w:w="531" w:type="pct"/>
            <w:vAlign w:val="center"/>
            <w:textDirection w:val="lrTb"/>
            <w:noWrap w:val="false"/>
          </w:tcPr>
          <w:p>
            <w:pPr>
              <w:ind w:firstLine="0"/>
              <w:jc w:val="center"/>
              <w:spacing w:line="240" w:lineRule="auto"/>
              <w:rPr>
                <w:rFonts w:hint="default" w:ascii="宋体" w:hAnsi="Times New Roman" w:eastAsia="宋体" w:cs="Times New Roman"/>
                <w:sz w:val="21"/>
                <w:szCs w:val="21"/>
              </w:rPr>
            </w:pPr>
            <w:r>
              <w:rPr>
                <w:rFonts w:hint="eastAsia" w:ascii="宋体" w:hAnsi="Times New Roman" w:eastAsia="宋体" w:cs="Times New Roman"/>
                <w:sz w:val="21"/>
                <w:szCs w:val="21"/>
              </w:rPr>
              <w:t xml:space="preserve">0.3</w:t>
            </w:r>
            <w:r/>
          </w:p>
        </w:tc>
      </w:tr>
      <w:tr>
        <w:trPr>
          <w:jc w:val="center"/>
        </w:trPr>
        <w:tc>
          <w:tcPr>
            <w:tcBorders>
              <w:top w:val="single" w:color="auto" w:sz="4" w:space="0"/>
              <w:left w:val="single" w:color="auto" w:sz="4" w:space="0"/>
              <w:bottom w:val="single" w:color="auto" w:sz="4" w:space="0"/>
              <w:right w:val="single" w:color="auto" w:sz="4" w:space="0"/>
            </w:tcBorders>
            <w:tcW w:w="445" w:type="pct"/>
            <w:vAlign w:val="center"/>
            <w:textDirection w:val="lrTb"/>
            <w:noWrap w:val="false"/>
          </w:tcPr>
          <w:p>
            <w:pPr>
              <w:ind w:firstLine="0"/>
              <w:jc w:val="center"/>
              <w:spacing w:line="240" w:lineRule="auto"/>
              <w:rPr>
                <w:rFonts w:hint="default" w:ascii="宋体" w:hAnsi="Times New Roman" w:eastAsia="宋体" w:cs="Times New Roman"/>
                <w:sz w:val="21"/>
                <w:szCs w:val="21"/>
              </w:rPr>
            </w:pPr>
            <w:r>
              <w:rPr>
                <w:rFonts w:hint="eastAsia" w:ascii="宋体" w:hAnsi="Times New Roman" w:eastAsia="宋体" w:cs="Times New Roman"/>
                <w:sz w:val="21"/>
                <w:szCs w:val="21"/>
              </w:rPr>
              <w:t xml:space="preserve">29</w:t>
            </w:r>
            <w:r/>
          </w:p>
        </w:tc>
        <w:tc>
          <w:tcPr>
            <w:tcBorders>
              <w:top w:val="none" w:color="000000" w:sz="4" w:space="0"/>
              <w:left w:val="single" w:color="auto" w:sz="4" w:space="0"/>
              <w:bottom w:val="single" w:color="auto" w:sz="4" w:space="0"/>
              <w:right w:val="single" w:color="auto" w:sz="4" w:space="0"/>
            </w:tcBorders>
            <w:tcW w:w="834" w:type="pct"/>
            <w:vAlign w:val="center"/>
            <w:vMerge w:val="restart"/>
            <w:textDirection w:val="lrTb"/>
            <w:noWrap w:val="false"/>
          </w:tcPr>
          <w:p>
            <w:pPr>
              <w:ind w:firstLine="0"/>
              <w:jc w:val="center"/>
              <w:spacing w:line="240" w:lineRule="auto"/>
              <w:rPr>
                <w:rFonts w:hint="default" w:ascii="宋体" w:hAnsi="Times New Roman" w:eastAsia="宋体" w:cs="Times New Roman"/>
                <w:bCs/>
                <w:sz w:val="21"/>
                <w:szCs w:val="21"/>
              </w:rPr>
            </w:pPr>
            <w:r>
              <w:rPr>
                <w:rFonts w:hint="eastAsia" w:ascii="宋体" w:hAnsi="Times New Roman" w:eastAsia="宋体" w:cs="Times New Roman"/>
                <w:bCs/>
                <w:sz w:val="21"/>
                <w:szCs w:val="21"/>
              </w:rPr>
              <w:t xml:space="preserve">文明施工及安全防护等情况</w:t>
            </w:r>
            <w:r/>
          </w:p>
        </w:tc>
        <w:tc>
          <w:tcPr>
            <w:tcBorders>
              <w:top w:val="single" w:color="auto" w:sz="4" w:space="0"/>
              <w:left w:val="single" w:color="auto" w:sz="4" w:space="0"/>
              <w:bottom w:val="single" w:color="auto" w:sz="4" w:space="0"/>
              <w:right w:val="single" w:color="auto" w:sz="4" w:space="0"/>
            </w:tcBorders>
            <w:tcW w:w="2784" w:type="pct"/>
            <w:vAlign w:val="center"/>
            <w:textDirection w:val="lrTb"/>
            <w:noWrap w:val="false"/>
          </w:tcPr>
          <w:p>
            <w:pPr>
              <w:ind w:firstLine="0"/>
              <w:jc w:val="left"/>
              <w:spacing w:line="240" w:lineRule="auto"/>
              <w:rPr>
                <w:rFonts w:hint="default" w:ascii="宋体" w:hAnsi="Times New Roman" w:eastAsia="宋体" w:cs="Times New Roman"/>
                <w:sz w:val="21"/>
                <w:szCs w:val="21"/>
              </w:rPr>
            </w:pPr>
            <w:r>
              <w:rPr>
                <w:rFonts w:hint="eastAsia" w:ascii="宋体" w:hAnsi="Times New Roman" w:eastAsia="宋体" w:cs="Times New Roman"/>
                <w:sz w:val="21"/>
                <w:szCs w:val="21"/>
              </w:rPr>
              <w:t xml:space="preserve">施工及车辆停放未做好安全防护的</w:t>
            </w:r>
            <w:r/>
          </w:p>
        </w:tc>
        <w:tc>
          <w:tcPr>
            <w:tcBorders>
              <w:top w:val="single" w:color="auto" w:sz="4" w:space="0"/>
              <w:left w:val="single" w:color="auto" w:sz="4" w:space="0"/>
              <w:bottom w:val="single" w:color="auto" w:sz="4" w:space="0"/>
              <w:right w:val="single" w:color="auto" w:sz="4" w:space="0"/>
            </w:tcBorders>
            <w:tcW w:w="406" w:type="pct"/>
            <w:vAlign w:val="center"/>
            <w:textDirection w:val="lrTb"/>
            <w:noWrap w:val="false"/>
          </w:tcPr>
          <w:p>
            <w:pPr>
              <w:ind w:firstLine="0"/>
              <w:jc w:val="center"/>
              <w:spacing w:line="240" w:lineRule="auto"/>
              <w:rPr>
                <w:rFonts w:hint="default" w:ascii="宋体" w:hAnsi="Times New Roman" w:eastAsia="宋体" w:cs="Times New Roman"/>
                <w:sz w:val="21"/>
                <w:szCs w:val="21"/>
              </w:rPr>
            </w:pPr>
            <w:r>
              <w:rPr>
                <w:rFonts w:hint="eastAsia" w:ascii="宋体" w:hAnsi="Times New Roman" w:eastAsia="宋体" w:cs="Times New Roman"/>
                <w:sz w:val="21"/>
                <w:szCs w:val="21"/>
              </w:rPr>
              <w:t xml:space="preserve">次</w:t>
            </w:r>
            <w:r/>
          </w:p>
        </w:tc>
        <w:tc>
          <w:tcPr>
            <w:tcBorders>
              <w:top w:val="single" w:color="auto" w:sz="4" w:space="0"/>
              <w:left w:val="single" w:color="auto" w:sz="4" w:space="0"/>
              <w:bottom w:val="single" w:color="auto" w:sz="4" w:space="0"/>
              <w:right w:val="single" w:color="auto" w:sz="4" w:space="0"/>
            </w:tcBorders>
            <w:tcW w:w="531" w:type="pct"/>
            <w:vAlign w:val="center"/>
            <w:textDirection w:val="lrTb"/>
            <w:noWrap w:val="false"/>
          </w:tcPr>
          <w:p>
            <w:pPr>
              <w:ind w:firstLine="0"/>
              <w:jc w:val="center"/>
              <w:spacing w:line="240" w:lineRule="auto"/>
              <w:rPr>
                <w:rFonts w:hint="default" w:ascii="宋体" w:hAnsi="Times New Roman" w:eastAsia="宋体" w:cs="Times New Roman"/>
                <w:sz w:val="21"/>
                <w:szCs w:val="21"/>
              </w:rPr>
            </w:pPr>
            <w:r>
              <w:rPr>
                <w:rFonts w:hint="eastAsia" w:ascii="宋体" w:hAnsi="Times New Roman" w:eastAsia="宋体" w:cs="Times New Roman"/>
                <w:sz w:val="21"/>
                <w:szCs w:val="21"/>
              </w:rPr>
              <w:t xml:space="preserve">0.1</w:t>
            </w:r>
            <w:r/>
          </w:p>
        </w:tc>
      </w:tr>
      <w:tr>
        <w:trPr>
          <w:jc w:val="center"/>
        </w:trPr>
        <w:tc>
          <w:tcPr>
            <w:tcBorders>
              <w:top w:val="single" w:color="auto" w:sz="4" w:space="0"/>
              <w:left w:val="single" w:color="auto" w:sz="4" w:space="0"/>
              <w:bottom w:val="single" w:color="auto" w:sz="4" w:space="0"/>
              <w:right w:val="single" w:color="auto" w:sz="4" w:space="0"/>
            </w:tcBorders>
            <w:tcW w:w="445" w:type="pct"/>
            <w:vAlign w:val="center"/>
            <w:textDirection w:val="lrTb"/>
            <w:noWrap w:val="false"/>
          </w:tcPr>
          <w:p>
            <w:pPr>
              <w:ind w:firstLine="0"/>
              <w:jc w:val="center"/>
              <w:spacing w:line="240" w:lineRule="auto"/>
              <w:rPr>
                <w:rFonts w:hint="default" w:ascii="宋体" w:hAnsi="Times New Roman" w:eastAsia="宋体" w:cs="Times New Roman"/>
                <w:sz w:val="21"/>
                <w:szCs w:val="21"/>
              </w:rPr>
            </w:pPr>
            <w:r>
              <w:rPr>
                <w:rFonts w:hint="eastAsia" w:ascii="宋体" w:hAnsi="Times New Roman" w:eastAsia="宋体" w:cs="Times New Roman"/>
                <w:sz w:val="21"/>
                <w:szCs w:val="21"/>
              </w:rPr>
              <w:t xml:space="preserve">30</w:t>
            </w:r>
            <w:r/>
          </w:p>
        </w:tc>
        <w:tc>
          <w:tcPr>
            <w:tcBorders>
              <w:top w:val="none" w:color="000000" w:sz="4" w:space="0"/>
              <w:left w:val="single" w:color="auto" w:sz="4" w:space="0"/>
              <w:bottom w:val="single" w:color="auto" w:sz="4" w:space="0"/>
              <w:right w:val="single" w:color="auto" w:sz="4" w:space="0"/>
            </w:tcBorders>
            <w:tcW w:w="834" w:type="pct"/>
            <w:vAlign w:val="center"/>
            <w:vMerge w:val="continue"/>
            <w:textDirection w:val="lrTb"/>
            <w:noWrap w:val="false"/>
          </w:tcPr>
          <w:p>
            <w:pPr>
              <w:ind w:firstLine="0"/>
              <w:jc w:val="center"/>
              <w:spacing w:line="240" w:lineRule="auto"/>
              <w:rPr>
                <w:rFonts w:hint="default" w:ascii="宋体" w:hAnsi="Times New Roman" w:eastAsia="宋体" w:cs="Times New Roman"/>
                <w:bCs/>
                <w:sz w:val="21"/>
                <w:szCs w:val="21"/>
              </w:rPr>
            </w:pPr>
            <w:r>
              <w:rPr>
                <w:rFonts w:hint="default" w:ascii="宋体" w:hAnsi="Times New Roman" w:eastAsia="宋体" w:cs="Times New Roman"/>
                <w:bCs/>
                <w:sz w:val="21"/>
                <w:szCs w:val="21"/>
              </w:rPr>
            </w:r>
            <w:r/>
          </w:p>
        </w:tc>
        <w:tc>
          <w:tcPr>
            <w:tcBorders>
              <w:top w:val="single" w:color="auto" w:sz="4" w:space="0"/>
              <w:left w:val="single" w:color="auto" w:sz="4" w:space="0"/>
              <w:bottom w:val="single" w:color="auto" w:sz="4" w:space="0"/>
              <w:right w:val="single" w:color="auto" w:sz="4" w:space="0"/>
            </w:tcBorders>
            <w:tcW w:w="2784" w:type="pct"/>
            <w:vAlign w:val="center"/>
            <w:textDirection w:val="lrTb"/>
            <w:noWrap w:val="false"/>
          </w:tcPr>
          <w:p>
            <w:pPr>
              <w:ind w:firstLine="0"/>
              <w:jc w:val="left"/>
              <w:spacing w:line="240" w:lineRule="auto"/>
              <w:rPr>
                <w:rFonts w:hint="default" w:ascii="宋体" w:hAnsi="Times New Roman" w:eastAsia="宋体" w:cs="Times New Roman"/>
                <w:sz w:val="21"/>
                <w:szCs w:val="21"/>
              </w:rPr>
            </w:pPr>
            <w:r>
              <w:rPr>
                <w:rFonts w:hint="eastAsia" w:ascii="宋体" w:hAnsi="Times New Roman" w:eastAsia="宋体" w:cs="Times New Roman"/>
                <w:sz w:val="21"/>
                <w:szCs w:val="21"/>
              </w:rPr>
              <w:t xml:space="preserve">因施工不当造成交通堵塞或引起交通事故的</w:t>
            </w:r>
            <w:r/>
          </w:p>
        </w:tc>
        <w:tc>
          <w:tcPr>
            <w:tcBorders>
              <w:top w:val="single" w:color="auto" w:sz="4" w:space="0"/>
              <w:left w:val="single" w:color="auto" w:sz="4" w:space="0"/>
              <w:bottom w:val="single" w:color="auto" w:sz="4" w:space="0"/>
              <w:right w:val="single" w:color="auto" w:sz="4" w:space="0"/>
            </w:tcBorders>
            <w:tcW w:w="406" w:type="pct"/>
            <w:vAlign w:val="center"/>
            <w:textDirection w:val="lrTb"/>
            <w:noWrap w:val="false"/>
          </w:tcPr>
          <w:p>
            <w:pPr>
              <w:ind w:firstLine="0"/>
              <w:jc w:val="center"/>
              <w:spacing w:line="240" w:lineRule="auto"/>
              <w:rPr>
                <w:rFonts w:hint="default" w:ascii="宋体" w:hAnsi="Times New Roman" w:eastAsia="宋体" w:cs="Times New Roman"/>
                <w:sz w:val="21"/>
                <w:szCs w:val="21"/>
              </w:rPr>
            </w:pPr>
            <w:r>
              <w:rPr>
                <w:rFonts w:hint="eastAsia" w:ascii="宋体" w:hAnsi="Times New Roman" w:eastAsia="宋体" w:cs="Times New Roman"/>
                <w:sz w:val="21"/>
                <w:szCs w:val="21"/>
              </w:rPr>
              <w:t xml:space="preserve">次</w:t>
            </w:r>
            <w:r/>
          </w:p>
        </w:tc>
        <w:tc>
          <w:tcPr>
            <w:tcBorders>
              <w:top w:val="single" w:color="auto" w:sz="4" w:space="0"/>
              <w:left w:val="single" w:color="auto" w:sz="4" w:space="0"/>
              <w:bottom w:val="single" w:color="auto" w:sz="4" w:space="0"/>
              <w:right w:val="single" w:color="auto" w:sz="4" w:space="0"/>
            </w:tcBorders>
            <w:tcW w:w="531" w:type="pct"/>
            <w:vAlign w:val="center"/>
            <w:textDirection w:val="lrTb"/>
            <w:noWrap w:val="false"/>
          </w:tcPr>
          <w:p>
            <w:pPr>
              <w:ind w:firstLine="0"/>
              <w:jc w:val="center"/>
              <w:spacing w:line="240" w:lineRule="auto"/>
              <w:rPr>
                <w:rFonts w:hint="default" w:ascii="宋体" w:hAnsi="Times New Roman" w:eastAsia="宋体" w:cs="Times New Roman"/>
                <w:sz w:val="21"/>
                <w:szCs w:val="21"/>
              </w:rPr>
            </w:pPr>
            <w:r>
              <w:rPr>
                <w:rFonts w:hint="eastAsia" w:ascii="宋体" w:hAnsi="Times New Roman" w:eastAsia="宋体" w:cs="Times New Roman"/>
                <w:sz w:val="21"/>
                <w:szCs w:val="21"/>
              </w:rPr>
              <w:t xml:space="preserve">1</w:t>
            </w:r>
            <w:r/>
          </w:p>
        </w:tc>
      </w:tr>
      <w:tr>
        <w:trPr>
          <w:jc w:val="center"/>
        </w:trPr>
        <w:tc>
          <w:tcPr>
            <w:tcBorders>
              <w:top w:val="single" w:color="auto" w:sz="4" w:space="0"/>
              <w:left w:val="single" w:color="auto" w:sz="4" w:space="0"/>
              <w:bottom w:val="single" w:color="auto" w:sz="4" w:space="0"/>
              <w:right w:val="single" w:color="auto" w:sz="4" w:space="0"/>
            </w:tcBorders>
            <w:tcW w:w="445" w:type="pct"/>
            <w:vAlign w:val="center"/>
            <w:textDirection w:val="lrTb"/>
            <w:noWrap w:val="false"/>
          </w:tcPr>
          <w:p>
            <w:pPr>
              <w:ind w:firstLine="0"/>
              <w:jc w:val="center"/>
              <w:spacing w:line="240" w:lineRule="auto"/>
              <w:rPr>
                <w:rFonts w:hint="default" w:ascii="宋体" w:hAnsi="Times New Roman" w:eastAsia="宋体" w:cs="Times New Roman"/>
                <w:sz w:val="21"/>
                <w:szCs w:val="21"/>
              </w:rPr>
            </w:pPr>
            <w:r>
              <w:rPr>
                <w:rFonts w:hint="eastAsia" w:ascii="宋体" w:hAnsi="Times New Roman" w:eastAsia="宋体" w:cs="Times New Roman"/>
                <w:sz w:val="21"/>
                <w:szCs w:val="21"/>
              </w:rPr>
              <w:t xml:space="preserve">31</w:t>
            </w:r>
            <w:r/>
          </w:p>
        </w:tc>
        <w:tc>
          <w:tcPr>
            <w:tcBorders>
              <w:top w:val="none" w:color="000000" w:sz="4" w:space="0"/>
              <w:left w:val="single" w:color="auto" w:sz="4" w:space="0"/>
              <w:bottom w:val="single" w:color="auto" w:sz="4" w:space="0"/>
              <w:right w:val="single" w:color="auto" w:sz="4" w:space="0"/>
            </w:tcBorders>
            <w:tcW w:w="834" w:type="pct"/>
            <w:vAlign w:val="center"/>
            <w:vMerge w:val="restart"/>
            <w:textDirection w:val="lrTb"/>
            <w:noWrap w:val="false"/>
          </w:tcPr>
          <w:p>
            <w:pPr>
              <w:ind w:firstLine="0"/>
              <w:jc w:val="center"/>
              <w:spacing w:line="240" w:lineRule="auto"/>
              <w:rPr>
                <w:rFonts w:hint="default" w:ascii="宋体" w:hAnsi="Times New Roman" w:eastAsia="宋体" w:cs="Times New Roman"/>
                <w:bCs/>
                <w:sz w:val="21"/>
                <w:szCs w:val="21"/>
              </w:rPr>
            </w:pPr>
            <w:r>
              <w:rPr>
                <w:rFonts w:hint="eastAsia" w:ascii="宋体" w:hAnsi="Times New Roman" w:eastAsia="宋体" w:cs="Times New Roman"/>
                <w:bCs/>
                <w:sz w:val="21"/>
                <w:szCs w:val="21"/>
              </w:rPr>
              <w:t xml:space="preserve">落实节假日及恶劣天气应急处置措施的加强和完成情况</w:t>
            </w:r>
            <w:r/>
          </w:p>
        </w:tc>
        <w:tc>
          <w:tcPr>
            <w:tcBorders>
              <w:top w:val="single" w:color="auto" w:sz="4" w:space="0"/>
              <w:left w:val="single" w:color="auto" w:sz="4" w:space="0"/>
              <w:bottom w:val="single" w:color="auto" w:sz="4" w:space="0"/>
              <w:right w:val="single" w:color="auto" w:sz="4" w:space="0"/>
            </w:tcBorders>
            <w:tcW w:w="2784" w:type="pct"/>
            <w:vAlign w:val="center"/>
            <w:textDirection w:val="lrTb"/>
            <w:noWrap w:val="false"/>
          </w:tcPr>
          <w:p>
            <w:pPr>
              <w:ind w:firstLine="0"/>
              <w:jc w:val="left"/>
              <w:spacing w:line="240" w:lineRule="auto"/>
              <w:rPr>
                <w:rFonts w:hint="default" w:ascii="宋体" w:hAnsi="Times New Roman" w:eastAsia="宋体" w:cs="Times New Roman"/>
                <w:sz w:val="21"/>
                <w:szCs w:val="21"/>
              </w:rPr>
            </w:pPr>
            <w:r>
              <w:rPr>
                <w:rFonts w:hint="eastAsia" w:ascii="宋体" w:hAnsi="Times New Roman" w:eastAsia="宋体" w:cs="Times New Roman"/>
                <w:sz w:val="21"/>
                <w:szCs w:val="21"/>
              </w:rPr>
              <w:t xml:space="preserve">未能加大巡检频次和范围的</w:t>
            </w:r>
            <w:r/>
          </w:p>
        </w:tc>
        <w:tc>
          <w:tcPr>
            <w:tcBorders>
              <w:top w:val="single" w:color="auto" w:sz="4" w:space="0"/>
              <w:left w:val="single" w:color="auto" w:sz="4" w:space="0"/>
              <w:bottom w:val="single" w:color="auto" w:sz="4" w:space="0"/>
              <w:right w:val="single" w:color="auto" w:sz="4" w:space="0"/>
            </w:tcBorders>
            <w:tcW w:w="406" w:type="pct"/>
            <w:vAlign w:val="center"/>
            <w:textDirection w:val="lrTb"/>
            <w:noWrap w:val="false"/>
          </w:tcPr>
          <w:p>
            <w:pPr>
              <w:ind w:firstLine="0"/>
              <w:jc w:val="center"/>
              <w:spacing w:line="240" w:lineRule="auto"/>
              <w:rPr>
                <w:rFonts w:hint="default" w:ascii="宋体" w:hAnsi="Times New Roman" w:eastAsia="宋体" w:cs="Times New Roman"/>
                <w:sz w:val="21"/>
                <w:szCs w:val="21"/>
              </w:rPr>
            </w:pPr>
            <w:r>
              <w:rPr>
                <w:rFonts w:hint="eastAsia" w:ascii="宋体" w:hAnsi="Times New Roman" w:eastAsia="宋体" w:cs="Times New Roman"/>
                <w:sz w:val="21"/>
                <w:szCs w:val="21"/>
              </w:rPr>
              <w:t xml:space="preserve">次</w:t>
            </w:r>
            <w:r/>
          </w:p>
        </w:tc>
        <w:tc>
          <w:tcPr>
            <w:tcBorders>
              <w:top w:val="single" w:color="auto" w:sz="4" w:space="0"/>
              <w:left w:val="single" w:color="auto" w:sz="4" w:space="0"/>
              <w:bottom w:val="single" w:color="auto" w:sz="4" w:space="0"/>
              <w:right w:val="single" w:color="auto" w:sz="4" w:space="0"/>
            </w:tcBorders>
            <w:tcW w:w="531" w:type="pct"/>
            <w:vAlign w:val="center"/>
            <w:textDirection w:val="lrTb"/>
            <w:noWrap w:val="false"/>
          </w:tcPr>
          <w:p>
            <w:pPr>
              <w:ind w:firstLine="0"/>
              <w:jc w:val="center"/>
              <w:spacing w:line="240" w:lineRule="auto"/>
              <w:rPr>
                <w:rFonts w:hint="default" w:ascii="宋体" w:hAnsi="Times New Roman" w:eastAsia="宋体" w:cs="Times New Roman"/>
                <w:sz w:val="21"/>
                <w:szCs w:val="21"/>
              </w:rPr>
            </w:pPr>
            <w:r>
              <w:rPr>
                <w:rFonts w:hint="eastAsia" w:ascii="宋体" w:hAnsi="Times New Roman" w:eastAsia="宋体" w:cs="Times New Roman"/>
                <w:sz w:val="21"/>
                <w:szCs w:val="21"/>
              </w:rPr>
              <w:t xml:space="preserve">0.2</w:t>
            </w:r>
            <w:r/>
          </w:p>
        </w:tc>
      </w:tr>
      <w:tr>
        <w:trPr>
          <w:jc w:val="center"/>
        </w:trPr>
        <w:tc>
          <w:tcPr>
            <w:tcBorders>
              <w:top w:val="single" w:color="auto" w:sz="4" w:space="0"/>
              <w:left w:val="single" w:color="auto" w:sz="4" w:space="0"/>
              <w:bottom w:val="single" w:color="auto" w:sz="4" w:space="0"/>
              <w:right w:val="single" w:color="auto" w:sz="4" w:space="0"/>
            </w:tcBorders>
            <w:tcW w:w="445" w:type="pct"/>
            <w:vAlign w:val="center"/>
            <w:textDirection w:val="lrTb"/>
            <w:noWrap w:val="false"/>
          </w:tcPr>
          <w:p>
            <w:pPr>
              <w:ind w:firstLine="0"/>
              <w:jc w:val="center"/>
              <w:spacing w:line="240" w:lineRule="auto"/>
              <w:rPr>
                <w:rFonts w:hint="default" w:ascii="宋体" w:hAnsi="Times New Roman" w:eastAsia="宋体" w:cs="Times New Roman"/>
                <w:sz w:val="21"/>
                <w:szCs w:val="21"/>
              </w:rPr>
            </w:pPr>
            <w:r>
              <w:rPr>
                <w:rFonts w:hint="eastAsia" w:ascii="宋体" w:hAnsi="Times New Roman" w:eastAsia="宋体" w:cs="Times New Roman"/>
                <w:sz w:val="21"/>
                <w:szCs w:val="21"/>
              </w:rPr>
              <w:t xml:space="preserve">32</w:t>
            </w:r>
            <w:r/>
          </w:p>
        </w:tc>
        <w:tc>
          <w:tcPr>
            <w:tcBorders>
              <w:top w:val="none" w:color="000000" w:sz="4" w:space="0"/>
              <w:left w:val="single" w:color="auto" w:sz="4" w:space="0"/>
              <w:bottom w:val="single" w:color="auto" w:sz="4" w:space="0"/>
              <w:right w:val="single" w:color="auto" w:sz="4" w:space="0"/>
            </w:tcBorders>
            <w:tcW w:w="834" w:type="pct"/>
            <w:vAlign w:val="center"/>
            <w:vMerge w:val="continue"/>
            <w:textDirection w:val="lrTb"/>
            <w:noWrap w:val="false"/>
          </w:tcPr>
          <w:p>
            <w:pPr>
              <w:ind w:firstLine="0"/>
              <w:jc w:val="center"/>
              <w:spacing w:line="240" w:lineRule="auto"/>
              <w:rPr>
                <w:rFonts w:hint="default" w:ascii="宋体" w:hAnsi="Times New Roman" w:eastAsia="宋体" w:cs="Times New Roman"/>
                <w:bCs/>
                <w:sz w:val="21"/>
                <w:szCs w:val="21"/>
              </w:rPr>
            </w:pPr>
            <w:r>
              <w:rPr>
                <w:rFonts w:hint="default" w:ascii="宋体" w:hAnsi="Times New Roman" w:eastAsia="宋体" w:cs="Times New Roman"/>
                <w:bCs/>
                <w:sz w:val="21"/>
                <w:szCs w:val="21"/>
              </w:rPr>
            </w:r>
            <w:r/>
          </w:p>
        </w:tc>
        <w:tc>
          <w:tcPr>
            <w:tcBorders>
              <w:top w:val="single" w:color="auto" w:sz="4" w:space="0"/>
              <w:left w:val="single" w:color="auto" w:sz="4" w:space="0"/>
              <w:bottom w:val="single" w:color="auto" w:sz="4" w:space="0"/>
              <w:right w:val="single" w:color="auto" w:sz="4" w:space="0"/>
            </w:tcBorders>
            <w:tcW w:w="2784" w:type="pct"/>
            <w:vAlign w:val="center"/>
            <w:textDirection w:val="lrTb"/>
            <w:noWrap w:val="false"/>
          </w:tcPr>
          <w:p>
            <w:pPr>
              <w:ind w:firstLine="0"/>
              <w:jc w:val="left"/>
              <w:spacing w:line="240" w:lineRule="auto"/>
              <w:rPr>
                <w:rFonts w:hint="default" w:ascii="宋体" w:hAnsi="Times New Roman" w:eastAsia="宋体" w:cs="Times New Roman"/>
                <w:sz w:val="21"/>
                <w:szCs w:val="21"/>
              </w:rPr>
            </w:pPr>
            <w:r>
              <w:rPr>
                <w:rFonts w:hint="eastAsia" w:ascii="宋体" w:hAnsi="Times New Roman" w:eastAsia="宋体" w:cs="Times New Roman"/>
                <w:sz w:val="21"/>
                <w:szCs w:val="21"/>
              </w:rPr>
              <w:t xml:space="preserve">未能制定应急处置预案和增强应急处置力量的</w:t>
            </w:r>
            <w:r/>
          </w:p>
        </w:tc>
        <w:tc>
          <w:tcPr>
            <w:tcBorders>
              <w:top w:val="single" w:color="auto" w:sz="4" w:space="0"/>
              <w:left w:val="single" w:color="auto" w:sz="4" w:space="0"/>
              <w:bottom w:val="single" w:color="auto" w:sz="4" w:space="0"/>
              <w:right w:val="single" w:color="auto" w:sz="4" w:space="0"/>
            </w:tcBorders>
            <w:tcW w:w="406" w:type="pct"/>
            <w:vAlign w:val="center"/>
            <w:textDirection w:val="lrTb"/>
            <w:noWrap w:val="false"/>
          </w:tcPr>
          <w:p>
            <w:pPr>
              <w:ind w:firstLine="0"/>
              <w:jc w:val="center"/>
              <w:spacing w:line="240" w:lineRule="auto"/>
              <w:rPr>
                <w:rFonts w:hint="default" w:ascii="宋体" w:hAnsi="Times New Roman" w:eastAsia="宋体" w:cs="Times New Roman"/>
                <w:sz w:val="21"/>
                <w:szCs w:val="21"/>
              </w:rPr>
            </w:pPr>
            <w:r>
              <w:rPr>
                <w:rFonts w:hint="eastAsia" w:ascii="宋体" w:hAnsi="Times New Roman" w:eastAsia="宋体" w:cs="Times New Roman"/>
                <w:sz w:val="21"/>
                <w:szCs w:val="21"/>
              </w:rPr>
              <w:t xml:space="preserve">次</w:t>
            </w:r>
            <w:r/>
          </w:p>
        </w:tc>
        <w:tc>
          <w:tcPr>
            <w:tcBorders>
              <w:top w:val="single" w:color="auto" w:sz="4" w:space="0"/>
              <w:left w:val="single" w:color="auto" w:sz="4" w:space="0"/>
              <w:bottom w:val="single" w:color="auto" w:sz="4" w:space="0"/>
              <w:right w:val="single" w:color="auto" w:sz="4" w:space="0"/>
            </w:tcBorders>
            <w:tcW w:w="531" w:type="pct"/>
            <w:vAlign w:val="center"/>
            <w:textDirection w:val="lrTb"/>
            <w:noWrap w:val="false"/>
          </w:tcPr>
          <w:p>
            <w:pPr>
              <w:ind w:firstLine="0"/>
              <w:jc w:val="center"/>
              <w:spacing w:line="240" w:lineRule="auto"/>
              <w:rPr>
                <w:rFonts w:hint="default" w:ascii="宋体" w:hAnsi="Times New Roman" w:eastAsia="宋体" w:cs="Times New Roman"/>
                <w:sz w:val="21"/>
                <w:szCs w:val="21"/>
              </w:rPr>
            </w:pPr>
            <w:r>
              <w:rPr>
                <w:rFonts w:hint="eastAsia" w:ascii="宋体" w:hAnsi="Times New Roman" w:eastAsia="宋体" w:cs="Times New Roman"/>
                <w:sz w:val="21"/>
                <w:szCs w:val="21"/>
              </w:rPr>
              <w:t xml:space="preserve">0.2</w:t>
            </w:r>
            <w:r/>
          </w:p>
        </w:tc>
      </w:tr>
      <w:tr>
        <w:trPr>
          <w:jc w:val="center"/>
        </w:trPr>
        <w:tc>
          <w:tcPr>
            <w:tcBorders>
              <w:top w:val="single" w:color="auto" w:sz="4" w:space="0"/>
              <w:left w:val="single" w:color="auto" w:sz="4" w:space="0"/>
              <w:bottom w:val="single" w:color="auto" w:sz="4" w:space="0"/>
              <w:right w:val="single" w:color="auto" w:sz="4" w:space="0"/>
            </w:tcBorders>
            <w:tcW w:w="445" w:type="pct"/>
            <w:vAlign w:val="center"/>
            <w:textDirection w:val="lrTb"/>
            <w:noWrap w:val="false"/>
          </w:tcPr>
          <w:p>
            <w:pPr>
              <w:ind w:firstLine="0"/>
              <w:jc w:val="center"/>
              <w:spacing w:line="240" w:lineRule="auto"/>
              <w:rPr>
                <w:rFonts w:hint="default" w:ascii="宋体" w:hAnsi="Times New Roman" w:eastAsia="宋体" w:cs="Times New Roman"/>
                <w:sz w:val="21"/>
                <w:szCs w:val="21"/>
              </w:rPr>
            </w:pPr>
            <w:r>
              <w:rPr>
                <w:rFonts w:hint="eastAsia" w:ascii="宋体" w:hAnsi="Times New Roman" w:eastAsia="宋体" w:cs="Times New Roman"/>
                <w:sz w:val="21"/>
                <w:szCs w:val="21"/>
              </w:rPr>
              <w:t xml:space="preserve">33</w:t>
            </w:r>
            <w:r/>
          </w:p>
        </w:tc>
        <w:tc>
          <w:tcPr>
            <w:tcBorders>
              <w:top w:val="none" w:color="000000" w:sz="4" w:space="0"/>
              <w:left w:val="single" w:color="auto" w:sz="4" w:space="0"/>
              <w:bottom w:val="single" w:color="auto" w:sz="4" w:space="0"/>
              <w:right w:val="single" w:color="auto" w:sz="4" w:space="0"/>
            </w:tcBorders>
            <w:tcW w:w="834" w:type="pct"/>
            <w:vAlign w:val="center"/>
            <w:vMerge w:val="restart"/>
            <w:textDirection w:val="lrTb"/>
            <w:noWrap w:val="false"/>
          </w:tcPr>
          <w:p>
            <w:pPr>
              <w:ind w:firstLine="0"/>
              <w:jc w:val="center"/>
              <w:spacing w:line="240" w:lineRule="auto"/>
              <w:rPr>
                <w:rFonts w:hint="default" w:ascii="宋体" w:hAnsi="Times New Roman" w:eastAsia="宋体" w:cs="Times New Roman"/>
                <w:bCs/>
                <w:sz w:val="21"/>
                <w:szCs w:val="21"/>
              </w:rPr>
            </w:pPr>
            <w:r>
              <w:rPr>
                <w:rFonts w:hint="eastAsia" w:ascii="宋体" w:hAnsi="Times New Roman" w:eastAsia="宋体" w:cs="Times New Roman"/>
                <w:bCs/>
                <w:sz w:val="21"/>
                <w:szCs w:val="21"/>
              </w:rPr>
              <w:t xml:space="preserve">交通优化情况</w:t>
            </w:r>
            <w:r/>
          </w:p>
        </w:tc>
        <w:tc>
          <w:tcPr>
            <w:tcBorders>
              <w:top w:val="single" w:color="auto" w:sz="4" w:space="0"/>
              <w:left w:val="single" w:color="auto" w:sz="4" w:space="0"/>
              <w:bottom w:val="single" w:color="auto" w:sz="4" w:space="0"/>
              <w:right w:val="single" w:color="auto" w:sz="4" w:space="0"/>
            </w:tcBorders>
            <w:tcW w:w="2784" w:type="pct"/>
            <w:vAlign w:val="center"/>
            <w:textDirection w:val="lrTb"/>
            <w:noWrap w:val="false"/>
          </w:tcPr>
          <w:p>
            <w:pPr>
              <w:ind w:firstLine="0"/>
              <w:jc w:val="left"/>
              <w:spacing w:line="240" w:lineRule="auto"/>
              <w:rPr>
                <w:rFonts w:hint="default" w:ascii="宋体" w:hAnsi="Times New Roman" w:eastAsia="宋体" w:cs="Times New Roman"/>
                <w:sz w:val="21"/>
                <w:szCs w:val="21"/>
              </w:rPr>
            </w:pPr>
            <w:r>
              <w:rPr>
                <w:rFonts w:hint="eastAsia" w:ascii="宋体" w:hAnsi="Times New Roman" w:eastAsia="宋体" w:cs="Times New Roman"/>
                <w:sz w:val="21"/>
                <w:szCs w:val="21"/>
              </w:rPr>
              <w:t xml:space="preserve">配时方案精细程度不够，导致出现严重拥堵或不良影响。</w:t>
            </w:r>
            <w:r/>
          </w:p>
        </w:tc>
        <w:tc>
          <w:tcPr>
            <w:tcBorders>
              <w:top w:val="single" w:color="auto" w:sz="4" w:space="0"/>
              <w:left w:val="single" w:color="auto" w:sz="4" w:space="0"/>
              <w:bottom w:val="single" w:color="auto" w:sz="4" w:space="0"/>
              <w:right w:val="single" w:color="auto" w:sz="4" w:space="0"/>
            </w:tcBorders>
            <w:tcW w:w="406" w:type="pct"/>
            <w:vAlign w:val="center"/>
            <w:textDirection w:val="lrTb"/>
            <w:noWrap w:val="false"/>
          </w:tcPr>
          <w:p>
            <w:pPr>
              <w:ind w:firstLine="0"/>
              <w:jc w:val="center"/>
              <w:spacing w:line="240" w:lineRule="auto"/>
              <w:rPr>
                <w:rFonts w:hint="default" w:ascii="宋体" w:hAnsi="Times New Roman" w:eastAsia="宋体" w:cs="Times New Roman"/>
                <w:sz w:val="21"/>
                <w:szCs w:val="21"/>
              </w:rPr>
            </w:pPr>
            <w:r>
              <w:rPr>
                <w:rFonts w:hint="eastAsia" w:ascii="宋体" w:hAnsi="Times New Roman" w:eastAsia="宋体" w:cs="Times New Roman"/>
                <w:sz w:val="21"/>
                <w:szCs w:val="21"/>
              </w:rPr>
              <w:t xml:space="preserve">次</w:t>
            </w:r>
            <w:r/>
          </w:p>
        </w:tc>
        <w:tc>
          <w:tcPr>
            <w:tcBorders>
              <w:top w:val="single" w:color="auto" w:sz="4" w:space="0"/>
              <w:left w:val="single" w:color="auto" w:sz="4" w:space="0"/>
              <w:bottom w:val="single" w:color="auto" w:sz="4" w:space="0"/>
              <w:right w:val="single" w:color="auto" w:sz="4" w:space="0"/>
            </w:tcBorders>
            <w:tcW w:w="531" w:type="pct"/>
            <w:vAlign w:val="center"/>
            <w:textDirection w:val="lrTb"/>
            <w:noWrap w:val="false"/>
          </w:tcPr>
          <w:p>
            <w:pPr>
              <w:ind w:firstLine="0"/>
              <w:jc w:val="center"/>
              <w:spacing w:line="240" w:lineRule="auto"/>
              <w:rPr>
                <w:rFonts w:hint="default" w:ascii="宋体" w:hAnsi="Times New Roman" w:eastAsia="宋体" w:cs="Times New Roman"/>
                <w:sz w:val="21"/>
                <w:szCs w:val="21"/>
              </w:rPr>
            </w:pPr>
            <w:r>
              <w:rPr>
                <w:rFonts w:hint="eastAsia" w:ascii="宋体" w:hAnsi="Times New Roman" w:eastAsia="宋体" w:cs="Times New Roman"/>
                <w:sz w:val="21"/>
                <w:szCs w:val="21"/>
              </w:rPr>
              <w:t xml:space="preserve">1</w:t>
            </w:r>
            <w:r/>
          </w:p>
        </w:tc>
      </w:tr>
      <w:tr>
        <w:trPr>
          <w:jc w:val="center"/>
          <w:trHeight w:val="609"/>
        </w:trPr>
        <w:tc>
          <w:tcPr>
            <w:tcBorders>
              <w:top w:val="single" w:color="auto" w:sz="4" w:space="0"/>
              <w:left w:val="single" w:color="auto" w:sz="4" w:space="0"/>
              <w:bottom w:val="single" w:color="auto" w:sz="4" w:space="0"/>
              <w:right w:val="single" w:color="auto" w:sz="4" w:space="0"/>
            </w:tcBorders>
            <w:tcW w:w="445" w:type="pct"/>
            <w:vAlign w:val="center"/>
            <w:textDirection w:val="lrTb"/>
            <w:noWrap w:val="false"/>
          </w:tcPr>
          <w:p>
            <w:pPr>
              <w:ind w:firstLine="0"/>
              <w:jc w:val="center"/>
              <w:spacing w:line="240" w:lineRule="auto"/>
              <w:rPr>
                <w:rFonts w:hint="default" w:ascii="宋体" w:hAnsi="Times New Roman" w:eastAsia="宋体" w:cs="Times New Roman"/>
                <w:sz w:val="21"/>
                <w:szCs w:val="21"/>
              </w:rPr>
            </w:pPr>
            <w:r>
              <w:rPr>
                <w:rFonts w:hint="eastAsia" w:ascii="宋体" w:hAnsi="Times New Roman" w:eastAsia="宋体" w:cs="Times New Roman"/>
                <w:sz w:val="21"/>
                <w:szCs w:val="21"/>
              </w:rPr>
              <w:t xml:space="preserve">34</w:t>
            </w:r>
            <w:r/>
          </w:p>
        </w:tc>
        <w:tc>
          <w:tcPr>
            <w:tcBorders>
              <w:top w:val="none" w:color="000000" w:sz="4" w:space="0"/>
              <w:left w:val="single" w:color="auto" w:sz="4" w:space="0"/>
              <w:bottom w:val="single" w:color="auto" w:sz="4" w:space="0"/>
              <w:right w:val="single" w:color="auto" w:sz="4" w:space="0"/>
            </w:tcBorders>
            <w:tcW w:w="834" w:type="pct"/>
            <w:vAlign w:val="center"/>
            <w:vMerge w:val="continue"/>
            <w:textDirection w:val="lrTb"/>
            <w:noWrap w:val="false"/>
          </w:tcPr>
          <w:p>
            <w:pPr>
              <w:ind w:firstLine="0"/>
              <w:jc w:val="center"/>
              <w:spacing w:line="240" w:lineRule="auto"/>
              <w:rPr>
                <w:rFonts w:hint="default" w:ascii="宋体" w:hAnsi="Times New Roman" w:eastAsia="宋体" w:cs="Times New Roman"/>
                <w:bCs/>
                <w:sz w:val="21"/>
                <w:szCs w:val="21"/>
              </w:rPr>
            </w:pPr>
            <w:r>
              <w:rPr>
                <w:rFonts w:hint="default" w:ascii="宋体" w:hAnsi="Times New Roman" w:eastAsia="宋体" w:cs="Times New Roman"/>
                <w:bCs/>
                <w:sz w:val="21"/>
                <w:szCs w:val="21"/>
              </w:rPr>
            </w:r>
            <w:r/>
          </w:p>
        </w:tc>
        <w:tc>
          <w:tcPr>
            <w:tcBorders>
              <w:top w:val="single" w:color="auto" w:sz="4" w:space="0"/>
              <w:left w:val="single" w:color="auto" w:sz="4" w:space="0"/>
              <w:bottom w:val="single" w:color="auto" w:sz="4" w:space="0"/>
              <w:right w:val="single" w:color="auto" w:sz="4" w:space="0"/>
            </w:tcBorders>
            <w:tcW w:w="2784" w:type="pct"/>
            <w:vAlign w:val="center"/>
            <w:textDirection w:val="lrTb"/>
            <w:noWrap w:val="false"/>
          </w:tcPr>
          <w:p>
            <w:pPr>
              <w:ind w:firstLine="0"/>
              <w:jc w:val="left"/>
              <w:spacing w:line="240" w:lineRule="auto"/>
              <w:rPr>
                <w:rFonts w:hint="default" w:ascii="宋体" w:hAnsi="Times New Roman" w:eastAsia="宋体" w:cs="Times New Roman"/>
                <w:sz w:val="21"/>
                <w:szCs w:val="21"/>
              </w:rPr>
            </w:pPr>
            <w:r>
              <w:rPr>
                <w:rFonts w:hint="eastAsia" w:ascii="宋体" w:hAnsi="Times New Roman" w:eastAsia="宋体" w:cs="Times New Roman"/>
                <w:sz w:val="21"/>
                <w:szCs w:val="21"/>
              </w:rPr>
              <w:t xml:space="preserve">在当月信号优化道路中，方案不能保证停车一次平均连续通过三处交叉口。</w:t>
            </w:r>
            <w:r/>
          </w:p>
        </w:tc>
        <w:tc>
          <w:tcPr>
            <w:tcBorders>
              <w:top w:val="single" w:color="auto" w:sz="4" w:space="0"/>
              <w:left w:val="single" w:color="auto" w:sz="4" w:space="0"/>
              <w:bottom w:val="single" w:color="auto" w:sz="4" w:space="0"/>
              <w:right w:val="single" w:color="auto" w:sz="4" w:space="0"/>
            </w:tcBorders>
            <w:tcW w:w="406" w:type="pct"/>
            <w:vAlign w:val="center"/>
            <w:textDirection w:val="lrTb"/>
            <w:noWrap w:val="false"/>
          </w:tcPr>
          <w:p>
            <w:pPr>
              <w:ind w:firstLine="0"/>
              <w:jc w:val="center"/>
              <w:spacing w:line="240" w:lineRule="auto"/>
              <w:rPr>
                <w:rFonts w:hint="default" w:ascii="宋体" w:hAnsi="Times New Roman" w:eastAsia="宋体" w:cs="Times New Roman"/>
                <w:sz w:val="21"/>
                <w:szCs w:val="21"/>
              </w:rPr>
            </w:pPr>
            <w:r>
              <w:rPr>
                <w:rFonts w:hint="eastAsia" w:ascii="宋体" w:hAnsi="Times New Roman" w:eastAsia="宋体" w:cs="Times New Roman"/>
                <w:sz w:val="21"/>
                <w:szCs w:val="21"/>
              </w:rPr>
              <w:t xml:space="preserve">次</w:t>
            </w:r>
            <w:r/>
          </w:p>
        </w:tc>
        <w:tc>
          <w:tcPr>
            <w:tcBorders>
              <w:top w:val="single" w:color="auto" w:sz="4" w:space="0"/>
              <w:left w:val="single" w:color="auto" w:sz="4" w:space="0"/>
              <w:bottom w:val="single" w:color="auto" w:sz="4" w:space="0"/>
              <w:right w:val="single" w:color="auto" w:sz="4" w:space="0"/>
            </w:tcBorders>
            <w:tcW w:w="531" w:type="pct"/>
            <w:vAlign w:val="center"/>
            <w:textDirection w:val="lrTb"/>
            <w:noWrap w:val="false"/>
          </w:tcPr>
          <w:p>
            <w:pPr>
              <w:ind w:firstLine="0"/>
              <w:jc w:val="center"/>
              <w:spacing w:line="240" w:lineRule="auto"/>
              <w:rPr>
                <w:rFonts w:hint="default" w:ascii="宋体" w:hAnsi="Times New Roman" w:eastAsia="宋体" w:cs="Times New Roman"/>
                <w:sz w:val="21"/>
                <w:szCs w:val="21"/>
              </w:rPr>
            </w:pPr>
            <w:r>
              <w:rPr>
                <w:rFonts w:hint="eastAsia" w:ascii="宋体" w:hAnsi="Times New Roman" w:eastAsia="宋体" w:cs="Times New Roman"/>
                <w:sz w:val="21"/>
                <w:szCs w:val="21"/>
              </w:rPr>
              <w:t xml:space="preserve">1</w:t>
            </w:r>
            <w:r/>
          </w:p>
        </w:tc>
      </w:tr>
      <w:tr>
        <w:trPr>
          <w:jc w:val="center"/>
        </w:trPr>
        <w:tc>
          <w:tcPr>
            <w:tcBorders>
              <w:top w:val="single" w:color="auto" w:sz="4" w:space="0"/>
              <w:left w:val="single" w:color="auto" w:sz="4" w:space="0"/>
              <w:bottom w:val="single" w:color="auto" w:sz="4" w:space="0"/>
              <w:right w:val="single" w:color="auto" w:sz="4" w:space="0"/>
            </w:tcBorders>
            <w:tcW w:w="445" w:type="pct"/>
            <w:vAlign w:val="center"/>
            <w:textDirection w:val="lrTb"/>
            <w:noWrap w:val="false"/>
          </w:tcPr>
          <w:p>
            <w:pPr>
              <w:ind w:firstLine="0"/>
              <w:jc w:val="center"/>
              <w:spacing w:line="240" w:lineRule="auto"/>
              <w:rPr>
                <w:rFonts w:hint="default" w:ascii="宋体" w:hAnsi="Times New Roman" w:eastAsia="宋体" w:cs="Times New Roman"/>
                <w:sz w:val="21"/>
                <w:szCs w:val="21"/>
              </w:rPr>
            </w:pPr>
            <w:r>
              <w:rPr>
                <w:rFonts w:hint="eastAsia" w:ascii="宋体" w:hAnsi="Times New Roman" w:eastAsia="宋体" w:cs="Times New Roman"/>
                <w:sz w:val="21"/>
                <w:szCs w:val="21"/>
              </w:rPr>
              <w:t xml:space="preserve">35</w:t>
            </w:r>
            <w:r/>
          </w:p>
        </w:tc>
        <w:tc>
          <w:tcPr>
            <w:tcBorders>
              <w:top w:val="none" w:color="000000" w:sz="4" w:space="0"/>
              <w:left w:val="single" w:color="auto" w:sz="4" w:space="0"/>
              <w:bottom w:val="single" w:color="auto" w:sz="4" w:space="0"/>
              <w:right w:val="single" w:color="auto" w:sz="4" w:space="0"/>
            </w:tcBorders>
            <w:tcW w:w="834" w:type="pct"/>
            <w:vAlign w:val="center"/>
            <w:vMerge w:val="continue"/>
            <w:textDirection w:val="lrTb"/>
            <w:noWrap w:val="false"/>
          </w:tcPr>
          <w:p>
            <w:pPr>
              <w:ind w:firstLine="0"/>
              <w:jc w:val="center"/>
              <w:spacing w:line="240" w:lineRule="auto"/>
              <w:rPr>
                <w:rFonts w:hint="default" w:ascii="宋体" w:hAnsi="Times New Roman" w:eastAsia="宋体" w:cs="Times New Roman"/>
                <w:bCs/>
                <w:sz w:val="21"/>
                <w:szCs w:val="21"/>
              </w:rPr>
            </w:pPr>
            <w:r>
              <w:rPr>
                <w:rFonts w:hint="default" w:ascii="宋体" w:hAnsi="Times New Roman" w:eastAsia="宋体" w:cs="Times New Roman"/>
                <w:bCs/>
                <w:sz w:val="21"/>
                <w:szCs w:val="21"/>
              </w:rPr>
            </w:r>
            <w:r/>
          </w:p>
        </w:tc>
        <w:tc>
          <w:tcPr>
            <w:tcBorders>
              <w:top w:val="single" w:color="auto" w:sz="4" w:space="0"/>
              <w:left w:val="single" w:color="auto" w:sz="4" w:space="0"/>
              <w:bottom w:val="single" w:color="auto" w:sz="4" w:space="0"/>
              <w:right w:val="single" w:color="auto" w:sz="4" w:space="0"/>
            </w:tcBorders>
            <w:tcW w:w="2784" w:type="pct"/>
            <w:vAlign w:val="center"/>
            <w:textDirection w:val="lrTb"/>
            <w:noWrap w:val="false"/>
          </w:tcPr>
          <w:p>
            <w:pPr>
              <w:ind w:firstLine="0"/>
              <w:jc w:val="left"/>
              <w:spacing w:line="240" w:lineRule="auto"/>
              <w:rPr>
                <w:rFonts w:hint="default" w:ascii="宋体" w:hAnsi="Times New Roman" w:eastAsia="宋体" w:cs="Times New Roman"/>
                <w:sz w:val="21"/>
                <w:szCs w:val="21"/>
              </w:rPr>
            </w:pPr>
            <w:r>
              <w:rPr>
                <w:rFonts w:hint="eastAsia" w:ascii="宋体" w:hAnsi="Times New Roman" w:eastAsia="宋体" w:cs="Times New Roman"/>
                <w:sz w:val="21"/>
                <w:szCs w:val="21"/>
              </w:rPr>
              <w:t xml:space="preserve">信号配时方案出现明显错误可能会存在安全隐患。</w:t>
            </w:r>
            <w:r/>
          </w:p>
        </w:tc>
        <w:tc>
          <w:tcPr>
            <w:tcBorders>
              <w:top w:val="single" w:color="auto" w:sz="4" w:space="0"/>
              <w:left w:val="single" w:color="auto" w:sz="4" w:space="0"/>
              <w:bottom w:val="single" w:color="auto" w:sz="4" w:space="0"/>
              <w:right w:val="single" w:color="auto" w:sz="4" w:space="0"/>
            </w:tcBorders>
            <w:tcW w:w="406" w:type="pct"/>
            <w:vAlign w:val="center"/>
            <w:textDirection w:val="lrTb"/>
            <w:noWrap w:val="false"/>
          </w:tcPr>
          <w:p>
            <w:pPr>
              <w:ind w:firstLine="0"/>
              <w:jc w:val="center"/>
              <w:spacing w:line="240" w:lineRule="auto"/>
              <w:rPr>
                <w:rFonts w:hint="default" w:ascii="宋体" w:hAnsi="Times New Roman" w:eastAsia="宋体" w:cs="Times New Roman"/>
                <w:sz w:val="21"/>
                <w:szCs w:val="21"/>
              </w:rPr>
            </w:pPr>
            <w:r>
              <w:rPr>
                <w:rFonts w:hint="eastAsia" w:ascii="宋体" w:hAnsi="Times New Roman" w:eastAsia="宋体" w:cs="Times New Roman"/>
                <w:sz w:val="21"/>
                <w:szCs w:val="21"/>
              </w:rPr>
              <w:t xml:space="preserve">次</w:t>
            </w:r>
            <w:r/>
          </w:p>
        </w:tc>
        <w:tc>
          <w:tcPr>
            <w:tcBorders>
              <w:top w:val="single" w:color="auto" w:sz="4" w:space="0"/>
              <w:left w:val="single" w:color="auto" w:sz="4" w:space="0"/>
              <w:bottom w:val="single" w:color="auto" w:sz="4" w:space="0"/>
              <w:right w:val="single" w:color="auto" w:sz="4" w:space="0"/>
            </w:tcBorders>
            <w:tcW w:w="531" w:type="pct"/>
            <w:vAlign w:val="center"/>
            <w:textDirection w:val="lrTb"/>
            <w:noWrap w:val="false"/>
          </w:tcPr>
          <w:p>
            <w:pPr>
              <w:ind w:firstLine="0"/>
              <w:jc w:val="center"/>
              <w:spacing w:line="240" w:lineRule="auto"/>
              <w:rPr>
                <w:rFonts w:hint="default" w:ascii="宋体" w:hAnsi="Times New Roman" w:eastAsia="宋体" w:cs="Times New Roman"/>
                <w:sz w:val="21"/>
                <w:szCs w:val="21"/>
              </w:rPr>
            </w:pPr>
            <w:r>
              <w:rPr>
                <w:rFonts w:hint="eastAsia" w:ascii="宋体" w:hAnsi="Times New Roman" w:eastAsia="宋体" w:cs="Times New Roman"/>
                <w:sz w:val="21"/>
                <w:szCs w:val="21"/>
              </w:rPr>
              <w:t xml:space="preserve">1</w:t>
            </w:r>
            <w:r/>
          </w:p>
        </w:tc>
      </w:tr>
    </w:tbl>
    <w:p>
      <w:pPr>
        <w:ind w:firstLine="480"/>
        <w:spacing w:line="360" w:lineRule="auto"/>
        <w:rPr>
          <w:rFonts w:hint="default" w:ascii="宋体" w:hAnsi="Times New Roman" w:eastAsia="宋体" w:cs="Times New Roman"/>
          <w:sz w:val="24"/>
          <w:szCs w:val="28"/>
        </w:rPr>
      </w:pPr>
      <w:r>
        <w:rPr>
          <w:rFonts w:hint="default" w:ascii="宋体" w:hAnsi="Times New Roman" w:eastAsia="宋体" w:cs="Times New Roman"/>
          <w:sz w:val="24"/>
          <w:szCs w:val="28"/>
        </w:rPr>
      </w:r>
      <w:r/>
    </w:p>
    <w:p>
      <w:pPr>
        <w:ind w:left="0" w:firstLine="480"/>
        <w:jc w:val="both"/>
        <w:spacing w:after="0" w:line="360" w:lineRule="auto"/>
        <w:widowControl w:val="off"/>
        <w:rPr>
          <w:rFonts w:ascii="宋体" w:hAnsi="宋体" w:eastAsia="宋体" w:cs="Times New Roman"/>
          <w:sz w:val="24"/>
          <w:szCs w:val="28"/>
          <w:lang w:val="en-US" w:eastAsia="zh-CN" w:bidi="ar-SA"/>
        </w:rPr>
      </w:pPr>
      <w:r>
        <w:rPr>
          <w:rFonts w:ascii="宋体" w:hAnsi="宋体" w:eastAsia="宋体" w:cs="Times New Roman"/>
          <w:sz w:val="24"/>
          <w:szCs w:val="28"/>
          <w:lang w:val="en-US" w:eastAsia="zh-CN" w:bidi="ar-SA"/>
        </w:rPr>
      </w:r>
      <w:r/>
    </w:p>
    <w:p>
      <w:pPr>
        <w:ind w:firstLine="480"/>
        <w:spacing w:line="360" w:lineRule="auto"/>
        <w:rPr>
          <w:rFonts w:hint="default" w:ascii="宋体" w:hAnsi="Times New Roman" w:eastAsia="宋体" w:cs="Times New Roman"/>
          <w:sz w:val="24"/>
          <w:szCs w:val="28"/>
        </w:rPr>
      </w:pPr>
      <w:r>
        <w:rPr>
          <w:rFonts w:hint="eastAsia" w:ascii="宋体" w:hAnsi="Times New Roman" w:eastAsia="宋体" w:cs="Times New Roman"/>
          <w:sz w:val="24"/>
          <w:szCs w:val="28"/>
        </w:rPr>
        <w:t xml:space="preserve">2、考核加分</w:t>
      </w:r>
      <w:r/>
    </w:p>
    <w:tbl>
      <w:tblPr>
        <w:tblStyle w:val="883"/>
        <w:tblW w:w="5000" w:type="pct"/>
        <w:jc w:val="righ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9"/>
        <w:gridCol w:w="1108"/>
        <w:gridCol w:w="5527"/>
        <w:gridCol w:w="907"/>
        <w:gridCol w:w="1097"/>
      </w:tblGrid>
      <w:tr>
        <w:trPr>
          <w:jc w:val="right"/>
        </w:trPr>
        <w:tc>
          <w:tcPr>
            <w:tcBorders>
              <w:top w:val="single" w:color="auto" w:sz="4" w:space="0"/>
              <w:left w:val="single" w:color="auto" w:sz="4" w:space="0"/>
              <w:bottom w:val="single" w:color="auto" w:sz="4" w:space="0"/>
              <w:right w:val="single" w:color="auto" w:sz="4" w:space="0"/>
            </w:tcBorders>
            <w:tcW w:w="438" w:type="pct"/>
            <w:vAlign w:val="center"/>
            <w:textDirection w:val="lrTb"/>
            <w:noWrap w:val="false"/>
          </w:tcPr>
          <w:p>
            <w:pPr>
              <w:ind w:firstLine="0"/>
              <w:jc w:val="center"/>
              <w:spacing w:line="240" w:lineRule="auto"/>
              <w:rPr>
                <w:rFonts w:hint="default" w:ascii="宋体" w:hAnsi="Times New Roman" w:eastAsia="宋体" w:cs="Times New Roman"/>
                <w:b/>
                <w:sz w:val="21"/>
                <w:szCs w:val="22"/>
              </w:rPr>
            </w:pPr>
            <w:r>
              <w:rPr>
                <w:rFonts w:hint="eastAsia" w:ascii="宋体" w:hAnsi="Times New Roman" w:eastAsia="宋体" w:cs="Times New Roman"/>
                <w:b/>
                <w:sz w:val="21"/>
                <w:szCs w:val="22"/>
              </w:rPr>
              <w:t xml:space="preserve">序号</w:t>
            </w:r>
            <w:r/>
          </w:p>
        </w:tc>
        <w:tc>
          <w:tcPr>
            <w:tcBorders>
              <w:top w:val="single" w:color="auto" w:sz="4" w:space="0"/>
              <w:left w:val="single" w:color="auto" w:sz="4" w:space="0"/>
              <w:bottom w:val="single" w:color="auto" w:sz="4" w:space="0"/>
              <w:right w:val="single" w:color="auto" w:sz="4" w:space="0"/>
            </w:tcBorders>
            <w:tcW w:w="585" w:type="pct"/>
            <w:vAlign w:val="center"/>
            <w:textDirection w:val="lrTb"/>
            <w:noWrap w:val="false"/>
          </w:tcPr>
          <w:p>
            <w:pPr>
              <w:ind w:firstLine="0"/>
              <w:jc w:val="center"/>
              <w:spacing w:line="240" w:lineRule="auto"/>
              <w:rPr>
                <w:rFonts w:hint="default" w:ascii="宋体" w:hAnsi="Times New Roman" w:eastAsia="宋体" w:cs="Times New Roman"/>
                <w:b/>
                <w:sz w:val="21"/>
                <w:szCs w:val="22"/>
              </w:rPr>
            </w:pPr>
            <w:r>
              <w:rPr>
                <w:rFonts w:hint="eastAsia" w:ascii="宋体" w:hAnsi="Times New Roman" w:eastAsia="宋体" w:cs="Times New Roman"/>
                <w:b/>
                <w:sz w:val="21"/>
                <w:szCs w:val="22"/>
              </w:rPr>
              <w:t xml:space="preserve">指标</w:t>
            </w:r>
            <w:r/>
          </w:p>
        </w:tc>
        <w:tc>
          <w:tcPr>
            <w:tcBorders>
              <w:top w:val="single" w:color="auto" w:sz="4" w:space="0"/>
              <w:left w:val="single" w:color="auto" w:sz="4" w:space="0"/>
              <w:bottom w:val="single" w:color="auto" w:sz="4" w:space="0"/>
              <w:right w:val="single" w:color="auto" w:sz="4" w:space="0"/>
            </w:tcBorders>
            <w:tcW w:w="2919" w:type="pct"/>
            <w:vAlign w:val="center"/>
            <w:textDirection w:val="lrTb"/>
            <w:noWrap w:val="false"/>
          </w:tcPr>
          <w:p>
            <w:pPr>
              <w:ind w:firstLine="0"/>
              <w:jc w:val="center"/>
              <w:spacing w:line="240" w:lineRule="auto"/>
              <w:rPr>
                <w:rFonts w:hint="default" w:ascii="宋体" w:hAnsi="Times New Roman" w:eastAsia="宋体" w:cs="Times New Roman"/>
                <w:b/>
                <w:sz w:val="21"/>
                <w:szCs w:val="22"/>
              </w:rPr>
            </w:pPr>
            <w:r>
              <w:rPr>
                <w:rFonts w:hint="eastAsia" w:ascii="宋体" w:hAnsi="Times New Roman" w:eastAsia="宋体" w:cs="Times New Roman"/>
                <w:b/>
                <w:sz w:val="21"/>
                <w:szCs w:val="22"/>
              </w:rPr>
              <w:t xml:space="preserve">检查、考核情况</w:t>
            </w:r>
            <w:r/>
          </w:p>
        </w:tc>
        <w:tc>
          <w:tcPr>
            <w:tcBorders>
              <w:top w:val="single" w:color="auto" w:sz="4" w:space="0"/>
              <w:left w:val="single" w:color="auto" w:sz="4" w:space="0"/>
              <w:bottom w:val="single" w:color="auto" w:sz="4" w:space="0"/>
              <w:right w:val="single" w:color="auto" w:sz="4" w:space="0"/>
            </w:tcBorders>
            <w:tcW w:w="479" w:type="pct"/>
            <w:vAlign w:val="center"/>
            <w:textDirection w:val="lrTb"/>
            <w:noWrap w:val="false"/>
          </w:tcPr>
          <w:p>
            <w:pPr>
              <w:ind w:firstLine="0"/>
              <w:jc w:val="center"/>
              <w:spacing w:line="240" w:lineRule="auto"/>
              <w:rPr>
                <w:rFonts w:hint="default" w:ascii="宋体" w:hAnsi="Times New Roman" w:eastAsia="宋体" w:cs="Times New Roman"/>
                <w:b/>
                <w:sz w:val="21"/>
                <w:szCs w:val="22"/>
              </w:rPr>
            </w:pPr>
            <w:r>
              <w:rPr>
                <w:rFonts w:hint="eastAsia" w:ascii="宋体" w:hAnsi="Times New Roman" w:eastAsia="宋体" w:cs="Times New Roman"/>
                <w:b/>
                <w:sz w:val="21"/>
                <w:szCs w:val="22"/>
              </w:rPr>
              <w:t xml:space="preserve">单位</w:t>
            </w:r>
            <w:r/>
          </w:p>
        </w:tc>
        <w:tc>
          <w:tcPr>
            <w:tcBorders>
              <w:top w:val="single" w:color="auto" w:sz="4" w:space="0"/>
              <w:left w:val="single" w:color="auto" w:sz="4" w:space="0"/>
              <w:bottom w:val="single" w:color="auto" w:sz="4" w:space="0"/>
              <w:right w:val="single" w:color="auto" w:sz="4" w:space="0"/>
            </w:tcBorders>
            <w:tcW w:w="579" w:type="pct"/>
            <w:vAlign w:val="center"/>
            <w:textDirection w:val="lrTb"/>
            <w:noWrap w:val="false"/>
          </w:tcPr>
          <w:p>
            <w:pPr>
              <w:ind w:firstLine="0"/>
              <w:jc w:val="center"/>
              <w:spacing w:line="240" w:lineRule="auto"/>
              <w:rPr>
                <w:rFonts w:hint="default" w:ascii="宋体" w:hAnsi="Times New Roman" w:eastAsia="宋体" w:cs="Times New Roman"/>
                <w:b/>
                <w:sz w:val="21"/>
                <w:szCs w:val="22"/>
              </w:rPr>
            </w:pPr>
            <w:r>
              <w:rPr>
                <w:rFonts w:hint="eastAsia" w:ascii="宋体" w:hAnsi="Times New Roman" w:eastAsia="宋体" w:cs="Times New Roman"/>
                <w:b/>
                <w:sz w:val="21"/>
                <w:szCs w:val="22"/>
              </w:rPr>
              <w:t xml:space="preserve">加分</w:t>
            </w:r>
            <w:r/>
          </w:p>
        </w:tc>
      </w:tr>
      <w:tr>
        <w:trPr>
          <w:jc w:val="right"/>
          <w:trHeight w:val="90"/>
        </w:trPr>
        <w:tc>
          <w:tcPr>
            <w:tcBorders>
              <w:top w:val="single" w:color="auto" w:sz="4" w:space="0"/>
              <w:left w:val="single" w:color="auto" w:sz="4" w:space="0"/>
              <w:bottom w:val="single" w:color="auto" w:sz="4" w:space="0"/>
              <w:right w:val="single" w:color="auto" w:sz="4" w:space="0"/>
            </w:tcBorders>
            <w:tcW w:w="438" w:type="pct"/>
            <w:vAlign w:val="center"/>
            <w:textDirection w:val="lrTb"/>
            <w:noWrap w:val="false"/>
          </w:tcPr>
          <w:p>
            <w:pPr>
              <w:ind w:firstLine="0"/>
              <w:jc w:val="center"/>
              <w:spacing w:line="240" w:lineRule="auto"/>
              <w:rPr>
                <w:rFonts w:hint="default" w:ascii="宋体" w:hAnsi="Times New Roman" w:eastAsia="宋体" w:cs="Times New Roman"/>
                <w:sz w:val="21"/>
                <w:szCs w:val="22"/>
              </w:rPr>
            </w:pPr>
            <w:r>
              <w:rPr>
                <w:rFonts w:hint="eastAsia" w:ascii="宋体" w:hAnsi="Times New Roman" w:eastAsia="宋体" w:cs="Times New Roman"/>
                <w:sz w:val="21"/>
                <w:szCs w:val="22"/>
              </w:rPr>
              <w:t xml:space="preserve">1</w:t>
            </w:r>
            <w:r/>
          </w:p>
        </w:tc>
        <w:tc>
          <w:tcPr>
            <w:tcBorders>
              <w:top w:val="none" w:color="000000" w:sz="4" w:space="0"/>
              <w:left w:val="single" w:color="auto" w:sz="4" w:space="0"/>
              <w:bottom w:val="single" w:color="auto" w:sz="4" w:space="0"/>
              <w:right w:val="single" w:color="auto" w:sz="4" w:space="0"/>
            </w:tcBorders>
            <w:tcW w:w="585" w:type="pct"/>
            <w:vAlign w:val="center"/>
            <w:vMerge w:val="restart"/>
            <w:textDirection w:val="lrTb"/>
            <w:noWrap w:val="false"/>
          </w:tcPr>
          <w:p>
            <w:pPr>
              <w:ind w:firstLine="0"/>
              <w:jc w:val="center"/>
              <w:spacing w:line="240" w:lineRule="auto"/>
              <w:rPr>
                <w:rFonts w:hint="default" w:ascii="宋体" w:hAnsi="Times New Roman" w:eastAsia="宋体" w:cs="Times New Roman"/>
                <w:sz w:val="21"/>
                <w:szCs w:val="22"/>
              </w:rPr>
            </w:pPr>
            <w:r>
              <w:rPr>
                <w:rFonts w:hint="eastAsia" w:ascii="宋体" w:hAnsi="Times New Roman" w:eastAsia="宋体" w:cs="Times New Roman"/>
                <w:sz w:val="21"/>
                <w:szCs w:val="22"/>
              </w:rPr>
              <w:t xml:space="preserve">综合类</w:t>
            </w:r>
            <w:r/>
          </w:p>
        </w:tc>
        <w:tc>
          <w:tcPr>
            <w:tcBorders>
              <w:top w:val="single" w:color="auto" w:sz="4" w:space="0"/>
              <w:left w:val="single" w:color="auto" w:sz="4" w:space="0"/>
              <w:bottom w:val="single" w:color="auto" w:sz="4" w:space="0"/>
              <w:right w:val="single" w:color="auto" w:sz="4" w:space="0"/>
            </w:tcBorders>
            <w:tcW w:w="2919" w:type="pct"/>
            <w:vAlign w:val="center"/>
            <w:textDirection w:val="lrTb"/>
            <w:noWrap w:val="false"/>
          </w:tcPr>
          <w:p>
            <w:pPr>
              <w:ind w:firstLine="0"/>
              <w:spacing w:line="240" w:lineRule="auto"/>
              <w:rPr>
                <w:rFonts w:hint="default" w:ascii="宋体" w:hAnsi="Times New Roman" w:eastAsia="宋体" w:cs="Times New Roman"/>
                <w:sz w:val="21"/>
                <w:szCs w:val="22"/>
              </w:rPr>
            </w:pPr>
            <w:r>
              <w:rPr>
                <w:rFonts w:hint="eastAsia" w:ascii="宋体" w:hAnsi="Times New Roman" w:eastAsia="宋体" w:cs="Times New Roman"/>
                <w:sz w:val="21"/>
                <w:szCs w:val="22"/>
              </w:rPr>
              <w:t xml:space="preserve">维护区域内道路交通信号设备完好率连续一个月保持良好，杆件、信号灯没有发现明显污损、破损、移位、缺失的情况。</w:t>
            </w:r>
            <w:r/>
          </w:p>
        </w:tc>
        <w:tc>
          <w:tcPr>
            <w:tcBorders>
              <w:top w:val="single" w:color="auto" w:sz="4" w:space="0"/>
              <w:left w:val="single" w:color="auto" w:sz="4" w:space="0"/>
              <w:bottom w:val="single" w:color="auto" w:sz="4" w:space="0"/>
              <w:right w:val="single" w:color="auto" w:sz="4" w:space="0"/>
            </w:tcBorders>
            <w:tcW w:w="479" w:type="pct"/>
            <w:vAlign w:val="center"/>
            <w:textDirection w:val="lrTb"/>
            <w:noWrap w:val="false"/>
          </w:tcPr>
          <w:p>
            <w:pPr>
              <w:ind w:firstLine="0"/>
              <w:jc w:val="center"/>
              <w:spacing w:line="240" w:lineRule="auto"/>
              <w:rPr>
                <w:rFonts w:hint="default" w:ascii="宋体" w:hAnsi="Times New Roman" w:eastAsia="宋体" w:cs="Times New Roman"/>
                <w:sz w:val="21"/>
                <w:szCs w:val="22"/>
              </w:rPr>
            </w:pPr>
            <w:r>
              <w:rPr>
                <w:rFonts w:hint="eastAsia" w:ascii="宋体" w:hAnsi="Times New Roman" w:eastAsia="宋体" w:cs="Times New Roman"/>
                <w:sz w:val="21"/>
                <w:szCs w:val="22"/>
              </w:rPr>
              <w:t xml:space="preserve">次</w:t>
            </w:r>
            <w:r/>
          </w:p>
        </w:tc>
        <w:tc>
          <w:tcPr>
            <w:tcBorders>
              <w:top w:val="single" w:color="auto" w:sz="4" w:space="0"/>
              <w:left w:val="single" w:color="auto" w:sz="4" w:space="0"/>
              <w:bottom w:val="single" w:color="auto" w:sz="4" w:space="0"/>
              <w:right w:val="single" w:color="auto" w:sz="4" w:space="0"/>
            </w:tcBorders>
            <w:tcW w:w="579" w:type="pct"/>
            <w:vAlign w:val="center"/>
            <w:textDirection w:val="lrTb"/>
            <w:noWrap w:val="false"/>
          </w:tcPr>
          <w:p>
            <w:pPr>
              <w:ind w:firstLine="0"/>
              <w:jc w:val="center"/>
              <w:spacing w:line="240" w:lineRule="auto"/>
              <w:rPr>
                <w:rFonts w:hint="default" w:ascii="宋体" w:hAnsi="Times New Roman" w:eastAsia="宋体" w:cs="Times New Roman"/>
                <w:sz w:val="21"/>
                <w:szCs w:val="22"/>
              </w:rPr>
            </w:pPr>
            <w:r>
              <w:rPr>
                <w:rFonts w:hint="eastAsia" w:ascii="宋体" w:hAnsi="Times New Roman" w:eastAsia="宋体" w:cs="Times New Roman"/>
                <w:sz w:val="21"/>
                <w:szCs w:val="22"/>
              </w:rPr>
              <w:t xml:space="preserve">1</w:t>
            </w:r>
            <w:r/>
          </w:p>
        </w:tc>
      </w:tr>
      <w:tr>
        <w:trPr>
          <w:jc w:val="right"/>
          <w:trHeight w:val="946"/>
        </w:trPr>
        <w:tc>
          <w:tcPr>
            <w:tcBorders>
              <w:top w:val="single" w:color="auto" w:sz="4" w:space="0"/>
              <w:left w:val="single" w:color="auto" w:sz="4" w:space="0"/>
              <w:bottom w:val="single" w:color="auto" w:sz="4" w:space="0"/>
              <w:right w:val="single" w:color="auto" w:sz="4" w:space="0"/>
            </w:tcBorders>
            <w:tcW w:w="438" w:type="pct"/>
            <w:vAlign w:val="center"/>
            <w:textDirection w:val="lrTb"/>
            <w:noWrap w:val="false"/>
          </w:tcPr>
          <w:p>
            <w:pPr>
              <w:ind w:firstLine="0"/>
              <w:jc w:val="center"/>
              <w:spacing w:line="240" w:lineRule="auto"/>
              <w:rPr>
                <w:rFonts w:hint="default" w:ascii="宋体" w:hAnsi="Times New Roman" w:eastAsia="宋体" w:cs="Times New Roman"/>
                <w:sz w:val="21"/>
                <w:szCs w:val="22"/>
              </w:rPr>
            </w:pPr>
            <w:r>
              <w:rPr>
                <w:rFonts w:hint="eastAsia" w:ascii="宋体" w:hAnsi="Times New Roman" w:eastAsia="宋体" w:cs="Times New Roman"/>
                <w:sz w:val="21"/>
                <w:szCs w:val="22"/>
              </w:rPr>
              <w:t xml:space="preserve">2</w:t>
            </w:r>
            <w:r/>
          </w:p>
        </w:tc>
        <w:tc>
          <w:tcPr>
            <w:tcBorders>
              <w:top w:val="none" w:color="000000" w:sz="4" w:space="0"/>
              <w:left w:val="single" w:color="auto" w:sz="4" w:space="0"/>
              <w:bottom w:val="single" w:color="auto" w:sz="4" w:space="0"/>
              <w:right w:val="single" w:color="auto" w:sz="4" w:space="0"/>
            </w:tcBorders>
            <w:tcW w:w="585" w:type="pct"/>
            <w:vAlign w:val="center"/>
            <w:vMerge w:val="continue"/>
            <w:textDirection w:val="lrTb"/>
            <w:noWrap w:val="false"/>
          </w:tcPr>
          <w:p>
            <w:pPr>
              <w:ind w:firstLine="0"/>
              <w:jc w:val="center"/>
              <w:spacing w:line="240" w:lineRule="auto"/>
              <w:rPr>
                <w:rFonts w:hint="default" w:ascii="宋体" w:hAnsi="Times New Roman" w:eastAsia="宋体" w:cs="Times New Roman"/>
                <w:sz w:val="21"/>
                <w:szCs w:val="22"/>
              </w:rPr>
            </w:pPr>
            <w:r>
              <w:rPr>
                <w:rFonts w:hint="default" w:ascii="宋体" w:hAnsi="Times New Roman" w:eastAsia="宋体" w:cs="Times New Roman"/>
                <w:sz w:val="21"/>
                <w:szCs w:val="22"/>
              </w:rPr>
            </w:r>
            <w:r/>
          </w:p>
        </w:tc>
        <w:tc>
          <w:tcPr>
            <w:tcBorders>
              <w:top w:val="single" w:color="auto" w:sz="4" w:space="0"/>
              <w:left w:val="single" w:color="auto" w:sz="4" w:space="0"/>
              <w:bottom w:val="single" w:color="auto" w:sz="4" w:space="0"/>
              <w:right w:val="single" w:color="auto" w:sz="4" w:space="0"/>
            </w:tcBorders>
            <w:tcW w:w="2919" w:type="pct"/>
            <w:vAlign w:val="center"/>
            <w:textDirection w:val="lrTb"/>
            <w:noWrap w:val="false"/>
          </w:tcPr>
          <w:p>
            <w:pPr>
              <w:ind w:firstLine="0"/>
              <w:spacing w:line="240" w:lineRule="auto"/>
              <w:rPr>
                <w:rFonts w:hint="default" w:ascii="宋体" w:hAnsi="Times New Roman" w:eastAsia="宋体" w:cs="Times New Roman"/>
                <w:sz w:val="21"/>
                <w:szCs w:val="22"/>
              </w:rPr>
            </w:pPr>
            <w:r>
              <w:rPr>
                <w:rFonts w:hint="eastAsia" w:ascii="宋体" w:hAnsi="Times New Roman" w:eastAsia="宋体" w:cs="Times New Roman"/>
                <w:sz w:val="21"/>
                <w:szCs w:val="22"/>
              </w:rPr>
              <w:t xml:space="preserve">在日常巡查维护施工中比较主动，工作完成出色，受到县局和大队主要领导、县级以上媒体表扬的。</w:t>
            </w:r>
            <w:r/>
          </w:p>
        </w:tc>
        <w:tc>
          <w:tcPr>
            <w:tcBorders>
              <w:top w:val="single" w:color="auto" w:sz="4" w:space="0"/>
              <w:left w:val="single" w:color="auto" w:sz="4" w:space="0"/>
              <w:bottom w:val="single" w:color="auto" w:sz="4" w:space="0"/>
              <w:right w:val="single" w:color="auto" w:sz="4" w:space="0"/>
            </w:tcBorders>
            <w:tcW w:w="479" w:type="pct"/>
            <w:vAlign w:val="center"/>
            <w:textDirection w:val="lrTb"/>
            <w:noWrap w:val="false"/>
          </w:tcPr>
          <w:p>
            <w:pPr>
              <w:ind w:firstLine="0"/>
              <w:jc w:val="center"/>
              <w:spacing w:line="240" w:lineRule="auto"/>
              <w:rPr>
                <w:rFonts w:hint="default" w:ascii="宋体" w:hAnsi="Times New Roman" w:eastAsia="宋体" w:cs="Times New Roman"/>
                <w:sz w:val="21"/>
                <w:szCs w:val="22"/>
              </w:rPr>
            </w:pPr>
            <w:r>
              <w:rPr>
                <w:rFonts w:hint="eastAsia" w:ascii="宋体" w:hAnsi="Times New Roman" w:eastAsia="宋体" w:cs="Times New Roman"/>
                <w:sz w:val="21"/>
                <w:szCs w:val="22"/>
              </w:rPr>
              <w:t xml:space="preserve">次</w:t>
            </w:r>
            <w:r/>
          </w:p>
        </w:tc>
        <w:tc>
          <w:tcPr>
            <w:tcBorders>
              <w:top w:val="single" w:color="auto" w:sz="4" w:space="0"/>
              <w:left w:val="single" w:color="auto" w:sz="4" w:space="0"/>
              <w:bottom w:val="single" w:color="auto" w:sz="4" w:space="0"/>
              <w:right w:val="single" w:color="auto" w:sz="4" w:space="0"/>
            </w:tcBorders>
            <w:tcW w:w="579" w:type="pct"/>
            <w:vAlign w:val="center"/>
            <w:textDirection w:val="lrTb"/>
            <w:noWrap w:val="false"/>
          </w:tcPr>
          <w:p>
            <w:pPr>
              <w:ind w:firstLine="0"/>
              <w:jc w:val="center"/>
              <w:spacing w:line="240" w:lineRule="auto"/>
              <w:rPr>
                <w:rFonts w:hint="default" w:ascii="宋体" w:hAnsi="Times New Roman" w:eastAsia="宋体" w:cs="Times New Roman"/>
                <w:sz w:val="21"/>
                <w:szCs w:val="22"/>
              </w:rPr>
            </w:pPr>
            <w:r>
              <w:rPr>
                <w:rFonts w:hint="eastAsia" w:ascii="宋体" w:hAnsi="Times New Roman" w:eastAsia="宋体" w:cs="Times New Roman"/>
                <w:sz w:val="21"/>
                <w:szCs w:val="22"/>
              </w:rPr>
              <w:t xml:space="preserve">0.5</w:t>
            </w:r>
            <w:r/>
          </w:p>
        </w:tc>
      </w:tr>
      <w:tr>
        <w:trPr>
          <w:jc w:val="right"/>
          <w:trHeight w:val="638"/>
        </w:trPr>
        <w:tc>
          <w:tcPr>
            <w:tcBorders>
              <w:top w:val="single" w:color="auto" w:sz="4" w:space="0"/>
              <w:left w:val="single" w:color="auto" w:sz="4" w:space="0"/>
              <w:bottom w:val="single" w:color="auto" w:sz="4" w:space="0"/>
              <w:right w:val="single" w:color="auto" w:sz="4" w:space="0"/>
            </w:tcBorders>
            <w:tcW w:w="438" w:type="pct"/>
            <w:vAlign w:val="center"/>
            <w:textDirection w:val="lrTb"/>
            <w:noWrap w:val="false"/>
          </w:tcPr>
          <w:p>
            <w:pPr>
              <w:ind w:firstLine="0"/>
              <w:jc w:val="center"/>
              <w:spacing w:line="240" w:lineRule="auto"/>
              <w:rPr>
                <w:rFonts w:hint="default" w:ascii="宋体" w:hAnsi="Times New Roman" w:eastAsia="宋体" w:cs="Times New Roman"/>
                <w:sz w:val="21"/>
                <w:szCs w:val="22"/>
              </w:rPr>
            </w:pPr>
            <w:r>
              <w:rPr>
                <w:rFonts w:hint="eastAsia" w:ascii="宋体" w:hAnsi="Times New Roman" w:eastAsia="宋体" w:cs="Times New Roman"/>
                <w:sz w:val="21"/>
                <w:szCs w:val="22"/>
              </w:rPr>
              <w:t xml:space="preserve">3</w:t>
            </w:r>
            <w:r/>
          </w:p>
        </w:tc>
        <w:tc>
          <w:tcPr>
            <w:tcBorders>
              <w:top w:val="none" w:color="000000" w:sz="4" w:space="0"/>
              <w:left w:val="single" w:color="auto" w:sz="4" w:space="0"/>
              <w:bottom w:val="single" w:color="auto" w:sz="4" w:space="0"/>
              <w:right w:val="single" w:color="auto" w:sz="4" w:space="0"/>
            </w:tcBorders>
            <w:tcW w:w="585" w:type="pct"/>
            <w:vAlign w:val="center"/>
            <w:vMerge w:val="continue"/>
            <w:textDirection w:val="lrTb"/>
            <w:noWrap w:val="false"/>
          </w:tcPr>
          <w:p>
            <w:pPr>
              <w:ind w:firstLine="0"/>
              <w:jc w:val="center"/>
              <w:spacing w:line="240" w:lineRule="auto"/>
              <w:rPr>
                <w:rFonts w:hint="default" w:ascii="宋体" w:hAnsi="Times New Roman" w:eastAsia="宋体" w:cs="Times New Roman"/>
                <w:sz w:val="21"/>
                <w:szCs w:val="22"/>
              </w:rPr>
            </w:pPr>
            <w:r>
              <w:rPr>
                <w:rFonts w:hint="default" w:ascii="宋体" w:hAnsi="Times New Roman" w:eastAsia="宋体" w:cs="Times New Roman"/>
                <w:sz w:val="21"/>
                <w:szCs w:val="22"/>
              </w:rPr>
            </w:r>
            <w:r/>
          </w:p>
        </w:tc>
        <w:tc>
          <w:tcPr>
            <w:tcBorders>
              <w:top w:val="single" w:color="auto" w:sz="4" w:space="0"/>
              <w:left w:val="single" w:color="auto" w:sz="4" w:space="0"/>
              <w:bottom w:val="single" w:color="auto" w:sz="4" w:space="0"/>
              <w:right w:val="single" w:color="auto" w:sz="4" w:space="0"/>
            </w:tcBorders>
            <w:tcW w:w="2919" w:type="pct"/>
            <w:vAlign w:val="center"/>
            <w:textDirection w:val="lrTb"/>
            <w:noWrap w:val="false"/>
          </w:tcPr>
          <w:p>
            <w:pPr>
              <w:ind w:firstLine="0"/>
              <w:spacing w:line="240" w:lineRule="auto"/>
              <w:rPr>
                <w:rFonts w:hint="default" w:ascii="宋体" w:hAnsi="Times New Roman" w:eastAsia="宋体" w:cs="Times New Roman"/>
                <w:sz w:val="21"/>
                <w:szCs w:val="22"/>
              </w:rPr>
            </w:pPr>
            <w:r>
              <w:rPr>
                <w:rFonts w:hint="eastAsia" w:ascii="宋体" w:hAnsi="Times New Roman" w:eastAsia="宋体" w:cs="Times New Roman"/>
                <w:sz w:val="21"/>
                <w:szCs w:val="22"/>
              </w:rPr>
              <w:t xml:space="preserve">能结合交通管理需求提出有价值的交通信号优化举措，被业主采纳的</w:t>
            </w:r>
            <w:r/>
          </w:p>
        </w:tc>
        <w:tc>
          <w:tcPr>
            <w:tcBorders>
              <w:top w:val="single" w:color="auto" w:sz="4" w:space="0"/>
              <w:left w:val="single" w:color="auto" w:sz="4" w:space="0"/>
              <w:bottom w:val="single" w:color="auto" w:sz="4" w:space="0"/>
              <w:right w:val="single" w:color="auto" w:sz="4" w:space="0"/>
            </w:tcBorders>
            <w:tcW w:w="479" w:type="pct"/>
            <w:vAlign w:val="center"/>
            <w:textDirection w:val="lrTb"/>
            <w:noWrap w:val="false"/>
          </w:tcPr>
          <w:p>
            <w:pPr>
              <w:ind w:firstLine="0"/>
              <w:jc w:val="center"/>
              <w:spacing w:line="240" w:lineRule="auto"/>
              <w:rPr>
                <w:rFonts w:hint="default" w:ascii="宋体" w:hAnsi="Times New Roman" w:eastAsia="宋体" w:cs="Times New Roman"/>
                <w:sz w:val="21"/>
                <w:szCs w:val="22"/>
              </w:rPr>
            </w:pPr>
            <w:r>
              <w:rPr>
                <w:rFonts w:hint="eastAsia" w:ascii="宋体" w:hAnsi="Times New Roman" w:eastAsia="宋体" w:cs="Times New Roman"/>
                <w:sz w:val="21"/>
                <w:szCs w:val="22"/>
              </w:rPr>
              <w:t xml:space="preserve">次</w:t>
            </w:r>
            <w:r/>
          </w:p>
        </w:tc>
        <w:tc>
          <w:tcPr>
            <w:tcBorders>
              <w:top w:val="single" w:color="auto" w:sz="4" w:space="0"/>
              <w:left w:val="single" w:color="auto" w:sz="4" w:space="0"/>
              <w:bottom w:val="single" w:color="auto" w:sz="4" w:space="0"/>
              <w:right w:val="single" w:color="auto" w:sz="4" w:space="0"/>
            </w:tcBorders>
            <w:tcW w:w="579" w:type="pct"/>
            <w:vAlign w:val="center"/>
            <w:textDirection w:val="lrTb"/>
            <w:noWrap w:val="false"/>
          </w:tcPr>
          <w:p>
            <w:pPr>
              <w:ind w:firstLine="0"/>
              <w:jc w:val="center"/>
              <w:spacing w:line="240" w:lineRule="auto"/>
              <w:rPr>
                <w:rFonts w:hint="default" w:ascii="宋体" w:hAnsi="Times New Roman" w:eastAsia="宋体" w:cs="Times New Roman"/>
                <w:sz w:val="21"/>
                <w:szCs w:val="22"/>
              </w:rPr>
            </w:pPr>
            <w:r>
              <w:rPr>
                <w:rFonts w:hint="eastAsia" w:ascii="宋体" w:hAnsi="Times New Roman" w:eastAsia="宋体" w:cs="Times New Roman"/>
                <w:sz w:val="21"/>
                <w:szCs w:val="22"/>
              </w:rPr>
              <w:t xml:space="preserve">1</w:t>
            </w:r>
            <w:r/>
          </w:p>
        </w:tc>
      </w:tr>
      <w:tr>
        <w:trPr>
          <w:jc w:val="right"/>
        </w:trPr>
        <w:tc>
          <w:tcPr>
            <w:tcBorders>
              <w:top w:val="single" w:color="auto" w:sz="4" w:space="0"/>
              <w:left w:val="single" w:color="auto" w:sz="4" w:space="0"/>
              <w:bottom w:val="single" w:color="auto" w:sz="4" w:space="0"/>
              <w:right w:val="single" w:color="auto" w:sz="4" w:space="0"/>
            </w:tcBorders>
            <w:tcW w:w="438" w:type="pct"/>
            <w:vAlign w:val="center"/>
            <w:textDirection w:val="lrTb"/>
            <w:noWrap w:val="false"/>
          </w:tcPr>
          <w:p>
            <w:pPr>
              <w:ind w:firstLine="0"/>
              <w:jc w:val="center"/>
              <w:spacing w:line="240" w:lineRule="auto"/>
              <w:rPr>
                <w:rFonts w:hint="default" w:ascii="宋体" w:hAnsi="Times New Roman" w:eastAsia="宋体" w:cs="Times New Roman"/>
                <w:sz w:val="21"/>
                <w:szCs w:val="22"/>
              </w:rPr>
            </w:pPr>
            <w:r>
              <w:rPr>
                <w:rFonts w:hint="eastAsia" w:ascii="宋体" w:hAnsi="Times New Roman" w:eastAsia="宋体" w:cs="Times New Roman"/>
                <w:sz w:val="21"/>
                <w:szCs w:val="22"/>
              </w:rPr>
              <w:t xml:space="preserve">4</w:t>
            </w:r>
            <w:r/>
          </w:p>
        </w:tc>
        <w:tc>
          <w:tcPr>
            <w:tcBorders>
              <w:top w:val="none" w:color="000000" w:sz="4" w:space="0"/>
              <w:left w:val="single" w:color="auto" w:sz="4" w:space="0"/>
              <w:bottom w:val="single" w:color="auto" w:sz="4" w:space="0"/>
              <w:right w:val="single" w:color="auto" w:sz="4" w:space="0"/>
            </w:tcBorders>
            <w:tcW w:w="585" w:type="pct"/>
            <w:vAlign w:val="center"/>
            <w:vMerge w:val="continue"/>
            <w:textDirection w:val="lrTb"/>
            <w:noWrap w:val="false"/>
          </w:tcPr>
          <w:p>
            <w:pPr>
              <w:ind w:firstLine="0"/>
              <w:jc w:val="center"/>
              <w:spacing w:line="240" w:lineRule="auto"/>
              <w:rPr>
                <w:rFonts w:hint="default" w:ascii="宋体" w:hAnsi="Times New Roman" w:eastAsia="宋体" w:cs="Times New Roman"/>
                <w:sz w:val="21"/>
                <w:szCs w:val="22"/>
              </w:rPr>
            </w:pPr>
            <w:r>
              <w:rPr>
                <w:rFonts w:hint="default" w:ascii="宋体" w:hAnsi="Times New Roman" w:eastAsia="宋体" w:cs="Times New Roman"/>
                <w:sz w:val="21"/>
                <w:szCs w:val="22"/>
              </w:rPr>
            </w:r>
            <w:r/>
          </w:p>
        </w:tc>
        <w:tc>
          <w:tcPr>
            <w:tcBorders>
              <w:top w:val="single" w:color="auto" w:sz="4" w:space="0"/>
              <w:left w:val="single" w:color="auto" w:sz="4" w:space="0"/>
              <w:bottom w:val="single" w:color="auto" w:sz="4" w:space="0"/>
              <w:right w:val="single" w:color="auto" w:sz="4" w:space="0"/>
            </w:tcBorders>
            <w:tcW w:w="2919" w:type="pct"/>
            <w:vAlign w:val="center"/>
            <w:textDirection w:val="lrTb"/>
            <w:noWrap w:val="false"/>
          </w:tcPr>
          <w:p>
            <w:pPr>
              <w:ind w:firstLine="0"/>
              <w:spacing w:line="240" w:lineRule="auto"/>
              <w:rPr>
                <w:rFonts w:hint="default" w:ascii="宋体" w:hAnsi="Times New Roman" w:eastAsia="宋体" w:cs="Times New Roman"/>
                <w:sz w:val="21"/>
                <w:szCs w:val="22"/>
              </w:rPr>
            </w:pPr>
            <w:r>
              <w:rPr>
                <w:rFonts w:hint="eastAsia" w:ascii="宋体" w:hAnsi="Times New Roman" w:eastAsia="宋体" w:cs="Times New Roman"/>
                <w:sz w:val="21"/>
                <w:szCs w:val="22"/>
              </w:rPr>
              <w:t xml:space="preserve">工作中发现有其它突出表现的行为</w:t>
            </w:r>
            <w:r/>
          </w:p>
        </w:tc>
        <w:tc>
          <w:tcPr>
            <w:tcBorders>
              <w:top w:val="single" w:color="auto" w:sz="4" w:space="0"/>
              <w:left w:val="single" w:color="auto" w:sz="4" w:space="0"/>
              <w:bottom w:val="single" w:color="auto" w:sz="4" w:space="0"/>
              <w:right w:val="single" w:color="auto" w:sz="4" w:space="0"/>
            </w:tcBorders>
            <w:tcW w:w="479" w:type="pct"/>
            <w:vAlign w:val="center"/>
            <w:textDirection w:val="lrTb"/>
            <w:noWrap w:val="false"/>
          </w:tcPr>
          <w:p>
            <w:pPr>
              <w:ind w:firstLine="0"/>
              <w:jc w:val="center"/>
              <w:spacing w:line="240" w:lineRule="auto"/>
              <w:rPr>
                <w:rFonts w:hint="default" w:ascii="宋体" w:hAnsi="Times New Roman" w:eastAsia="宋体" w:cs="Times New Roman"/>
                <w:sz w:val="21"/>
                <w:szCs w:val="22"/>
              </w:rPr>
            </w:pPr>
            <w:r>
              <w:rPr>
                <w:rFonts w:hint="eastAsia" w:ascii="宋体" w:hAnsi="Times New Roman" w:eastAsia="宋体" w:cs="Times New Roman"/>
                <w:sz w:val="21"/>
                <w:szCs w:val="22"/>
              </w:rPr>
              <w:t xml:space="preserve">次</w:t>
            </w:r>
            <w:r/>
          </w:p>
        </w:tc>
        <w:tc>
          <w:tcPr>
            <w:tcBorders>
              <w:top w:val="single" w:color="auto" w:sz="4" w:space="0"/>
              <w:left w:val="single" w:color="auto" w:sz="4" w:space="0"/>
              <w:bottom w:val="single" w:color="auto" w:sz="4" w:space="0"/>
              <w:right w:val="single" w:color="auto" w:sz="4" w:space="0"/>
            </w:tcBorders>
            <w:tcW w:w="579" w:type="pct"/>
            <w:vAlign w:val="center"/>
            <w:textDirection w:val="lrTb"/>
            <w:noWrap w:val="false"/>
          </w:tcPr>
          <w:p>
            <w:pPr>
              <w:ind w:firstLine="0"/>
              <w:jc w:val="center"/>
              <w:spacing w:line="240" w:lineRule="auto"/>
              <w:rPr>
                <w:rFonts w:hint="default" w:ascii="宋体" w:hAnsi="Times New Roman" w:eastAsia="宋体" w:cs="Times New Roman"/>
                <w:sz w:val="21"/>
                <w:szCs w:val="22"/>
              </w:rPr>
            </w:pPr>
            <w:r>
              <w:rPr>
                <w:rFonts w:hint="eastAsia" w:ascii="宋体" w:hAnsi="Times New Roman" w:eastAsia="宋体" w:cs="Times New Roman"/>
                <w:sz w:val="21"/>
                <w:szCs w:val="22"/>
              </w:rPr>
              <w:t xml:space="preserve">1</w:t>
            </w:r>
            <w:r/>
          </w:p>
        </w:tc>
      </w:tr>
    </w:tbl>
    <w:p>
      <w:pPr>
        <w:rPr>
          <w:rFonts w:hint="default" w:ascii="Calibri" w:hAnsi="Calibri"/>
        </w:rPr>
      </w:pPr>
      <w:r>
        <w:rPr>
          <w:rFonts w:hint="default" w:ascii="Calibri" w:hAnsi="Calibri"/>
        </w:rPr>
      </w:r>
      <w:r/>
    </w:p>
    <w:p>
      <w:pPr>
        <w:ind w:left="-218" w:right="2" w:firstLine="480"/>
        <w:jc w:val="center"/>
        <w:spacing w:line="360" w:lineRule="auto"/>
        <w:widowControl w:val="off"/>
        <w:rPr>
          <w:rFonts w:ascii="楷体_GB2312" w:hAnsi="Times New Roman" w:eastAsia="楷体_GB2312" w:cs="Times New Roman"/>
          <w:sz w:val="24"/>
          <w:szCs w:val="28"/>
          <w:lang w:val="en-US" w:eastAsia="zh-CN" w:bidi="ar-SA"/>
        </w:rPr>
      </w:pPr>
      <w:r>
        <w:rPr>
          <w:rFonts w:ascii="楷体_GB2312" w:hAnsi="Times New Roman" w:eastAsia="楷体_GB2312" w:cs="Times New Roman"/>
          <w:sz w:val="24"/>
          <w:szCs w:val="28"/>
          <w:lang w:val="en-US" w:eastAsia="zh-CN" w:bidi="ar-SA"/>
        </w:rPr>
      </w:r>
      <w:r/>
    </w:p>
    <w:p>
      <w:pPr>
        <w:ind w:left="-218" w:right="2" w:firstLine="480"/>
        <w:jc w:val="center"/>
        <w:spacing w:line="360" w:lineRule="auto"/>
        <w:widowControl w:val="off"/>
        <w:rPr>
          <w:rFonts w:ascii="楷体_GB2312" w:hAnsi="Times New Roman" w:eastAsia="楷体_GB2312" w:cs="Times New Roman"/>
          <w:sz w:val="24"/>
          <w:szCs w:val="28"/>
          <w:lang w:val="en-US" w:eastAsia="zh-CN" w:bidi="ar-SA"/>
        </w:rPr>
      </w:pPr>
      <w:r>
        <w:rPr>
          <w:rFonts w:ascii="楷体_GB2312" w:hAnsi="Times New Roman" w:eastAsia="楷体_GB2312" w:cs="Times New Roman"/>
          <w:sz w:val="24"/>
          <w:szCs w:val="28"/>
          <w:lang w:val="en-US" w:eastAsia="zh-CN" w:bidi="ar-SA"/>
        </w:rPr>
      </w:r>
      <w:r/>
    </w:p>
    <w:p>
      <w:pPr>
        <w:ind w:left="-218" w:right="2" w:firstLine="480"/>
        <w:jc w:val="center"/>
        <w:spacing w:line="360" w:lineRule="auto"/>
        <w:widowControl w:val="off"/>
        <w:rPr>
          <w:rFonts w:ascii="楷体_GB2312" w:hAnsi="Times New Roman" w:eastAsia="楷体_GB2312" w:cs="Times New Roman"/>
          <w:sz w:val="24"/>
          <w:szCs w:val="28"/>
          <w:lang w:val="en-US" w:eastAsia="zh-CN" w:bidi="ar-SA"/>
        </w:rPr>
      </w:pPr>
      <w:r>
        <w:rPr>
          <w:rFonts w:ascii="楷体_GB2312" w:hAnsi="Times New Roman" w:eastAsia="楷体_GB2312" w:cs="Times New Roman"/>
          <w:sz w:val="24"/>
          <w:szCs w:val="28"/>
          <w:lang w:val="en-US" w:eastAsia="zh-CN" w:bidi="ar-SA"/>
        </w:rPr>
      </w:r>
      <w:r/>
    </w:p>
    <w:p>
      <w:pPr>
        <w:ind w:left="-218" w:right="2" w:firstLine="480"/>
        <w:jc w:val="center"/>
        <w:spacing w:line="360" w:lineRule="auto"/>
        <w:widowControl w:val="off"/>
        <w:rPr>
          <w:rFonts w:ascii="楷体_GB2312" w:hAnsi="Times New Roman" w:eastAsia="楷体_GB2312" w:cs="Times New Roman"/>
          <w:sz w:val="24"/>
          <w:szCs w:val="28"/>
          <w:lang w:val="en-US" w:eastAsia="zh-CN" w:bidi="ar-SA"/>
        </w:rPr>
      </w:pPr>
      <w:r>
        <w:rPr>
          <w:rFonts w:ascii="楷体_GB2312" w:hAnsi="Times New Roman" w:eastAsia="楷体_GB2312" w:cs="Times New Roman"/>
          <w:sz w:val="24"/>
          <w:szCs w:val="28"/>
          <w:lang w:val="en-US" w:eastAsia="zh-CN" w:bidi="ar-SA"/>
        </w:rPr>
      </w:r>
      <w:r/>
    </w:p>
    <w:p>
      <w:pPr>
        <w:ind w:left="-218" w:right="2" w:firstLine="480"/>
        <w:jc w:val="center"/>
        <w:spacing w:line="360" w:lineRule="auto"/>
        <w:widowControl w:val="off"/>
        <w:rPr>
          <w:rFonts w:ascii="楷体_GB2312" w:hAnsi="Times New Roman" w:eastAsia="楷体_GB2312" w:cs="Times New Roman"/>
          <w:sz w:val="24"/>
          <w:szCs w:val="28"/>
          <w:lang w:val="en-US" w:eastAsia="zh-CN" w:bidi="ar-SA"/>
        </w:rPr>
      </w:pPr>
      <w:r>
        <w:rPr>
          <w:rFonts w:ascii="楷体_GB2312" w:hAnsi="Times New Roman" w:eastAsia="楷体_GB2312" w:cs="Times New Roman"/>
          <w:sz w:val="24"/>
          <w:szCs w:val="28"/>
          <w:lang w:val="en-US" w:eastAsia="zh-CN" w:bidi="ar-SA"/>
        </w:rPr>
      </w:r>
      <w:r/>
    </w:p>
    <w:p>
      <w:pPr>
        <w:rPr>
          <w:rFonts w:hint="eastAsia" w:ascii="仿宋" w:hAnsi="仿宋" w:eastAsia="仿宋" w:cs="仿宋"/>
          <w:b/>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rPr>
      </w:r>
      <w:r/>
    </w:p>
    <w:p>
      <w:pPr>
        <w:rPr>
          <w:rFonts w:hint="eastAsia" w:ascii="宋体" w:hAnsi="宋体" w:eastAsia="宋体" w:cs="宋体"/>
          <w:b/>
          <w:sz w:val="24"/>
        </w:rPr>
      </w:pPr>
      <w:r>
        <w:rPr>
          <w:rFonts w:hint="eastAsia" w:ascii="宋体" w:hAnsi="宋体" w:eastAsia="宋体" w:cs="宋体"/>
          <w:b/>
          <w:sz w:val="24"/>
        </w:rPr>
        <w:br w:type="page" w:clear="all"/>
      </w:r>
      <w:r/>
    </w:p>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合同附件5：</w:t>
      </w:r>
      <w:r/>
    </w:p>
    <w:p>
      <w:pPr>
        <w:jc w:val="cente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p>
      <w:pPr>
        <w:jc w:val="center"/>
        <w:spacing w:line="360" w:lineRule="auto"/>
        <w:rPr>
          <w:rFonts w:hint="eastAsia" w:ascii="宋体" w:hAnsi="宋体" w:eastAsia="宋体" w:cs="宋体"/>
          <w:sz w:val="28"/>
          <w:szCs w:val="28"/>
        </w:rPr>
      </w:pPr>
      <w:r>
        <w:rPr>
          <w:rFonts w:hint="eastAsia" w:ascii="宋体" w:hAnsi="宋体" w:eastAsia="宋体" w:cs="宋体"/>
          <w:b/>
          <w:bCs/>
          <w:sz w:val="32"/>
          <w:szCs w:val="32"/>
        </w:rPr>
        <w:t xml:space="preserve">保密协议</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甲方：</w:t>
      </w:r>
      <w:r>
        <w:rPr>
          <w:rFonts w:hint="eastAsia" w:ascii="宋体" w:hAnsi="宋体" w:eastAsia="宋体" w:cs="宋体"/>
          <w:sz w:val="24"/>
          <w:u w:val="single"/>
        </w:rPr>
        <w:t xml:space="preserve">                            </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乙方：</w:t>
      </w:r>
      <w:r>
        <w:rPr>
          <w:rFonts w:hint="eastAsia" w:ascii="宋体" w:hAnsi="宋体" w:eastAsia="宋体" w:cs="宋体"/>
          <w:sz w:val="24"/>
          <w:u w:val="single"/>
        </w:rPr>
        <w:t xml:space="preserve">                         </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甲乙双方就</w:t>
      </w:r>
      <w:r>
        <w:rPr>
          <w:rFonts w:hint="eastAsia" w:ascii="宋体" w:hAnsi="宋体" w:eastAsia="宋体" w:cs="宋体"/>
          <w:sz w:val="24"/>
          <w:u w:val="single"/>
        </w:rPr>
        <w:t xml:space="preserve">                                     </w:t>
      </w:r>
      <w:r>
        <w:rPr>
          <w:rFonts w:hint="eastAsia" w:ascii="宋体" w:hAnsi="宋体" w:eastAsia="宋体" w:cs="宋体"/>
          <w:sz w:val="24"/>
        </w:rPr>
        <w:t xml:space="preserve">项目的相关工作，约定由乙方为甲方提供</w:t>
      </w:r>
      <w:r>
        <w:rPr>
          <w:rFonts w:hint="eastAsia" w:ascii="宋体" w:hAnsi="宋体" w:eastAsia="宋体" w:cs="宋体"/>
          <w:sz w:val="24"/>
          <w:u w:val="single"/>
        </w:rPr>
        <w:t xml:space="preserve">…                        …</w:t>
      </w:r>
      <w:r>
        <w:rPr>
          <w:rFonts w:hint="eastAsia" w:ascii="宋体" w:hAnsi="宋体" w:eastAsia="宋体" w:cs="宋体"/>
          <w:sz w:val="24"/>
        </w:rPr>
        <w:t xml:space="preserve">服务，双方预计在合作过程中乙方可能接触到甲方拥有或者掌握的保密信息，就保密事项，双方达成如下约定：</w:t>
      </w:r>
      <w:r/>
    </w:p>
    <w:p>
      <w:pPr>
        <w:ind w:firstLine="482"/>
        <w:spacing w:line="360" w:lineRule="auto"/>
        <w:rPr>
          <w:rFonts w:hint="eastAsia" w:ascii="宋体" w:hAnsi="宋体" w:eastAsia="宋体" w:cs="宋体"/>
          <w:b/>
          <w:bCs/>
          <w:sz w:val="24"/>
        </w:rPr>
        <w:outlineLvl w:val="1"/>
      </w:pPr>
      <w:r>
        <w:rPr>
          <w:rFonts w:hint="eastAsia" w:ascii="宋体" w:hAnsi="宋体" w:eastAsia="宋体" w:cs="宋体"/>
          <w:b/>
          <w:bCs/>
          <w:sz w:val="24"/>
        </w:rPr>
        <w:t xml:space="preserve">一、定义</w:t>
      </w:r>
      <w:r/>
    </w:p>
    <w:p>
      <w:pPr>
        <w:ind w:firstLine="482"/>
        <w:spacing w:line="360" w:lineRule="auto"/>
        <w:rPr>
          <w:rFonts w:hint="eastAsia" w:ascii="宋体" w:hAnsi="宋体" w:eastAsia="宋体" w:cs="宋体"/>
          <w:b/>
          <w:bCs/>
          <w:sz w:val="24"/>
        </w:rPr>
        <w:outlineLvl w:val="2"/>
      </w:pPr>
      <w:r>
        <w:rPr>
          <w:rFonts w:hint="eastAsia" w:ascii="宋体" w:hAnsi="宋体" w:eastAsia="宋体" w:cs="宋体"/>
          <w:b/>
          <w:bCs/>
          <w:sz w:val="24"/>
        </w:rPr>
        <w:t xml:space="preserve">1.保密信息</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甲方提供的或乙方在双方谈判/合作期间了解到的，或由甲方对第三方承担保密义务的，关于甲方及乙方服务甲方项目、主合同的所有非公开信息，包括数据、电文、图纸、文件、视频、电子数据、资料等。包括但不限于：</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①甲方主体相关信息。反映甲方财务、经营、投资、业务数据、新业务构想等所有不被公众领域所知的信息；所有与甲方规章制度、业务流程、经验公式、客户数据、员工信息、设备资产，及目前或将来拟采用的运作模式、业务计划等有关的所有不被公众领域所知的信息。</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②信息系统技术信息。技术方案、数据库、源程序、目标程序、技术文档、研究开发记录、图纸、样品、计算机系统数据以及漏洞信息等信息；甲方应用系统内容、系统测试及试运行期间的客户资料等信息；甲方现有的网络拓扑结构及其相关资料，包括网络参数，如IP地址，命名规则等；甲方现有安全机制及规划目标、所有系统的应急方案、应用系统接口程序与文档等信息。</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③谈判、合作信息。双方对项目的讨论或谈判正在进行或已经进行、对主合同的达成交换了意见、主合同及本协议的具体内容、项目进展等信息，包括但不限于双方之间的讨论、协商、谈判、备忘录、协议等，以及由此产生的信息或资料。</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④项目信息。与项目研究、产品、服务、市场、知识产权、软件开发、发明、工艺、设计、图纸、工程技术、营销、技术、操作或系统、财务、客户名录相关的任何信息、文件、样品、技术数据和专有技术以及其他任何信息。项目涉及的信息系统设备、操作、维护保养等资料信息。为甲方服务期间可能直接或间接地通过书面、口头、图表、音像资料、数据电文等获得或通过观察全部或部分设备、系统等获得的信息。</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⑤甲方无形资产的信息，包括专利权、商标权、著作权、设计权、商号权、技术秘密和商业秘密权、商业方法权、域名权等创造性智力成果和工商业标记依法产生的权利；标明或说明“保密”、含有专有权告示条款的信息。</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⑤标示信息。标明或说明“保密”、含有专有权告示条款的信息。</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⑥其他信息。根据甲方与第三方签署的协议约定，甲方负有保密义务的信息。</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上述保密信息包括但不限于乙方通过书面文件、电子邮件、磁记录、光学记录、电子记录及口头或其他有形或无形方式获得的信息资料。</w:t>
      </w:r>
      <w:r/>
    </w:p>
    <w:p>
      <w:pPr>
        <w:ind w:firstLine="482"/>
        <w:spacing w:line="360" w:lineRule="auto"/>
        <w:rPr>
          <w:rFonts w:hint="eastAsia" w:ascii="宋体" w:hAnsi="宋体" w:eastAsia="宋体" w:cs="宋体"/>
          <w:b/>
          <w:bCs/>
          <w:sz w:val="24"/>
        </w:rPr>
        <w:outlineLvl w:val="2"/>
      </w:pPr>
      <w:r>
        <w:rPr>
          <w:rFonts w:hint="eastAsia" w:ascii="宋体" w:hAnsi="宋体" w:eastAsia="宋体" w:cs="宋体"/>
          <w:b/>
          <w:bCs/>
          <w:sz w:val="24"/>
        </w:rPr>
        <w:t xml:space="preserve">2.代表</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就协议一方而言，指该方的负责人、董事、管理人员和雇员或与协议目的有关的该方关联公司（直接或间接控制该方的，或受该方直接或间接控制的，或与该方直接或间接受共同控制的实体）的负责人、董事、管理人员和雇员。</w:t>
      </w:r>
      <w:r/>
    </w:p>
    <w:p>
      <w:pPr>
        <w:numPr>
          <w:ilvl w:val="0"/>
          <w:numId w:val="2"/>
        </w:numPr>
        <w:ind w:firstLine="482"/>
        <w:spacing w:line="360" w:lineRule="auto"/>
        <w:rPr>
          <w:rFonts w:hint="eastAsia" w:ascii="宋体" w:hAnsi="宋体" w:eastAsia="宋体" w:cs="宋体"/>
          <w:b/>
          <w:bCs/>
          <w:sz w:val="24"/>
        </w:rPr>
        <w:outlineLvl w:val="1"/>
      </w:pPr>
      <w:r>
        <w:rPr>
          <w:rFonts w:hint="eastAsia" w:ascii="宋体" w:hAnsi="宋体" w:eastAsia="宋体" w:cs="宋体"/>
          <w:b/>
          <w:bCs/>
          <w:sz w:val="24"/>
        </w:rPr>
        <w:t xml:space="preserve">保密义务</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1.乙方应当严格保守保密信息的机密性，保证自接收、管理、使用、掌握或知悉保密信息之日起 </w:t>
      </w:r>
      <w:r>
        <w:rPr>
          <w:rFonts w:hint="eastAsia" w:ascii="宋体" w:hAnsi="宋体" w:eastAsia="宋体" w:cs="宋体"/>
          <w:sz w:val="24"/>
          <w:u w:val="single"/>
        </w:rPr>
        <w:t xml:space="preserve">       </w:t>
      </w:r>
      <w:r>
        <w:rPr>
          <w:rFonts w:hint="eastAsia" w:ascii="宋体" w:hAnsi="宋体" w:eastAsia="宋体" w:cs="宋体"/>
          <w:sz w:val="24"/>
        </w:rPr>
        <w:t xml:space="preserve">年内：</w:t>
      </w:r>
      <w:r/>
    </w:p>
    <w:p>
      <w:pPr>
        <w:numPr>
          <w:ilvl w:val="0"/>
          <w:numId w:val="5"/>
        </w:numPr>
        <w:ind w:firstLine="480"/>
        <w:spacing w:line="360" w:lineRule="auto"/>
        <w:rPr>
          <w:rFonts w:hint="eastAsia" w:ascii="宋体" w:hAnsi="宋体" w:eastAsia="宋体" w:cs="宋体"/>
          <w:sz w:val="24"/>
        </w:rPr>
      </w:pPr>
      <w:r>
        <w:rPr>
          <w:rFonts w:hint="eastAsia" w:ascii="宋体" w:hAnsi="宋体" w:eastAsia="宋体" w:cs="宋体"/>
          <w:sz w:val="24"/>
        </w:rPr>
        <w:t xml:space="preserve">未经甲方事先书面同意，不得将该保密信息泄漏或交付给任何第三方，未经甲方同意，不得将非涉密载体连接甲方的涉密设备；</w:t>
      </w:r>
      <w:r/>
    </w:p>
    <w:p>
      <w:pPr>
        <w:numPr>
          <w:ilvl w:val="0"/>
          <w:numId w:val="5"/>
        </w:numPr>
        <w:ind w:firstLine="480"/>
        <w:spacing w:line="360" w:lineRule="auto"/>
        <w:rPr>
          <w:rFonts w:hint="eastAsia" w:ascii="宋体" w:hAnsi="宋体" w:eastAsia="宋体" w:cs="宋体"/>
          <w:sz w:val="24"/>
        </w:rPr>
      </w:pPr>
      <w:r>
        <w:rPr>
          <w:rFonts w:hint="eastAsia" w:ascii="宋体" w:hAnsi="宋体" w:eastAsia="宋体" w:cs="宋体"/>
          <w:sz w:val="24"/>
        </w:rPr>
        <w:t xml:space="preserve">仅将保密信息披露给为执行本协议之目的，有必要得知该保密信息的代表且乙方应当与该代表签订不低于本协议标准的保密协议；</w:t>
      </w:r>
      <w:r/>
    </w:p>
    <w:p>
      <w:pPr>
        <w:numPr>
          <w:ilvl w:val="0"/>
          <w:numId w:val="5"/>
        </w:numPr>
        <w:ind w:firstLine="480"/>
        <w:spacing w:line="360" w:lineRule="auto"/>
        <w:rPr>
          <w:rFonts w:hint="eastAsia" w:ascii="宋体" w:hAnsi="宋体" w:eastAsia="宋体" w:cs="宋体"/>
          <w:sz w:val="24"/>
        </w:rPr>
      </w:pPr>
      <w:r>
        <w:rPr>
          <w:rFonts w:hint="eastAsia" w:ascii="宋体" w:hAnsi="宋体" w:eastAsia="宋体" w:cs="宋体"/>
          <w:sz w:val="24"/>
        </w:rPr>
        <w:t xml:space="preserve">除为履行本协议所必要的复制外，未经甲方明确书面同意，不得随意复制保密信息或其他衍生行为；</w:t>
      </w:r>
      <w:r/>
    </w:p>
    <w:p>
      <w:pPr>
        <w:numPr>
          <w:ilvl w:val="0"/>
          <w:numId w:val="5"/>
        </w:numPr>
        <w:ind w:firstLine="480"/>
        <w:spacing w:line="360" w:lineRule="auto"/>
        <w:rPr>
          <w:rFonts w:hint="eastAsia" w:ascii="宋体" w:hAnsi="宋体" w:eastAsia="宋体" w:cs="宋体"/>
          <w:sz w:val="24"/>
        </w:rPr>
      </w:pPr>
      <w:r>
        <w:rPr>
          <w:rFonts w:hint="eastAsia" w:ascii="宋体" w:hAnsi="宋体" w:eastAsia="宋体" w:cs="宋体"/>
          <w:sz w:val="24"/>
        </w:rPr>
        <w:t xml:space="preserve">采取与保护自身同类性质保密信息相同等的保护程度，且不得低于合理的保护程度，来保管该保密信息；</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（5）当保密信息被不当使用或揭露时，立即通知甲方并采取合理措施以重新保障保密信息的机密性，防止保密信息被进一步不当使用、揭露及其他违约行为的发生；</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（6）仅出于本协议约定之目的使用保密信息，不得将保密信息用于甲方同意之外的任何目的，不得在其产品设计和制造或工艺设计中或以其他任何方式使用保密信息。</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乙方保证严格保守保密信息，且该保密信息不得用于甲方同意之外的任何目的。乙方应以善良管理人的注意义务保管该保密信息，未经甲方书面同意不得将该保密信息以任何形式披露或交付给任何第三方。乙方不得复制、仿造或修改甲方提供之保密信息作为己用或提供于他人。</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仅限于主合同或谈判、维护项目目的，乙方允许其最低限度的人员接触保密信息。乙方应当与能接触该保密信息的本方员工、董事、雇员、授权代理人等签订保密协议，该保密协议的实质内容应与本协议约定的条款同样严格，乙方应保证以上接触保密信息的所有人员遵守本协议的约定。</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4.乙方应负责使其代表遵守本协议，如有违反视同违约乙方与相关责任方负连带责任。</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5.如乙方有足够的证据证明甲方的保密信息为下列信息之一者，则乙方对该信息不负保密义务：</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（1）该信息为乙方于本协议订立之前合法获得，且无保密义务者；</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（2）该信息由乙方在未使用甲方保密信息且未违反本协议所约定义务前提下，独立开发所得；</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（3）该信息由甲方书面授权公开或泄漏。</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6.乙方对于自甲方或其他途径获悉的保密信息负有完全和严格的保密义务。除非为了主合同项下目的，乙方不得使用保密信息；未经甲方事先书面同意，乙方不得故意或过失为自己或他人的利益使用、允许使用、转让、复制、分析、拷贝、传授、泄漏保密信息；乙方不得对保密信息进行分析或从该等分析中获利。</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7.乙方在保护甲方的保密信息时，应采取一切合理和必要的保护措施，其注意义务的标准不低于保护自己的专有的保密信息的标准，防止第三人自乙方获取其所负责保管或接触的保密信息。非经甲方书面同意，乙方不得将移动存储设备设施、网络设备连接至甲方计算机信息系统等。</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8.乙方如发现或被告知己方以及同样负有保密义务的第三方违反本协议的约定，应在发现后两个工作日内通知甲方，并根据甲方的请求，采取必要措施防止情况的恶化和损失的继续扩大，或在甲方追究泄密者法律责任的过程中，给予必要配合。</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9.严格保守自己在为甲方工作期间所获得有关甲方及甲方项目的一切秘密信息。未经甲方同意，不得以泄露、告知、公布、发表、出版、传授、转让或者其他任何方式使任何第三方知悉属于甲方或者虽属于他人但甲方承诺有保密义务的技术秘密或其他商业秘密信息，也不得在进行维修时随意使用和观看这些秘密信息。</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10.随时接受甲方安全保密的监督检查，乙方在接触涉密信息后做好相应记录备查。</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11.乙方配合甲方完成相关评估。</w:t>
      </w:r>
      <w:r/>
    </w:p>
    <w:p>
      <w:pPr>
        <w:ind w:firstLine="482"/>
        <w:spacing w:line="360" w:lineRule="auto"/>
        <w:rPr>
          <w:rFonts w:hint="eastAsia" w:ascii="宋体" w:hAnsi="宋体" w:eastAsia="宋体" w:cs="宋体"/>
          <w:b/>
          <w:bCs/>
          <w:sz w:val="24"/>
        </w:rPr>
        <w:outlineLvl w:val="1"/>
      </w:pPr>
      <w:r>
        <w:rPr>
          <w:rFonts w:hint="eastAsia" w:ascii="宋体" w:hAnsi="宋体" w:eastAsia="宋体" w:cs="宋体"/>
          <w:b/>
          <w:bCs/>
          <w:sz w:val="24"/>
        </w:rPr>
        <w:t xml:space="preserve">三、保密信息的所有权</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1.本协议的任何内容均不应被解释为甲方将其任何知识产权下的任何权利或许可明示地或默示地授予乙方。</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2.乙方所接收或知悉的保密信息的权利及利益，属甲方。</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3.乙方应在甲方请求时，将该保密信息及其复制品、衍生品全部立即返还甲方或根据甲方要求进行销毁，并出具书面证明以说明上述资料的销毁情形。</w:t>
      </w:r>
      <w:r/>
    </w:p>
    <w:p>
      <w:pPr>
        <w:ind w:firstLine="482"/>
        <w:spacing w:line="360" w:lineRule="auto"/>
        <w:rPr>
          <w:rFonts w:hint="eastAsia" w:ascii="宋体" w:hAnsi="宋体" w:eastAsia="宋体" w:cs="宋体"/>
          <w:b/>
          <w:bCs/>
          <w:sz w:val="24"/>
        </w:rPr>
        <w:outlineLvl w:val="1"/>
      </w:pPr>
      <w:r>
        <w:rPr>
          <w:rFonts w:hint="eastAsia" w:ascii="宋体" w:hAnsi="宋体" w:eastAsia="宋体" w:cs="宋体"/>
          <w:b/>
          <w:bCs/>
          <w:sz w:val="24"/>
        </w:rPr>
        <w:t xml:space="preserve">四、声明 </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1.双方同意，本协议项下保密信息的披露和接收，不得被理解为对任何一方创设具有与另一方达成业务关系的任何义务或任何期望。</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所有保密信息均“按现状”披露，除非另有书面约定，甲方不对根据本协议所披露信息的全面、充分或准确做出保证。甲方不应就乙方因信赖根据本协议所披露的信息所产生的任何费用、损失或损害或采取的行动承担任何责任。</w:t>
      </w:r>
      <w:r/>
    </w:p>
    <w:p>
      <w:pPr>
        <w:ind w:firstLine="482"/>
        <w:spacing w:line="360" w:lineRule="auto"/>
        <w:rPr>
          <w:rFonts w:hint="eastAsia" w:ascii="宋体" w:hAnsi="宋体" w:eastAsia="宋体" w:cs="宋体"/>
          <w:b/>
          <w:bCs/>
          <w:sz w:val="24"/>
        </w:rPr>
        <w:outlineLvl w:val="1"/>
      </w:pPr>
      <w:r>
        <w:rPr>
          <w:rFonts w:hint="eastAsia" w:ascii="宋体" w:hAnsi="宋体" w:eastAsia="宋体" w:cs="宋体"/>
          <w:b/>
          <w:bCs/>
          <w:sz w:val="24"/>
        </w:rPr>
        <w:t xml:space="preserve">五、保密信息的返还与销毁</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1.保密信息作为甲方的专有财产，乙方应妥善保管所获得的保密信息的所有文件资料及其他任何载体。</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2.若双方之间未能建立合作关系或合作关系终止或应甲方的要求，乙方应将全部保密文件资料（包括原件、复印件、翻译件），连同包含或描述该保密信息的任何形式载体交付甲方或销毁。</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在返还与销毁保密信息时，乙方应提供一份由其负责人签署的证明书，声明其自身不再持有任何保密信息或其他包含保密信息的载体，且未对保密信息予以截留、复制或翻译；或如果已复制或翻译，所有这类复制件和翻译件已连同书面资料等一起归还；或如果任何保密信息已被销毁，该证明书应具体说明哪些保密信息已被销毁。</w:t>
      </w:r>
      <w:r/>
    </w:p>
    <w:p>
      <w:pPr>
        <w:ind w:firstLine="482"/>
        <w:spacing w:line="360" w:lineRule="auto"/>
        <w:rPr>
          <w:rFonts w:hint="eastAsia" w:ascii="宋体" w:hAnsi="宋体" w:eastAsia="宋体" w:cs="宋体"/>
          <w:b/>
          <w:bCs/>
          <w:sz w:val="24"/>
        </w:rPr>
      </w:pPr>
      <w:r>
        <w:rPr>
          <w:rFonts w:hint="eastAsia" w:ascii="宋体" w:hAnsi="宋体" w:eastAsia="宋体" w:cs="宋体"/>
          <w:b/>
          <w:bCs/>
          <w:sz w:val="24"/>
        </w:rPr>
        <w:t xml:space="preserve">六、保密期限</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甲、乙双方确认，乙方的保密义务自本协议签订之日起或主合同生效之时或接触甲方保密信息之时开始（以三者较先开始的时间为准）后</w:t>
      </w:r>
      <w:r>
        <w:rPr>
          <w:rFonts w:hint="eastAsia" w:ascii="宋体" w:hAnsi="宋体" w:eastAsia="宋体" w:cs="宋体"/>
          <w:sz w:val="24"/>
          <w:u w:val="single"/>
        </w:rPr>
        <w:t xml:space="preserve">      </w:t>
      </w:r>
      <w:r>
        <w:rPr>
          <w:rFonts w:hint="eastAsia" w:ascii="宋体" w:hAnsi="宋体" w:eastAsia="宋体" w:cs="宋体"/>
          <w:sz w:val="24"/>
        </w:rPr>
        <w:t xml:space="preserve">年。</w:t>
      </w:r>
      <w:r/>
    </w:p>
    <w:p>
      <w:pPr>
        <w:ind w:firstLine="482"/>
        <w:spacing w:line="360" w:lineRule="auto"/>
        <w:rPr>
          <w:rFonts w:hint="eastAsia" w:ascii="宋体" w:hAnsi="宋体" w:eastAsia="宋体" w:cs="宋体"/>
          <w:b/>
          <w:bCs/>
          <w:sz w:val="24"/>
        </w:rPr>
      </w:pPr>
      <w:r>
        <w:rPr>
          <w:rFonts w:hint="eastAsia" w:ascii="宋体" w:hAnsi="宋体" w:eastAsia="宋体" w:cs="宋体"/>
          <w:b/>
          <w:bCs/>
          <w:sz w:val="24"/>
        </w:rPr>
        <w:t xml:space="preserve">七、违约责任</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乙方如违反本协议约定的保密义务，应当赔偿给甲方造成的全部损失及甲方因维权行为而产生的所有费用（包括但不限于直接损失、间接损失、预期利益损失、律师费、鉴定费、交通费等），构成犯罪的，依法处理。</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八、法律适用及争议的解决</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1.本协议应适用中华人民共和国法律解释并受其约束。</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2.因履行本协议或与本协议有关的任何争议，双方应首先协商解决。协商不成时，采取第</w:t>
      </w:r>
      <w:r>
        <w:rPr>
          <w:rFonts w:hint="eastAsia" w:ascii="宋体" w:hAnsi="宋体" w:eastAsia="宋体" w:cs="宋体"/>
          <w:sz w:val="24"/>
          <w:u w:val="single"/>
        </w:rPr>
        <w:t xml:space="preserve">     </w:t>
      </w:r>
      <w:r>
        <w:rPr>
          <w:rFonts w:hint="eastAsia" w:ascii="宋体" w:hAnsi="宋体" w:eastAsia="宋体" w:cs="宋体"/>
          <w:sz w:val="24"/>
        </w:rPr>
        <w:t xml:space="preserve">种方式解决。</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①可向甲方所在地的人民法院提起诉讼解决。</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②向</w:t>
      </w:r>
      <w:r>
        <w:rPr>
          <w:rFonts w:hint="eastAsia" w:ascii="宋体" w:hAnsi="宋体" w:eastAsia="宋体" w:cs="宋体"/>
          <w:sz w:val="24"/>
          <w:u w:val="single"/>
        </w:rPr>
        <w:t xml:space="preserve">       </w:t>
      </w:r>
      <w:r>
        <w:rPr>
          <w:rFonts w:hint="eastAsia" w:ascii="宋体" w:hAnsi="宋体" w:eastAsia="宋体" w:cs="宋体"/>
          <w:sz w:val="24"/>
        </w:rPr>
        <w:t xml:space="preserve">仲裁委员会提起仲裁。</w:t>
      </w:r>
      <w:r/>
    </w:p>
    <w:p>
      <w:pPr>
        <w:ind w:firstLine="482"/>
        <w:spacing w:line="360" w:lineRule="auto"/>
        <w:rPr>
          <w:rFonts w:hint="eastAsia" w:ascii="宋体" w:hAnsi="宋体" w:eastAsia="宋体" w:cs="宋体"/>
          <w:b/>
          <w:bCs/>
          <w:sz w:val="24"/>
        </w:rPr>
      </w:pPr>
      <w:r>
        <w:rPr>
          <w:rFonts w:hint="eastAsia" w:ascii="宋体" w:hAnsi="宋体" w:eastAsia="宋体" w:cs="宋体"/>
          <w:b/>
          <w:bCs/>
          <w:sz w:val="24"/>
        </w:rPr>
        <w:t xml:space="preserve">九、协议生效及其他</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1.本协议自双方盖章之日起生效，自保密期限到期之日自动终止。如本协议提前终止或解除，乙方的保密义务继续存续。</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2、本协议一式贰份，双方各执壹份，具有同等效力。</w:t>
      </w:r>
      <w:r/>
    </w:p>
    <w:p>
      <w:pPr>
        <w:ind w:firstLine="480"/>
        <w:jc w:val="center"/>
        <w:spacing w:line="360" w:lineRule="auto"/>
        <w:rPr>
          <w:rFonts w:hint="eastAsia" w:ascii="宋体" w:hAnsi="宋体" w:eastAsia="宋体" w:cs="宋体"/>
          <w:sz w:val="24"/>
        </w:rPr>
      </w:pPr>
      <w:r>
        <w:rPr>
          <w:rFonts w:hint="eastAsia" w:ascii="宋体" w:hAnsi="宋体" w:eastAsia="宋体" w:cs="宋体"/>
          <w:sz w:val="24"/>
        </w:rPr>
        <w:t xml:space="preserve">【以下无正文】</w:t>
      </w:r>
      <w:r/>
    </w:p>
    <w:p>
      <w:pPr>
        <w:ind w:firstLine="480"/>
        <w:spacing w:line="360" w:lineRule="auto"/>
        <w:rPr>
          <w:rFonts w:hint="eastAsia" w:ascii="宋体" w:hAnsi="宋体" w:eastAsia="宋体" w:cs="宋体"/>
          <w:sz w:val="24"/>
        </w:rPr>
      </w:pPr>
      <w:r>
        <w:rPr>
          <w:rFonts w:hint="eastAsia" w:ascii="宋体" w:hAnsi="宋体" w:eastAsia="宋体" w:cs="宋体"/>
          <w:sz w:val="24"/>
        </w:rPr>
      </w:r>
      <w:r/>
    </w:p>
    <w:p>
      <w:pPr>
        <w:ind w:firstLine="480"/>
        <w:spacing w:line="360" w:lineRule="auto"/>
        <w:rPr>
          <w:rFonts w:hint="eastAsia" w:ascii="宋体" w:hAnsi="宋体" w:eastAsia="宋体" w:cs="宋体"/>
          <w:sz w:val="24"/>
        </w:rPr>
      </w:pPr>
      <w:r>
        <w:rPr>
          <w:rFonts w:hint="eastAsia" w:ascii="宋体" w:hAnsi="宋体" w:eastAsia="宋体" w:cs="宋体"/>
          <w:sz w:val="24"/>
        </w:rPr>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甲方：                       </w:t>
      </w:r>
      <w:r>
        <w:rPr>
          <w:rFonts w:hint="eastAsia" w:ascii="宋体" w:hAnsi="宋体" w:eastAsia="宋体" w:cs="宋体"/>
          <w:sz w:val="24"/>
          <w:lang w:val="en-US" w:eastAsia="zh-CN"/>
        </w:rPr>
        <w:t xml:space="preserve">     </w:t>
      </w:r>
      <w:r>
        <w:rPr>
          <w:rFonts w:hint="eastAsia" w:ascii="宋体" w:hAnsi="宋体" w:eastAsia="宋体" w:cs="宋体"/>
          <w:sz w:val="24"/>
        </w:rPr>
        <w:t xml:space="preserve">乙方：</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（盖章）                    （盖章）</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地址：                       地址：</w:t>
      </w:r>
      <w:r/>
    </w:p>
    <w:p>
      <w:pPr>
        <w:ind w:firstLine="480"/>
        <w:rPr>
          <w:rFonts w:hint="eastAsia" w:ascii="宋体" w:hAnsi="宋体" w:eastAsia="宋体" w:cs="宋体"/>
          <w:b/>
          <w:sz w:val="24"/>
        </w:rPr>
      </w:pPr>
      <w:r>
        <w:rPr>
          <w:rFonts w:hint="eastAsia" w:ascii="宋体" w:hAnsi="宋体" w:eastAsia="宋体" w:cs="宋体"/>
          <w:sz w:val="24"/>
        </w:rPr>
        <w:t xml:space="preserve">签约日期：                   </w:t>
      </w:r>
      <w:r>
        <w:rPr>
          <w:rFonts w:hint="eastAsia" w:ascii="宋体" w:hAnsi="宋体" w:eastAsia="宋体" w:cs="宋体"/>
          <w:sz w:val="24"/>
          <w:lang w:val="en-US" w:eastAsia="zh-CN"/>
        </w:rPr>
        <w:t xml:space="preserve">    </w:t>
      </w:r>
      <w:r>
        <w:rPr>
          <w:rFonts w:hint="eastAsia" w:ascii="宋体" w:hAnsi="宋体" w:eastAsia="宋体" w:cs="宋体"/>
          <w:sz w:val="24"/>
        </w:rPr>
        <w:t xml:space="preserve">签约日期：</w:t>
      </w:r>
      <w:r/>
    </w:p>
    <w:p>
      <w:pPr>
        <w:pStyle w:val="899"/>
        <w:jc w:val="center"/>
        <w:spacing w:line="360" w:lineRule="auto"/>
        <w:rPr>
          <w:rFonts w:ascii="宋体" w:hAnsi="宋体" w:cs="宋体"/>
          <w:b/>
          <w:sz w:val="24"/>
          <w:szCs w:val="24"/>
        </w:rPr>
      </w:pPr>
      <w:r>
        <w:rPr>
          <w:rFonts w:ascii="宋体" w:hAnsi="宋体" w:cs="宋体"/>
          <w:b/>
          <w:sz w:val="24"/>
          <w:szCs w:val="24"/>
        </w:rPr>
      </w:r>
      <w:r/>
    </w:p>
    <w:p>
      <w:pPr>
        <w:rPr>
          <w:rFonts w:hint="eastAsia" w:ascii="宋体" w:hAnsi="宋体" w:cs="宋体"/>
          <w:b/>
          <w:sz w:val="30"/>
          <w:szCs w:val="30"/>
          <w:lang w:val="en-US" w:eastAsia="zh-CN"/>
        </w:rPr>
      </w:pPr>
      <w:r/>
      <w:bookmarkStart w:id="26" w:name="第五章_工程量清单"/>
      <w:r/>
      <w:bookmarkEnd w:id="26"/>
      <w:r>
        <w:rPr>
          <w:rFonts w:hint="eastAsia" w:ascii="宋体" w:hAnsi="宋体" w:cs="宋体"/>
          <w:b/>
          <w:sz w:val="30"/>
          <w:szCs w:val="30"/>
          <w:lang w:val="en-US" w:eastAsia="zh-CN"/>
        </w:rPr>
        <w:br w:type="page" w:clear="all"/>
      </w:r>
      <w:r/>
    </w:p>
    <w:p>
      <w:pPr>
        <w:ind w:firstLine="420"/>
        <w:jc w:val="center"/>
        <w:spacing w:line="360" w:lineRule="auto"/>
        <w:rPr>
          <w:rFonts w:ascii="宋体" w:hAnsi="宋体" w:cs="宋体"/>
          <w:b/>
          <w:sz w:val="36"/>
        </w:rPr>
        <w:outlineLvl w:val="0"/>
      </w:pPr>
      <w:r/>
      <w:bookmarkStart w:id="27" w:name="_Toc12833"/>
      <w:r>
        <w:rPr>
          <w:rFonts w:hint="eastAsia" w:ascii="宋体" w:hAnsi="宋体" w:cs="宋体"/>
          <w:b/>
          <w:sz w:val="30"/>
          <w:szCs w:val="30"/>
          <w:lang w:val="en-US" w:eastAsia="zh-CN"/>
        </w:rPr>
        <w:t xml:space="preserve">7</w:t>
      </w:r>
      <w:r>
        <w:rPr>
          <w:rFonts w:hint="eastAsia" w:ascii="宋体" w:hAnsi="宋体" w:cs="宋体"/>
          <w:b/>
          <w:sz w:val="30"/>
          <w:szCs w:val="30"/>
        </w:rPr>
        <w:t xml:space="preserve">、承诺书</w:t>
      </w:r>
      <w:bookmarkEnd w:id="27"/>
      <w:r/>
      <w:r/>
    </w:p>
    <w:p>
      <w:pPr>
        <w:ind w:firstLine="482"/>
        <w:keepLines w:val="0"/>
        <w:keepNext w:val="0"/>
        <w:pageBreakBefore w:val="0"/>
        <w:spacing w:line="300" w:lineRule="auto"/>
        <w:widowControl w:val="off"/>
        <w:rPr>
          <w:rFonts w:ascii="宋体" w:hAnsi="宋体" w:cs="宋体"/>
          <w:sz w:val="24"/>
        </w:rPr>
      </w:pPr>
      <w:r>
        <w:rPr>
          <w:rFonts w:hint="eastAsia" w:ascii="宋体" w:hAnsi="宋体" w:cs="宋体"/>
          <w:sz w:val="24"/>
        </w:rPr>
        <w:t xml:space="preserve">致</w:t>
      </w:r>
      <w:r>
        <w:rPr>
          <w:rFonts w:hint="eastAsia" w:ascii="宋体" w:hAnsi="宋体" w:cs="宋体"/>
          <w:sz w:val="24"/>
          <w:u w:val="single"/>
        </w:rPr>
        <w:t xml:space="preserve"> </w:t>
      </w:r>
      <w:r>
        <w:rPr>
          <w:rFonts w:hint="eastAsia" w:ascii="宋体" w:hAnsi="宋体" w:cs="宋体"/>
          <w:sz w:val="24"/>
          <w:u w:val="single"/>
          <w:lang w:eastAsia="zh-CN"/>
        </w:rPr>
        <w:t xml:space="preserve">沛县公安局</w:t>
      </w:r>
      <w:r>
        <w:rPr>
          <w:rFonts w:hint="eastAsia" w:ascii="宋体" w:hAnsi="宋体" w:cs="宋体"/>
          <w:sz w:val="24"/>
          <w:u w:val="single"/>
        </w:rPr>
        <w:t xml:space="preserve">、</w:t>
      </w:r>
      <w:r>
        <w:rPr>
          <w:rFonts w:hint="eastAsia" w:ascii="宋体" w:hAnsi="宋体" w:cs="宋体"/>
          <w:sz w:val="24"/>
          <w:u w:val="single"/>
          <w:lang w:eastAsia="zh-CN"/>
        </w:rPr>
        <w:t xml:space="preserve">上海科立普咨询管理有限公司</w:t>
      </w:r>
      <w:r>
        <w:rPr>
          <w:rFonts w:hint="eastAsia" w:ascii="宋体" w:hAnsi="宋体" w:cs="宋体"/>
          <w:sz w:val="24"/>
          <w:u w:val="single"/>
        </w:rPr>
        <w:t xml:space="preserve"> </w:t>
      </w:r>
      <w:r>
        <w:rPr>
          <w:rFonts w:hint="eastAsia" w:ascii="宋体" w:hAnsi="宋体" w:cs="宋体"/>
          <w:sz w:val="24"/>
        </w:rPr>
        <w:t xml:space="preserve">：</w:t>
      </w:r>
      <w:r/>
    </w:p>
    <w:p>
      <w:pPr>
        <w:ind w:firstLine="482"/>
        <w:keepLines w:val="0"/>
        <w:keepNext w:val="0"/>
        <w:pageBreakBefore w:val="0"/>
        <w:spacing w:line="300" w:lineRule="auto"/>
        <w:widowControl w:val="off"/>
        <w:rPr>
          <w:rFonts w:ascii="宋体" w:hAnsi="宋体" w:cs="宋体"/>
          <w:sz w:val="24"/>
        </w:rPr>
      </w:pPr>
      <w:r>
        <w:rPr>
          <w:rFonts w:hint="eastAsia" w:ascii="宋体" w:hAnsi="宋体" w:cs="宋体"/>
          <w:sz w:val="24"/>
        </w:rPr>
        <w:t xml:space="preserve">根据贵方《磋商文件》（项目编号：</w:t>
      </w:r>
      <w:r>
        <w:rPr>
          <w:rFonts w:hint="eastAsia" w:ascii="宋体" w:hAnsi="宋体" w:cs="宋体"/>
          <w:sz w:val="24"/>
          <w:lang w:eastAsia="zh-CN"/>
        </w:rPr>
        <w:t xml:space="preserve">JSZC-320322-SHKL-C2026-0003</w:t>
      </w:r>
      <w:r>
        <w:rPr>
          <w:rFonts w:hint="eastAsia" w:ascii="宋体" w:hAnsi="宋体" w:cs="宋体"/>
          <w:sz w:val="24"/>
        </w:rPr>
        <w:t xml:space="preserve">）要求，本供应商正式提交以下首次响应文件。</w:t>
      </w:r>
      <w:r/>
    </w:p>
    <w:p>
      <w:pPr>
        <w:ind w:firstLine="482"/>
        <w:keepLines w:val="0"/>
        <w:keepNext w:val="0"/>
        <w:pageBreakBefore w:val="0"/>
        <w:spacing w:line="300" w:lineRule="auto"/>
        <w:widowControl w:val="off"/>
        <w:rPr>
          <w:rFonts w:ascii="宋体" w:hAnsi="宋体" w:cs="宋体"/>
          <w:sz w:val="24"/>
        </w:rPr>
      </w:pPr>
      <w:r>
        <w:rPr>
          <w:rFonts w:hint="eastAsia" w:ascii="宋体" w:hAnsi="宋体" w:cs="宋体"/>
          <w:sz w:val="24"/>
        </w:rPr>
        <w:t xml:space="preserve">（1）承诺书；</w:t>
      </w:r>
      <w:r/>
    </w:p>
    <w:p>
      <w:pPr>
        <w:ind w:firstLine="482"/>
        <w:keepLines w:val="0"/>
        <w:keepNext w:val="0"/>
        <w:pageBreakBefore w:val="0"/>
        <w:spacing w:line="300" w:lineRule="auto"/>
        <w:widowControl w:val="off"/>
        <w:rPr>
          <w:rFonts w:ascii="宋体" w:hAnsi="宋体" w:cs="宋体"/>
          <w:sz w:val="24"/>
        </w:rPr>
      </w:pPr>
      <w:r>
        <w:rPr>
          <w:rFonts w:hint="eastAsia" w:ascii="宋体" w:hAnsi="宋体" w:cs="宋体"/>
          <w:sz w:val="24"/>
        </w:rPr>
        <w:t xml:space="preserve">（2）磋商报价表；</w:t>
      </w:r>
      <w:r/>
    </w:p>
    <w:p>
      <w:pPr>
        <w:ind w:firstLine="482"/>
        <w:keepLines w:val="0"/>
        <w:keepNext w:val="0"/>
        <w:pageBreakBefore w:val="0"/>
        <w:spacing w:line="300" w:lineRule="auto"/>
        <w:widowControl w:val="off"/>
        <w:rPr>
          <w:rFonts w:ascii="宋体" w:hAnsi="宋体" w:cs="宋体"/>
          <w:sz w:val="24"/>
        </w:rPr>
      </w:pPr>
      <w:r>
        <w:rPr>
          <w:rFonts w:hint="eastAsia" w:ascii="宋体" w:hAnsi="宋体" w:cs="宋体"/>
          <w:sz w:val="24"/>
        </w:rPr>
        <w:t xml:space="preserve">（3）偏离表；</w:t>
      </w:r>
      <w:r/>
    </w:p>
    <w:p>
      <w:pPr>
        <w:ind w:firstLine="482"/>
        <w:keepLines w:val="0"/>
        <w:keepNext w:val="0"/>
        <w:pageBreakBefore w:val="0"/>
        <w:spacing w:line="300" w:lineRule="auto"/>
        <w:widowControl w:val="off"/>
        <w:rPr>
          <w:rFonts w:ascii="宋体" w:hAnsi="宋体" w:cs="宋体"/>
          <w:sz w:val="24"/>
        </w:rPr>
      </w:pPr>
      <w:r>
        <w:rPr>
          <w:rFonts w:hint="eastAsia" w:ascii="宋体" w:hAnsi="宋体" w:cs="宋体"/>
          <w:sz w:val="24"/>
        </w:rPr>
        <w:t xml:space="preserve">（4）磋商文件要求提供的其他响应文件。</w:t>
      </w:r>
      <w:r/>
    </w:p>
    <w:p>
      <w:pPr>
        <w:ind w:firstLine="482"/>
        <w:keepLines w:val="0"/>
        <w:keepNext w:val="0"/>
        <w:pageBreakBefore w:val="0"/>
        <w:spacing w:line="300" w:lineRule="auto"/>
        <w:widowControl w:val="off"/>
        <w:rPr>
          <w:rFonts w:ascii="宋体" w:hAnsi="宋体" w:cs="宋体"/>
          <w:sz w:val="24"/>
        </w:rPr>
      </w:pPr>
      <w:r>
        <w:rPr>
          <w:rFonts w:hint="eastAsia" w:ascii="宋体" w:hAnsi="宋体" w:cs="宋体"/>
          <w:sz w:val="24"/>
        </w:rPr>
        <w:t xml:space="preserve">我单位符合《中华人民共和国政府采购法》第二十二条的规定，符合本项目供应商资格要求。</w:t>
      </w:r>
      <w:r/>
    </w:p>
    <w:p>
      <w:pPr>
        <w:ind w:firstLine="482"/>
        <w:keepLines w:val="0"/>
        <w:keepNext w:val="0"/>
        <w:pageBreakBefore w:val="0"/>
        <w:spacing w:line="300" w:lineRule="auto"/>
        <w:widowControl w:val="off"/>
        <w:rPr>
          <w:rFonts w:ascii="宋体" w:hAnsi="宋体" w:cs="宋体"/>
          <w:sz w:val="24"/>
        </w:rPr>
      </w:pPr>
      <w:r>
        <w:rPr>
          <w:rFonts w:hint="eastAsia" w:ascii="宋体" w:hAnsi="宋体" w:cs="宋体"/>
          <w:sz w:val="24"/>
        </w:rPr>
        <w:t xml:space="preserve">我单位按照磋商文件的要求编制响应文件，并对其提交的响应文件的真实性、合法性承担法律责任。</w:t>
      </w:r>
      <w:r/>
    </w:p>
    <w:p>
      <w:pPr>
        <w:ind w:firstLine="482"/>
        <w:keepLines w:val="0"/>
        <w:keepNext w:val="0"/>
        <w:pageBreakBefore w:val="0"/>
        <w:spacing w:line="300" w:lineRule="auto"/>
        <w:widowControl w:val="off"/>
        <w:rPr>
          <w:rFonts w:ascii="宋体" w:hAnsi="宋体" w:cs="宋体"/>
          <w:sz w:val="24"/>
        </w:rPr>
      </w:pPr>
      <w:r>
        <w:rPr>
          <w:rFonts w:hint="eastAsia" w:ascii="宋体" w:hAnsi="宋体" w:cs="宋体"/>
          <w:sz w:val="24"/>
        </w:rPr>
        <w:t xml:space="preserve">供应商兹宣布同意如下： </w:t>
      </w:r>
      <w:r/>
    </w:p>
    <w:p>
      <w:pPr>
        <w:ind w:firstLine="482"/>
        <w:keepLines w:val="0"/>
        <w:keepNext w:val="0"/>
        <w:pageBreakBefore w:val="0"/>
        <w:spacing w:line="300" w:lineRule="auto"/>
        <w:widowControl w:val="off"/>
        <w:rPr>
          <w:rFonts w:ascii="宋体" w:hAnsi="宋体" w:cs="宋体"/>
          <w:sz w:val="24"/>
        </w:rPr>
      </w:pPr>
      <w:r>
        <w:rPr>
          <w:rFonts w:hint="eastAsia" w:ascii="宋体" w:hAnsi="宋体" w:cs="宋体"/>
          <w:sz w:val="24"/>
        </w:rPr>
        <w:t xml:space="preserve">一、完全承担根据《磋商文件》规定完成合同的责任和义务（如有偏离，将全部填写在偏离表中）。</w:t>
      </w:r>
      <w:r/>
    </w:p>
    <w:p>
      <w:pPr>
        <w:ind w:firstLine="482"/>
        <w:keepLines w:val="0"/>
        <w:keepNext w:val="0"/>
        <w:pageBreakBefore w:val="0"/>
        <w:spacing w:line="300" w:lineRule="auto"/>
        <w:widowControl w:val="off"/>
        <w:rPr>
          <w:rFonts w:ascii="宋体" w:hAnsi="宋体" w:cs="宋体"/>
          <w:sz w:val="24"/>
        </w:rPr>
      </w:pPr>
      <w:r>
        <w:rPr>
          <w:rFonts w:hint="eastAsia" w:ascii="宋体" w:hAnsi="宋体" w:cs="宋体"/>
          <w:sz w:val="24"/>
        </w:rPr>
        <w:t xml:space="preserve">二、保证所提供的响应文件及所有材料的真实、合法、有效，并对其负责。</w:t>
      </w:r>
      <w:r/>
    </w:p>
    <w:p>
      <w:pPr>
        <w:ind w:firstLine="482"/>
        <w:keepLines w:val="0"/>
        <w:keepNext w:val="0"/>
        <w:pageBreakBefore w:val="0"/>
        <w:spacing w:line="300" w:lineRule="auto"/>
        <w:widowControl w:val="off"/>
        <w:rPr>
          <w:rFonts w:ascii="宋体" w:hAnsi="宋体" w:cs="宋体"/>
          <w:sz w:val="24"/>
        </w:rPr>
      </w:pPr>
      <w:r>
        <w:rPr>
          <w:rFonts w:hint="eastAsia" w:ascii="宋体" w:hAnsi="宋体" w:cs="宋体"/>
          <w:sz w:val="24"/>
        </w:rPr>
        <w:t xml:space="preserve">三、已详细审核竞争性磋商文件（含竞争性磋商文件的澄清或者修改），本供应商完全理解并同意放弃对这方面不明及误解的权利。</w:t>
      </w:r>
      <w:r/>
    </w:p>
    <w:p>
      <w:pPr>
        <w:ind w:firstLine="482"/>
        <w:keepLines w:val="0"/>
        <w:keepNext w:val="0"/>
        <w:pageBreakBefore w:val="0"/>
        <w:spacing w:line="300" w:lineRule="auto"/>
        <w:widowControl w:val="off"/>
        <w:rPr>
          <w:rFonts w:ascii="宋体" w:hAnsi="宋体" w:cs="宋体"/>
          <w:sz w:val="24"/>
        </w:rPr>
      </w:pPr>
      <w:r>
        <w:rPr>
          <w:rFonts w:hint="eastAsia" w:ascii="宋体" w:hAnsi="宋体" w:cs="宋体"/>
          <w:sz w:val="24"/>
        </w:rPr>
        <w:t xml:space="preserve">四、所供货物保证符合国家有关产品质量、性能和安全标准，无权利瑕疵。</w:t>
      </w:r>
      <w:r/>
    </w:p>
    <w:p>
      <w:pPr>
        <w:ind w:firstLine="482"/>
        <w:keepLines w:val="0"/>
        <w:keepNext w:val="0"/>
        <w:pageBreakBefore w:val="0"/>
        <w:spacing w:line="300" w:lineRule="auto"/>
        <w:widowControl w:val="off"/>
        <w:rPr>
          <w:rFonts w:ascii="宋体" w:hAnsi="宋体" w:cs="宋体"/>
          <w:sz w:val="24"/>
        </w:rPr>
      </w:pPr>
      <w:r>
        <w:rPr>
          <w:rFonts w:hint="eastAsia" w:ascii="宋体" w:hAnsi="宋体" w:cs="宋体"/>
          <w:sz w:val="24"/>
        </w:rPr>
        <w:t xml:space="preserve">五、报价有效期为60个工作日。</w:t>
      </w:r>
      <w:r/>
    </w:p>
    <w:p>
      <w:pPr>
        <w:ind w:firstLine="482"/>
        <w:keepLines w:val="0"/>
        <w:keepNext w:val="0"/>
        <w:pageBreakBefore w:val="0"/>
        <w:spacing w:line="300" w:lineRule="auto"/>
        <w:widowControl w:val="off"/>
        <w:rPr>
          <w:rFonts w:ascii="宋体" w:hAnsi="宋体" w:cs="宋体"/>
          <w:sz w:val="24"/>
        </w:rPr>
      </w:pPr>
      <w:r>
        <w:rPr>
          <w:rFonts w:hint="eastAsia" w:ascii="宋体" w:hAnsi="宋体" w:cs="宋体"/>
          <w:sz w:val="24"/>
        </w:rPr>
        <w:t xml:space="preserve">六、同意向贵方提供贵方可能要求的与本次磋商采购有关的任何证据或资料。</w:t>
      </w:r>
      <w:r/>
    </w:p>
    <w:p>
      <w:pPr>
        <w:ind w:firstLine="482"/>
        <w:keepLines w:val="0"/>
        <w:keepNext w:val="0"/>
        <w:pageBreakBefore w:val="0"/>
        <w:spacing w:line="300" w:lineRule="auto"/>
        <w:widowControl w:val="off"/>
        <w:rPr>
          <w:rFonts w:ascii="宋体" w:hAnsi="宋体" w:cs="宋体"/>
          <w:sz w:val="24"/>
        </w:rPr>
      </w:pPr>
      <w:r>
        <w:rPr>
          <w:rFonts w:hint="eastAsia" w:ascii="宋体" w:hAnsi="宋体" w:cs="宋体"/>
          <w:sz w:val="24"/>
        </w:rPr>
        <w:t xml:space="preserve">七、完全理解贵方不一定要接受最低的报价或收到的任何报价。</w:t>
      </w:r>
      <w:r/>
    </w:p>
    <w:p>
      <w:pPr>
        <w:ind w:firstLine="482"/>
        <w:keepLines w:val="0"/>
        <w:keepNext w:val="0"/>
        <w:pageBreakBefore w:val="0"/>
        <w:spacing w:line="300" w:lineRule="auto"/>
        <w:widowControl w:val="off"/>
        <w:rPr>
          <w:rFonts w:ascii="宋体" w:hAnsi="宋体" w:cs="宋体"/>
          <w:sz w:val="24"/>
        </w:rPr>
      </w:pPr>
      <w:r>
        <w:rPr>
          <w:rFonts w:hint="eastAsia" w:ascii="宋体" w:hAnsi="宋体" w:cs="宋体"/>
          <w:sz w:val="24"/>
        </w:rPr>
        <w:t xml:space="preserve">八、采购人或采购代理机构有权将我单位本项目的《磋商报价表》和《分项价格表》予以公示，公示的方式由</w:t>
      </w:r>
      <w:r>
        <w:rPr>
          <w:rFonts w:hint="eastAsia" w:ascii="宋体" w:hAnsi="宋体" w:cs="宋体"/>
          <w:sz w:val="24"/>
          <w:lang w:eastAsia="zh-CN"/>
        </w:rPr>
        <w:t xml:space="preserve">上海科立普咨询管理有限公司</w:t>
      </w:r>
      <w:r>
        <w:rPr>
          <w:rFonts w:hint="eastAsia" w:ascii="宋体" w:hAnsi="宋体" w:cs="宋体"/>
          <w:sz w:val="24"/>
        </w:rPr>
        <w:t xml:space="preserve">确定。</w:t>
      </w:r>
      <w:r/>
    </w:p>
    <w:p>
      <w:pPr>
        <w:ind w:firstLine="482"/>
        <w:keepLines w:val="0"/>
        <w:keepNext w:val="0"/>
        <w:pageBreakBefore w:val="0"/>
        <w:spacing w:line="300" w:lineRule="auto"/>
        <w:widowControl w:val="off"/>
        <w:rPr>
          <w:rFonts w:ascii="宋体" w:hAnsi="宋体" w:cs="宋体"/>
          <w:sz w:val="24"/>
        </w:rPr>
      </w:pPr>
      <w:r>
        <w:rPr>
          <w:rFonts w:hint="eastAsia" w:ascii="宋体" w:hAnsi="宋体" w:cs="宋体"/>
          <w:sz w:val="24"/>
        </w:rPr>
        <w:t xml:space="preserve">九、采购人或采购代理机构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2"/>
        <w:keepLines w:val="0"/>
        <w:keepNext w:val="0"/>
        <w:pageBreakBefore w:val="0"/>
        <w:spacing w:line="300" w:lineRule="auto"/>
        <w:widowControl w:val="off"/>
        <w:rPr>
          <w:rFonts w:hint="eastAsia" w:ascii="宋体" w:hAnsi="宋体" w:cs="宋体"/>
          <w:sz w:val="24"/>
        </w:rPr>
      </w:pPr>
      <w:r>
        <w:rPr>
          <w:rFonts w:hint="eastAsia" w:ascii="宋体" w:hAnsi="宋体" w:cs="宋体"/>
          <w:sz w:val="24"/>
        </w:rPr>
      </w:r>
      <w:r/>
    </w:p>
    <w:p>
      <w:pPr>
        <w:ind w:firstLine="482"/>
        <w:keepLines w:val="0"/>
        <w:keepNext w:val="0"/>
        <w:pageBreakBefore w:val="0"/>
        <w:spacing w:line="300" w:lineRule="auto"/>
        <w:widowControl w:val="off"/>
        <w:rPr>
          <w:rFonts w:ascii="宋体" w:hAnsi="宋体" w:cs="宋体"/>
          <w:sz w:val="24"/>
        </w:rPr>
      </w:pPr>
      <w:r>
        <w:rPr>
          <w:rFonts w:hint="eastAsia" w:ascii="宋体" w:hAnsi="宋体" w:cs="宋体"/>
          <w:sz w:val="24"/>
        </w:rPr>
        <w:t xml:space="preserve">供应商（电子签章）：</w:t>
      </w:r>
      <w:r/>
    </w:p>
    <w:p>
      <w:pPr>
        <w:ind w:firstLine="482"/>
        <w:keepLines w:val="0"/>
        <w:keepNext w:val="0"/>
        <w:pageBreakBefore w:val="0"/>
        <w:spacing w:line="300" w:lineRule="auto"/>
        <w:widowControl w:val="off"/>
        <w:rPr>
          <w:rFonts w:ascii="宋体" w:hAnsi="宋体" w:cs="宋体"/>
          <w:sz w:val="24"/>
        </w:rPr>
      </w:pPr>
      <w:r>
        <w:rPr>
          <w:rFonts w:hint="eastAsia" w:ascii="宋体" w:hAnsi="宋体" w:cs="宋体"/>
          <w:sz w:val="24"/>
        </w:rPr>
        <w:t xml:space="preserve">法定代表人（负责人)或授权代表（签字或盖章）：</w:t>
      </w:r>
      <w:r/>
    </w:p>
    <w:p>
      <w:pPr>
        <w:ind w:firstLine="482"/>
        <w:keepLines w:val="0"/>
        <w:keepNext w:val="0"/>
        <w:pageBreakBefore w:val="0"/>
        <w:spacing w:line="300" w:lineRule="auto"/>
        <w:widowControl w:val="off"/>
        <w:rPr>
          <w:rFonts w:ascii="宋体" w:hAnsi="宋体" w:cs="宋体"/>
          <w:sz w:val="24"/>
        </w:rPr>
      </w:pPr>
      <w:r>
        <w:rPr>
          <w:rFonts w:hint="eastAsia" w:ascii="宋体" w:hAnsi="宋体" w:cs="宋体"/>
          <w:sz w:val="24"/>
        </w:rPr>
        <w:t xml:space="preserve">联系电话：</w:t>
      </w:r>
      <w:r/>
    </w:p>
    <w:p>
      <w:pPr>
        <w:ind w:firstLine="482"/>
        <w:keepLines w:val="0"/>
        <w:keepNext w:val="0"/>
        <w:pageBreakBefore w:val="0"/>
        <w:spacing w:line="300" w:lineRule="auto"/>
        <w:widowControl w:val="off"/>
        <w:rPr>
          <w:rFonts w:ascii="宋体" w:hAnsi="宋体" w:cs="宋体"/>
          <w:sz w:val="24"/>
        </w:rPr>
      </w:pPr>
      <w:r>
        <w:rPr>
          <w:rFonts w:hint="eastAsia" w:ascii="宋体" w:hAnsi="宋体" w:cs="宋体"/>
          <w:sz w:val="24"/>
        </w:rPr>
        <w:t xml:space="preserve">日期：</w:t>
      </w:r>
      <w:r/>
    </w:p>
    <w:p>
      <w:pPr>
        <w:keepLines w:val="0"/>
        <w:keepNext w:val="0"/>
        <w:pageBreakBefore w:val="0"/>
        <w:spacing w:line="300" w:lineRule="auto"/>
        <w:widowControl w:val="off"/>
        <w:rPr>
          <w:rFonts w:ascii="宋体" w:hAnsi="宋体" w:cs="宋体"/>
          <w:b/>
          <w:sz w:val="30"/>
          <w:szCs w:val="30"/>
        </w:rPr>
      </w:pPr>
      <w:r>
        <w:rPr>
          <w:rFonts w:hint="eastAsia" w:ascii="宋体" w:hAnsi="宋体" w:cs="宋体"/>
          <w:b/>
          <w:sz w:val="24"/>
        </w:rPr>
        <w:br w:type="page" w:clear="all"/>
      </w:r>
      <w:r/>
    </w:p>
    <w:p>
      <w:pPr>
        <w:ind w:firstLine="480"/>
        <w:jc w:val="center"/>
        <w:spacing w:line="360" w:lineRule="auto"/>
        <w:rPr>
          <w:rFonts w:ascii="宋体" w:hAnsi="宋体" w:cs="宋体"/>
          <w:b/>
          <w:sz w:val="30"/>
          <w:szCs w:val="30"/>
        </w:rPr>
        <w:outlineLvl w:val="0"/>
      </w:pPr>
      <w:r/>
      <w:bookmarkStart w:id="28" w:name="_Toc13029"/>
      <w:r>
        <w:rPr>
          <w:rFonts w:hint="eastAsia" w:ascii="宋体" w:hAnsi="宋体" w:cs="宋体"/>
          <w:b/>
          <w:sz w:val="30"/>
          <w:szCs w:val="30"/>
          <w:lang w:val="en-US" w:eastAsia="zh-CN"/>
        </w:rPr>
        <w:t xml:space="preserve">8</w:t>
      </w:r>
      <w:r>
        <w:rPr>
          <w:rFonts w:hint="eastAsia" w:ascii="宋体" w:hAnsi="宋体" w:cs="宋体"/>
          <w:b/>
          <w:sz w:val="30"/>
          <w:szCs w:val="30"/>
        </w:rPr>
        <w:t xml:space="preserve">、授权委托书</w:t>
      </w:r>
      <w:bookmarkEnd w:id="28"/>
      <w:r/>
      <w:r/>
    </w:p>
    <w:p>
      <w:pPr>
        <w:pStyle w:val="884"/>
      </w:pPr>
      <w:r/>
      <w:r/>
    </w:p>
    <w:p>
      <w:pPr>
        <w:spacing w:line="360" w:lineRule="auto"/>
        <w:rPr>
          <w:rFonts w:ascii="宋体" w:hAnsi="宋体" w:cs="宋体"/>
          <w:sz w:val="24"/>
        </w:rPr>
      </w:pPr>
      <w:r>
        <w:rPr>
          <w:rFonts w:hint="eastAsia" w:ascii="宋体" w:hAnsi="宋体" w:cs="宋体"/>
          <w:sz w:val="24"/>
        </w:rPr>
        <w:t xml:space="preserve">委托人（全称）：</w:t>
      </w:r>
      <w:r/>
    </w:p>
    <w:p>
      <w:pPr>
        <w:spacing w:line="360" w:lineRule="auto"/>
        <w:rPr>
          <w:rFonts w:ascii="宋体" w:hAnsi="宋体" w:cs="宋体"/>
          <w:sz w:val="24"/>
        </w:rPr>
      </w:pPr>
      <w:r>
        <w:rPr>
          <w:rFonts w:hint="eastAsia" w:ascii="宋体" w:hAnsi="宋体" w:cs="宋体"/>
          <w:sz w:val="24"/>
        </w:rPr>
        <w:t xml:space="preserve">地  址：</w:t>
      </w:r>
      <w:r/>
    </w:p>
    <w:p>
      <w:pPr>
        <w:spacing w:line="360" w:lineRule="auto"/>
        <w:rPr>
          <w:rFonts w:ascii="宋体" w:hAnsi="宋体" w:cs="宋体"/>
          <w:sz w:val="24"/>
        </w:rPr>
      </w:pPr>
      <w:r>
        <w:rPr>
          <w:rFonts w:hint="eastAsia" w:ascii="宋体" w:hAnsi="宋体" w:cs="宋体"/>
          <w:sz w:val="24"/>
        </w:rPr>
        <w:t xml:space="preserve">法定代表人（负责人）：                  </w:t>
      </w:r>
      <w:r/>
    </w:p>
    <w:p>
      <w:pPr>
        <w:spacing w:line="360" w:lineRule="auto"/>
        <w:rPr>
          <w:rFonts w:ascii="宋体" w:hAnsi="宋体" w:cs="宋体"/>
          <w:sz w:val="24"/>
        </w:rPr>
      </w:pPr>
      <w:r>
        <w:rPr>
          <w:rFonts w:hint="eastAsia" w:ascii="宋体" w:hAnsi="宋体" w:cs="宋体"/>
          <w:sz w:val="24"/>
        </w:rPr>
        <w:t xml:space="preserve">统一社会信用代码：</w:t>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hint="eastAsia" w:ascii="宋体" w:hAnsi="宋体" w:cs="宋体"/>
          <w:sz w:val="24"/>
        </w:rPr>
        <w:t xml:space="preserve">受托人：                    先生（女士）</w:t>
      </w:r>
      <w:r/>
    </w:p>
    <w:p>
      <w:pPr>
        <w:spacing w:line="360" w:lineRule="auto"/>
        <w:rPr>
          <w:rFonts w:hint="eastAsia" w:ascii="宋体" w:hAnsi="宋体" w:cs="宋体"/>
          <w:sz w:val="24"/>
        </w:rPr>
      </w:pPr>
      <w:r>
        <w:rPr>
          <w:rFonts w:hint="eastAsia" w:ascii="宋体" w:hAnsi="宋体" w:cs="宋体"/>
          <w:sz w:val="24"/>
        </w:rPr>
        <w:t xml:space="preserve">身份证号：                </w:t>
      </w:r>
      <w:r>
        <w:rPr>
          <w:rFonts w:hint="eastAsia" w:ascii="宋体" w:hAnsi="宋体" w:cs="宋体"/>
          <w:sz w:val="24"/>
          <w:lang w:val="en-US" w:eastAsia="zh-CN"/>
        </w:rPr>
        <w:t xml:space="preserve"> </w:t>
      </w:r>
      <w:r>
        <w:rPr>
          <w:rFonts w:hint="eastAsia" w:ascii="宋体" w:hAnsi="宋体" w:cs="宋体"/>
          <w:sz w:val="24"/>
        </w:rPr>
        <w:t xml:space="preserve"> </w:t>
      </w:r>
      <w:r/>
    </w:p>
    <w:p>
      <w:pPr>
        <w:spacing w:line="360" w:lineRule="auto"/>
        <w:rPr>
          <w:rFonts w:ascii="宋体" w:hAnsi="宋体" w:cs="宋体"/>
          <w:sz w:val="24"/>
        </w:rPr>
      </w:pPr>
      <w:r>
        <w:rPr>
          <w:rFonts w:hint="eastAsia" w:ascii="宋体" w:hAnsi="宋体" w:cs="宋体"/>
          <w:bCs/>
          <w:sz w:val="24"/>
        </w:rPr>
        <w:t xml:space="preserve">联系方式（手机号）：</w:t>
      </w:r>
      <w:r/>
    </w:p>
    <w:p>
      <w:pPr>
        <w:jc w:val="cente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ind w:firstLine="480"/>
        <w:spacing w:line="360" w:lineRule="auto"/>
        <w:rPr>
          <w:rFonts w:ascii="宋体" w:hAnsi="宋体" w:cs="宋体"/>
          <w:sz w:val="24"/>
        </w:rPr>
      </w:pPr>
      <w:r>
        <w:rPr>
          <w:rFonts w:hint="eastAsia" w:ascii="宋体" w:hAnsi="宋体" w:cs="宋体"/>
          <w:sz w:val="24"/>
        </w:rPr>
        <w:t xml:space="preserve">兹委托（            ）全权代表我企业（公司）参与</w:t>
      </w:r>
      <w:r>
        <w:rPr>
          <w:rFonts w:hint="eastAsia" w:ascii="宋体" w:hAnsi="宋体" w:cs="宋体"/>
          <w:sz w:val="24"/>
          <w:u w:val="single"/>
          <w:lang w:eastAsia="zh-CN"/>
        </w:rPr>
        <w:t xml:space="preserve">2026年度城区道路交通设施社会化管养服务</w:t>
      </w:r>
      <w:r>
        <w:rPr>
          <w:rFonts w:hint="eastAsia" w:ascii="宋体" w:hAnsi="宋体" w:cs="宋体"/>
          <w:sz w:val="24"/>
        </w:rPr>
        <w:t xml:space="preserve">[项目编号：</w:t>
      </w:r>
      <w:r>
        <w:rPr>
          <w:rFonts w:hint="eastAsia" w:ascii="宋体" w:hAnsi="宋体" w:cs="宋体"/>
          <w:sz w:val="24"/>
          <w:u w:val="single"/>
          <w:lang w:eastAsia="zh-CN"/>
        </w:rPr>
        <w:t xml:space="preserve">JSZC-320322-SHKL-C2026-0003</w:t>
      </w:r>
      <w:r>
        <w:rPr>
          <w:rFonts w:hint="eastAsia" w:ascii="宋体" w:hAnsi="宋体" w:cs="宋体"/>
          <w:sz w:val="24"/>
        </w:rPr>
        <w:t xml:space="preserve">]的磋商活动及签订合同。（         ）以我企业（公司）名义所为的行为及签署的文件，我企业（公司）均予以认可。有关法律责任均由我企业（公司）承担。（         ）无转委托权。委托期限自    年  月   日起至    年  月    日止。</w:t>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hint="eastAsia" w:ascii="宋体" w:hAnsi="宋体" w:cs="宋体"/>
          <w:sz w:val="24"/>
        </w:rPr>
        <w:t xml:space="preserve">委托人（电子签章）：</w:t>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hint="eastAsia" w:ascii="宋体" w:hAnsi="宋体" w:cs="宋体"/>
          <w:sz w:val="24"/>
        </w:rPr>
        <w:t xml:space="preserve">法定代表人（负责人）（签字或盖章）：</w:t>
      </w:r>
      <w:r/>
    </w:p>
    <w:p>
      <w:pPr>
        <w:spacing w:line="360" w:lineRule="auto"/>
        <w:rPr>
          <w:rFonts w:ascii="宋体" w:hAnsi="宋体" w:cs="宋体"/>
          <w:sz w:val="24"/>
        </w:rPr>
      </w:pPr>
      <w:r>
        <w:rPr>
          <w:rFonts w:hint="eastAsia" w:ascii="宋体" w:hAnsi="宋体" w:cs="宋体"/>
          <w:sz w:val="24"/>
        </w:rPr>
        <w:t xml:space="preserve">受托人（签字或盖章）：</w:t>
      </w:r>
      <w:r/>
    </w:p>
    <w:p>
      <w:pPr>
        <w:ind w:firstLine="3561"/>
        <w:spacing w:line="360" w:lineRule="auto"/>
        <w:rPr>
          <w:rFonts w:ascii="宋体" w:hAnsi="宋体" w:cs="宋体"/>
          <w:sz w:val="24"/>
        </w:rPr>
      </w:pPr>
      <w:r>
        <w:rPr>
          <w:rFonts w:hint="eastAsia" w:ascii="宋体" w:hAnsi="宋体" w:cs="宋体"/>
          <w:sz w:val="24"/>
        </w:rPr>
        <w:t xml:space="preserve">                   年   月   日</w:t>
      </w:r>
      <w:r/>
    </w:p>
    <w:p>
      <w:pPr>
        <w:jc w:val="center"/>
        <w:spacing w:line="360" w:lineRule="auto"/>
        <w:rPr>
          <w:rFonts w:ascii="宋体" w:hAnsi="宋体" w:cs="宋体"/>
          <w:sz w:val="24"/>
        </w:rPr>
      </w:pPr>
      <w:r>
        <w:rPr>
          <w:rFonts w:ascii="宋体" w:hAnsi="宋体" w:cs="宋体"/>
          <w:sz w:val="24"/>
        </w:rPr>
      </w:r>
      <w:r/>
    </w:p>
    <w:p>
      <w:pPr>
        <w:jc w:val="center"/>
        <w:spacing w:line="360" w:lineRule="auto"/>
        <w:rPr>
          <w:rFonts w:ascii="宋体" w:hAnsi="宋体" w:cs="宋体"/>
          <w:sz w:val="24"/>
        </w:rPr>
      </w:pPr>
      <w:r>
        <w:rPr>
          <w:rFonts w:ascii="宋体" w:hAnsi="宋体" w:cs="宋体"/>
          <w:sz w:val="24"/>
        </w:rPr>
      </w:r>
      <w:r/>
    </w:p>
    <w:p>
      <w:pPr>
        <w:jc w:val="center"/>
        <w:spacing w:line="360" w:lineRule="auto"/>
        <w:rPr>
          <w:rFonts w:ascii="宋体" w:hAnsi="宋体" w:cs="宋体"/>
          <w:sz w:val="24"/>
        </w:rPr>
      </w:pPr>
      <w:r>
        <w:rPr>
          <w:rFonts w:ascii="宋体" w:hAnsi="宋体" w:cs="宋体"/>
          <w:sz w:val="24"/>
        </w:rPr>
      </w:r>
      <w:r/>
    </w:p>
    <w:p>
      <w:pPr>
        <w:jc w:val="center"/>
        <w:spacing w:line="360" w:lineRule="auto"/>
        <w:rPr>
          <w:rFonts w:ascii="宋体" w:hAnsi="宋体" w:cs="宋体"/>
          <w:sz w:val="24"/>
        </w:rPr>
      </w:pPr>
      <w:r>
        <w:rPr>
          <w:rFonts w:ascii="宋体" w:hAnsi="宋体" w:cs="宋体"/>
          <w:sz w:val="24"/>
        </w:rPr>
      </w:r>
      <w:r/>
    </w:p>
    <w:p>
      <w:pPr>
        <w:jc w:val="center"/>
        <w:spacing w:line="360" w:lineRule="auto"/>
        <w:rPr>
          <w:rFonts w:ascii="宋体" w:hAnsi="宋体" w:cs="宋体"/>
          <w:sz w:val="24"/>
        </w:rPr>
      </w:pPr>
      <w:r>
        <w:rPr>
          <w:rFonts w:hint="eastAsia" w:ascii="宋体" w:hAnsi="宋体" w:cs="宋体"/>
          <w:sz w:val="24"/>
        </w:rPr>
        <w:t xml:space="preserve">（受托人身份证复印件附后)</w:t>
      </w:r>
      <w:r/>
    </w:p>
    <w:p>
      <w:pPr>
        <w:jc w:val="center"/>
        <w:spacing w:line="360" w:lineRule="auto"/>
        <w:widowControl/>
        <w:rPr>
          <w:rFonts w:ascii="宋体" w:hAnsi="宋体" w:cs="宋体"/>
          <w:b/>
          <w:sz w:val="36"/>
          <w:szCs w:val="36"/>
        </w:rPr>
        <w:outlineLvl w:val="0"/>
      </w:pPr>
      <w:r>
        <w:rPr>
          <w:rFonts w:hint="eastAsia" w:ascii="宋体" w:hAnsi="宋体" w:cs="宋体"/>
          <w:b/>
          <w:sz w:val="24"/>
        </w:rPr>
        <w:br w:type="page" w:clear="all"/>
      </w:r>
      <w:bookmarkStart w:id="29" w:name="_Toc12275"/>
      <w:r>
        <w:rPr>
          <w:rFonts w:hint="eastAsia" w:ascii="宋体" w:hAnsi="宋体" w:cs="宋体"/>
          <w:b/>
          <w:sz w:val="30"/>
          <w:szCs w:val="30"/>
          <w:lang w:val="en-US" w:eastAsia="zh-CN"/>
        </w:rPr>
        <w:t xml:space="preserve">9</w:t>
      </w:r>
      <w:r>
        <w:rPr>
          <w:rFonts w:hint="eastAsia" w:ascii="宋体" w:hAnsi="宋体" w:cs="宋体"/>
          <w:b/>
          <w:sz w:val="30"/>
          <w:szCs w:val="30"/>
        </w:rPr>
        <w:t xml:space="preserve">、</w:t>
      </w:r>
      <w:bookmarkStart w:id="30" w:name="_Hlk81985284"/>
      <w:r>
        <w:rPr>
          <w:rFonts w:hint="eastAsia" w:ascii="宋体" w:hAnsi="宋体" w:cs="宋体"/>
          <w:b/>
          <w:sz w:val="30"/>
          <w:szCs w:val="30"/>
        </w:rPr>
        <w:t xml:space="preserve">中小企业声明函</w:t>
      </w:r>
      <w:bookmarkEnd w:id="29"/>
      <w:r/>
      <w:r/>
    </w:p>
    <w:p>
      <w:pPr>
        <w:ind w:firstLine="504"/>
        <w:spacing w:line="360" w:lineRule="auto"/>
        <w:rPr>
          <w:rFonts w:hint="eastAsia" w:ascii="宋体" w:hAnsi="宋体" w:eastAsia="宋体" w:cs="宋体"/>
          <w:sz w:val="24"/>
          <w:lang w:eastAsia="zh-CN"/>
        </w:rPr>
      </w:pPr>
      <w:r>
        <w:rPr>
          <w:rFonts w:hint="eastAsia" w:ascii="宋体" w:hAnsi="宋体" w:cs="宋体"/>
          <w:sz w:val="24"/>
        </w:rPr>
        <w:t xml:space="preserve">项目编号：</w:t>
      </w:r>
      <w:r>
        <w:rPr>
          <w:rFonts w:hint="eastAsia" w:ascii="宋体" w:hAnsi="宋体" w:cs="宋体"/>
          <w:sz w:val="24"/>
          <w:lang w:eastAsia="zh-CN"/>
        </w:rPr>
        <w:t xml:space="preserve">JSZC-320322-SHKL-C2026-0003</w:t>
      </w:r>
      <w:r/>
    </w:p>
    <w:p>
      <w:pPr>
        <w:ind w:firstLine="504"/>
        <w:spacing w:line="360" w:lineRule="auto"/>
        <w:rPr>
          <w:rFonts w:hint="eastAsia" w:ascii="宋体" w:hAnsi="宋体" w:eastAsia="宋体" w:cs="宋体"/>
          <w:spacing w:val="6"/>
          <w:sz w:val="24"/>
          <w:lang w:eastAsia="zh-CN"/>
        </w:rPr>
      </w:pPr>
      <w:r>
        <w:rPr>
          <w:rFonts w:hint="eastAsia" w:ascii="宋体" w:hAnsi="宋体" w:cs="宋体"/>
          <w:spacing w:val="6"/>
          <w:sz w:val="24"/>
        </w:rPr>
        <w:t xml:space="preserve">项目名称：</w:t>
      </w:r>
      <w:r>
        <w:rPr>
          <w:rFonts w:hint="eastAsia" w:ascii="宋体" w:hAnsi="宋体" w:cs="宋体"/>
          <w:spacing w:val="6"/>
          <w:sz w:val="24"/>
          <w:lang w:eastAsia="zh-CN"/>
        </w:rPr>
        <w:t xml:space="preserve">2026年度城区道路交通设施社会化管养服务</w:t>
      </w:r>
      <w:r/>
    </w:p>
    <w:p>
      <w:pPr>
        <w:ind w:firstLine="504"/>
        <w:spacing w:line="360" w:lineRule="auto"/>
        <w:rPr>
          <w:rFonts w:ascii="宋体" w:hAnsi="宋体" w:cs="宋体"/>
          <w:spacing w:val="6"/>
          <w:sz w:val="24"/>
        </w:rPr>
      </w:pPr>
      <w:r>
        <w:rPr>
          <w:rFonts w:hint="eastAsia" w:ascii="宋体" w:hAnsi="宋体" w:cs="宋体"/>
          <w:spacing w:val="6"/>
          <w:sz w:val="24"/>
        </w:rPr>
        <w:t xml:space="preserve">本公司（联合体）郑重声明，根据《政府采购促进中小企业发展管理办法》（财库[2020]46号）的规定，本公司</w:t>
      </w:r>
      <w:r>
        <w:rPr>
          <w:rFonts w:hint="eastAsia" w:ascii="宋体" w:hAnsi="宋体" w:cs="宋体"/>
          <w:sz w:val="24"/>
        </w:rPr>
        <w:t xml:space="preserve">参加</w:t>
      </w:r>
      <w:r>
        <w:rPr>
          <w:rFonts w:hint="eastAsia" w:ascii="宋体" w:hAnsi="宋体" w:cs="宋体"/>
          <w:sz w:val="24"/>
          <w:u w:val="single"/>
        </w:rPr>
        <w:t xml:space="preserve">（</w:t>
      </w:r>
      <w:r>
        <w:rPr>
          <w:rFonts w:hint="eastAsia" w:ascii="宋体" w:hAnsi="宋体" w:cs="宋体"/>
          <w:sz w:val="24"/>
          <w:u w:val="single"/>
          <w:lang w:eastAsia="zh-CN"/>
        </w:rPr>
        <w:t xml:space="preserve">沛县公安局</w:t>
      </w:r>
      <w:r>
        <w:rPr>
          <w:rFonts w:hint="eastAsia" w:ascii="宋体" w:hAnsi="宋体" w:cs="宋体"/>
          <w:sz w:val="24"/>
          <w:u w:val="single"/>
        </w:rPr>
        <w:t xml:space="preserve">）</w:t>
      </w:r>
      <w:r>
        <w:rPr>
          <w:rFonts w:hint="eastAsia" w:ascii="宋体" w:hAnsi="宋体" w:cs="宋体"/>
          <w:sz w:val="24"/>
        </w:rPr>
        <w:t xml:space="preserve">的</w:t>
      </w:r>
      <w:r>
        <w:rPr>
          <w:rFonts w:hint="eastAsia" w:ascii="宋体" w:hAnsi="宋体" w:cs="宋体"/>
          <w:sz w:val="24"/>
          <w:u w:val="single"/>
        </w:rPr>
        <w:t xml:space="preserve">（</w:t>
      </w:r>
      <w:r>
        <w:rPr>
          <w:rFonts w:hint="eastAsia" w:ascii="宋体" w:hAnsi="宋体" w:cs="宋体"/>
          <w:sz w:val="24"/>
          <w:u w:val="single"/>
          <w:lang w:eastAsia="zh-CN"/>
        </w:rPr>
        <w:t xml:space="preserve">2026年度城区道路交通设施社会化管养服务</w:t>
      </w:r>
      <w:r>
        <w:rPr>
          <w:rFonts w:hint="eastAsia" w:ascii="宋体" w:hAnsi="宋体" w:cs="宋体"/>
          <w:sz w:val="24"/>
          <w:u w:val="single"/>
        </w:rPr>
        <w:t xml:space="preserve">）</w:t>
      </w:r>
      <w:r>
        <w:rPr>
          <w:rFonts w:hint="eastAsia" w:ascii="宋体" w:hAnsi="宋体" w:cs="宋体"/>
          <w:sz w:val="24"/>
        </w:rPr>
        <w:t xml:space="preserve">采购活动</w:t>
      </w:r>
      <w:r>
        <w:rPr>
          <w:rFonts w:hint="eastAsia" w:ascii="宋体" w:hAnsi="宋体" w:cs="宋体"/>
          <w:spacing w:val="6"/>
          <w:sz w:val="24"/>
        </w:rPr>
        <w:t xml:space="preserve">，服务全部由符合政策要求的中小企业承接。相关企业（含联合体中的中小企业、签订分包意向协议的中小企业）的具体情况如下：</w:t>
      </w:r>
      <w:r/>
    </w:p>
    <w:p>
      <w:pPr>
        <w:ind w:left="239" w:firstLine="352"/>
        <w:keepLines w:val="0"/>
        <w:keepNext w:val="0"/>
        <w:pageBreakBefore w:val="0"/>
        <w:spacing w:line="360" w:lineRule="auto"/>
        <w:widowControl w:val="off"/>
        <w:rPr>
          <w:rFonts w:ascii="宋体" w:hAnsi="宋体" w:cs="宋体"/>
          <w:spacing w:val="6"/>
          <w:sz w:val="24"/>
        </w:rPr>
      </w:pPr>
      <w:r>
        <w:rPr>
          <w:rFonts w:hint="eastAsia" w:ascii="宋体" w:hAnsi="宋体" w:cs="宋体"/>
          <w:spacing w:val="6"/>
          <w:sz w:val="24"/>
          <w:u w:val="single"/>
        </w:rPr>
        <w:t xml:space="preserve">（标的名称）</w:t>
      </w:r>
      <w:r>
        <w:rPr>
          <w:rFonts w:hint="eastAsia" w:ascii="宋体" w:hAnsi="宋体" w:cs="宋体"/>
          <w:spacing w:val="6"/>
          <w:sz w:val="24"/>
        </w:rPr>
        <w:t xml:space="preserve">，属于</w:t>
      </w:r>
      <w:r>
        <w:rPr>
          <w:rFonts w:hint="eastAsia" w:ascii="宋体" w:hAnsi="宋体" w:cs="宋体"/>
          <w:spacing w:val="6"/>
          <w:sz w:val="24"/>
          <w:u w:val="single"/>
        </w:rPr>
        <w:t xml:space="preserve">（</w:t>
      </w:r>
      <w:r>
        <w:rPr>
          <w:rFonts w:hint="eastAsia" w:ascii="宋体" w:hAnsi="宋体" w:cs="宋体"/>
          <w:b/>
          <w:sz w:val="24"/>
          <w:u w:val="single"/>
          <w:lang w:val="en-US" w:eastAsia="zh-CN"/>
        </w:rPr>
        <w:t xml:space="preserve">软件和信息技术服务业</w:t>
      </w:r>
      <w:r>
        <w:rPr>
          <w:rFonts w:hint="eastAsia" w:ascii="宋体" w:hAnsi="宋体" w:cs="宋体"/>
          <w:spacing w:val="6"/>
          <w:sz w:val="24"/>
          <w:u w:val="single"/>
        </w:rPr>
        <w:t xml:space="preserve">）</w:t>
      </w:r>
      <w:r>
        <w:rPr>
          <w:rFonts w:hint="eastAsia" w:ascii="宋体" w:hAnsi="宋体" w:cs="宋体"/>
          <w:spacing w:val="6"/>
          <w:sz w:val="24"/>
        </w:rPr>
        <w:t xml:space="preserve">；承</w:t>
      </w:r>
      <w:r>
        <w:rPr>
          <w:rFonts w:hint="eastAsia" w:ascii="宋体" w:hAnsi="宋体" w:cs="宋体"/>
          <w:spacing w:val="6"/>
          <w:sz w:val="24"/>
          <w:lang w:val="en-US" w:eastAsia="zh-CN"/>
        </w:rPr>
        <w:t xml:space="preserve">接</w:t>
      </w:r>
      <w:r>
        <w:rPr>
          <w:rFonts w:hint="eastAsia" w:ascii="宋体" w:hAnsi="宋体" w:cs="宋体"/>
          <w:spacing w:val="6"/>
          <w:sz w:val="24"/>
        </w:rPr>
        <w:t xml:space="preserve">（承建）企业为</w:t>
      </w:r>
      <w:r>
        <w:rPr>
          <w:rFonts w:hint="eastAsia" w:ascii="宋体" w:hAnsi="宋体" w:cs="宋体"/>
          <w:spacing w:val="6"/>
          <w:sz w:val="24"/>
          <w:u w:val="single"/>
          <w:lang w:val="en-US" w:eastAsia="zh-CN"/>
        </w:rPr>
        <w:t xml:space="preserve">     </w:t>
      </w:r>
      <w:r>
        <w:rPr>
          <w:rFonts w:hint="eastAsia" w:ascii="宋体" w:hAnsi="宋体" w:cs="宋体"/>
          <w:spacing w:val="6"/>
          <w:sz w:val="24"/>
        </w:rPr>
        <w:t xml:space="preserve">（企业名称），从业人员（  ）人，营业收入为（   万元），资产总额为（  万元），属于</w:t>
      </w:r>
      <w:r>
        <w:rPr>
          <w:rFonts w:hint="eastAsia" w:ascii="宋体" w:hAnsi="宋体" w:cs="宋体"/>
          <w:spacing w:val="6"/>
          <w:sz w:val="24"/>
          <w:u w:val="single"/>
        </w:rPr>
        <w:t xml:space="preserve">       </w:t>
      </w:r>
      <w:r>
        <w:rPr>
          <w:rFonts w:hint="eastAsia" w:ascii="宋体" w:hAnsi="宋体" w:cs="宋体"/>
          <w:spacing w:val="6"/>
          <w:sz w:val="24"/>
        </w:rPr>
        <w:t xml:space="preserve">（中型企业、小型企业、微型企业,</w:t>
      </w:r>
      <w:r>
        <w:rPr>
          <w:rFonts w:hint="eastAsia" w:ascii="宋体" w:hAnsi="宋体" w:cs="宋体"/>
          <w:b/>
          <w:bCs/>
          <w:spacing w:val="6"/>
          <w:sz w:val="24"/>
        </w:rPr>
        <w:t xml:space="preserve">请填空！！！</w:t>
      </w:r>
      <w:r>
        <w:rPr>
          <w:rFonts w:hint="eastAsia" w:ascii="宋体" w:hAnsi="宋体" w:cs="宋体"/>
          <w:spacing w:val="6"/>
          <w:sz w:val="24"/>
        </w:rPr>
        <w:t xml:space="preserve">）；</w:t>
      </w:r>
      <w:r/>
    </w:p>
    <w:p>
      <w:pPr>
        <w:pStyle w:val="899"/>
        <w:ind w:firstLine="480"/>
        <w:spacing w:line="360" w:lineRule="auto"/>
        <w:widowControl w:val="off"/>
        <w:rPr>
          <w:rFonts w:ascii="宋体" w:hAnsi="宋体" w:cs="宋体"/>
          <w:spacing w:val="6"/>
          <w:sz w:val="24"/>
          <w:szCs w:val="24"/>
        </w:rPr>
      </w:pPr>
      <w:r>
        <w:rPr>
          <w:rFonts w:hint="eastAsia" w:ascii="宋体" w:hAnsi="宋体" w:cs="宋体"/>
          <w:spacing w:val="6"/>
          <w:sz w:val="24"/>
          <w:szCs w:val="24"/>
        </w:rPr>
        <w:t xml:space="preserve">…</w:t>
      </w:r>
      <w:r/>
    </w:p>
    <w:p>
      <w:pPr>
        <w:ind w:firstLine="482"/>
        <w:spacing w:line="360" w:lineRule="auto"/>
        <w:rPr>
          <w:rFonts w:ascii="宋体" w:hAnsi="宋体" w:cs="宋体"/>
          <w:b/>
          <w:bCs/>
          <w:spacing w:val="6"/>
          <w:sz w:val="24"/>
        </w:rPr>
      </w:pPr>
      <w:r>
        <w:rPr>
          <w:rFonts w:hint="eastAsia" w:ascii="宋体" w:hAnsi="宋体" w:cs="宋体"/>
          <w:b/>
          <w:bCs/>
          <w:sz w:val="24"/>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cs="宋体"/>
          <w:spacing w:val="6"/>
          <w:sz w:val="24"/>
        </w:rPr>
      </w:pPr>
      <w:r>
        <w:rPr>
          <w:rFonts w:hint="eastAsia" w:ascii="宋体" w:hAnsi="宋体" w:cs="宋体"/>
          <w:sz w:val="24"/>
        </w:rPr>
        <w:t xml:space="preserve">本企业对上述声明内容的真实性负责。如有虚假，将依法承担相应责任。</w:t>
      </w:r>
      <w:r/>
    </w:p>
    <w:p>
      <w:pPr>
        <w:ind w:firstLine="600"/>
        <w:jc w:val="left"/>
        <w:spacing w:line="360" w:lineRule="auto"/>
        <w:widowControl/>
        <w:rPr>
          <w:rFonts w:ascii="宋体" w:hAnsi="宋体" w:cs="宋体"/>
          <w:sz w:val="24"/>
        </w:rPr>
      </w:pPr>
      <w:r>
        <w:rPr>
          <w:rFonts w:ascii="宋体" w:hAnsi="宋体" w:cs="宋体"/>
          <w:sz w:val="24"/>
        </w:rPr>
      </w:r>
      <w:r/>
    </w:p>
    <w:p>
      <w:pPr>
        <w:ind w:firstLine="480"/>
        <w:spacing w:line="360" w:lineRule="auto"/>
        <w:rPr>
          <w:rFonts w:ascii="宋体" w:hAnsi="宋体" w:cs="宋体"/>
          <w:sz w:val="24"/>
        </w:rPr>
      </w:pPr>
      <w:r>
        <w:rPr>
          <w:rFonts w:hint="eastAsia" w:ascii="宋体" w:hAnsi="宋体" w:cs="宋体"/>
          <w:sz w:val="24"/>
        </w:rPr>
        <w:t xml:space="preserve">                         企业名称（盖章）：</w:t>
      </w:r>
      <w:r/>
    </w:p>
    <w:p>
      <w:pPr>
        <w:ind w:firstLine="480"/>
        <w:spacing w:line="360" w:lineRule="auto"/>
        <w:rPr>
          <w:rFonts w:ascii="宋体" w:hAnsi="宋体" w:cs="宋体"/>
          <w:sz w:val="24"/>
        </w:rPr>
      </w:pPr>
      <w:r>
        <w:rPr>
          <w:rFonts w:hint="eastAsia" w:ascii="宋体" w:hAnsi="宋体" w:cs="宋体"/>
          <w:sz w:val="24"/>
        </w:rPr>
        <w:t xml:space="preserve">                         日期：</w:t>
      </w:r>
      <w:r/>
    </w:p>
    <w:p>
      <w:pPr>
        <w:ind w:firstLine="600"/>
        <w:spacing w:line="360" w:lineRule="auto"/>
        <w:rPr>
          <w:rFonts w:ascii="宋体" w:hAnsi="宋体" w:cs="宋体"/>
          <w:sz w:val="24"/>
        </w:rPr>
      </w:pPr>
      <w:r>
        <w:rPr>
          <w:rFonts w:ascii="宋体" w:hAnsi="宋体" w:cs="宋体"/>
          <w:sz w:val="24"/>
        </w:rPr>
      </w:r>
      <w:r/>
    </w:p>
    <w:p>
      <w:pPr>
        <w:ind w:firstLine="482"/>
        <w:spacing w:line="360" w:lineRule="auto"/>
        <w:rPr>
          <w:rFonts w:ascii="宋体" w:hAnsi="宋体" w:cs="宋体"/>
          <w:b/>
          <w:sz w:val="24"/>
        </w:rPr>
      </w:pPr>
      <w:r>
        <w:rPr>
          <w:rFonts w:hint="eastAsia" w:ascii="宋体" w:hAnsi="宋体" w:cs="宋体"/>
          <w:b/>
          <w:sz w:val="24"/>
        </w:rPr>
        <w:t xml:space="preserve">注：本项目采购项目属性为：</w:t>
      </w:r>
      <w:r>
        <w:rPr>
          <w:rFonts w:hint="eastAsia" w:ascii="宋体" w:hAnsi="宋体" w:cs="宋体"/>
          <w:b/>
          <w:sz w:val="24"/>
          <w:u w:val="single"/>
          <w:lang w:val="en-US" w:eastAsia="zh-CN"/>
        </w:rPr>
        <w:t xml:space="preserve">软件和信息技术服务业</w:t>
      </w:r>
      <w:r>
        <w:rPr>
          <w:rFonts w:hint="eastAsia" w:ascii="宋体" w:hAnsi="宋体" w:cs="宋体"/>
          <w:b/>
          <w:sz w:val="24"/>
        </w:rPr>
        <w:t xml:space="preserve">。</w:t>
      </w:r>
      <w:r/>
    </w:p>
    <w:p>
      <w:pPr>
        <w:ind w:firstLine="482"/>
        <w:spacing w:line="360" w:lineRule="auto"/>
        <w:rPr>
          <w:rFonts w:ascii="宋体" w:hAnsi="宋体" w:cs="宋体"/>
          <w:sz w:val="24"/>
        </w:rPr>
      </w:pPr>
      <w:r>
        <w:rPr>
          <w:rFonts w:hint="eastAsia" w:ascii="宋体" w:hAnsi="宋体" w:cs="宋体"/>
          <w:b/>
          <w:sz w:val="24"/>
        </w:rPr>
        <w:t xml:space="preserve">备注：从业人员、营业收入、资产总额填报上一年度数据，无上一年度数据的新成立企业可不填报。</w:t>
      </w:r>
      <w:bookmarkEnd w:id="30"/>
      <w:r/>
      <w:r/>
    </w:p>
    <w:p>
      <w:pPr>
        <w:ind w:firstLine="482"/>
        <w:spacing w:line="360" w:lineRule="auto"/>
        <w:rPr>
          <w:rFonts w:ascii="宋体" w:hAnsi="宋体" w:cs="宋体"/>
          <w:b/>
          <w:sz w:val="24"/>
        </w:rPr>
      </w:pPr>
      <w:r>
        <w:rPr>
          <w:rFonts w:hint="eastAsia" w:ascii="宋体" w:hAnsi="宋体" w:cs="宋体"/>
          <w:b/>
          <w:sz w:val="24"/>
        </w:rPr>
        <w:t xml:space="preserve">说明:</w:t>
      </w:r>
      <w:r/>
    </w:p>
    <w:p>
      <w:pPr>
        <w:ind w:firstLine="482"/>
        <w:spacing w:line="360" w:lineRule="auto"/>
        <w:rPr>
          <w:rFonts w:ascii="宋体" w:hAnsi="宋体" w:cs="宋体"/>
          <w:b/>
          <w:sz w:val="24"/>
        </w:rPr>
      </w:pPr>
      <w:r>
        <w:rPr>
          <w:rFonts w:hint="eastAsia" w:ascii="宋体" w:hAnsi="宋体" w:cs="宋体"/>
          <w:b/>
          <w:sz w:val="24"/>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ind w:firstLine="482"/>
        <w:spacing w:line="360" w:lineRule="auto"/>
        <w:rPr>
          <w:rFonts w:ascii="宋体" w:hAnsi="宋体" w:cs="宋体"/>
          <w:b/>
          <w:sz w:val="24"/>
        </w:rPr>
      </w:pPr>
      <w:r>
        <w:rPr>
          <w:rFonts w:hint="eastAsia" w:ascii="宋体" w:hAnsi="宋体" w:cs="宋体"/>
          <w:b/>
          <w:sz w:val="24"/>
        </w:rPr>
        <w:t xml:space="preserve">2、从业人员、营业收入、资产总额填报响应供应商上一年度数据，无上一年度数据的新成立企业可不填报。</w:t>
      </w:r>
      <w:r/>
    </w:p>
    <w:p>
      <w:pPr>
        <w:ind w:firstLine="482"/>
        <w:spacing w:line="360" w:lineRule="auto"/>
        <w:rPr>
          <w:rFonts w:ascii="宋体" w:hAnsi="宋体" w:cs="宋体"/>
          <w:b/>
          <w:sz w:val="24"/>
        </w:rPr>
      </w:pPr>
      <w:r>
        <w:rPr>
          <w:rFonts w:hint="eastAsia" w:ascii="宋体" w:hAnsi="宋体" w:cs="宋体"/>
          <w:b/>
          <w:sz w:val="24"/>
        </w:rPr>
        <w:t xml:space="preserve">3、成交供应商为中型、小型、微型企业的，采购人或者其委托的采购代理机构有权随中标、成交结果同时公告其《中小企业声明函》，接受社会监督。</w:t>
      </w:r>
      <w:r/>
    </w:p>
    <w:p>
      <w:pPr>
        <w:ind w:firstLine="482"/>
        <w:spacing w:line="360" w:lineRule="auto"/>
        <w:rPr>
          <w:rFonts w:ascii="宋体" w:hAnsi="宋体" w:cs="宋体"/>
          <w:b/>
          <w:sz w:val="24"/>
        </w:rPr>
      </w:pPr>
      <w:r>
        <w:rPr>
          <w:rFonts w:hint="eastAsia" w:ascii="宋体" w:hAnsi="宋体" w:cs="宋体"/>
          <w:b/>
          <w:sz w:val="24"/>
        </w:rPr>
        <w:t xml:space="preserve">4、执行江苏省财政厅关于进一步加大政府采购支持中小企业力度的通知（苏财购〔2022〕45号）的规定。</w:t>
      </w:r>
      <w:r/>
    </w:p>
    <w:p>
      <w:pPr>
        <w:ind w:firstLine="482"/>
        <w:spacing w:line="360" w:lineRule="auto"/>
        <w:rPr>
          <w:rFonts w:ascii="宋体" w:hAnsi="宋体" w:cs="宋体"/>
          <w:b/>
          <w:sz w:val="24"/>
        </w:rPr>
      </w:pPr>
      <w:r>
        <w:rPr>
          <w:rFonts w:hint="eastAsia" w:ascii="宋体" w:hAnsi="宋体" w:cs="宋体"/>
          <w:b/>
          <w:sz w:val="24"/>
        </w:rPr>
        <w:t xml:space="preserve">5、响应供应商提供的《中小企业声明函》与事实不符的，依照《中华人民共和国政府采购法》第七十七条第一款的规定追究法律责任。</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为方便中小企业和社会各界使用自测结果，小程序增加自测结果打印功能，“中小企业声明函” 查询渠道用微信搜索“中小企业规模类型自测小程序”。</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测试者可按照小程序填写测试企业有关信息并完成自测后，保存自测结果自行打印。如有疑问，可与市工信局中小企业综合协调处咨询联系。联系电话：0516-83861958</w:t>
      </w:r>
      <w:r/>
    </w:p>
    <w:p>
      <w:pPr>
        <w:jc w:val="center"/>
        <w:spacing w:line="360" w:lineRule="auto"/>
        <w:rPr>
          <w:rFonts w:ascii="宋体" w:hAnsi="宋体" w:cs="宋体"/>
          <w:sz w:val="24"/>
          <w:szCs w:val="21"/>
        </w:rPr>
      </w:pPr>
      <w:r>
        <w:rPr>
          <w:rFonts w:hint="eastAsia" w:ascii="宋体" w:hAnsi="宋体" w:cs="宋体"/>
        </w:rPr>
        <mc:AlternateContent>
          <mc:Choice Requires="wpg">
            <w:drawing>
              <wp:inline xmlns:wp="http://schemas.openxmlformats.org/drawingml/2006/wordprocessingDrawing" distT="0" distB="0" distL="0" distR="0">
                <wp:extent cx="2125345" cy="4177030"/>
                <wp:effectExtent l="0" t="0" r="8255" b="13970"/>
                <wp:docPr id="6" name="图片 2"/>
                <wp:cNvGraphicFramePr/>
                <a:graphic xmlns:a="http://schemas.openxmlformats.org/drawingml/2006/main">
                  <a:graphicData uri="http://schemas.openxmlformats.org/drawingml/2006/picture">
                    <pic:pic xmlns:pic="http://schemas.openxmlformats.org/drawingml/2006/picture">
                      <pic:nvPicPr>
                        <pic:cNvPr id="6" name="图片 2"/>
                        <pic:cNvPicPr/>
                        <pic:nvPr/>
                      </pic:nvPicPr>
                      <pic:blipFill>
                        <a:blip r:embed="rId21"/>
                        <a:srcRect l="0" t="4825" r="0" b="0"/>
                        <a:stretch/>
                      </pic:blipFill>
                      <pic:spPr bwMode="auto">
                        <a:xfrm>
                          <a:off x="0" y="0"/>
                          <a:ext cx="2125345" cy="4177029"/>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67.3pt;height:328.9pt;mso-wrap-distance-left:0.0pt;mso-wrap-distance-top:0.0pt;mso-wrap-distance-right:0.0pt;mso-wrap-distance-bottom:0.0pt;" stroked="f">
                <v:path textboxrect="0,0,0,0"/>
                <v:imagedata r:id="rId21" o:title=""/>
              </v:shape>
            </w:pict>
          </mc:Fallback>
        </mc:AlternateContent>
      </w:r>
      <w:r/>
    </w:p>
    <w:p>
      <w:pPr>
        <w:jc w:val="center"/>
        <w:rPr>
          <w:rFonts w:ascii="宋体" w:hAnsi="宋体" w:cs="宋体"/>
          <w:b/>
          <w:sz w:val="36"/>
          <w:szCs w:val="36"/>
        </w:rPr>
        <w:outlineLvl w:val="0"/>
      </w:pPr>
      <w:r>
        <w:rPr>
          <w:rFonts w:hint="eastAsia" w:ascii="宋体" w:hAnsi="宋体" w:cs="宋体"/>
          <w:sz w:val="36"/>
          <w:szCs w:val="36"/>
        </w:rPr>
        <w:br w:type="page" w:clear="all"/>
      </w:r>
      <w:bookmarkStart w:id="31" w:name="_Toc20265"/>
      <w:r>
        <w:rPr>
          <w:rFonts w:hint="eastAsia" w:ascii="宋体" w:hAnsi="宋体" w:cs="宋体"/>
          <w:b/>
          <w:sz w:val="30"/>
          <w:szCs w:val="30"/>
        </w:rPr>
        <w:t xml:space="preserve">1</w:t>
      </w:r>
      <w:r>
        <w:rPr>
          <w:rFonts w:hint="eastAsia" w:ascii="宋体" w:hAnsi="宋体" w:cs="宋体"/>
          <w:b/>
          <w:sz w:val="30"/>
          <w:szCs w:val="30"/>
          <w:lang w:val="en-US" w:eastAsia="zh-CN"/>
        </w:rPr>
        <w:t xml:space="preserve">0</w:t>
      </w:r>
      <w:r>
        <w:rPr>
          <w:rFonts w:hint="eastAsia" w:ascii="宋体" w:hAnsi="宋体" w:cs="宋体"/>
          <w:b/>
          <w:sz w:val="30"/>
          <w:szCs w:val="30"/>
        </w:rPr>
        <w:t xml:space="preserve">、供应商参加政府采购活动前3年内在经营活动中没有重大违法记录的书面声明</w:t>
      </w:r>
      <w:bookmarkEnd w:id="31"/>
      <w:r/>
      <w:r/>
    </w:p>
    <w:p>
      <w:pPr>
        <w:ind w:firstLine="482"/>
        <w:jc w:val="left"/>
        <w:spacing w:before="100" w:beforeAutospacing="1" w:after="100" w:afterAutospacing="1" w:line="480" w:lineRule="auto"/>
        <w:widowControl/>
        <w:rPr>
          <w:rFonts w:ascii="宋体" w:hAnsi="宋体" w:cs="宋体"/>
          <w:sz w:val="24"/>
        </w:rPr>
      </w:pPr>
      <w:r>
        <w:rPr>
          <w:rFonts w:ascii="宋体" w:hAnsi="宋体" w:cs="宋体"/>
          <w:sz w:val="24"/>
        </w:rPr>
      </w:r>
      <w:r/>
    </w:p>
    <w:p>
      <w:pPr>
        <w:ind w:firstLine="480"/>
        <w:jc w:val="left"/>
        <w:spacing w:before="100" w:beforeAutospacing="1" w:after="100" w:afterAutospacing="1" w:line="480" w:lineRule="auto"/>
        <w:widowControl/>
        <w:rPr>
          <w:rFonts w:ascii="宋体" w:hAnsi="宋体" w:cs="宋体"/>
          <w:sz w:val="24"/>
        </w:rPr>
      </w:pPr>
      <w:r>
        <w:rPr>
          <w:rFonts w:hint="eastAsia" w:ascii="宋体" w:hAnsi="宋体" w:cs="宋体"/>
          <w:sz w:val="24"/>
        </w:rPr>
        <w:t xml:space="preserve">我单位在参加</w:t>
      </w:r>
      <w:r>
        <w:rPr>
          <w:rFonts w:hint="eastAsia" w:ascii="宋体" w:hAnsi="宋体" w:cs="宋体"/>
          <w:sz w:val="24"/>
          <w:u w:val="single"/>
          <w:lang w:eastAsia="zh-CN"/>
        </w:rPr>
        <w:t xml:space="preserve">2026年度城区道路交通设施社会化管养服务</w:t>
      </w:r>
      <w:r>
        <w:rPr>
          <w:rFonts w:hint="eastAsia" w:ascii="宋体" w:hAnsi="宋体" w:cs="宋体"/>
          <w:sz w:val="24"/>
        </w:rPr>
        <w:t xml:space="preserve">（项目编号：</w:t>
      </w:r>
      <w:r>
        <w:rPr>
          <w:rFonts w:hint="eastAsia" w:ascii="宋体" w:hAnsi="宋体" w:cs="宋体"/>
          <w:sz w:val="24"/>
          <w:u w:val="single"/>
          <w:lang w:eastAsia="zh-CN"/>
        </w:rPr>
        <w:t xml:space="preserve">JSZC-320322-SHKL-C2026-0003</w:t>
      </w:r>
      <w:r>
        <w:rPr>
          <w:rFonts w:hint="eastAsia" w:ascii="宋体" w:hAnsi="宋体" w:cs="宋体"/>
          <w:sz w:val="24"/>
        </w:rPr>
        <w:t xml:space="preserve">）政府采购活动前3年内在经营活动中没有重大违法记录。重大违法记录是指因违法经营受到刑事处罚或者责令停产停业、吊销许可证或者执照、较大数额罚款等行政处罚。</w:t>
      </w:r>
      <w:r/>
    </w:p>
    <w:p>
      <w:pPr>
        <w:ind w:firstLine="480"/>
        <w:jc w:val="left"/>
        <w:spacing w:before="100" w:beforeAutospacing="1" w:after="100" w:afterAutospacing="1" w:line="480" w:lineRule="auto"/>
        <w:widowControl/>
        <w:rPr>
          <w:rFonts w:ascii="宋体" w:hAnsi="宋体" w:cs="宋体"/>
          <w:sz w:val="24"/>
        </w:rPr>
      </w:pPr>
      <w:r>
        <w:rPr>
          <w:rFonts w:hint="eastAsia" w:ascii="宋体" w:hAnsi="宋体" w:cs="宋体"/>
          <w:sz w:val="24"/>
        </w:rPr>
        <w:t xml:space="preserve">我单位对上述声明的真实性负责。如有虚假，将依法承担相应责任。</w:t>
      </w:r>
      <w:r/>
    </w:p>
    <w:p>
      <w:pPr>
        <w:ind w:right="29"/>
        <w:spacing w:line="480" w:lineRule="auto"/>
        <w:rPr>
          <w:rFonts w:ascii="宋体" w:hAnsi="宋体" w:cs="宋体"/>
          <w:sz w:val="24"/>
        </w:rPr>
      </w:pPr>
      <w:r>
        <w:rPr>
          <w:rFonts w:ascii="宋体" w:hAnsi="宋体" w:cs="宋体"/>
          <w:sz w:val="24"/>
        </w:rPr>
      </w:r>
      <w:r/>
    </w:p>
    <w:p>
      <w:pPr>
        <w:ind w:right="29"/>
        <w:spacing w:line="480" w:lineRule="auto"/>
        <w:rPr>
          <w:rFonts w:ascii="宋体" w:hAnsi="宋体" w:cs="宋体"/>
          <w:sz w:val="24"/>
        </w:rPr>
      </w:pPr>
      <w:r>
        <w:rPr>
          <w:rFonts w:ascii="宋体" w:hAnsi="宋体" w:cs="宋体"/>
          <w:sz w:val="24"/>
        </w:rPr>
      </w:r>
      <w:r/>
    </w:p>
    <w:p>
      <w:pPr>
        <w:ind w:right="29"/>
        <w:spacing w:line="480" w:lineRule="auto"/>
        <w:rPr>
          <w:rFonts w:ascii="宋体" w:hAnsi="宋体" w:cs="宋体"/>
          <w:sz w:val="24"/>
        </w:rPr>
      </w:pPr>
      <w:r>
        <w:rPr>
          <w:rFonts w:hint="eastAsia" w:ascii="宋体" w:hAnsi="宋体" w:cs="宋体"/>
          <w:sz w:val="24"/>
        </w:rPr>
        <w:t xml:space="preserve">                          供应商（电子签章）：</w:t>
      </w:r>
      <w:r/>
    </w:p>
    <w:p>
      <w:pPr>
        <w:ind w:right="29"/>
        <w:spacing w:line="480" w:lineRule="auto"/>
        <w:rPr>
          <w:rFonts w:ascii="宋体" w:hAnsi="宋体" w:cs="宋体"/>
          <w:sz w:val="24"/>
        </w:rPr>
      </w:pPr>
      <w:r>
        <w:rPr>
          <w:rFonts w:hint="eastAsia" w:ascii="宋体" w:hAnsi="宋体" w:cs="宋体"/>
          <w:sz w:val="24"/>
        </w:rPr>
        <w:t xml:space="preserve">                          法定代表人（负责人)或授权代表（签字或盖章）：  </w:t>
      </w:r>
      <w:r/>
    </w:p>
    <w:p>
      <w:pPr>
        <w:ind w:right="29"/>
        <w:spacing w:line="480" w:lineRule="auto"/>
        <w:rPr>
          <w:rFonts w:ascii="宋体" w:hAnsi="宋体" w:cs="宋体"/>
          <w:sz w:val="24"/>
        </w:rPr>
      </w:pPr>
      <w:r>
        <w:rPr>
          <w:rFonts w:hint="eastAsia" w:ascii="宋体" w:hAnsi="宋体" w:cs="宋体"/>
          <w:sz w:val="24"/>
        </w:rPr>
        <w:t xml:space="preserve">                          日期：</w:t>
      </w:r>
      <w:r/>
    </w:p>
    <w:p>
      <w:pPr>
        <w:pStyle w:val="1154"/>
        <w:ind w:left="239" w:firstLine="2640"/>
        <w:rPr>
          <w:rFonts w:cs="宋体"/>
        </w:rPr>
      </w:pPr>
      <w:r>
        <w:rPr>
          <w:rFonts w:cs="宋体"/>
        </w:rPr>
      </w:r>
      <w:r/>
    </w:p>
    <w:p>
      <w:pPr>
        <w:jc w:val="center"/>
        <w:rPr>
          <w:rFonts w:ascii="宋体" w:hAnsi="宋体" w:cs="宋体"/>
          <w:sz w:val="36"/>
          <w:szCs w:val="36"/>
        </w:rPr>
        <w:sectPr>
          <w:headerReference w:type="default" r:id="rId11"/>
          <w:footerReference w:type="default" r:id="rId17"/>
          <w:footerReference w:type="first" r:id="rId18"/>
          <w:footnotePr/>
          <w:endnotePr/>
          <w:type w:val="nextPage"/>
          <w:pgSz w:w="11906" w:h="16838" w:orient="portrait"/>
          <w:pgMar w:top="1440" w:right="1327" w:bottom="1440" w:left="1327" w:header="851" w:footer="1247" w:gutter="0"/>
          <w:cols w:num="1" w:sep="0" w:space="1701" w:equalWidth="1"/>
          <w:docGrid w:linePitch="360"/>
          <w:titlePg/>
        </w:sectPr>
      </w:pPr>
      <w:r>
        <w:rPr>
          <w:rFonts w:ascii="宋体" w:hAnsi="宋体" w:cs="宋体"/>
          <w:sz w:val="36"/>
          <w:szCs w:val="36"/>
        </w:rPr>
      </w:r>
      <w:r/>
    </w:p>
    <w:p>
      <w:pPr>
        <w:jc w:val="center"/>
        <w:rPr>
          <w:rFonts w:ascii="宋体" w:hAnsi="宋体" w:cs="宋体"/>
          <w:b/>
          <w:sz w:val="30"/>
          <w:szCs w:val="30"/>
        </w:rPr>
        <w:outlineLvl w:val="0"/>
      </w:pPr>
      <w:r/>
      <w:bookmarkStart w:id="32" w:name="_Toc12565"/>
      <w:r>
        <w:rPr>
          <w:rFonts w:hint="eastAsia" w:ascii="宋体" w:hAnsi="宋体" w:cs="宋体"/>
          <w:b/>
          <w:sz w:val="30"/>
          <w:szCs w:val="30"/>
        </w:rPr>
        <w:t xml:space="preserve">1</w:t>
      </w:r>
      <w:r>
        <w:rPr>
          <w:rFonts w:hint="eastAsia" w:ascii="宋体" w:hAnsi="宋体" w:cs="宋体"/>
          <w:b/>
          <w:sz w:val="30"/>
          <w:szCs w:val="30"/>
          <w:lang w:val="en-US" w:eastAsia="zh-CN"/>
        </w:rPr>
        <w:t xml:space="preserve">1</w:t>
      </w:r>
      <w:r>
        <w:rPr>
          <w:rFonts w:hint="eastAsia" w:ascii="宋体" w:hAnsi="宋体" w:cs="宋体"/>
          <w:b/>
          <w:sz w:val="30"/>
          <w:szCs w:val="30"/>
        </w:rPr>
        <w:t xml:space="preserve">、具备履行合同所必需的设备和专业技术能力的书面声明</w:t>
      </w:r>
      <w:bookmarkEnd w:id="32"/>
      <w:r/>
      <w:r/>
    </w:p>
    <w:p>
      <w:pPr>
        <w:ind w:firstLine="480"/>
        <w:spacing w:line="360" w:lineRule="auto"/>
        <w:rPr>
          <w:rFonts w:ascii="宋体" w:hAnsi="宋体" w:cs="宋体"/>
          <w:sz w:val="24"/>
        </w:rPr>
      </w:pPr>
      <w:r>
        <w:rPr>
          <w:rFonts w:ascii="宋体" w:hAnsi="宋体" w:cs="宋体"/>
          <w:sz w:val="24"/>
        </w:rPr>
      </w:r>
      <w:r/>
    </w:p>
    <w:p>
      <w:pPr>
        <w:ind w:firstLine="480"/>
        <w:spacing w:line="360" w:lineRule="auto"/>
        <w:rPr>
          <w:rFonts w:hint="eastAsia" w:ascii="宋体" w:hAnsi="宋体" w:eastAsia="宋体" w:cs="宋体"/>
          <w:sz w:val="24"/>
          <w:lang w:eastAsia="zh-CN"/>
        </w:rPr>
      </w:pPr>
      <w:r>
        <w:rPr>
          <w:rFonts w:hint="eastAsia" w:ascii="宋体" w:hAnsi="宋体" w:cs="宋体"/>
          <w:sz w:val="24"/>
        </w:rPr>
        <w:t xml:space="preserve">项目编号：</w:t>
      </w:r>
      <w:r>
        <w:rPr>
          <w:rFonts w:hint="eastAsia" w:ascii="宋体" w:hAnsi="宋体" w:cs="宋体"/>
          <w:sz w:val="24"/>
          <w:lang w:eastAsia="zh-CN"/>
        </w:rPr>
        <w:t xml:space="preserve">JSZC-320322-SHKL-C2026-0003</w:t>
      </w:r>
      <w:r/>
    </w:p>
    <w:p>
      <w:pPr>
        <w:ind w:firstLine="480"/>
        <w:spacing w:line="360" w:lineRule="auto"/>
        <w:rPr>
          <w:rFonts w:hint="eastAsia" w:ascii="宋体" w:hAnsi="宋体" w:eastAsia="宋体" w:cs="宋体"/>
          <w:sz w:val="24"/>
          <w:lang w:eastAsia="zh-CN"/>
        </w:rPr>
      </w:pPr>
      <w:r>
        <w:rPr>
          <w:rFonts w:hint="eastAsia" w:ascii="宋体" w:hAnsi="宋体" w:cs="宋体"/>
          <w:sz w:val="24"/>
        </w:rPr>
        <w:t xml:space="preserve">项目名称：</w:t>
      </w:r>
      <w:r>
        <w:rPr>
          <w:rFonts w:hint="eastAsia" w:ascii="宋体" w:hAnsi="宋体" w:cs="宋体"/>
          <w:sz w:val="24"/>
          <w:lang w:eastAsia="zh-CN"/>
        </w:rPr>
        <w:t xml:space="preserve">2026年度城区道路交通设施社会化管养服务</w:t>
      </w:r>
      <w:r/>
    </w:p>
    <w:p>
      <w:pPr>
        <w:ind w:firstLine="480"/>
        <w:spacing w:line="360" w:lineRule="auto"/>
        <w:rPr>
          <w:rFonts w:ascii="宋体" w:hAnsi="宋体" w:cs="宋体"/>
          <w:sz w:val="24"/>
        </w:rPr>
      </w:pPr>
      <w:r>
        <w:rPr>
          <w:rFonts w:ascii="宋体" w:hAnsi="宋体" w:cs="宋体"/>
          <w:sz w:val="24"/>
        </w:rPr>
      </w:r>
      <w:r/>
    </w:p>
    <w:p>
      <w:pPr>
        <w:pStyle w:val="899"/>
        <w:ind w:firstLine="480"/>
        <w:jc w:val="left"/>
        <w:spacing w:line="360" w:lineRule="auto"/>
        <w:widowControl w:val="off"/>
        <w:rPr>
          <w:rStyle w:val="1418"/>
          <w:rFonts w:ascii="宋体" w:hAnsi="宋体" w:cs="宋体"/>
          <w:sz w:val="24"/>
        </w:rPr>
      </w:pPr>
      <w:r>
        <w:rPr>
          <w:rStyle w:val="1418"/>
          <w:rFonts w:hint="eastAsia" w:ascii="宋体" w:hAnsi="宋体" w:cs="宋体"/>
          <w:sz w:val="24"/>
        </w:rPr>
        <w:t xml:space="preserve">供应商郑重声明：供应商具备履行合同（项目名称</w:t>
      </w:r>
      <w:r>
        <w:rPr>
          <w:rStyle w:val="1418"/>
          <w:rFonts w:hint="eastAsia" w:ascii="宋体" w:hAnsi="宋体" w:cs="宋体"/>
          <w:sz w:val="24"/>
          <w:u w:val="single"/>
        </w:rPr>
        <w:t xml:space="preserve">：     </w:t>
      </w:r>
      <w:r>
        <w:rPr>
          <w:rStyle w:val="1418"/>
          <w:rFonts w:hint="eastAsia" w:ascii="宋体" w:hAnsi="宋体" w:cs="宋体"/>
          <w:sz w:val="24"/>
        </w:rPr>
        <w:t xml:space="preserve">，项目编号</w:t>
      </w:r>
      <w:r>
        <w:rPr>
          <w:rStyle w:val="1418"/>
          <w:rFonts w:hint="eastAsia" w:ascii="宋体" w:hAnsi="宋体" w:cs="宋体"/>
          <w:sz w:val="24"/>
          <w:u w:val="single"/>
        </w:rPr>
        <w:t xml:space="preserve">：     </w:t>
      </w:r>
      <w:r>
        <w:rPr>
          <w:rStyle w:val="1418"/>
          <w:rFonts w:hint="eastAsia" w:ascii="宋体" w:hAnsi="宋体" w:cs="宋体"/>
          <w:sz w:val="24"/>
        </w:rPr>
        <w:t xml:space="preserve">）所必需的设备和专业技术能力。</w:t>
      </w:r>
      <w:r/>
    </w:p>
    <w:p>
      <w:pPr>
        <w:ind w:firstLine="480"/>
        <w:jc w:val="left"/>
        <w:spacing w:before="100" w:beforeAutospacing="1" w:after="100" w:afterAutospacing="1" w:line="360" w:lineRule="auto"/>
        <w:widowControl/>
        <w:rPr>
          <w:rFonts w:ascii="宋体" w:hAnsi="宋体" w:cs="宋体"/>
          <w:sz w:val="24"/>
        </w:rPr>
      </w:pPr>
      <w:r>
        <w:rPr>
          <w:rFonts w:hint="eastAsia" w:ascii="宋体" w:hAnsi="宋体" w:cs="宋体"/>
          <w:sz w:val="24"/>
        </w:rPr>
        <w:t xml:space="preserve">设备： </w:t>
      </w:r>
      <w:r/>
    </w:p>
    <w:p>
      <w:pPr>
        <w:numPr>
          <w:ilvl w:val="0"/>
          <w:numId w:val="6"/>
        </w:numPr>
        <w:ind w:firstLine="480"/>
        <w:spacing w:line="480" w:lineRule="exact"/>
        <w:rPr>
          <w:rFonts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（证明材料复印件附后）</w:t>
      </w:r>
      <w:r/>
    </w:p>
    <w:p>
      <w:pPr>
        <w:ind w:firstLine="480"/>
        <w:spacing w:line="480" w:lineRule="exact"/>
        <w:rPr>
          <w:rFonts w:ascii="宋体" w:hAnsi="宋体" w:cs="宋体"/>
          <w:sz w:val="24"/>
        </w:rPr>
      </w:pPr>
      <w:r>
        <w:rPr>
          <w:rFonts w:hint="eastAsia" w:ascii="宋体" w:hAnsi="宋体" w:cs="宋体"/>
          <w:sz w:val="24"/>
        </w:rPr>
        <w:t xml:space="preserve">2、</w:t>
      </w:r>
      <w:r>
        <w:rPr>
          <w:rFonts w:hint="eastAsia" w:ascii="宋体" w:hAnsi="宋体" w:cs="宋体"/>
          <w:sz w:val="24"/>
          <w:u w:val="single"/>
        </w:rPr>
        <w:t xml:space="preserve">                           </w:t>
      </w:r>
      <w:r>
        <w:rPr>
          <w:rFonts w:hint="eastAsia" w:ascii="宋体" w:hAnsi="宋体" w:cs="宋体"/>
          <w:sz w:val="24"/>
        </w:rPr>
        <w:t xml:space="preserve">（证明材料复印件附后）</w:t>
      </w:r>
      <w:r/>
    </w:p>
    <w:p>
      <w:pPr>
        <w:ind w:firstLine="480"/>
        <w:spacing w:line="480" w:lineRule="exact"/>
        <w:rPr>
          <w:rFonts w:ascii="宋体" w:hAnsi="宋体" w:cs="宋体"/>
          <w:sz w:val="24"/>
        </w:rPr>
      </w:pPr>
      <w:r>
        <w:rPr>
          <w:rFonts w:hint="eastAsia" w:ascii="宋体" w:hAnsi="宋体" w:cs="宋体"/>
          <w:sz w:val="24"/>
        </w:rPr>
        <w:t xml:space="preserve">3、</w:t>
      </w:r>
      <w:r>
        <w:rPr>
          <w:rFonts w:hint="eastAsia" w:ascii="宋体" w:hAnsi="宋体" w:cs="宋体"/>
          <w:sz w:val="24"/>
          <w:u w:val="single"/>
        </w:rPr>
        <w:t xml:space="preserve">                          </w:t>
      </w:r>
      <w:r>
        <w:rPr>
          <w:rFonts w:hint="eastAsia" w:ascii="宋体" w:hAnsi="宋体" w:cs="宋体"/>
          <w:sz w:val="24"/>
        </w:rPr>
        <w:t xml:space="preserve"> （证明材料复印件附后）</w:t>
      </w:r>
      <w:r/>
    </w:p>
    <w:p>
      <w:pPr>
        <w:ind w:firstLine="480"/>
        <w:spacing w:line="480" w:lineRule="exact"/>
        <w:rPr>
          <w:rFonts w:ascii="宋体" w:hAnsi="宋体" w:cs="宋体"/>
          <w:sz w:val="24"/>
        </w:rPr>
      </w:pPr>
      <w:r>
        <w:rPr>
          <w:rFonts w:hint="eastAsia" w:ascii="宋体" w:hAnsi="宋体" w:cs="宋体"/>
          <w:sz w:val="24"/>
        </w:rPr>
        <w:t xml:space="preserve">…………</w:t>
      </w:r>
      <w:r/>
    </w:p>
    <w:p>
      <w:pPr>
        <w:ind w:firstLine="480"/>
        <w:spacing w:line="480" w:lineRule="exact"/>
        <w:rPr>
          <w:rFonts w:ascii="宋体" w:hAnsi="宋体" w:cs="宋体"/>
          <w:sz w:val="24"/>
        </w:rPr>
      </w:pPr>
      <w:r>
        <w:rPr>
          <w:rFonts w:hint="eastAsia" w:ascii="宋体" w:hAnsi="宋体" w:cs="宋体"/>
          <w:sz w:val="24"/>
        </w:rPr>
        <w:t xml:space="preserve">专业技术能力：</w:t>
      </w:r>
      <w:r/>
    </w:p>
    <w:p>
      <w:pPr>
        <w:ind w:firstLine="480"/>
        <w:spacing w:line="480" w:lineRule="exact"/>
        <w:rPr>
          <w:rFonts w:ascii="宋体" w:hAnsi="宋体" w:cs="宋体"/>
          <w:sz w:val="24"/>
        </w:rPr>
      </w:pPr>
      <w:r>
        <w:rPr>
          <w:rFonts w:hint="eastAsia" w:ascii="宋体" w:hAnsi="宋体" w:cs="宋体"/>
          <w:sz w:val="24"/>
        </w:rPr>
        <w:t xml:space="preserve">1、</w:t>
      </w:r>
      <w:r>
        <w:rPr>
          <w:rFonts w:hint="eastAsia" w:ascii="宋体" w:hAnsi="宋体" w:cs="宋体"/>
          <w:sz w:val="24"/>
          <w:u w:val="single"/>
        </w:rPr>
        <w:t xml:space="preserve">                          </w:t>
      </w:r>
      <w:r>
        <w:rPr>
          <w:rFonts w:hint="eastAsia" w:ascii="宋体" w:hAnsi="宋体" w:cs="宋体"/>
          <w:sz w:val="24"/>
        </w:rPr>
        <w:t xml:space="preserve"> （证明材料复印件附后）</w:t>
      </w:r>
      <w:r/>
    </w:p>
    <w:p>
      <w:pPr>
        <w:ind w:firstLine="480"/>
        <w:spacing w:line="480" w:lineRule="exact"/>
        <w:rPr>
          <w:rFonts w:ascii="宋体" w:hAnsi="宋体" w:cs="宋体"/>
          <w:sz w:val="24"/>
        </w:rPr>
      </w:pPr>
      <w:r>
        <w:rPr>
          <w:rFonts w:hint="eastAsia" w:ascii="宋体" w:hAnsi="宋体" w:cs="宋体"/>
          <w:sz w:val="24"/>
        </w:rPr>
        <w:t xml:space="preserve">2、</w:t>
      </w:r>
      <w:r>
        <w:rPr>
          <w:rFonts w:hint="eastAsia" w:ascii="宋体" w:hAnsi="宋体" w:cs="宋体"/>
          <w:sz w:val="24"/>
          <w:u w:val="single"/>
        </w:rPr>
        <w:t xml:space="preserve">                          </w:t>
      </w:r>
      <w:r>
        <w:rPr>
          <w:rFonts w:hint="eastAsia" w:ascii="宋体" w:hAnsi="宋体" w:cs="宋体"/>
          <w:sz w:val="24"/>
        </w:rPr>
        <w:t xml:space="preserve"> （证明材料复印件附后）</w:t>
      </w:r>
      <w:r/>
    </w:p>
    <w:p>
      <w:pPr>
        <w:ind w:firstLine="480"/>
        <w:spacing w:line="480" w:lineRule="exact"/>
        <w:rPr>
          <w:rFonts w:ascii="宋体" w:hAnsi="宋体" w:cs="宋体"/>
          <w:sz w:val="24"/>
        </w:rPr>
      </w:pPr>
      <w:r>
        <w:rPr>
          <w:rFonts w:hint="eastAsia" w:ascii="宋体" w:hAnsi="宋体" w:cs="宋体"/>
          <w:sz w:val="24"/>
        </w:rPr>
        <w:t xml:space="preserve">3、</w:t>
      </w:r>
      <w:r>
        <w:rPr>
          <w:rFonts w:hint="eastAsia" w:ascii="宋体" w:hAnsi="宋体" w:cs="宋体"/>
          <w:sz w:val="24"/>
          <w:u w:val="single"/>
        </w:rPr>
        <w:t xml:space="preserve">                          </w:t>
      </w:r>
      <w:r>
        <w:rPr>
          <w:rFonts w:hint="eastAsia" w:ascii="宋体" w:hAnsi="宋体" w:cs="宋体"/>
          <w:sz w:val="24"/>
        </w:rPr>
        <w:t xml:space="preserve"> （证明材料复印件附后）</w:t>
      </w:r>
      <w:r/>
    </w:p>
    <w:p>
      <w:pPr>
        <w:ind w:firstLine="480"/>
        <w:spacing w:line="480" w:lineRule="exact"/>
        <w:rPr>
          <w:rFonts w:ascii="宋体" w:hAnsi="宋体" w:cs="宋体"/>
          <w:sz w:val="24"/>
        </w:rPr>
      </w:pPr>
      <w:r>
        <w:rPr>
          <w:rFonts w:hint="eastAsia" w:ascii="宋体" w:hAnsi="宋体" w:cs="宋体"/>
          <w:sz w:val="24"/>
        </w:rPr>
        <w:t xml:space="preserve">…………</w:t>
      </w:r>
      <w:r/>
    </w:p>
    <w:p>
      <w:pPr>
        <w:pStyle w:val="912"/>
        <w:ind w:firstLine="480"/>
        <w:rPr>
          <w:rStyle w:val="1418"/>
          <w:rFonts w:ascii="宋体" w:hAnsi="宋体" w:cs="宋体"/>
        </w:rPr>
      </w:pPr>
      <w:r>
        <w:rPr>
          <w:rFonts w:ascii="宋体" w:hAnsi="宋体" w:cs="宋体"/>
        </w:rPr>
      </w:r>
      <w:r/>
    </w:p>
    <w:p>
      <w:pPr>
        <w:pStyle w:val="894"/>
        <w:ind w:firstLine="480"/>
        <w:rPr>
          <w:rFonts w:eastAsia="宋体" w:cs="宋体"/>
        </w:rPr>
      </w:pPr>
      <w:r>
        <w:rPr>
          <w:rFonts w:eastAsia="宋体" w:cs="宋体"/>
        </w:rPr>
      </w:r>
      <w:r/>
    </w:p>
    <w:p>
      <w:pPr>
        <w:pStyle w:val="899"/>
        <w:ind w:firstLine="480"/>
        <w:jc w:val="left"/>
        <w:spacing w:line="360" w:lineRule="auto"/>
        <w:widowControl w:val="off"/>
        <w:rPr>
          <w:rStyle w:val="1418"/>
          <w:rFonts w:ascii="宋体" w:hAnsi="宋体" w:cs="宋体"/>
          <w:sz w:val="24"/>
        </w:rPr>
      </w:pPr>
      <w:r>
        <w:rPr>
          <w:rStyle w:val="1418"/>
          <w:rFonts w:hint="eastAsia" w:ascii="宋体" w:hAnsi="宋体" w:cs="宋体"/>
          <w:sz w:val="24"/>
        </w:rPr>
        <w:t xml:space="preserve">特此声明。</w:t>
      </w:r>
      <w:r/>
    </w:p>
    <w:p>
      <w:pPr>
        <w:pStyle w:val="899"/>
        <w:ind w:firstLine="480"/>
        <w:jc w:val="left"/>
        <w:spacing w:line="360" w:lineRule="auto"/>
        <w:widowControl w:val="off"/>
        <w:rPr>
          <w:rStyle w:val="1418"/>
          <w:rFonts w:ascii="宋体" w:hAnsi="宋体" w:cs="宋体"/>
          <w:sz w:val="24"/>
        </w:rPr>
      </w:pPr>
      <w:r>
        <w:rPr>
          <w:rStyle w:val="1418"/>
          <w:rFonts w:hint="eastAsia" w:ascii="宋体" w:hAnsi="宋体" w:cs="宋体"/>
          <w:sz w:val="24"/>
        </w:rPr>
        <w:t xml:space="preserve">供应商人对上述声明的真实性负责。如有虚假，将依法承担相应责任。</w:t>
      </w:r>
      <w:r/>
    </w:p>
    <w:p>
      <w:pPr>
        <w:pStyle w:val="899"/>
        <w:ind w:firstLine="480"/>
        <w:jc w:val="left"/>
        <w:spacing w:line="360" w:lineRule="auto"/>
        <w:widowControl w:val="off"/>
        <w:rPr>
          <w:rStyle w:val="1418"/>
          <w:rFonts w:ascii="宋体" w:hAnsi="宋体" w:cs="宋体"/>
          <w:sz w:val="24"/>
        </w:rPr>
      </w:pPr>
      <w:r>
        <w:rPr>
          <w:rStyle w:val="1418"/>
          <w:rFonts w:hint="eastAsia" w:ascii="宋体" w:hAnsi="宋体" w:cs="宋体"/>
          <w:sz w:val="24"/>
        </w:rPr>
        <w:t xml:space="preserve"> </w:t>
      </w:r>
      <w:r/>
    </w:p>
    <w:p>
      <w:pPr>
        <w:pStyle w:val="899"/>
        <w:ind w:firstLine="3600"/>
        <w:jc w:val="left"/>
        <w:spacing w:line="360" w:lineRule="auto"/>
        <w:widowControl w:val="off"/>
        <w:rPr>
          <w:rStyle w:val="1418"/>
          <w:rFonts w:ascii="宋体" w:hAnsi="宋体" w:cs="宋体"/>
          <w:sz w:val="24"/>
        </w:rPr>
      </w:pPr>
      <w:r>
        <w:rPr>
          <w:rFonts w:ascii="宋体" w:hAnsi="宋体" w:cs="宋体"/>
          <w:sz w:val="24"/>
        </w:rPr>
      </w:r>
      <w:r/>
    </w:p>
    <w:p>
      <w:pPr>
        <w:pStyle w:val="899"/>
        <w:ind w:firstLine="3600"/>
        <w:jc w:val="left"/>
        <w:spacing w:line="360" w:lineRule="auto"/>
        <w:widowControl w:val="off"/>
        <w:rPr>
          <w:rStyle w:val="1418"/>
          <w:rFonts w:ascii="宋体" w:hAnsi="宋体" w:cs="宋体"/>
          <w:sz w:val="24"/>
        </w:rPr>
      </w:pPr>
      <w:r>
        <w:rPr>
          <w:rFonts w:ascii="宋体" w:hAnsi="宋体" w:cs="宋体"/>
          <w:sz w:val="24"/>
        </w:rPr>
      </w:r>
      <w:r/>
    </w:p>
    <w:p>
      <w:pPr>
        <w:pStyle w:val="899"/>
        <w:ind w:firstLine="3600"/>
        <w:jc w:val="left"/>
        <w:spacing w:line="360" w:lineRule="auto"/>
        <w:widowControl w:val="off"/>
        <w:rPr>
          <w:rStyle w:val="1418"/>
          <w:rFonts w:ascii="宋体" w:hAnsi="宋体" w:cs="宋体"/>
          <w:sz w:val="24"/>
        </w:rPr>
      </w:pPr>
      <w:r>
        <w:rPr>
          <w:rStyle w:val="1418"/>
          <w:rFonts w:hint="eastAsia" w:ascii="宋体" w:hAnsi="宋体" w:cs="宋体"/>
          <w:sz w:val="24"/>
        </w:rPr>
        <w:t xml:space="preserve">供应商（</w:t>
      </w:r>
      <w:r>
        <w:rPr>
          <w:rStyle w:val="1418"/>
          <w:rFonts w:hint="eastAsia" w:ascii="宋体" w:hAnsi="宋体" w:cs="宋体"/>
          <w:sz w:val="24"/>
          <w:szCs w:val="24"/>
        </w:rPr>
        <w:t xml:space="preserve">电子签章</w:t>
      </w:r>
      <w:r>
        <w:rPr>
          <w:rStyle w:val="1418"/>
          <w:rFonts w:hint="eastAsia" w:ascii="宋体" w:hAnsi="宋体" w:cs="宋体"/>
          <w:sz w:val="24"/>
        </w:rPr>
        <w:t xml:space="preserve">）：</w:t>
      </w:r>
      <w:r/>
    </w:p>
    <w:p>
      <w:pPr>
        <w:pStyle w:val="899"/>
        <w:jc w:val="left"/>
        <w:spacing w:line="360" w:lineRule="auto"/>
        <w:widowControl w:val="off"/>
        <w:rPr>
          <w:rStyle w:val="1418"/>
          <w:rFonts w:ascii="宋体" w:hAnsi="宋体" w:cs="宋体"/>
          <w:sz w:val="24"/>
        </w:rPr>
      </w:pPr>
      <w:r>
        <w:rPr>
          <w:rStyle w:val="1418"/>
          <w:rFonts w:hint="eastAsia" w:ascii="宋体" w:hAnsi="宋体" w:cs="宋体"/>
          <w:sz w:val="24"/>
        </w:rPr>
        <w:t xml:space="preserve">                              法定代表人或授权代表（签字或盖章）：  </w:t>
      </w:r>
      <w:r/>
    </w:p>
    <w:p>
      <w:pPr>
        <w:pStyle w:val="899"/>
        <w:ind w:firstLine="3600"/>
        <w:spacing w:line="400" w:lineRule="exact"/>
        <w:widowControl w:val="off"/>
        <w:rPr>
          <w:rStyle w:val="1418"/>
          <w:rFonts w:ascii="宋体" w:hAnsi="宋体" w:cs="宋体"/>
          <w:sz w:val="24"/>
        </w:rPr>
      </w:pPr>
      <w:r>
        <w:rPr>
          <w:rStyle w:val="1418"/>
          <w:rFonts w:hint="eastAsia" w:ascii="宋体" w:hAnsi="宋体" w:cs="宋体"/>
          <w:sz w:val="24"/>
        </w:rPr>
        <w:t xml:space="preserve">日 期：</w:t>
      </w:r>
      <w:r/>
    </w:p>
    <w:p>
      <w:pPr>
        <w:pStyle w:val="899"/>
        <w:jc w:val="center"/>
        <w:spacing w:line="400" w:lineRule="exact"/>
        <w:widowControl w:val="off"/>
        <w:rPr>
          <w:rStyle w:val="1418"/>
          <w:rFonts w:ascii="宋体" w:hAnsi="宋体" w:cs="宋体"/>
          <w:sz w:val="28"/>
          <w:szCs w:val="28"/>
        </w:rPr>
      </w:pPr>
      <w:r>
        <w:rPr>
          <w:rFonts w:ascii="宋体" w:hAnsi="宋体" w:cs="宋体"/>
          <w:sz w:val="28"/>
          <w:szCs w:val="28"/>
        </w:rPr>
      </w:r>
      <w:r/>
    </w:p>
    <w:p>
      <w:pPr>
        <w:jc w:val="center"/>
        <w:spacing w:line="360" w:lineRule="auto"/>
        <w:rPr>
          <w:rFonts w:ascii="宋体" w:hAnsi="宋体" w:cs="宋体"/>
          <w:b/>
          <w:sz w:val="36"/>
          <w:szCs w:val="36"/>
        </w:rPr>
        <w:outlineLvl w:val="0"/>
      </w:pPr>
      <w:r>
        <w:rPr>
          <w:rFonts w:hint="eastAsia" w:ascii="宋体" w:hAnsi="宋体" w:cs="宋体"/>
          <w:b/>
          <w:sz w:val="36"/>
          <w:szCs w:val="36"/>
        </w:rPr>
        <w:br w:type="page" w:clear="all"/>
      </w:r>
      <w:bookmarkStart w:id="33" w:name="OLE_LINK13"/>
      <w:r/>
      <w:bookmarkStart w:id="34" w:name="OLE_LINK14"/>
      <w:r/>
      <w:bookmarkStart w:id="35" w:name="_Toc1177"/>
      <w:r>
        <w:rPr>
          <w:rFonts w:hint="eastAsia" w:ascii="宋体" w:hAnsi="宋体" w:cs="宋体"/>
          <w:b/>
          <w:sz w:val="30"/>
          <w:szCs w:val="30"/>
        </w:rPr>
        <w:t xml:space="preserve">1</w:t>
      </w:r>
      <w:r>
        <w:rPr>
          <w:rFonts w:hint="eastAsia" w:ascii="宋体" w:hAnsi="宋体" w:cs="宋体"/>
          <w:b/>
          <w:sz w:val="30"/>
          <w:szCs w:val="30"/>
          <w:lang w:val="en-US" w:eastAsia="zh-CN"/>
        </w:rPr>
        <w:t xml:space="preserve">2</w:t>
      </w:r>
      <w:r>
        <w:rPr>
          <w:rFonts w:hint="eastAsia" w:ascii="宋体" w:hAnsi="宋体" w:cs="宋体"/>
          <w:b/>
          <w:sz w:val="30"/>
          <w:szCs w:val="30"/>
        </w:rPr>
        <w:t xml:space="preserve">、</w:t>
      </w:r>
      <w:bookmarkStart w:id="36" w:name="_Hlk81985305"/>
      <w:r>
        <w:rPr>
          <w:rFonts w:hint="eastAsia" w:ascii="宋体" w:hAnsi="宋体" w:cs="宋体"/>
          <w:b/>
          <w:sz w:val="30"/>
          <w:szCs w:val="30"/>
        </w:rPr>
        <w:t xml:space="preserve">残疾人福利性单位声明函</w:t>
      </w:r>
      <w:bookmarkEnd w:id="33"/>
      <w:r/>
      <w:bookmarkEnd w:id="34"/>
      <w:r/>
      <w:bookmarkEnd w:id="35"/>
      <w:r/>
      <w:r/>
    </w:p>
    <w:p>
      <w:pPr>
        <w:pStyle w:val="899"/>
        <w:jc w:val="center"/>
        <w:spacing w:line="0" w:lineRule="atLeast"/>
        <w:rPr>
          <w:rFonts w:ascii="宋体" w:hAnsi="宋体" w:cs="宋体"/>
          <w:sz w:val="24"/>
        </w:rPr>
      </w:pPr>
      <w:r>
        <w:rPr>
          <w:rFonts w:hint="eastAsia" w:ascii="宋体" w:hAnsi="宋体" w:cs="宋体"/>
          <w:b/>
          <w:bCs/>
          <w:sz w:val="24"/>
        </w:rPr>
        <w:t xml:space="preserve">（注：如供应商不属于残疾人福利性单位，不需提供此声明函）</w:t>
      </w:r>
      <w:r/>
    </w:p>
    <w:p>
      <w:pPr>
        <w:ind w:firstLine="504"/>
        <w:spacing w:line="360" w:lineRule="auto"/>
        <w:rPr>
          <w:rFonts w:ascii="宋体" w:hAnsi="宋体" w:cs="宋体"/>
          <w:spacing w:val="6"/>
          <w:sz w:val="24"/>
        </w:rPr>
      </w:pPr>
      <w:r>
        <w:rPr>
          <w:rFonts w:ascii="宋体" w:hAnsi="宋体" w:cs="宋体"/>
          <w:spacing w:val="6"/>
          <w:sz w:val="24"/>
        </w:rPr>
      </w:r>
      <w:r/>
    </w:p>
    <w:p>
      <w:pPr>
        <w:ind w:firstLine="504"/>
        <w:spacing w:line="360" w:lineRule="auto"/>
        <w:rPr>
          <w:rFonts w:ascii="宋体" w:hAnsi="宋体" w:cs="宋体"/>
          <w:spacing w:val="6"/>
          <w:sz w:val="24"/>
        </w:rPr>
      </w:pPr>
      <w:r>
        <w:rPr>
          <w:rFonts w:hint="eastAsia" w:ascii="宋体" w:hAnsi="宋体" w:cs="宋体"/>
          <w:spacing w:val="6"/>
          <w:sz w:val="24"/>
        </w:rPr>
        <w:t xml:space="preserve">本单位郑重声明，根据《财政部 民政部 中国残疾人联合会关于促进残疾人就业政府采购政策的通知》（财库</w:t>
      </w:r>
      <w:r>
        <w:rPr>
          <w:rFonts w:hint="eastAsia" w:ascii="宋体" w:hAnsi="宋体" w:cs="宋体"/>
          <w:sz w:val="24"/>
        </w:rPr>
        <w:t xml:space="preserve">〔2017〕141</w:t>
      </w:r>
      <w:r>
        <w:rPr>
          <w:rFonts w:hint="eastAsia" w:ascii="宋体" w:hAnsi="宋体" w:cs="宋体"/>
          <w:spacing w:val="6"/>
          <w:sz w:val="24"/>
        </w:rPr>
        <w:t xml:space="preserve">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504"/>
        <w:spacing w:line="360" w:lineRule="auto"/>
        <w:rPr>
          <w:rFonts w:ascii="宋体" w:hAnsi="宋体" w:cs="宋体"/>
          <w:spacing w:val="6"/>
          <w:sz w:val="24"/>
        </w:rPr>
      </w:pPr>
      <w:r>
        <w:rPr>
          <w:rFonts w:hint="eastAsia" w:ascii="宋体" w:hAnsi="宋体" w:cs="宋体"/>
          <w:spacing w:val="6"/>
          <w:sz w:val="24"/>
        </w:rPr>
        <w:t xml:space="preserve">本单位对上述声明的真实性负责。如有虚假，将依法承担相应责任。</w:t>
      </w:r>
      <w:r/>
    </w:p>
    <w:p>
      <w:pPr>
        <w:ind w:firstLine="504"/>
        <w:spacing w:line="360" w:lineRule="auto"/>
        <w:rPr>
          <w:rFonts w:ascii="宋体" w:hAnsi="宋体" w:cs="宋体"/>
          <w:spacing w:val="6"/>
          <w:sz w:val="24"/>
        </w:rPr>
      </w:pPr>
      <w:r>
        <w:rPr>
          <w:rFonts w:ascii="宋体" w:hAnsi="宋体" w:cs="宋体"/>
          <w:spacing w:val="6"/>
          <w:sz w:val="24"/>
        </w:rPr>
      </w:r>
      <w:r/>
    </w:p>
    <w:p>
      <w:pPr>
        <w:ind w:firstLine="504"/>
        <w:spacing w:line="360" w:lineRule="auto"/>
        <w:rPr>
          <w:rFonts w:ascii="宋体" w:hAnsi="宋体" w:cs="宋体"/>
          <w:spacing w:val="6"/>
          <w:sz w:val="24"/>
        </w:rPr>
      </w:pPr>
      <w:r>
        <w:rPr>
          <w:rFonts w:ascii="宋体" w:hAnsi="宋体" w:cs="宋体"/>
          <w:spacing w:val="6"/>
          <w:sz w:val="24"/>
        </w:rPr>
      </w:r>
      <w:r/>
    </w:p>
    <w:p>
      <w:pPr>
        <w:ind w:firstLine="504"/>
        <w:jc w:val="center"/>
        <w:spacing w:line="360" w:lineRule="auto"/>
        <w:tabs>
          <w:tab w:val="left" w:pos="4860" w:leader="none"/>
        </w:tabs>
        <w:rPr>
          <w:rFonts w:ascii="宋体" w:hAnsi="宋体" w:cs="宋体"/>
          <w:spacing w:val="6"/>
          <w:sz w:val="24"/>
        </w:rPr>
      </w:pPr>
      <w:r>
        <w:rPr>
          <w:rFonts w:hint="eastAsia" w:ascii="宋体" w:hAnsi="宋体" w:cs="宋体"/>
          <w:spacing w:val="6"/>
          <w:sz w:val="24"/>
        </w:rPr>
        <w:t xml:space="preserve">               单位名称（电子签章）：</w:t>
      </w:r>
      <w:r/>
    </w:p>
    <w:p>
      <w:pPr>
        <w:ind w:firstLine="504"/>
        <w:jc w:val="center"/>
        <w:spacing w:line="360" w:lineRule="auto"/>
        <w:tabs>
          <w:tab w:val="left" w:pos="4860" w:leader="none"/>
        </w:tabs>
        <w:rPr>
          <w:rFonts w:ascii="宋体" w:hAnsi="宋体" w:cs="宋体"/>
          <w:spacing w:val="6"/>
          <w:sz w:val="24"/>
        </w:rPr>
      </w:pPr>
      <w:r>
        <w:rPr>
          <w:rFonts w:hint="eastAsia" w:ascii="宋体" w:hAnsi="宋体" w:cs="宋体"/>
          <w:spacing w:val="6"/>
          <w:sz w:val="24"/>
        </w:rPr>
        <w:t xml:space="preserve">  日  期：</w:t>
      </w:r>
      <w:r/>
    </w:p>
    <w:p>
      <w:pPr>
        <w:ind w:firstLine="480"/>
        <w:spacing w:line="360" w:lineRule="auto"/>
        <w:rPr>
          <w:rFonts w:ascii="宋体" w:hAnsi="宋体" w:cs="宋体"/>
          <w:sz w:val="24"/>
        </w:rPr>
      </w:pPr>
      <w:r>
        <w:rPr>
          <w:rFonts w:ascii="宋体" w:hAnsi="宋体" w:cs="宋体"/>
          <w:sz w:val="24"/>
        </w:rPr>
      </w:r>
      <w:r/>
    </w:p>
    <w:p>
      <w:pPr>
        <w:ind w:firstLine="480"/>
        <w:jc w:val="left"/>
        <w:spacing w:line="360" w:lineRule="auto"/>
        <w:widowControl/>
        <w:rPr>
          <w:rFonts w:ascii="宋体" w:hAnsi="宋体" w:cs="宋体"/>
          <w:sz w:val="24"/>
        </w:rPr>
      </w:pPr>
      <w:r>
        <w:rPr>
          <w:rFonts w:hint="eastAsia" w:ascii="宋体" w:hAnsi="宋体" w:cs="宋体"/>
          <w:sz w:val="24"/>
        </w:rPr>
        <w:t xml:space="preserve">说明：</w:t>
      </w:r>
      <w:r/>
    </w:p>
    <w:p>
      <w:pPr>
        <w:ind w:firstLine="480"/>
        <w:jc w:val="left"/>
        <w:spacing w:line="360" w:lineRule="auto"/>
        <w:widowControl/>
        <w:rPr>
          <w:rFonts w:ascii="宋体" w:hAnsi="宋体" w:cs="宋体"/>
          <w:sz w:val="24"/>
        </w:rPr>
      </w:pPr>
      <w:r>
        <w:rPr>
          <w:rFonts w:hint="eastAsia" w:ascii="宋体" w:hAnsi="宋体" w:cs="宋体"/>
          <w:sz w:val="24"/>
        </w:rPr>
        <w:t xml:space="preserve">中标、成交供应商为残疾人福利性单位的，采购人或者其委托的采购代理机构应当随中标、成交结果同时公告其《残疾人福利性单位声明函》，接受社会监督。</w:t>
      </w:r>
      <w:r/>
    </w:p>
    <w:p>
      <w:pPr>
        <w:ind w:firstLine="480"/>
        <w:jc w:val="left"/>
        <w:spacing w:line="360" w:lineRule="auto"/>
        <w:widowControl/>
        <w:rPr>
          <w:rFonts w:ascii="宋体" w:hAnsi="宋体" w:cs="宋体"/>
          <w:sz w:val="24"/>
        </w:rPr>
      </w:pPr>
      <w:r>
        <w:rPr>
          <w:rFonts w:hint="eastAsia" w:ascii="宋体" w:hAnsi="宋体" w:cs="宋体"/>
          <w:sz w:val="24"/>
        </w:rPr>
        <w:t xml:space="preserve">供应商提供的《残疾人福利性单位声明函》与事实不符的，依照《政府采购法》第七十七条第一款的规定追究法律责任。</w:t>
      </w:r>
      <w:bookmarkEnd w:id="36"/>
      <w:r/>
      <w:r/>
    </w:p>
    <w:p>
      <w:pPr>
        <w:ind w:firstLine="600"/>
        <w:jc w:val="left"/>
        <w:spacing w:line="360" w:lineRule="auto"/>
        <w:widowControl/>
        <w:rPr>
          <w:rFonts w:ascii="宋体" w:hAnsi="宋体" w:cs="宋体"/>
          <w:sz w:val="30"/>
          <w:szCs w:val="30"/>
        </w:rPr>
      </w:pPr>
      <w:r>
        <w:rPr>
          <w:rFonts w:ascii="宋体" w:hAnsi="宋体" w:cs="宋体"/>
          <w:sz w:val="30"/>
          <w:szCs w:val="30"/>
        </w:rPr>
      </w:r>
      <w:r/>
    </w:p>
    <w:p>
      <w:pPr>
        <w:rPr>
          <w:rFonts w:ascii="宋体" w:hAnsi="宋体" w:cs="宋体"/>
          <w:b/>
          <w:sz w:val="30"/>
          <w:szCs w:val="30"/>
        </w:rPr>
      </w:pPr>
      <w:r>
        <w:rPr>
          <w:rFonts w:hint="eastAsia" w:ascii="宋体" w:hAnsi="宋体" w:cs="宋体"/>
          <w:sz w:val="30"/>
          <w:szCs w:val="30"/>
        </w:rPr>
        <w:br w:type="page" w:clear="all"/>
      </w:r>
      <w:r/>
    </w:p>
    <w:p>
      <w:pPr>
        <w:jc w:val="center"/>
        <w:spacing w:line="360" w:lineRule="auto"/>
        <w:rPr>
          <w:rFonts w:hint="eastAsia" w:ascii="宋体" w:hAnsi="宋体" w:cs="宋体"/>
          <w:b/>
          <w:sz w:val="30"/>
          <w:szCs w:val="30"/>
        </w:rPr>
        <w:outlineLvl w:val="0"/>
      </w:pPr>
      <w:r/>
      <w:bookmarkStart w:id="37" w:name="_Toc13925"/>
      <w:r>
        <w:rPr>
          <w:rFonts w:hint="eastAsia" w:ascii="宋体" w:hAnsi="宋体" w:cs="宋体"/>
          <w:b/>
          <w:sz w:val="30"/>
          <w:szCs w:val="30"/>
          <w:lang w:val="en-US" w:eastAsia="zh-CN"/>
        </w:rPr>
        <w:t xml:space="preserve">13、关于符合本国产品标准的声明函</w:t>
      </w:r>
      <w:r>
        <w:rPr>
          <w:rFonts w:hint="eastAsia" w:ascii="宋体" w:hAnsi="宋体" w:cs="宋体"/>
          <w:b/>
          <w:sz w:val="30"/>
          <w:szCs w:val="30"/>
        </w:rPr>
        <w:t xml:space="preserve"> </w:t>
      </w:r>
      <w:bookmarkEnd w:id="37"/>
      <w:r/>
      <w:r/>
    </w:p>
    <w:p>
      <w:pPr>
        <w:ind w:left="0" w:right="0"/>
        <w:jc w:val="both"/>
        <w:keepLines w:val="0"/>
        <w:keepNext w:val="0"/>
        <w:pageBreakBefore w:val="0"/>
        <w:spacing w:before="0" w:beforeAutospacing="0" w:after="0" w:afterAutospacing="0" w:line="240" w:lineRule="auto"/>
        <w:shd w:val="clear" w:color="auto" w:fill="ffffff"/>
        <w:widowControl/>
        <w:rPr>
          <w:rFonts w:hint="eastAsia" w:ascii="Arial" w:hAnsi="Arial" w:eastAsia="Arial" w:cs="Arial"/>
          <w:b/>
          <w:bCs/>
          <w:color w:val="000000"/>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Arial" w:hAnsi="Arial" w:eastAsia="Arial" w:cs="Arial"/>
          <w:b/>
          <w:bCs/>
          <w:color w:val="000000"/>
          <w:sz w:val="24"/>
          <w:szCs w:val="24"/>
          <w:highlight w:val="none"/>
          <w:lang w:val="en-US" w:eastAsia="zh-CN" w:bidi="ar"/>
        </w:rPr>
      </w:r>
      <w:r/>
    </w:p>
    <w:p>
      <w:pPr>
        <w:ind w:left="0" w:right="0" w:firstLine="42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Arial" w:hAnsi="Arial" w:eastAsia="Arial" w:cs="Arial"/>
          <w:b/>
          <w:bCs/>
          <w:color w:val="000000"/>
          <w:sz w:val="32"/>
          <w:szCs w:val="32"/>
          <w:highlight w:val="none"/>
          <w:lang w:val="en-US" w:eastAsia="zh-CN" w:bidi="ar"/>
        </w:rPr>
        <w:t xml:space="preserve">关于符合本国产品标准的声明函</w:t>
      </w:r>
      <w:r/>
    </w:p>
    <w:p>
      <w:pPr>
        <w:ind w:left="0" w:right="0" w:firstLine="42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bidi="ar"/>
        </w:rPr>
        <w:t xml:space="preserve">本公司（单位）郑重声明，根据《国务院办公厅关于在政府采购中实施本国产品标准及相关政策的通知》（国办发〔2025〕34号）的规定，本公司（单位）提供的以下产品属于本国产品。具体情况如下：</w:t>
      </w:r>
      <w:r/>
    </w:p>
    <w:p>
      <w:pPr>
        <w:numPr>
          <w:ilvl w:val="0"/>
          <w:numId w:val="0"/>
        </w:numPr>
        <w:ind w:left="0" w:right="0" w:firstLine="42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bidi="ar-SA"/>
        </w:rPr>
        <w:t xml:space="preserve">1</w:t>
      </w:r>
      <w:r>
        <w:rPr>
          <w:rFonts w:hint="eastAsia" w:ascii="Calibri" w:hAnsi="Calibri" w:eastAsia="宋体" w:cs="宋体"/>
          <w:color w:val="000000"/>
          <w:sz w:val="24"/>
          <w:szCs w:val="24"/>
          <w:highlight w:val="none"/>
          <w:lang w:val="en-US" w:eastAsia="zh-CN" w:bidi="ar-SA"/>
        </w:rPr>
        <w:t xml:space="preserve">、</w:t>
      </w:r>
      <w:r>
        <w:rPr>
          <w:rFonts w:hint="default" w:ascii="宋体" w:hAnsi="宋体" w:eastAsia="宋体" w:cs="宋体"/>
          <w:b/>
          <w:bCs/>
          <w:color w:val="000000"/>
          <w:sz w:val="24"/>
          <w:szCs w:val="24"/>
          <w:highlight w:val="none"/>
          <w:u w:val="single"/>
          <w:lang w:val="en-US" w:eastAsia="zh-CN" w:bidi="ar"/>
        </w:rPr>
        <w:t xml:space="preserve">（</w:t>
      </w:r>
      <w:r>
        <w:rPr>
          <w:rFonts w:hint="eastAsia" w:ascii="宋体" w:hAnsi="宋体" w:eastAsia="宋体" w:cs="宋体"/>
          <w:b/>
          <w:bCs/>
          <w:color w:val="000000"/>
          <w:sz w:val="24"/>
          <w:szCs w:val="24"/>
          <w:highlight w:val="none"/>
          <w:u w:val="single"/>
          <w:lang w:val="en-US" w:eastAsia="zh-CN" w:bidi="ar"/>
        </w:rPr>
        <w:t xml:space="preserve">产品名称 </w:t>
      </w:r>
      <w:r>
        <w:rPr>
          <w:rFonts w:hint="default" w:ascii="宋体" w:hAnsi="宋体" w:eastAsia="宋体" w:cs="宋体"/>
          <w:b/>
          <w:bCs/>
          <w:color w:val="000000"/>
          <w:sz w:val="24"/>
          <w:szCs w:val="24"/>
          <w:highlight w:val="none"/>
          <w:u w:val="single"/>
          <w:lang w:val="en-US" w:eastAsia="zh-CN" w:bidi="ar"/>
        </w:rPr>
        <w:t xml:space="preserve">）</w:t>
      </w:r>
      <w:r>
        <w:rPr>
          <w:rFonts w:hint="default" w:ascii="宋体" w:hAnsi="宋体" w:eastAsia="宋体" w:cs="宋体"/>
          <w:b/>
          <w:bCs/>
          <w:color w:val="000000"/>
          <w:sz w:val="24"/>
          <w:szCs w:val="24"/>
          <w:highlight w:val="none"/>
          <w:vertAlign w:val="superscript"/>
          <w:lang w:val="en-US" w:eastAsia="zh-CN" w:bidi="ar"/>
        </w:rPr>
        <w:t xml:space="preserve">1</w:t>
      </w:r>
      <w:r>
        <w:rPr>
          <w:rFonts w:hint="default" w:ascii="宋体" w:hAnsi="宋体" w:eastAsia="宋体" w:cs="宋体"/>
          <w:color w:val="000000"/>
          <w:sz w:val="24"/>
          <w:szCs w:val="24"/>
          <w:highlight w:val="none"/>
          <w:lang w:val="en-US" w:eastAsia="zh-CN" w:bidi="ar"/>
        </w:rPr>
        <w:t xml:space="preserve">，生产厂为</w:t>
      </w:r>
      <w:r>
        <w:rPr>
          <w:rFonts w:hint="default" w:ascii="宋体" w:hAnsi="宋体" w:eastAsia="宋体" w:cs="宋体"/>
          <w:color w:val="000000"/>
          <w:sz w:val="24"/>
          <w:szCs w:val="24"/>
          <w:highlight w:val="none"/>
          <w:u w:val="single"/>
          <w:lang w:val="en-US" w:eastAsia="zh-CN" w:bidi="ar"/>
        </w:rPr>
        <w:t xml:space="preserve">（</w:t>
      </w:r>
      <w:r>
        <w:rPr>
          <w:rFonts w:hint="default" w:ascii="宋体" w:hAnsi="宋体" w:eastAsia="宋体" w:cs="宋体"/>
          <w:b/>
          <w:bCs/>
          <w:color w:val="000000"/>
          <w:sz w:val="24"/>
          <w:szCs w:val="24"/>
          <w:highlight w:val="none"/>
          <w:u w:val="single"/>
          <w:lang w:val="en-US" w:eastAsia="zh-CN" w:bidi="ar"/>
        </w:rPr>
        <w:t xml:space="preserve">厂名</w:t>
      </w:r>
      <w:r>
        <w:rPr>
          <w:rFonts w:hint="default" w:ascii="宋体" w:hAnsi="宋体" w:eastAsia="宋体" w:cs="宋体"/>
          <w:color w:val="000000"/>
          <w:sz w:val="24"/>
          <w:szCs w:val="24"/>
          <w:highlight w:val="none"/>
          <w:u w:val="single"/>
          <w:lang w:val="en-US" w:eastAsia="zh-CN" w:bidi="ar"/>
        </w:rPr>
        <w:t xml:space="preserve">）</w:t>
      </w:r>
      <w:r>
        <w:rPr>
          <w:rFonts w:hint="default" w:ascii="宋体" w:hAnsi="宋体" w:eastAsia="宋体" w:cs="宋体"/>
          <w:b/>
          <w:bCs/>
          <w:color w:val="000000"/>
          <w:sz w:val="24"/>
          <w:szCs w:val="24"/>
          <w:highlight w:val="none"/>
          <w:vertAlign w:val="superscript"/>
          <w:lang w:val="en-US" w:eastAsia="zh-CN" w:bidi="ar"/>
        </w:rPr>
        <w:t xml:space="preserve">2</w:t>
      </w:r>
      <w:r>
        <w:rPr>
          <w:rFonts w:hint="default" w:ascii="宋体" w:hAnsi="宋体" w:eastAsia="宋体" w:cs="宋体"/>
          <w:color w:val="000000"/>
          <w:sz w:val="24"/>
          <w:szCs w:val="24"/>
          <w:highlight w:val="none"/>
          <w:lang w:val="en-US" w:eastAsia="zh-CN" w:bidi="ar"/>
        </w:rPr>
        <w:t xml:space="preserve">，厂址为</w:t>
      </w:r>
      <w:r>
        <w:rPr>
          <w:rFonts w:hint="default" w:ascii="宋体" w:hAnsi="宋体" w:eastAsia="宋体" w:cs="宋体"/>
          <w:color w:val="000000"/>
          <w:sz w:val="24"/>
          <w:szCs w:val="24"/>
          <w:highlight w:val="none"/>
          <w:u w:val="single"/>
          <w:lang w:val="en-US" w:eastAsia="zh-CN" w:bidi="ar"/>
        </w:rPr>
        <w:t xml:space="preserve">（</w:t>
      </w:r>
      <w:r>
        <w:rPr>
          <w:rFonts w:hint="default" w:ascii="宋体" w:hAnsi="宋体" w:eastAsia="宋体" w:cs="宋体"/>
          <w:b/>
          <w:bCs/>
          <w:color w:val="000000"/>
          <w:sz w:val="24"/>
          <w:szCs w:val="24"/>
          <w:highlight w:val="none"/>
          <w:u w:val="single"/>
          <w:lang w:val="en-US" w:eastAsia="zh-CN" w:bidi="ar"/>
        </w:rPr>
        <w:t xml:space="preserve">生产厂址</w:t>
      </w:r>
      <w:r>
        <w:rPr>
          <w:rFonts w:hint="default" w:ascii="宋体" w:hAnsi="宋体" w:eastAsia="宋体" w:cs="宋体"/>
          <w:color w:val="000000"/>
          <w:sz w:val="24"/>
          <w:szCs w:val="24"/>
          <w:highlight w:val="none"/>
          <w:u w:val="single"/>
          <w:lang w:val="en-US" w:eastAsia="zh-CN" w:bidi="ar"/>
        </w:rPr>
        <w:t xml:space="preserve">）</w:t>
      </w:r>
      <w:r>
        <w:rPr>
          <w:rFonts w:hint="default" w:ascii="宋体" w:hAnsi="宋体" w:eastAsia="宋体" w:cs="宋体"/>
          <w:color w:val="000000"/>
          <w:sz w:val="24"/>
          <w:szCs w:val="24"/>
          <w:highlight w:val="none"/>
          <w:lang w:val="en-US" w:eastAsia="zh-CN" w:bidi="ar"/>
        </w:rPr>
        <w:t xml:space="preserve">。</w:t>
      </w:r>
      <w:r>
        <w:rPr>
          <w:rFonts w:hint="default" w:ascii="宋体" w:hAnsi="宋体" w:eastAsia="宋体" w:cs="宋体"/>
          <w:color w:val="000000"/>
          <w:sz w:val="24"/>
          <w:szCs w:val="24"/>
          <w:highlight w:val="none"/>
          <w:u w:val="single"/>
          <w:lang w:val="en-US" w:eastAsia="zh-CN" w:bidi="ar"/>
        </w:rPr>
        <w:t xml:space="preserve"> / </w:t>
      </w:r>
      <w:r>
        <w:rPr>
          <w:rFonts w:hint="default" w:ascii="宋体" w:hAnsi="宋体" w:eastAsia="宋体" w:cs="宋体"/>
          <w:color w:val="000000"/>
          <w:sz w:val="24"/>
          <w:szCs w:val="24"/>
          <w:highlight w:val="none"/>
          <w:lang w:val="en-US" w:eastAsia="zh-CN" w:bidi="ar"/>
        </w:rPr>
        <w:t xml:space="preserve">的中国境内生产的组件成本占比≥</w:t>
      </w:r>
      <w:r>
        <w:rPr>
          <w:rFonts w:hint="default" w:ascii="宋体" w:hAnsi="宋体" w:eastAsia="宋体" w:cs="宋体"/>
          <w:color w:val="000000"/>
          <w:sz w:val="24"/>
          <w:szCs w:val="24"/>
          <w:highlight w:val="none"/>
          <w:u w:val="single"/>
          <w:lang w:val="en-US" w:eastAsia="zh-CN" w:bidi="ar"/>
        </w:rPr>
        <w:t xml:space="preserve">  /  </w:t>
      </w:r>
      <w:r>
        <w:rPr>
          <w:rFonts w:hint="default" w:ascii="宋体" w:hAnsi="宋体" w:eastAsia="宋体" w:cs="宋体"/>
          <w:b/>
          <w:bCs/>
          <w:color w:val="000000"/>
          <w:sz w:val="24"/>
          <w:szCs w:val="24"/>
          <w:highlight w:val="none"/>
          <w:vertAlign w:val="superscript"/>
          <w:lang w:val="en-US" w:eastAsia="zh-CN" w:bidi="ar"/>
        </w:rPr>
        <w:t xml:space="preserve">3</w:t>
      </w:r>
      <w:r>
        <w:rPr>
          <w:rFonts w:hint="default" w:ascii="宋体" w:hAnsi="宋体" w:eastAsia="宋体" w:cs="宋体"/>
          <w:color w:val="000000"/>
          <w:sz w:val="24"/>
          <w:szCs w:val="24"/>
          <w:highlight w:val="none"/>
          <w:lang w:val="en-US" w:eastAsia="zh-CN" w:bidi="ar"/>
        </w:rPr>
        <w:t xml:space="preserve">。</w:t>
      </w:r>
      <w:r>
        <w:rPr>
          <w:rFonts w:hint="default" w:ascii="宋体" w:hAnsi="宋体" w:eastAsia="宋体" w:cs="宋体"/>
          <w:color w:val="000000"/>
          <w:sz w:val="24"/>
          <w:szCs w:val="24"/>
          <w:highlight w:val="none"/>
          <w:u w:val="single"/>
          <w:lang w:val="en-US" w:eastAsia="zh-CN" w:bidi="ar"/>
        </w:rPr>
        <w:t xml:space="preserve">  /  </w:t>
      </w:r>
      <w:r>
        <w:rPr>
          <w:rFonts w:hint="default" w:ascii="宋体" w:hAnsi="宋体" w:eastAsia="宋体" w:cs="宋体"/>
          <w:color w:val="000000"/>
          <w:sz w:val="24"/>
          <w:szCs w:val="24"/>
          <w:highlight w:val="none"/>
          <w:lang w:val="en-US" w:eastAsia="zh-CN" w:bidi="ar"/>
        </w:rPr>
        <w:t xml:space="preserve">的</w:t>
      </w:r>
      <w:r>
        <w:rPr>
          <w:rFonts w:hint="default" w:ascii="宋体" w:hAnsi="宋体" w:eastAsia="宋体" w:cs="宋体"/>
          <w:color w:val="000000"/>
          <w:sz w:val="24"/>
          <w:szCs w:val="24"/>
          <w:highlight w:val="none"/>
          <w:u w:val="single"/>
          <w:lang w:val="en-US" w:eastAsia="zh-CN" w:bidi="ar"/>
        </w:rPr>
        <w:t xml:space="preserve">  /  </w:t>
      </w:r>
      <w:r>
        <w:rPr>
          <w:rFonts w:hint="default" w:ascii="宋体" w:hAnsi="宋体" w:eastAsia="宋体" w:cs="宋体"/>
          <w:b/>
          <w:bCs/>
          <w:color w:val="000000"/>
          <w:sz w:val="24"/>
          <w:szCs w:val="24"/>
          <w:highlight w:val="none"/>
          <w:vertAlign w:val="superscript"/>
          <w:lang w:val="en-US" w:eastAsia="zh-CN" w:bidi="ar"/>
        </w:rPr>
        <w:t xml:space="preserve">4</w:t>
      </w:r>
      <w:r>
        <w:rPr>
          <w:rFonts w:hint="default" w:ascii="宋体" w:hAnsi="宋体" w:eastAsia="宋体" w:cs="宋体"/>
          <w:color w:val="000000"/>
          <w:sz w:val="24"/>
          <w:szCs w:val="24"/>
          <w:highlight w:val="none"/>
          <w:lang w:val="en-US" w:eastAsia="zh-CN" w:bidi="ar"/>
        </w:rPr>
        <w:t xml:space="preserve">在中国境内生产。</w:t>
      </w:r>
      <w:r>
        <w:rPr>
          <w:rFonts w:hint="default" w:ascii="宋体" w:hAnsi="宋体" w:eastAsia="宋体" w:cs="宋体"/>
          <w:color w:val="000000"/>
          <w:sz w:val="24"/>
          <w:szCs w:val="24"/>
          <w:highlight w:val="none"/>
          <w:u w:val="single"/>
          <w:lang w:val="en-US" w:eastAsia="zh-CN" w:bidi="ar"/>
        </w:rPr>
        <w:t xml:space="preserve">  /  </w:t>
      </w:r>
      <w:r>
        <w:rPr>
          <w:rFonts w:hint="default" w:ascii="宋体" w:hAnsi="宋体" w:eastAsia="宋体" w:cs="宋体"/>
          <w:color w:val="000000"/>
          <w:sz w:val="24"/>
          <w:szCs w:val="24"/>
          <w:highlight w:val="none"/>
          <w:lang w:val="en-US" w:eastAsia="zh-CN" w:bidi="ar"/>
        </w:rPr>
        <w:t xml:space="preserve">的</w:t>
      </w:r>
      <w:r>
        <w:rPr>
          <w:rFonts w:hint="default" w:ascii="宋体" w:hAnsi="宋体" w:eastAsia="宋体" w:cs="宋体"/>
          <w:color w:val="000000"/>
          <w:sz w:val="24"/>
          <w:szCs w:val="24"/>
          <w:highlight w:val="none"/>
          <w:u w:val="single"/>
          <w:lang w:val="en-US" w:eastAsia="zh-CN" w:bidi="ar"/>
        </w:rPr>
        <w:t xml:space="preserve">  /  </w:t>
      </w:r>
      <w:r>
        <w:rPr>
          <w:rFonts w:hint="default" w:ascii="宋体" w:hAnsi="宋体" w:eastAsia="宋体" w:cs="宋体"/>
          <w:b/>
          <w:bCs/>
          <w:color w:val="000000"/>
          <w:sz w:val="24"/>
          <w:szCs w:val="24"/>
          <w:highlight w:val="none"/>
          <w:vertAlign w:val="superscript"/>
          <w:lang w:val="en-US" w:eastAsia="zh-CN" w:bidi="ar"/>
        </w:rPr>
        <w:t xml:space="preserve">5</w:t>
      </w:r>
      <w:r>
        <w:rPr>
          <w:rFonts w:hint="default" w:ascii="宋体" w:hAnsi="宋体" w:eastAsia="宋体" w:cs="宋体"/>
          <w:color w:val="000000"/>
          <w:sz w:val="24"/>
          <w:szCs w:val="24"/>
          <w:highlight w:val="none"/>
          <w:lang w:val="en-US" w:eastAsia="zh-CN" w:bidi="ar"/>
        </w:rPr>
        <w:t xml:space="preserve">在中国境内完成</w:t>
      </w:r>
      <w:r>
        <w:rPr>
          <w:rFonts w:hint="eastAsia" w:ascii="宋体" w:hAnsi="宋体" w:eastAsia="宋体" w:cs="宋体"/>
          <w:color w:val="000000"/>
          <w:sz w:val="24"/>
          <w:szCs w:val="24"/>
          <w:highlight w:val="none"/>
          <w:lang w:val="en-US" w:eastAsia="zh-CN" w:bidi="ar"/>
        </w:rPr>
        <w:t xml:space="preserve">。</w:t>
      </w:r>
      <w:r/>
    </w:p>
    <w:p>
      <w:pPr>
        <w:numPr>
          <w:ilvl w:val="0"/>
          <w:numId w:val="0"/>
        </w:numPr>
        <w:ind w:left="0" w:right="0" w:firstLine="42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4"/>
          <w:szCs w:val="24"/>
          <w:highlight w:val="none"/>
          <w:lang w:val="en-US" w:eastAsia="zh-CN" w:bidi="ar-SA"/>
        </w:rPr>
        <w:t xml:space="preserve">2</w:t>
      </w:r>
      <w:r>
        <w:rPr>
          <w:rFonts w:hint="eastAsia" w:ascii="Calibri" w:hAnsi="Calibri" w:eastAsia="宋体" w:cs="宋体"/>
          <w:color w:val="000000"/>
          <w:sz w:val="24"/>
          <w:szCs w:val="24"/>
          <w:highlight w:val="none"/>
          <w:lang w:val="en-US" w:eastAsia="zh-CN" w:bidi="ar-SA"/>
        </w:rPr>
        <w:t xml:space="preserve">、</w:t>
      </w:r>
      <w:r>
        <w:rPr>
          <w:rFonts w:hint="default" w:ascii="宋体" w:hAnsi="宋体" w:eastAsia="宋体" w:cs="宋体"/>
          <w:b/>
          <w:bCs/>
          <w:color w:val="000000"/>
          <w:sz w:val="24"/>
          <w:szCs w:val="24"/>
          <w:highlight w:val="none"/>
          <w:u w:val="single"/>
          <w:lang w:val="en-US" w:eastAsia="zh-CN" w:bidi="ar"/>
        </w:rPr>
        <w:t xml:space="preserve">（</w:t>
      </w:r>
      <w:r>
        <w:rPr>
          <w:rFonts w:hint="eastAsia" w:ascii="宋体" w:hAnsi="宋体" w:eastAsia="宋体" w:cs="宋体"/>
          <w:b/>
          <w:bCs/>
          <w:color w:val="000000"/>
          <w:sz w:val="24"/>
          <w:szCs w:val="24"/>
          <w:highlight w:val="none"/>
          <w:u w:val="single"/>
          <w:lang w:val="en-US" w:eastAsia="zh-CN" w:bidi="ar"/>
        </w:rPr>
        <w:t xml:space="preserve">产品名称 </w:t>
      </w:r>
      <w:r>
        <w:rPr>
          <w:rFonts w:hint="default" w:ascii="宋体" w:hAnsi="宋体" w:eastAsia="宋体" w:cs="宋体"/>
          <w:b/>
          <w:bCs/>
          <w:color w:val="000000"/>
          <w:sz w:val="24"/>
          <w:szCs w:val="24"/>
          <w:highlight w:val="none"/>
          <w:u w:val="single"/>
          <w:lang w:val="en-US" w:eastAsia="zh-CN" w:bidi="ar"/>
        </w:rPr>
        <w:t xml:space="preserve">）</w:t>
      </w:r>
      <w:r>
        <w:rPr>
          <w:rFonts w:hint="default" w:ascii="宋体" w:hAnsi="宋体" w:eastAsia="宋体" w:cs="宋体"/>
          <w:b/>
          <w:bCs/>
          <w:color w:val="000000"/>
          <w:sz w:val="24"/>
          <w:szCs w:val="24"/>
          <w:highlight w:val="none"/>
          <w:vertAlign w:val="superscript"/>
          <w:lang w:val="en-US" w:eastAsia="zh-CN" w:bidi="ar"/>
        </w:rPr>
        <w:t xml:space="preserve">1</w:t>
      </w:r>
      <w:r>
        <w:rPr>
          <w:rFonts w:hint="default" w:ascii="宋体" w:hAnsi="宋体" w:eastAsia="宋体" w:cs="宋体"/>
          <w:color w:val="000000"/>
          <w:sz w:val="24"/>
          <w:szCs w:val="24"/>
          <w:highlight w:val="none"/>
          <w:lang w:val="en-US" w:eastAsia="zh-CN" w:bidi="ar"/>
        </w:rPr>
        <w:t xml:space="preserve">，生产厂为</w:t>
      </w:r>
      <w:r>
        <w:rPr>
          <w:rFonts w:hint="default" w:ascii="宋体" w:hAnsi="宋体" w:eastAsia="宋体" w:cs="宋体"/>
          <w:color w:val="000000"/>
          <w:sz w:val="24"/>
          <w:szCs w:val="24"/>
          <w:highlight w:val="none"/>
          <w:u w:val="single"/>
          <w:lang w:val="en-US" w:eastAsia="zh-CN" w:bidi="ar"/>
        </w:rPr>
        <w:t xml:space="preserve">（</w:t>
      </w:r>
      <w:r>
        <w:rPr>
          <w:rFonts w:hint="default" w:ascii="宋体" w:hAnsi="宋体" w:eastAsia="宋体" w:cs="宋体"/>
          <w:b/>
          <w:bCs/>
          <w:color w:val="000000"/>
          <w:sz w:val="24"/>
          <w:szCs w:val="24"/>
          <w:highlight w:val="none"/>
          <w:u w:val="single"/>
          <w:lang w:val="en-US" w:eastAsia="zh-CN" w:bidi="ar"/>
        </w:rPr>
        <w:t xml:space="preserve">厂名</w:t>
      </w:r>
      <w:r>
        <w:rPr>
          <w:rFonts w:hint="default" w:ascii="宋体" w:hAnsi="宋体" w:eastAsia="宋体" w:cs="宋体"/>
          <w:color w:val="000000"/>
          <w:sz w:val="24"/>
          <w:szCs w:val="24"/>
          <w:highlight w:val="none"/>
          <w:u w:val="single"/>
          <w:lang w:val="en-US" w:eastAsia="zh-CN" w:bidi="ar"/>
        </w:rPr>
        <w:t xml:space="preserve">）</w:t>
      </w:r>
      <w:r>
        <w:rPr>
          <w:rFonts w:hint="default" w:ascii="宋体" w:hAnsi="宋体" w:eastAsia="宋体" w:cs="宋体"/>
          <w:b/>
          <w:bCs/>
          <w:color w:val="000000"/>
          <w:sz w:val="24"/>
          <w:szCs w:val="24"/>
          <w:highlight w:val="none"/>
          <w:vertAlign w:val="superscript"/>
          <w:lang w:val="en-US" w:eastAsia="zh-CN" w:bidi="ar"/>
        </w:rPr>
        <w:t xml:space="preserve">2</w:t>
      </w:r>
      <w:r>
        <w:rPr>
          <w:rFonts w:hint="default" w:ascii="宋体" w:hAnsi="宋体" w:eastAsia="宋体" w:cs="宋体"/>
          <w:color w:val="000000"/>
          <w:sz w:val="24"/>
          <w:szCs w:val="24"/>
          <w:highlight w:val="none"/>
          <w:lang w:val="en-US" w:eastAsia="zh-CN" w:bidi="ar"/>
        </w:rPr>
        <w:t xml:space="preserve">，厂址为</w:t>
      </w:r>
      <w:r>
        <w:rPr>
          <w:rFonts w:hint="default" w:ascii="宋体" w:hAnsi="宋体" w:eastAsia="宋体" w:cs="宋体"/>
          <w:color w:val="000000"/>
          <w:sz w:val="24"/>
          <w:szCs w:val="24"/>
          <w:highlight w:val="none"/>
          <w:u w:val="single"/>
          <w:lang w:val="en-US" w:eastAsia="zh-CN" w:bidi="ar"/>
        </w:rPr>
        <w:t xml:space="preserve">（</w:t>
      </w:r>
      <w:r>
        <w:rPr>
          <w:rFonts w:hint="default" w:ascii="宋体" w:hAnsi="宋体" w:eastAsia="宋体" w:cs="宋体"/>
          <w:b/>
          <w:bCs/>
          <w:color w:val="000000"/>
          <w:sz w:val="24"/>
          <w:szCs w:val="24"/>
          <w:highlight w:val="none"/>
          <w:u w:val="single"/>
          <w:lang w:val="en-US" w:eastAsia="zh-CN" w:bidi="ar"/>
        </w:rPr>
        <w:t xml:space="preserve">生产厂址</w:t>
      </w:r>
      <w:r>
        <w:rPr>
          <w:rFonts w:hint="default" w:ascii="宋体" w:hAnsi="宋体" w:eastAsia="宋体" w:cs="宋体"/>
          <w:color w:val="000000"/>
          <w:sz w:val="24"/>
          <w:szCs w:val="24"/>
          <w:highlight w:val="none"/>
          <w:u w:val="single"/>
          <w:lang w:val="en-US" w:eastAsia="zh-CN" w:bidi="ar"/>
        </w:rPr>
        <w:t xml:space="preserve">）</w:t>
      </w:r>
      <w:r>
        <w:rPr>
          <w:rFonts w:hint="default" w:ascii="宋体" w:hAnsi="宋体" w:eastAsia="宋体" w:cs="宋体"/>
          <w:color w:val="000000"/>
          <w:sz w:val="24"/>
          <w:szCs w:val="24"/>
          <w:highlight w:val="none"/>
          <w:lang w:val="en-US" w:eastAsia="zh-CN" w:bidi="ar"/>
        </w:rPr>
        <w:t xml:space="preserve">。</w:t>
      </w:r>
      <w:r>
        <w:rPr>
          <w:rFonts w:hint="default" w:ascii="宋体" w:hAnsi="宋体" w:eastAsia="宋体" w:cs="宋体"/>
          <w:color w:val="000000"/>
          <w:sz w:val="24"/>
          <w:szCs w:val="24"/>
          <w:highlight w:val="none"/>
          <w:u w:val="single"/>
          <w:lang w:val="en-US" w:eastAsia="zh-CN" w:bidi="ar"/>
        </w:rPr>
        <w:t xml:space="preserve"> / </w:t>
      </w:r>
      <w:r>
        <w:rPr>
          <w:rFonts w:hint="default" w:ascii="宋体" w:hAnsi="宋体" w:eastAsia="宋体" w:cs="宋体"/>
          <w:color w:val="000000"/>
          <w:sz w:val="24"/>
          <w:szCs w:val="24"/>
          <w:highlight w:val="none"/>
          <w:lang w:val="en-US" w:eastAsia="zh-CN" w:bidi="ar"/>
        </w:rPr>
        <w:t xml:space="preserve">的中国境内生产的组件成本占比≥</w:t>
      </w:r>
      <w:r>
        <w:rPr>
          <w:rFonts w:hint="default" w:ascii="宋体" w:hAnsi="宋体" w:eastAsia="宋体" w:cs="宋体"/>
          <w:color w:val="000000"/>
          <w:sz w:val="24"/>
          <w:szCs w:val="24"/>
          <w:highlight w:val="none"/>
          <w:u w:val="single"/>
          <w:lang w:val="en-US" w:eastAsia="zh-CN" w:bidi="ar"/>
        </w:rPr>
        <w:t xml:space="preserve">  /  </w:t>
      </w:r>
      <w:r>
        <w:rPr>
          <w:rFonts w:hint="default" w:ascii="宋体" w:hAnsi="宋体" w:eastAsia="宋体" w:cs="宋体"/>
          <w:b/>
          <w:bCs/>
          <w:color w:val="000000"/>
          <w:sz w:val="24"/>
          <w:szCs w:val="24"/>
          <w:highlight w:val="none"/>
          <w:vertAlign w:val="superscript"/>
          <w:lang w:val="en-US" w:eastAsia="zh-CN" w:bidi="ar"/>
        </w:rPr>
        <w:t xml:space="preserve">3</w:t>
      </w:r>
      <w:r>
        <w:rPr>
          <w:rFonts w:hint="default" w:ascii="宋体" w:hAnsi="宋体" w:eastAsia="宋体" w:cs="宋体"/>
          <w:color w:val="000000"/>
          <w:sz w:val="24"/>
          <w:szCs w:val="24"/>
          <w:highlight w:val="none"/>
          <w:lang w:val="en-US" w:eastAsia="zh-CN" w:bidi="ar"/>
        </w:rPr>
        <w:t xml:space="preserve">。</w:t>
      </w:r>
      <w:r>
        <w:rPr>
          <w:rFonts w:hint="default" w:ascii="宋体" w:hAnsi="宋体" w:eastAsia="宋体" w:cs="宋体"/>
          <w:color w:val="000000"/>
          <w:sz w:val="24"/>
          <w:szCs w:val="24"/>
          <w:highlight w:val="none"/>
          <w:u w:val="single"/>
          <w:lang w:val="en-US" w:eastAsia="zh-CN" w:bidi="ar"/>
        </w:rPr>
        <w:t xml:space="preserve">  /  </w:t>
      </w:r>
      <w:r>
        <w:rPr>
          <w:rFonts w:hint="default" w:ascii="宋体" w:hAnsi="宋体" w:eastAsia="宋体" w:cs="宋体"/>
          <w:color w:val="000000"/>
          <w:sz w:val="24"/>
          <w:szCs w:val="24"/>
          <w:highlight w:val="none"/>
          <w:lang w:val="en-US" w:eastAsia="zh-CN" w:bidi="ar"/>
        </w:rPr>
        <w:t xml:space="preserve">的</w:t>
      </w:r>
      <w:r>
        <w:rPr>
          <w:rFonts w:hint="default" w:ascii="宋体" w:hAnsi="宋体" w:eastAsia="宋体" w:cs="宋体"/>
          <w:color w:val="000000"/>
          <w:sz w:val="24"/>
          <w:szCs w:val="24"/>
          <w:highlight w:val="none"/>
          <w:u w:val="single"/>
          <w:lang w:val="en-US" w:eastAsia="zh-CN" w:bidi="ar"/>
        </w:rPr>
        <w:t xml:space="preserve">  /  </w:t>
      </w:r>
      <w:r>
        <w:rPr>
          <w:rFonts w:hint="default" w:ascii="宋体" w:hAnsi="宋体" w:eastAsia="宋体" w:cs="宋体"/>
          <w:b/>
          <w:bCs/>
          <w:color w:val="000000"/>
          <w:sz w:val="24"/>
          <w:szCs w:val="24"/>
          <w:highlight w:val="none"/>
          <w:vertAlign w:val="superscript"/>
          <w:lang w:val="en-US" w:eastAsia="zh-CN" w:bidi="ar"/>
        </w:rPr>
        <w:t xml:space="preserve">4</w:t>
      </w:r>
      <w:r>
        <w:rPr>
          <w:rFonts w:hint="default" w:ascii="宋体" w:hAnsi="宋体" w:eastAsia="宋体" w:cs="宋体"/>
          <w:color w:val="000000"/>
          <w:sz w:val="24"/>
          <w:szCs w:val="24"/>
          <w:highlight w:val="none"/>
          <w:lang w:val="en-US" w:eastAsia="zh-CN" w:bidi="ar"/>
        </w:rPr>
        <w:t xml:space="preserve">在中国境内生产。</w:t>
      </w:r>
      <w:r>
        <w:rPr>
          <w:rFonts w:hint="default" w:ascii="宋体" w:hAnsi="宋体" w:eastAsia="宋体" w:cs="宋体"/>
          <w:color w:val="000000"/>
          <w:sz w:val="24"/>
          <w:szCs w:val="24"/>
          <w:highlight w:val="none"/>
          <w:u w:val="single"/>
          <w:lang w:val="en-US" w:eastAsia="zh-CN" w:bidi="ar"/>
        </w:rPr>
        <w:t xml:space="preserve">  /  </w:t>
      </w:r>
      <w:r>
        <w:rPr>
          <w:rFonts w:hint="default" w:ascii="宋体" w:hAnsi="宋体" w:eastAsia="宋体" w:cs="宋体"/>
          <w:color w:val="000000"/>
          <w:sz w:val="24"/>
          <w:szCs w:val="24"/>
          <w:highlight w:val="none"/>
          <w:lang w:val="en-US" w:eastAsia="zh-CN" w:bidi="ar"/>
        </w:rPr>
        <w:t xml:space="preserve">的</w:t>
      </w:r>
      <w:r>
        <w:rPr>
          <w:rFonts w:hint="default" w:ascii="宋体" w:hAnsi="宋体" w:eastAsia="宋体" w:cs="宋体"/>
          <w:color w:val="000000"/>
          <w:sz w:val="24"/>
          <w:szCs w:val="24"/>
          <w:highlight w:val="none"/>
          <w:u w:val="single"/>
          <w:lang w:val="en-US" w:eastAsia="zh-CN" w:bidi="ar"/>
        </w:rPr>
        <w:t xml:space="preserve">  /  </w:t>
      </w:r>
      <w:r>
        <w:rPr>
          <w:rFonts w:hint="default" w:ascii="宋体" w:hAnsi="宋体" w:eastAsia="宋体" w:cs="宋体"/>
          <w:b/>
          <w:bCs/>
          <w:color w:val="000000"/>
          <w:sz w:val="24"/>
          <w:szCs w:val="24"/>
          <w:highlight w:val="none"/>
          <w:vertAlign w:val="superscript"/>
          <w:lang w:val="en-US" w:eastAsia="zh-CN" w:bidi="ar"/>
        </w:rPr>
        <w:t xml:space="preserve">5</w:t>
      </w:r>
      <w:r>
        <w:rPr>
          <w:rFonts w:hint="default" w:ascii="宋体" w:hAnsi="宋体" w:eastAsia="宋体" w:cs="宋体"/>
          <w:color w:val="000000"/>
          <w:sz w:val="24"/>
          <w:szCs w:val="24"/>
          <w:highlight w:val="none"/>
          <w:lang w:val="en-US" w:eastAsia="zh-CN" w:bidi="ar"/>
        </w:rPr>
        <w:t xml:space="preserve">在中国境内完成</w:t>
      </w:r>
      <w:r>
        <w:rPr>
          <w:rFonts w:hint="eastAsia" w:ascii="宋体" w:hAnsi="宋体" w:eastAsia="宋体" w:cs="宋体"/>
          <w:color w:val="000000"/>
          <w:sz w:val="24"/>
          <w:szCs w:val="24"/>
          <w:highlight w:val="none"/>
          <w:lang w:val="en-US" w:eastAsia="zh-CN" w:bidi="ar"/>
        </w:rPr>
        <w:t xml:space="preserve">。</w:t>
      </w:r>
      <w:r/>
    </w:p>
    <w:p>
      <w:pPr>
        <w:ind w:left="0" w:right="0" w:firstLine="42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bidi="ar"/>
        </w:rPr>
        <w:t xml:space="preserve">……</w:t>
      </w:r>
      <w:r/>
    </w:p>
    <w:p>
      <w:pPr>
        <w:ind w:left="0" w:right="0" w:firstLine="42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bidi="ar"/>
        </w:rPr>
        <w:t xml:space="preserve">本公司（单位）对上述声明内容的真实性负责。如有虚假，愿承担相应法律责任。</w:t>
      </w:r>
      <w:r/>
    </w:p>
    <w:p>
      <w:pPr>
        <w:ind w:left="0" w:right="0" w:firstLine="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000000"/>
          <w:spacing w:val="0"/>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bidi="ar"/>
        </w:rPr>
        <w:t xml:space="preserve"> </w:t>
      </w:r>
      <w:r/>
    </w:p>
    <w:p>
      <w:pPr>
        <w:ind w:left="0" w:right="0" w:firstLine="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000000"/>
          <w:spacing w:val="0"/>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000000"/>
          <w:spacing w:val="0"/>
          <w:sz w:val="24"/>
          <w:szCs w:val="24"/>
          <w:highlight w:val="none"/>
          <w:shd w:val="clear" w:color="auto" w:fill="ffffff"/>
          <w:vertAlign w:val="baseline"/>
          <w:lang w:val="en-US" w:eastAsia="zh-CN" w:bidi="ar"/>
        </w:rPr>
        <w:t xml:space="preserve">公司（单位）名称（电子签章）：　        </w:t>
      </w:r>
      <w:r/>
    </w:p>
    <w:p>
      <w:pPr>
        <w:ind w:left="0" w:right="0" w:firstLine="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000000"/>
          <w:spacing w:val="0"/>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000000"/>
          <w:spacing w:val="0"/>
          <w:sz w:val="24"/>
          <w:szCs w:val="24"/>
          <w:highlight w:val="none"/>
          <w:shd w:val="clear" w:color="auto" w:fill="ffffff"/>
          <w:vertAlign w:val="baseline"/>
          <w:lang w:val="en-US" w:eastAsia="zh-CN" w:bidi="ar"/>
        </w:rPr>
        <w:t xml:space="preserve">日期：</w:t>
      </w:r>
      <w:r>
        <w:rPr>
          <w:rFonts w:hint="eastAsia" w:ascii="Calibri" w:hAnsi="Calibri" w:eastAsia="宋体" w:cs="宋体"/>
          <w:b/>
          <w:bCs/>
          <w:i w:val="0"/>
          <w:iCs w:val="0"/>
          <w:caps w:val="0"/>
          <w:color w:val="000000"/>
          <w:spacing w:val="0"/>
          <w:sz w:val="24"/>
          <w:szCs w:val="24"/>
          <w:highlight w:val="none"/>
          <w:shd w:val="clear" w:color="auto" w:fill="ffffff"/>
          <w:vertAlign w:val="baseline"/>
          <w:lang w:val="en-US" w:eastAsia="zh-CN" w:bidi="ar"/>
        </w:rPr>
        <w:t xml:space="preserve">  </w:t>
      </w:r>
      <w:r>
        <w:rPr>
          <w:rFonts w:hint="eastAsia" w:ascii="宋体" w:hAnsi="宋体" w:eastAsia="宋体" w:cs="宋体"/>
          <w:b/>
          <w:bCs/>
          <w:i w:val="0"/>
          <w:iCs w:val="0"/>
          <w:caps w:val="0"/>
          <w:color w:val="000000"/>
          <w:spacing w:val="0"/>
          <w:sz w:val="24"/>
          <w:szCs w:val="24"/>
          <w:highlight w:val="none"/>
          <w:shd w:val="clear" w:color="auto" w:fill="ffffff"/>
          <w:vertAlign w:val="baseline"/>
          <w:lang w:val="en-US" w:eastAsia="zh-CN" w:bidi="ar"/>
        </w:rPr>
        <w:t xml:space="preserve">年</w:t>
      </w:r>
      <w:r>
        <w:rPr>
          <w:rFonts w:hint="eastAsia" w:ascii="Calibri" w:hAnsi="Calibri" w:eastAsia="宋体" w:cs="宋体"/>
          <w:b/>
          <w:bCs/>
          <w:i w:val="0"/>
          <w:iCs w:val="0"/>
          <w:caps w:val="0"/>
          <w:color w:val="000000"/>
          <w:spacing w:val="0"/>
          <w:sz w:val="24"/>
          <w:szCs w:val="24"/>
          <w:highlight w:val="none"/>
          <w:shd w:val="clear" w:color="auto" w:fill="ffffff"/>
          <w:vertAlign w:val="baseline"/>
          <w:lang w:val="en-US" w:eastAsia="zh-CN" w:bidi="ar"/>
        </w:rPr>
        <w:t xml:space="preserve">  </w:t>
      </w:r>
      <w:r>
        <w:rPr>
          <w:rFonts w:hint="eastAsia" w:ascii="宋体" w:hAnsi="宋体" w:eastAsia="宋体" w:cs="宋体"/>
          <w:b/>
          <w:bCs/>
          <w:i w:val="0"/>
          <w:iCs w:val="0"/>
          <w:caps w:val="0"/>
          <w:color w:val="000000"/>
          <w:spacing w:val="0"/>
          <w:sz w:val="24"/>
          <w:szCs w:val="24"/>
          <w:highlight w:val="none"/>
          <w:shd w:val="clear" w:color="auto" w:fill="ffffff"/>
          <w:vertAlign w:val="baseline"/>
          <w:lang w:val="en-US" w:eastAsia="zh-CN" w:bidi="ar"/>
        </w:rPr>
        <w:t xml:space="preserve">月</w:t>
      </w:r>
      <w:r>
        <w:rPr>
          <w:rFonts w:hint="eastAsia" w:ascii="Calibri" w:hAnsi="Calibri" w:eastAsia="宋体" w:cs="宋体"/>
          <w:b/>
          <w:bCs/>
          <w:i w:val="0"/>
          <w:iCs w:val="0"/>
          <w:caps w:val="0"/>
          <w:color w:val="000000"/>
          <w:spacing w:val="0"/>
          <w:sz w:val="24"/>
          <w:szCs w:val="24"/>
          <w:highlight w:val="none"/>
          <w:shd w:val="clear" w:color="auto" w:fill="ffffff"/>
          <w:vertAlign w:val="baseline"/>
          <w:lang w:val="en-US" w:eastAsia="zh-CN" w:bidi="ar"/>
        </w:rPr>
        <w:t xml:space="preserve">  </w:t>
      </w:r>
      <w:r>
        <w:rPr>
          <w:rFonts w:hint="eastAsia" w:ascii="宋体" w:hAnsi="宋体" w:eastAsia="宋体" w:cs="宋体"/>
          <w:b/>
          <w:bCs/>
          <w:i w:val="0"/>
          <w:iCs w:val="0"/>
          <w:caps w:val="0"/>
          <w:color w:val="000000"/>
          <w:spacing w:val="0"/>
          <w:sz w:val="24"/>
          <w:szCs w:val="24"/>
          <w:highlight w:val="none"/>
          <w:shd w:val="clear" w:color="auto" w:fill="ffffff"/>
          <w:vertAlign w:val="baseline"/>
          <w:lang w:val="en-US" w:eastAsia="zh-CN" w:bidi="ar"/>
        </w:rPr>
        <w:t xml:space="preserve">日</w:t>
      </w:r>
      <w:r/>
    </w:p>
    <w:p>
      <w:pPr>
        <w:ind w:left="0" w:right="0"/>
        <w:jc w:val="left"/>
        <w:keepLines w:val="0"/>
        <w:keepNext w:val="0"/>
        <w:spacing w:before="30" w:beforeAutospacing="0" w:after="30" w:afterAutospacing="0" w:line="240" w:lineRule="auto"/>
        <w:shd w:val="clear" w:color="auto" w:fill="ffffff"/>
        <w:widowControl/>
        <w:rPr>
          <w:rFonts w:hint="eastAsia" w:ascii="Calibri" w:hAnsi="Calibri" w:eastAsia="宋体" w:cs="宋体"/>
          <w:i w:val="0"/>
          <w:iCs w:val="0"/>
          <w:caps w:val="0"/>
          <w:color w:val="000000"/>
          <w:spacing w:val="0"/>
          <w:sz w:val="24"/>
          <w:szCs w:val="24"/>
          <w:highlight w:val="none"/>
          <w:shd w:val="clear" w:color="auto" w:fill="ffffff"/>
          <w:vertAlign w:val="baseli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Calibri" w:hAnsi="Calibri" w:eastAsia="宋体" w:cs="宋体"/>
          <w:i w:val="0"/>
          <w:iCs w:val="0"/>
          <w:caps w:val="0"/>
          <w:color w:val="000000"/>
          <w:spacing w:val="0"/>
          <w:sz w:val="24"/>
          <w:szCs w:val="24"/>
          <w:highlight w:val="none"/>
          <w:shd w:val="clear" w:color="auto" w:fill="ffffff"/>
          <w:vertAlign w:val="baseline"/>
          <w:lang w:val="en-US" w:eastAsia="zh-CN" w:bidi="ar"/>
        </w:rPr>
      </w:r>
      <w:r/>
    </w:p>
    <w:p>
      <w:pPr>
        <w:ind w:left="0" w:right="0"/>
        <w:jc w:val="left"/>
        <w:keepLines w:val="0"/>
        <w:keepNext w:val="0"/>
        <w:spacing w:before="30" w:beforeAutospacing="0" w:after="30" w:afterAutospacing="0" w:line="360" w:lineRule="auto"/>
        <w:shd w:val="clear" w:color="auto" w:fill="ffffff"/>
        <w:widowControl/>
        <w:rPr>
          <w:rFonts w:hint="eastAsia" w:ascii="Calibri" w:hAnsi="Calibri" w:eastAsia="宋体" w:cs="宋体"/>
          <w:i w:val="0"/>
          <w:iCs w:val="0"/>
          <w:caps w:val="0"/>
          <w:color w:val="000000"/>
          <w:spacing w:val="0"/>
          <w:sz w:val="24"/>
          <w:szCs w:val="24"/>
          <w:highlight w:val="none"/>
          <w:shd w:val="clear" w:color="auto" w:fill="ffffff"/>
          <w:vertAlign w:val="baseli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Calibri" w:hAnsi="Calibri" w:eastAsia="宋体" w:cs="宋体"/>
          <w:i w:val="0"/>
          <w:iCs w:val="0"/>
          <w:caps w:val="0"/>
          <w:color w:val="000000"/>
          <w:spacing w:val="0"/>
          <w:sz w:val="24"/>
          <w:szCs w:val="24"/>
          <w:highlight w:val="none"/>
          <w:shd w:val="clear" w:color="auto" w:fill="ffffff"/>
          <w:vertAlign w:val="baseline"/>
          <w:lang w:val="en-US" w:eastAsia="zh-CN" w:bidi="ar"/>
        </w:rPr>
        <w:t xml:space="preserve">注：</w:t>
      </w:r>
      <w:r/>
    </w:p>
    <w:p>
      <w:pPr>
        <w:ind w:left="0" w:right="0" w:firstLine="420"/>
        <w:jc w:val="left"/>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bidi="ar"/>
        </w:rPr>
        <w:t xml:space="preserve">1.产品如有型号，请在“产品名称”栏一并填写。</w:t>
      </w:r>
      <w:r/>
    </w:p>
    <w:p>
      <w:pPr>
        <w:ind w:left="0" w:right="0" w:firstLine="420"/>
        <w:jc w:val="left"/>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bidi="ar"/>
        </w:rPr>
        <w:t xml:space="preserve">2.生产厂名与厂址应与生产厂营业执照载明的相关信息保持一致。</w:t>
      </w:r>
      <w:r/>
    </w:p>
    <w:p>
      <w:pPr>
        <w:ind w:left="0" w:right="0" w:firstLine="420"/>
        <w:jc w:val="left"/>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bidi="ar"/>
        </w:rPr>
        <w:t xml:space="preserve">3.该产品的中国境内生产的组件成本占比相关要求实施前，“规定比例”栏可不填，下同。</w:t>
      </w:r>
      <w:r/>
    </w:p>
    <w:p>
      <w:pPr>
        <w:ind w:left="0" w:right="0" w:firstLine="420"/>
        <w:jc w:val="left"/>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bidi="ar"/>
        </w:rPr>
        <w:t xml:space="preserve">4.该产品的关键组件要求实施前，“关键组件”栏可不填，下同。</w:t>
      </w:r>
      <w:r/>
    </w:p>
    <w:p>
      <w:pPr>
        <w:ind w:left="0" w:right="0" w:firstLine="420"/>
        <w:jc w:val="left"/>
        <w:keepLines w:val="0"/>
        <w:keepNext w:val="0"/>
        <w:spacing w:before="30" w:beforeAutospacing="0" w:after="30" w:afterAutospacing="0" w:line="360" w:lineRule="auto"/>
        <w:shd w:val="clear" w:color="auto" w:fill="ffffff"/>
        <w:widowControl/>
        <w:rPr>
          <w:rFonts w:hint="eastAsia" w:ascii="宋体" w:hAnsi="宋体" w:eastAsia="宋体" w:cs="宋体"/>
          <w:color w:val="000000"/>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bidi="ar"/>
        </w:rPr>
        <w:t xml:space="preserve">5.该产品的关键工序要求实施前，“关键工序”栏可不填，下同。</w:t>
      </w:r>
      <w:r/>
    </w:p>
    <w:p>
      <w:pPr>
        <w:ind w:firstLine="480"/>
        <w:jc w:val="both"/>
        <w:spacing w:line="360" w:lineRule="auto"/>
        <w:rPr>
          <w:rFonts w:hint="eastAsia" w:ascii="宋体" w:hAnsi="宋体" w:eastAsia="宋体" w:cs="宋体"/>
          <w:color w:val="000000"/>
          <w:sz w:val="28"/>
          <w:szCs w:val="28"/>
          <w:highlight w:val="none"/>
        </w:rPr>
        <w:sectPr>
          <w:footnotePr/>
          <w:endnotePr/>
          <w:type w:val="nextPage"/>
          <w:pgSz w:w="11906" w:h="16838" w:orient="portrait"/>
          <w:pgMar w:top="1440" w:right="1080" w:bottom="1440" w:left="1080" w:header="851" w:footer="992" w:gutter="0"/>
          <w:cols w:num="1" w:sep="0" w:space="1701" w:equalWidth="1"/>
          <w:docGrid w:linePitch="360"/>
        </w:sectPr>
        <w:outlineLvl w:val="9"/>
      </w:pPr>
      <w:r>
        <w:rPr>
          <w:rFonts w:hint="eastAsia" w:ascii="宋体" w:hAnsi="宋体" w:eastAsia="宋体" w:cs="宋体"/>
          <w:color w:val="000000"/>
          <w:sz w:val="24"/>
          <w:szCs w:val="24"/>
          <w:highlight w:val="none"/>
          <w:lang w:val="en-US" w:eastAsia="zh-CN"/>
        </w:rPr>
        <w:t xml:space="preserve">6</w:t>
      </w:r>
      <w:r>
        <w:rPr>
          <w:rFonts w:ascii="宋体" w:hAnsi="宋体" w:eastAsia="宋体" w:cs="宋体"/>
          <w:color w:val="000000"/>
          <w:sz w:val="24"/>
          <w:szCs w:val="24"/>
          <w:highlight w:val="none"/>
        </w:rPr>
        <w:t xml:space="preserve">.《声明函》中标注“</w:t>
      </w:r>
      <w:r>
        <w:rPr>
          <w:rFonts w:ascii="宋体" w:hAnsi="宋体" w:eastAsia="宋体" w:cs="宋体"/>
          <w:color w:val="000000"/>
          <w:sz w:val="24"/>
          <w:szCs w:val="24"/>
          <w:highlight w:val="none"/>
          <w:u w:val="single"/>
        </w:rPr>
        <w:t xml:space="preserve">  / </w:t>
      </w:r>
      <w:r>
        <w:rPr>
          <w:rFonts w:ascii="宋体" w:hAnsi="宋体" w:eastAsia="宋体" w:cs="宋体"/>
          <w:color w:val="000000"/>
          <w:sz w:val="24"/>
          <w:szCs w:val="24"/>
          <w:highlight w:val="none"/>
        </w:rPr>
        <w:t xml:space="preserve">”的地方无需填写</w:t>
      </w:r>
      <w:r>
        <w:rPr>
          <w:rFonts w:hint="eastAsia" w:ascii="Calibri" w:hAnsi="Calibri" w:eastAsia="宋体" w:cs="宋体"/>
          <w:color w:val="000000"/>
          <w:sz w:val="24"/>
          <w:szCs w:val="24"/>
          <w:highlight w:val="none"/>
          <w:lang w:eastAsia="zh-CN"/>
        </w:rPr>
        <w:t xml:space="preserve">。</w:t>
      </w:r>
      <w:r/>
    </w:p>
    <w:p>
      <w:pPr>
        <w:ind w:firstLine="602"/>
        <w:jc w:val="center"/>
        <w:spacing w:line="360" w:lineRule="auto"/>
        <w:rPr>
          <w:rFonts w:ascii="宋体" w:hAnsi="宋体" w:cs="宋体"/>
          <w:b/>
          <w:sz w:val="36"/>
          <w:szCs w:val="36"/>
        </w:rPr>
        <w:outlineLvl w:val="0"/>
      </w:pPr>
      <w:r/>
      <w:bookmarkStart w:id="38" w:name="_Toc4971"/>
      <w:r>
        <w:rPr>
          <w:rFonts w:hint="eastAsia" w:ascii="宋体" w:hAnsi="宋体" w:cs="宋体"/>
          <w:b/>
          <w:sz w:val="30"/>
          <w:szCs w:val="30"/>
        </w:rPr>
        <w:t xml:space="preserve">1</w:t>
      </w:r>
      <w:r>
        <w:rPr>
          <w:rFonts w:hint="eastAsia" w:ascii="宋体" w:hAnsi="宋体" w:cs="宋体"/>
          <w:b/>
          <w:sz w:val="30"/>
          <w:szCs w:val="30"/>
          <w:lang w:val="en-US" w:eastAsia="zh-CN"/>
        </w:rPr>
        <w:t xml:space="preserve">4</w:t>
      </w:r>
      <w:r>
        <w:rPr>
          <w:rFonts w:hint="eastAsia" w:ascii="宋体" w:hAnsi="宋体" w:cs="宋体"/>
          <w:b/>
          <w:sz w:val="30"/>
          <w:szCs w:val="30"/>
        </w:rPr>
        <w:t xml:space="preserve">、预付款保函支付条款模板</w:t>
      </w:r>
      <w:bookmarkEnd w:id="38"/>
      <w:r/>
      <w:r/>
    </w:p>
    <w:p>
      <w:pPr>
        <w:pStyle w:val="1039"/>
        <w:spacing w:line="360" w:lineRule="auto"/>
        <w:rPr>
          <w:rFonts w:ascii="宋体" w:hAnsi="宋体" w:cs="宋体"/>
          <w:sz w:val="24"/>
        </w:rPr>
      </w:pPr>
      <w:r>
        <w:rPr>
          <w:rFonts w:ascii="宋体" w:hAnsi="宋体" w:cs="宋体"/>
          <w:sz w:val="24"/>
        </w:rPr>
      </w:r>
      <w:r/>
    </w:p>
    <w:p>
      <w:pPr>
        <w:pStyle w:val="1039"/>
        <w:ind w:firstLine="480"/>
        <w:spacing w:after="0" w:line="360" w:lineRule="auto"/>
        <w:rPr>
          <w:rFonts w:ascii="宋体" w:hAnsi="宋体" w:cs="宋体"/>
          <w:sz w:val="24"/>
        </w:rPr>
      </w:pPr>
      <w:r>
        <w:rPr>
          <w:rFonts w:hint="eastAsia" w:ascii="宋体" w:hAnsi="宋体" w:cs="宋体"/>
          <w:sz w:val="24"/>
        </w:rPr>
        <w:t xml:space="preserve">付款条件一：提交预付款保函的</w:t>
      </w:r>
      <w:r/>
    </w:p>
    <w:p>
      <w:pPr>
        <w:ind w:firstLine="480"/>
        <w:spacing w:line="360" w:lineRule="auto"/>
        <w:rPr>
          <w:rFonts w:ascii="宋体" w:hAnsi="宋体" w:cs="宋体"/>
          <w:sz w:val="24"/>
        </w:rPr>
      </w:pPr>
      <w:r>
        <w:rPr>
          <w:rFonts w:hint="eastAsia" w:ascii="宋体" w:hAnsi="宋体" w:cs="宋体"/>
          <w:sz w:val="24"/>
        </w:rPr>
        <w:t xml:space="preserve">（1）合同签订且乙方向甲方出具预付款保函后个工作日内，甲方应支付合同价款的百分之</w:t>
      </w:r>
      <w:r>
        <w:rPr>
          <w:rFonts w:hint="eastAsia" w:ascii="宋体" w:hAnsi="宋体" w:cs="宋体"/>
          <w:sz w:val="24"/>
          <w:u w:val="single"/>
        </w:rPr>
        <w:t xml:space="preserve"> xx  </w:t>
      </w:r>
      <w:r>
        <w:rPr>
          <w:rFonts w:hint="eastAsia" w:ascii="宋体" w:hAnsi="宋体" w:cs="宋体"/>
          <w:sz w:val="24"/>
        </w:rPr>
        <w:t xml:space="preserve">（</w:t>
      </w:r>
      <w:r>
        <w:rPr>
          <w:rFonts w:hint="eastAsia" w:ascii="宋体" w:hAnsi="宋体" w:cs="宋体"/>
          <w:sz w:val="24"/>
          <w:u w:val="single"/>
        </w:rPr>
        <w:t xml:space="preserve"> xx</w:t>
      </w:r>
      <w:r>
        <w:rPr>
          <w:rFonts w:hint="eastAsia" w:ascii="宋体" w:hAnsi="宋体" w:cs="宋体"/>
          <w:sz w:val="24"/>
        </w:rPr>
        <w:t xml:space="preserve">%)小写¥大写：人民币。</w:t>
      </w:r>
      <w:r/>
    </w:p>
    <w:p>
      <w:pPr>
        <w:pStyle w:val="1039"/>
        <w:ind w:firstLine="480"/>
        <w:spacing w:after="0" w:line="360" w:lineRule="auto"/>
        <w:tabs>
          <w:tab w:val="left" w:pos="5508" w:leader="none"/>
        </w:tabs>
        <w:rPr>
          <w:rFonts w:ascii="宋体" w:hAnsi="宋体" w:cs="宋体"/>
          <w:sz w:val="24"/>
        </w:rPr>
      </w:pPr>
      <w:r>
        <w:rPr>
          <w:rFonts w:hint="eastAsia" w:ascii="宋体" w:hAnsi="宋体" w:cs="宋体"/>
          <w:sz w:val="24"/>
        </w:rPr>
        <w:t xml:space="preserve">（2）验收合格后个工作日内，甲方应支付合同价款的百分之</w:t>
      </w:r>
      <w:r>
        <w:rPr>
          <w:rFonts w:hint="eastAsia" w:ascii="宋体" w:hAnsi="宋体" w:cs="宋体"/>
          <w:sz w:val="24"/>
          <w:u w:val="single"/>
        </w:rPr>
        <w:t xml:space="preserve"> XX </w:t>
      </w:r>
      <w:r>
        <w:rPr>
          <w:rFonts w:hint="eastAsia" w:ascii="宋体" w:hAnsi="宋体" w:cs="宋体"/>
          <w:sz w:val="24"/>
        </w:rPr>
        <w:t xml:space="preserve">（ %）小写￥大写：人民币。</w:t>
      </w:r>
      <w:r/>
    </w:p>
    <w:p>
      <w:pPr>
        <w:pStyle w:val="1039"/>
        <w:ind w:firstLine="480"/>
        <w:spacing w:after="0" w:line="360" w:lineRule="auto"/>
        <w:rPr>
          <w:rFonts w:ascii="宋体" w:hAnsi="宋体" w:cs="宋体"/>
          <w:sz w:val="24"/>
        </w:rPr>
      </w:pPr>
      <w:r>
        <w:rPr>
          <w:rFonts w:hint="eastAsia" w:ascii="宋体" w:hAnsi="宋体" w:cs="宋体"/>
          <w:sz w:val="24"/>
        </w:rPr>
        <w:t xml:space="preserve">……</w:t>
      </w:r>
      <w:r/>
    </w:p>
    <w:p>
      <w:pPr>
        <w:pStyle w:val="1039"/>
        <w:ind w:firstLine="480"/>
        <w:spacing w:after="0" w:line="360" w:lineRule="auto"/>
        <w:rPr>
          <w:rFonts w:ascii="宋体" w:hAnsi="宋体" w:cs="宋体"/>
          <w:sz w:val="24"/>
        </w:rPr>
      </w:pPr>
      <w:r>
        <w:rPr>
          <w:rFonts w:hint="eastAsia" w:ascii="宋体" w:hAnsi="宋体" w:cs="宋体"/>
          <w:sz w:val="24"/>
        </w:rPr>
        <w:t xml:space="preserve">付款条件二： 不提交预付款保函的</w:t>
      </w:r>
      <w:r/>
    </w:p>
    <w:p>
      <w:pPr>
        <w:pStyle w:val="1039"/>
        <w:ind w:firstLine="480"/>
        <w:spacing w:after="0" w:line="360" w:lineRule="auto"/>
        <w:tabs>
          <w:tab w:val="left" w:pos="2017" w:leader="none"/>
          <w:tab w:val="left" w:pos="2468" w:leader="none"/>
          <w:tab w:val="left" w:pos="4313" w:leader="none"/>
          <w:tab w:val="left" w:pos="5811" w:leader="none"/>
          <w:tab w:val="left" w:pos="9007" w:leader="none"/>
        </w:tabs>
        <w:rPr>
          <w:rFonts w:ascii="宋体" w:hAnsi="宋体" w:cs="宋体"/>
          <w:sz w:val="24"/>
        </w:rPr>
      </w:pPr>
      <w:r>
        <w:rPr>
          <w:rFonts w:hint="eastAsia" w:ascii="宋体" w:hAnsi="宋体" w:cs="宋体"/>
          <w:sz w:val="24"/>
        </w:rPr>
        <w:t xml:space="preserve">（1）合同签订后</w:t>
      </w:r>
      <w:r>
        <w:rPr>
          <w:rFonts w:hint="eastAsia" w:ascii="宋体" w:hAnsi="宋体" w:cs="宋体"/>
          <w:sz w:val="24"/>
          <w:u w:val="single"/>
        </w:rPr>
        <w:tab/>
      </w:r>
      <w:r>
        <w:rPr>
          <w:rFonts w:hint="eastAsia" w:ascii="宋体" w:hAnsi="宋体" w:cs="宋体"/>
          <w:sz w:val="24"/>
        </w:rPr>
        <w:t xml:space="preserve">个工作日内，甲方应支付合同价款的百分之</w:t>
      </w:r>
      <w:r>
        <w:rPr>
          <w:rFonts w:hint="eastAsia" w:ascii="宋体" w:hAnsi="宋体" w:cs="宋体"/>
          <w:sz w:val="24"/>
          <w:u w:val="single"/>
        </w:rPr>
        <w:t xml:space="preserve">XX</w:t>
      </w:r>
      <w:r>
        <w:rPr>
          <w:rFonts w:hint="eastAsia" w:ascii="宋体" w:hAnsi="宋体" w:cs="宋体"/>
          <w:sz w:val="24"/>
        </w:rPr>
        <w:t xml:space="preserve"> （％）小写￥大写：人民币</w:t>
      </w:r>
      <w:r>
        <w:rPr>
          <w:rFonts w:hint="eastAsia" w:ascii="宋体" w:hAnsi="宋体" w:cs="宋体"/>
          <w:sz w:val="24"/>
          <w:u w:val="single"/>
        </w:rPr>
        <w:tab/>
      </w:r>
      <w:r>
        <w:rPr>
          <w:rFonts w:hint="eastAsia" w:ascii="宋体" w:hAnsi="宋体" w:cs="宋体"/>
          <w:sz w:val="24"/>
        </w:rPr>
        <w:t xml:space="preserve">。</w:t>
      </w:r>
      <w:r/>
    </w:p>
    <w:p>
      <w:pPr>
        <w:pStyle w:val="1039"/>
        <w:ind w:firstLine="480"/>
        <w:spacing w:after="0" w:line="360" w:lineRule="auto"/>
        <w:tabs>
          <w:tab w:val="left" w:pos="2151" w:leader="none"/>
          <w:tab w:val="left" w:pos="4183" w:leader="none"/>
          <w:tab w:val="left" w:pos="5500" w:leader="none"/>
          <w:tab w:val="left" w:pos="8573" w:leader="none"/>
        </w:tabs>
        <w:rPr>
          <w:rFonts w:ascii="宋体" w:hAnsi="宋体" w:cs="宋体"/>
          <w:sz w:val="24"/>
        </w:rPr>
      </w:pPr>
      <w:r>
        <w:rPr>
          <w:rFonts w:hint="eastAsia" w:ascii="宋体" w:hAnsi="宋体" w:cs="宋体"/>
          <w:sz w:val="24"/>
        </w:rPr>
        <w:t xml:space="preserve">（2）验收合格后个工作日内，甲方应支付合同价款的百分之</w:t>
      </w:r>
      <w:r>
        <w:rPr>
          <w:rFonts w:hint="eastAsia" w:ascii="宋体" w:hAnsi="宋体" w:cs="宋体"/>
          <w:sz w:val="24"/>
          <w:u w:val="single"/>
        </w:rPr>
        <w:t xml:space="preserve">XX</w:t>
      </w:r>
      <w:r>
        <w:rPr>
          <w:rFonts w:hint="eastAsia" w:ascii="宋体" w:hAnsi="宋体" w:cs="宋体"/>
          <w:sz w:val="24"/>
        </w:rPr>
        <w:t xml:space="preserve">（％）小写￥大写：人民币。</w:t>
      </w:r>
      <w:r/>
    </w:p>
    <w:p>
      <w:pPr>
        <w:pStyle w:val="1039"/>
        <w:ind w:firstLine="480"/>
        <w:spacing w:after="0" w:line="360" w:lineRule="auto"/>
        <w:rPr>
          <w:rFonts w:ascii="宋体" w:hAnsi="宋体" w:cs="宋体"/>
          <w:sz w:val="24"/>
        </w:rPr>
      </w:pPr>
      <w:r>
        <w:rPr>
          <w:rFonts w:ascii="宋体" w:hAnsi="宋体" w:cs="宋体"/>
          <w:sz w:val="24"/>
        </w:rPr>
      </w:r>
      <w:r/>
    </w:p>
    <w:p>
      <w:pPr>
        <w:pStyle w:val="1039"/>
        <w:ind w:firstLine="480"/>
        <w:spacing w:after="0" w:line="360" w:lineRule="auto"/>
        <w:rPr>
          <w:rFonts w:ascii="宋体" w:hAnsi="宋体" w:cs="宋体"/>
          <w:sz w:val="24"/>
        </w:rPr>
      </w:pPr>
      <w:r>
        <w:rPr>
          <w:rFonts w:ascii="宋体" w:hAnsi="宋体" w:cs="宋体"/>
          <w:sz w:val="24"/>
        </w:rPr>
      </w:r>
      <w:r/>
    </w:p>
    <w:p>
      <w:pPr>
        <w:pStyle w:val="1039"/>
        <w:ind w:firstLine="480"/>
        <w:spacing w:after="0" w:line="360" w:lineRule="auto"/>
        <w:rPr>
          <w:rFonts w:ascii="宋体" w:hAnsi="宋体" w:cs="宋体"/>
          <w:sz w:val="24"/>
        </w:rPr>
      </w:pPr>
      <w:r>
        <w:rPr>
          <w:rFonts w:ascii="宋体" w:hAnsi="宋体" w:cs="宋体"/>
          <w:sz w:val="24"/>
        </w:rPr>
      </w:r>
      <w:r/>
    </w:p>
    <w:p>
      <w:pPr>
        <w:pStyle w:val="1039"/>
        <w:ind w:firstLine="480"/>
        <w:spacing w:after="0" w:line="360" w:lineRule="auto"/>
        <w:rPr>
          <w:rFonts w:ascii="宋体" w:hAnsi="宋体" w:cs="宋体"/>
          <w:sz w:val="24"/>
        </w:rPr>
      </w:pPr>
      <w:r>
        <w:rPr>
          <w:rFonts w:ascii="宋体" w:hAnsi="宋体" w:cs="宋体"/>
          <w:sz w:val="24"/>
        </w:rPr>
      </w:r>
      <w:r/>
    </w:p>
    <w:p>
      <w:pPr>
        <w:pStyle w:val="1227"/>
        <w:ind w:left="0" w:right="0" w:firstLine="480"/>
        <w:spacing w:line="360" w:lineRule="auto"/>
        <w:rPr>
          <w:rFonts w:ascii="宋体" w:hAnsi="宋体" w:cs="宋体"/>
          <w:szCs w:val="24"/>
        </w:rPr>
      </w:pPr>
      <w:r>
        <w:rPr>
          <w:rFonts w:hint="eastAsia" w:ascii="宋体" w:hAnsi="宋体" w:cs="宋体"/>
          <w:szCs w:val="24"/>
        </w:rPr>
        <w:t xml:space="preserve">注：1、付款条件一中，出具预付款保函后支付的合同款应当与保函金额一致。</w:t>
      </w:r>
      <w:r/>
    </w:p>
    <w:p>
      <w:pPr>
        <w:pStyle w:val="1227"/>
        <w:ind w:left="0" w:right="0" w:firstLine="480"/>
        <w:spacing w:line="360" w:lineRule="auto"/>
        <w:rPr>
          <w:rFonts w:ascii="宋体" w:hAnsi="宋体" w:cs="宋体"/>
          <w:szCs w:val="24"/>
        </w:rPr>
      </w:pPr>
      <w:r>
        <w:rPr>
          <w:rFonts w:hint="eastAsia" w:ascii="宋体" w:hAnsi="宋体" w:cs="宋体"/>
          <w:szCs w:val="24"/>
        </w:rPr>
        <w:t xml:space="preserve">2、付款条件二中，预付款比例设定应符合《关于做好政府采购支持企业发展有关事项的通知》（苏财购（2020)52号）要求。</w:t>
      </w:r>
      <w:r/>
    </w:p>
    <w:p>
      <w:pPr>
        <w:ind w:firstLine="480"/>
        <w:spacing w:line="360" w:lineRule="auto"/>
        <w:rPr>
          <w:rFonts w:ascii="宋体" w:hAnsi="宋体" w:cs="宋体"/>
          <w:sz w:val="24"/>
        </w:rPr>
      </w:pPr>
      <w:r>
        <w:rPr>
          <w:rFonts w:hint="eastAsia" w:ascii="宋体" w:hAnsi="宋体" w:cs="宋体"/>
          <w:sz w:val="24"/>
        </w:rPr>
        <w:br w:type="page" w:clear="all"/>
      </w:r>
      <w:r/>
    </w:p>
    <w:p>
      <w:pPr>
        <w:pStyle w:val="899"/>
        <w:jc w:val="center"/>
        <w:rPr>
          <w:rFonts w:ascii="宋体" w:hAnsi="宋体" w:cs="宋体"/>
          <w:b/>
          <w:sz w:val="30"/>
          <w:szCs w:val="30"/>
        </w:rPr>
        <w:outlineLvl w:val="0"/>
      </w:pPr>
      <w:r/>
      <w:bookmarkStart w:id="39" w:name="_Toc32458"/>
      <w:r>
        <w:rPr>
          <w:rFonts w:hint="eastAsia" w:ascii="宋体" w:hAnsi="宋体" w:cs="宋体"/>
          <w:b/>
          <w:sz w:val="30"/>
          <w:szCs w:val="30"/>
        </w:rPr>
        <w:t xml:space="preserve">1</w:t>
      </w:r>
      <w:r>
        <w:rPr>
          <w:rFonts w:hint="eastAsia" w:ascii="宋体" w:hAnsi="宋体" w:cs="宋体"/>
          <w:b/>
          <w:sz w:val="30"/>
          <w:szCs w:val="30"/>
          <w:lang w:val="en-US" w:eastAsia="zh-CN"/>
        </w:rPr>
        <w:t xml:space="preserve">5</w:t>
      </w:r>
      <w:r>
        <w:rPr>
          <w:rFonts w:hint="eastAsia" w:ascii="宋体" w:hAnsi="宋体" w:cs="宋体"/>
          <w:b/>
          <w:sz w:val="30"/>
          <w:szCs w:val="30"/>
        </w:rPr>
        <w:t xml:space="preserve">、代理服务收费标准</w:t>
      </w:r>
      <w:bookmarkEnd w:id="39"/>
      <w:r/>
      <w:r/>
    </w:p>
    <w:p>
      <w:pPr>
        <w:spacing w:line="360" w:lineRule="auto"/>
        <w:rPr>
          <w:rFonts w:ascii="宋体" w:hAnsi="宋体" w:cs="宋体"/>
          <w:sz w:val="24"/>
        </w:rPr>
      </w:pPr>
      <w:r>
        <w:rPr>
          <w:rFonts w:ascii="宋体" w:hAnsi="宋体" w:cs="宋体"/>
          <w:sz w:val="24"/>
        </w:rPr>
      </w:r>
      <w:r/>
    </w:p>
    <w:tbl>
      <w:tblPr>
        <w:tblStyle w:val="883"/>
        <w:tblW w:w="8299" w:type="dxa"/>
        <w:jc w:val="center"/>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83"/>
        <w:gridCol w:w="2916"/>
      </w:tblGrid>
      <w:tr>
        <w:trPr>
          <w:jc w:val="center"/>
          <w:trHeight w:val="379"/>
        </w:trPr>
        <w:tc>
          <w:tcPr>
            <w:tcBorders>
              <w:top w:val="single" w:color="auto" w:sz="4" w:space="0"/>
            </w:tcBorders>
            <w:tcW w:w="5383"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中标金额</w:t>
            </w:r>
            <w:r/>
          </w:p>
        </w:tc>
        <w:tc>
          <w:tcPr>
            <w:tcBorders>
              <w:top w:val="single" w:color="auto" w:sz="4" w:space="0"/>
            </w:tcBorders>
            <w:tcW w:w="2916"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费率</w:t>
            </w:r>
            <w:r/>
          </w:p>
        </w:tc>
      </w:tr>
      <w:tr>
        <w:trPr>
          <w:jc w:val="center"/>
          <w:trHeight w:val="379"/>
        </w:trPr>
        <w:tc>
          <w:tcPr>
            <w:tcW w:w="5383"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最低收费金额（每个委托项目）</w:t>
            </w:r>
            <w:r/>
          </w:p>
        </w:tc>
        <w:tc>
          <w:tcPr>
            <w:tcW w:w="2916"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5000元</w:t>
            </w:r>
            <w:r/>
          </w:p>
        </w:tc>
      </w:tr>
      <w:tr>
        <w:trPr>
          <w:jc w:val="center"/>
          <w:trHeight w:val="379"/>
        </w:trPr>
        <w:tc>
          <w:tcPr>
            <w:tcW w:w="5383"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50万元以下（含50万元）</w:t>
            </w:r>
            <w:r/>
          </w:p>
        </w:tc>
        <w:tc>
          <w:tcPr>
            <w:tcW w:w="2916"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1.6%</w:t>
            </w:r>
            <w:r/>
          </w:p>
        </w:tc>
      </w:tr>
      <w:tr>
        <w:trPr>
          <w:jc w:val="center"/>
          <w:trHeight w:val="379"/>
        </w:trPr>
        <w:tc>
          <w:tcPr>
            <w:tcW w:w="5383"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50-400万元（含400万元）</w:t>
            </w:r>
            <w:r/>
          </w:p>
        </w:tc>
        <w:tc>
          <w:tcPr>
            <w:tcW w:w="2916"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1.5%</w:t>
            </w:r>
            <w:r/>
          </w:p>
        </w:tc>
      </w:tr>
      <w:tr>
        <w:trPr>
          <w:jc w:val="center"/>
          <w:trHeight w:val="379"/>
        </w:trPr>
        <w:tc>
          <w:tcPr>
            <w:tcW w:w="5383"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400-1000万元（含1000万元）</w:t>
            </w:r>
            <w:r/>
          </w:p>
        </w:tc>
        <w:tc>
          <w:tcPr>
            <w:tcW w:w="2916"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1.1%</w:t>
            </w:r>
            <w:r/>
          </w:p>
        </w:tc>
      </w:tr>
      <w:tr>
        <w:trPr>
          <w:jc w:val="center"/>
          <w:trHeight w:val="379"/>
        </w:trPr>
        <w:tc>
          <w:tcPr>
            <w:tcW w:w="5383"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1000-5000万元（含5000万元）</w:t>
            </w:r>
            <w:r/>
          </w:p>
        </w:tc>
        <w:tc>
          <w:tcPr>
            <w:tcW w:w="2916"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0.8%</w:t>
            </w:r>
            <w:r/>
          </w:p>
        </w:tc>
      </w:tr>
      <w:tr>
        <w:trPr>
          <w:jc w:val="center"/>
          <w:trHeight w:val="379"/>
        </w:trPr>
        <w:tc>
          <w:tcPr>
            <w:tcW w:w="5383"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5000-1亿元（含1亿元）</w:t>
            </w:r>
            <w:r/>
          </w:p>
        </w:tc>
        <w:tc>
          <w:tcPr>
            <w:tcW w:w="2916"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0.25%</w:t>
            </w:r>
            <w:r/>
          </w:p>
        </w:tc>
      </w:tr>
      <w:tr>
        <w:trPr>
          <w:jc w:val="center"/>
          <w:trHeight w:val="379"/>
        </w:trPr>
        <w:tc>
          <w:tcPr>
            <w:tcW w:w="5383"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1-10亿元（含10亿元）</w:t>
            </w:r>
            <w:r/>
          </w:p>
        </w:tc>
        <w:tc>
          <w:tcPr>
            <w:tcW w:w="2916"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0.05%</w:t>
            </w:r>
            <w:r/>
          </w:p>
        </w:tc>
      </w:tr>
      <w:tr>
        <w:trPr>
          <w:jc w:val="center"/>
          <w:trHeight w:val="379"/>
        </w:trPr>
        <w:tc>
          <w:tcPr>
            <w:tcW w:w="5383"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10-50亿元（含50亿元）</w:t>
            </w:r>
            <w:r/>
          </w:p>
        </w:tc>
        <w:tc>
          <w:tcPr>
            <w:tcW w:w="2916"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0.01%</w:t>
            </w:r>
            <w:r/>
          </w:p>
        </w:tc>
      </w:tr>
      <w:tr>
        <w:trPr>
          <w:jc w:val="center"/>
          <w:trHeight w:val="390"/>
        </w:trPr>
        <w:tc>
          <w:tcPr>
            <w:tcW w:w="5383"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50亿元以上</w:t>
            </w:r>
            <w:r/>
          </w:p>
        </w:tc>
        <w:tc>
          <w:tcPr>
            <w:tcW w:w="2916"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0.005%</w:t>
            </w:r>
            <w:r/>
          </w:p>
        </w:tc>
      </w:tr>
    </w:tbl>
    <w:p>
      <w:pPr>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说明：</w:t>
      </w:r>
      <w:r/>
    </w:p>
    <w:p>
      <w:pPr>
        <w:ind w:firstLine="480"/>
        <w:spacing w:line="360" w:lineRule="auto"/>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1、按上表计算的收费为代理服务全过程的收费金额。各社会代理机构不再收取采购文件制作售卖费用。</w:t>
      </w:r>
      <w:r/>
    </w:p>
    <w:p>
      <w:pPr>
        <w:ind w:firstLine="480"/>
        <w:spacing w:line="360" w:lineRule="auto"/>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2、代理服务费按差额定率累进法计算。</w:t>
      </w:r>
      <w:r/>
    </w:p>
    <w:p>
      <w:pPr>
        <w:ind w:firstLine="480"/>
        <w:spacing w:line="360" w:lineRule="auto"/>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3、代理服务费基准金额（按差额定率累进法计算的）=中标金额（按差额定率累进法计算的）*费率（%）</w:t>
      </w:r>
      <w:r>
        <w:rPr>
          <w:rFonts w:hint="eastAsia" w:ascii="宋体" w:hAnsi="宋体" w:cs="宋体"/>
          <w:sz w:val="24"/>
        </w:rPr>
        <w:t xml:space="preserve">。</w:t>
      </w:r>
      <w:r/>
    </w:p>
    <w:p>
      <w:pPr>
        <w:ind w:firstLine="480"/>
        <w:spacing w:line="360" w:lineRule="auto"/>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4、代理服务费应收取金额=代理服务费基准金额（按差额定率累进法计算的）的合计数。</w:t>
      </w:r>
      <w:r/>
    </w:p>
    <w:p>
      <w:pPr>
        <w:ind w:firstLine="480"/>
        <w:spacing w:line="360" w:lineRule="auto"/>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5、定点类等无金额或事先不能计算出价格总额的项目，按中标（成交）金额100万元计算服务费。</w:t>
      </w:r>
      <w:r/>
    </w:p>
    <w:p>
      <w:pPr>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6.有分包(分标段)的按一个项目计算。</w:t>
      </w:r>
      <w:r/>
    </w:p>
    <w:p>
      <w:pPr>
        <w:ind w:firstLine="482"/>
        <w:jc w:val="both"/>
        <w:spacing w:after="40"/>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7.本项目代理服务费由中标人支付，各投标人在投标报价时应充分考虑在内。</w:t>
      </w:r>
      <w:r/>
    </w:p>
    <w:p>
      <w:pPr>
        <w:ind w:firstLine="482"/>
        <w:jc w:val="both"/>
        <w:spacing w:after="40"/>
        <w:rPr>
          <w:rFonts w:hint="default"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8.本项目为单价报价，代理费计算中标金额=投标单价/最高限价单价（35.2118万元）*本项目预算金额（180万元）</w:t>
      </w:r>
      <w:r/>
    </w:p>
    <w:p>
      <w:pPr>
        <w:ind w:firstLine="480"/>
        <w:widowControl/>
        <w:rPr>
          <w:rFonts w:ascii="宋体" w:hAnsi="宋体" w:eastAsia="宋体" w:cs="宋体"/>
          <w:sz w:val="24"/>
          <w:highlight w:val="none"/>
        </w:rPr>
      </w:pPr>
      <w:r>
        <w:rPr>
          <w:rFonts w:hint="eastAsia" w:ascii="宋体" w:hAnsi="宋体" w:eastAsia="宋体" w:cs="宋体"/>
          <w:sz w:val="24"/>
          <w:highlight w:val="none"/>
          <w:lang w:val="en-US"/>
        </w:rPr>
        <w:t xml:space="preserve">9.</w:t>
      </w:r>
      <w:r>
        <w:rPr>
          <w:rFonts w:hint="eastAsia" w:ascii="宋体" w:hAnsi="宋体" w:eastAsia="宋体" w:cs="宋体"/>
          <w:sz w:val="24"/>
          <w:highlight w:val="none"/>
        </w:rPr>
        <w:t xml:space="preserve">账户信息：</w:t>
      </w:r>
      <w:r/>
    </w:p>
    <w:p>
      <w:pPr>
        <w:ind w:firstLine="480"/>
        <w:widowControl/>
        <w:rPr>
          <w:rFonts w:hint="eastAsia" w:ascii="宋体" w:hAnsi="宋体" w:eastAsia="宋体" w:cs="宋体"/>
          <w:sz w:val="24"/>
          <w:highlight w:val="none"/>
          <w:lang w:eastAsia="zh-CN"/>
        </w:rPr>
      </w:pPr>
      <w:r>
        <w:rPr>
          <w:rFonts w:hint="eastAsia" w:ascii="宋体" w:hAnsi="宋体" w:eastAsia="宋体" w:cs="宋体"/>
          <w:sz w:val="24"/>
          <w:highlight w:val="none"/>
        </w:rPr>
        <w:t xml:space="preserve">收款人：</w:t>
      </w:r>
      <w:r>
        <w:rPr>
          <w:rFonts w:hint="eastAsia" w:ascii="宋体" w:hAnsi="宋体" w:eastAsia="宋体" w:cs="宋体"/>
          <w:sz w:val="24"/>
          <w:highlight w:val="none"/>
          <w:lang w:val="en-US" w:eastAsia="zh-CN"/>
        </w:rPr>
        <w:t xml:space="preserve">上海科立普咨询管理有限公司</w:t>
      </w:r>
      <w:r/>
    </w:p>
    <w:p>
      <w:pPr>
        <w:ind w:firstLine="480"/>
        <w:widowControl/>
        <w:rPr>
          <w:rFonts w:ascii="宋体" w:hAnsi="宋体" w:eastAsia="宋体" w:cs="宋体"/>
          <w:sz w:val="24"/>
          <w:highlight w:val="none"/>
        </w:rPr>
      </w:pPr>
      <w:r>
        <w:rPr>
          <w:rFonts w:hint="eastAsia" w:ascii="宋体" w:hAnsi="宋体" w:eastAsia="宋体" w:cs="宋体"/>
          <w:sz w:val="24"/>
          <w:highlight w:val="none"/>
        </w:rPr>
        <w:t xml:space="preserve">开户银行：中国建设银行股份有限公司上海漕河泾支行  </w:t>
      </w:r>
      <w:r/>
    </w:p>
    <w:p>
      <w:pPr>
        <w:ind w:firstLine="480"/>
        <w:widowControl/>
        <w:rPr>
          <w:rFonts w:hint="eastAsia" w:ascii="宋体" w:hAnsi="宋体" w:eastAsia="宋体" w:cs="宋体"/>
          <w:b/>
          <w:color w:val="000000"/>
          <w:sz w:val="36"/>
          <w:szCs w:val="36"/>
          <w:lang w:val="en-US" w:eastAsia="zh-CN"/>
        </w:rPr>
        <w:sectPr>
          <w:footnotePr/>
          <w:endnotePr/>
          <w:type w:val="nextPage"/>
          <w:pgSz w:w="11906" w:h="16838" w:orient="portrait"/>
          <w:pgMar w:top="1440" w:right="1417" w:bottom="1440" w:left="1417" w:header="851" w:footer="992" w:gutter="0"/>
          <w:cols w:num="1" w:sep="0" w:space="425" w:equalWidth="1"/>
          <w:docGrid w:linePitch="360"/>
          <w:titlePg/>
        </w:sectPr>
      </w:pPr>
      <w:r>
        <w:rPr>
          <w:rFonts w:hint="eastAsia" w:ascii="宋体" w:hAnsi="宋体" w:eastAsia="宋体" w:cs="宋体"/>
          <w:sz w:val="24"/>
          <w:highlight w:val="none"/>
        </w:rPr>
        <w:t xml:space="preserve">账号：</w:t>
      </w:r>
      <w:r>
        <w:rPr>
          <w:rFonts w:hint="eastAsia" w:ascii="宋体" w:hAnsi="宋体" w:eastAsia="宋体" w:cs="宋体"/>
          <w:sz w:val="24"/>
        </w:rPr>
        <w:t xml:space="preserve"> 3105 0165 3636 0000 300</w:t>
      </w:r>
      <w:r>
        <w:rPr>
          <w:rFonts w:hint="eastAsia" w:ascii="宋体" w:hAnsi="宋体" w:cs="宋体"/>
          <w:sz w:val="24"/>
          <w:lang w:val="en-US" w:eastAsia="zh-CN"/>
        </w:rPr>
        <w:t xml:space="preserve">5</w:t>
      </w:r>
      <w:r/>
    </w:p>
    <w:p>
      <w:pPr>
        <w:pStyle w:val="899"/>
        <w:jc w:val="left"/>
        <w:spacing w:line="360" w:lineRule="auto"/>
        <w:widowControl w:val="off"/>
        <w:rPr>
          <w:rFonts w:ascii="宋体" w:hAnsi="宋体" w:cs="宋体"/>
          <w:spacing w:val="6"/>
          <w:sz w:val="24"/>
          <w:szCs w:val="24"/>
        </w:rPr>
      </w:pPr>
      <w:r>
        <w:rPr>
          <w:rFonts w:ascii="宋体" w:hAnsi="宋体" w:cs="宋体"/>
          <w:spacing w:val="6"/>
          <w:sz w:val="24"/>
          <w:szCs w:val="24"/>
        </w:rPr>
      </w:r>
      <w:r/>
    </w:p>
    <w:sectPr>
      <w:footnotePr/>
      <w:endnotePr/>
      <w:type w:val="nextPage"/>
      <w:pgSz w:w="11906" w:h="16838" w:orient="portrait"/>
      <w:pgMar w:top="1440" w:right="1440" w:bottom="1440" w:left="1440" w:header="851" w:footer="1191"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全真中明體">
    <w:panose1 w:val="020B0503020202020204"/>
  </w:font>
  <w:font w:name="Arial Unicode MS">
    <w:panose1 w:val="020B0604020202020204"/>
  </w:font>
  <w:font w:name="PMingLiU">
    <w:panose1 w:val="02020500000000000000"/>
  </w:font>
  <w:font w:name="Arial Black">
    <w:panose1 w:val="020B0A04020102020204"/>
  </w:font>
  <w:font w:name="Arial Rounded MT Bold">
    <w:panose1 w:val="020F0704030504030204"/>
  </w:font>
  <w:font w:name="Tahoma">
    <w:panose1 w:val="020B0604030504040204"/>
  </w:font>
  <w:font w:name="Calibri Light">
    <w:panose1 w:val="020F0302020204030204"/>
  </w:font>
  <w:font w:name="MingLiU">
    <w:panose1 w:val="02020500000000000000"/>
  </w:font>
  <w:font w:name="Futura Bk">
    <w:panose1 w:val="020B0503020202020204"/>
  </w:font>
  <w:font w:name="Cambria">
    <w:panose1 w:val="02040503050406030204"/>
  </w:font>
  <w:font w:name="方正仿宋_GBK">
    <w:panose1 w:val="020B0503020202020204"/>
  </w:font>
  <w:font w:name="楷体_GB2312">
    <w:panose1 w:val="02010609060101010101"/>
  </w:font>
  <w:font w:name="Courier New">
    <w:panose1 w:val="02070309020205020404"/>
  </w:font>
  <w:font w:name="方正书宋简体">
    <w:panose1 w:val="020B0503020202020204"/>
  </w:font>
  <w:font w:name="黑体">
    <w:panose1 w:val="02010609060101010101"/>
  </w:font>
  <w:font w:name="幼圆">
    <w:panose1 w:val="02010509060101010101"/>
  </w:font>
  <w:font w:name="Verdana">
    <w:panose1 w:val="020B0604030504040204"/>
  </w:font>
  <w:font w:name="仿宋_GB2312">
    <w:panose1 w:val="02010609060101010101"/>
  </w:font>
  <w:font w:name="微软雅黑">
    <w:panose1 w:val="020B0503020204020204"/>
  </w:font>
  <w:font w:name="Calibri">
    <w:panose1 w:val="020F0502020204030204"/>
  </w:font>
  <w:font w:name="方正楷体_GBK">
    <w:panose1 w:val="020B0503020202020204"/>
  </w:font>
  <w:font w:name="仿宋">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8"/>
      <w:jc w:val="center"/>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22"/>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2"/>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4"/>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22"/>
                          </w:pPr>
                          <w:r>
                            <w:t xml:space="preserve">第 </w:t>
                          </w:r>
                          <w:r>
                            <w:fldChar w:fldCharType="begin"/>
                          </w:r>
                          <w:r>
                            <w:instrText xml:space="preserve"> PAGE  \* MERGEFORMAT </w:instrText>
                          </w:r>
                          <w:r>
                            <w:fldChar w:fldCharType="separate"/>
                          </w:r>
                          <w:r>
                            <w:t xml:space="preserve">2</w:t>
                          </w:r>
                          <w:r>
                            <w:fldChar w:fldCharType="end"/>
                          </w:r>
                          <w:r>
                            <w:t xml:space="preserve"> 页</w:t>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2"/>
                    </w:pPr>
                    <w:r>
                      <w:t xml:space="preserve">第 </w:t>
                    </w:r>
                    <w:r>
                      <w:fldChar w:fldCharType="begin"/>
                    </w:r>
                    <w:r>
                      <w:instrText xml:space="preserve"> PAGE  \* MERGEFORMAT </w:instrText>
                    </w:r>
                    <w:r>
                      <w:fldChar w:fldCharType="separate"/>
                    </w:r>
                    <w:r>
                      <w:t xml:space="preserve">2</w:t>
                    </w:r>
                    <w:r>
                      <w:fldChar w:fldCharType="end"/>
                    </w:r>
                    <w: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22"/>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wrap="none" lIns="0" tIns="0" rIns="0" bIns="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2"/>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jc w:val="center"/>
    </w:pPr>
    <w:r>
      <w:fldChar w:fldCharType="begin"/>
    </w:r>
    <w:r>
      <w:instrText xml:space="preserve">PAGE \* MERGEFORMAT</w:instrText>
    </w:r>
    <w:r>
      <w:fldChar w:fldCharType="separate"/>
    </w:r>
    <w:r>
      <w:t xml:space="preserve">1</w:t>
    </w:r>
    <w:r>
      <w:fldChar w:fldCharType="end"/>
    </w:r>
    <w:r/>
  </w:p>
  <w:p>
    <w:pPr>
      <w:pStyle w:val="922"/>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22"/>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jc w:val="center"/>
    </w:pPr>
    <w:r>
      <w:fldChar w:fldCharType="begin"/>
    </w:r>
    <w:r>
      <w:instrText xml:space="preserve">PAGE \* MERGEFORMAT</w:instrText>
    </w:r>
    <w:r>
      <w:fldChar w:fldCharType="separate"/>
    </w:r>
    <w:r>
      <w:t xml:space="preserve">1</w:t>
    </w:r>
    <w:r>
      <w:fldChar w:fldCharType="end"/>
    </w:r>
    <w:r/>
  </w:p>
  <w:p>
    <w:pPr>
      <w:pStyle w:val="922"/>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jc w:val="center"/>
    </w:pPr>
    <w:r>
      <w:fldChar w:fldCharType="begin"/>
    </w:r>
    <w:r>
      <w:instrText xml:space="preserve">PAGE \* MERGEFORMAT</w:instrText>
    </w:r>
    <w:r>
      <w:fldChar w:fldCharType="separate"/>
    </w:r>
    <w:r>
      <w:t xml:space="preserve">1</w:t>
    </w:r>
    <w:r>
      <w:fldChar w:fldCharType="end"/>
    </w:r>
    <w:r/>
  </w:p>
  <w:p>
    <w:pPr>
      <w:pStyle w:val="92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0"/>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174"/>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iCs/>
        <w:sz w:val="18"/>
        <w:u w:val="single"/>
      </w:rPr>
    </w:pPr>
    <w:r>
      <w:rPr>
        <w:iCs/>
        <w:sz w:val="18"/>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720" w:hanging="360"/>
        <w:tabs>
          <w:tab w:val="left" w:pos="720" w:leader="none"/>
        </w:tabs>
      </w:pPr>
    </w:lvl>
    <w:lvl w:ilvl="1">
      <w:start w:val="1"/>
      <w:numFmt w:val="lowerLetter"/>
      <w:pStyle w:val="1254"/>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pStyle w:val="1266"/>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2">
    <w:multiLevelType w:val="hybridMultilevel"/>
    <w:lvl w:ilvl="0">
      <w:start w:val="1"/>
      <w:numFmt w:val="decimal"/>
      <w:pStyle w:val="948"/>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tab"/>
      <w:lvlText w:val="%1 "/>
      <w:lvlJc w:val="left"/>
      <w:pPr>
        <w:ind w:left="0" w:firstLine="0"/>
      </w:pPr>
      <w:rPr>
        <w:rFonts w:hint="eastAsia" w:ascii="Times New Roman" w:hAnsi="Times New Roman" w:cs="Times New Roman"/>
        <w:b w:val="0"/>
        <w:bCs w:val="0"/>
        <w:i w:val="0"/>
        <w:iCs w:val="0"/>
        <w:caps w:val="0"/>
        <w:smallCaps w:val="0"/>
        <w:strike w:val="0"/>
        <w:vanish w:val="0"/>
        <w:color w:val="000000"/>
        <w:spacing w:val="0"/>
        <w:position w:val="0"/>
        <w:szCs w:val="0"/>
        <w:u w:val="none"/>
        <w:vertAlign w:val="baseline"/>
      </w:rPr>
    </w:lvl>
    <w:lvl w:ilvl="1">
      <w:start w:val="1"/>
      <w:numFmt w:val="decimal"/>
      <w:isLgl w:val="false"/>
      <w:suff w:val="tab"/>
      <w:lvlText w:val="%2 "/>
      <w:lvlJc w:val="left"/>
      <w:pPr>
        <w:ind w:left="0" w:firstLine="0"/>
      </w:pPr>
      <w:rPr>
        <w:rFonts w:hint="eastAsia"/>
      </w:rPr>
    </w:lvl>
    <w:lvl w:ilvl="2">
      <w:start w:val="1"/>
      <w:numFmt w:val="decimal"/>
      <w:isLgl w:val="false"/>
      <w:suff w:val="tab"/>
      <w:lvlText w:val="%2.%3 "/>
      <w:lvlJc w:val="left"/>
      <w:pPr>
        <w:ind w:left="0" w:firstLine="0"/>
      </w:pPr>
      <w:rPr>
        <w:rFonts w:hint="eastAsia"/>
      </w:rPr>
    </w:lvl>
    <w:lvl w:ilvl="3">
      <w:start w:val="1"/>
      <w:numFmt w:val="decimal"/>
      <w:isLgl w:val="false"/>
      <w:suff w:val="tab"/>
      <w:lvlText w:val="%2.%3.%4 "/>
      <w:lvlJc w:val="left"/>
      <w:pPr>
        <w:ind w:left="426" w:firstLine="0"/>
      </w:pPr>
      <w:rPr>
        <w:rFonts w:hint="eastAsia"/>
      </w:rPr>
    </w:lvl>
    <w:lvl w:ilvl="4">
      <w:start w:val="1"/>
      <w:numFmt w:val="decimal"/>
      <w:isLgl w:val="false"/>
      <w:suff w:val="tab"/>
      <w:lvlText w:val="%2.%3.%4.%5 "/>
      <w:lvlJc w:val="left"/>
      <w:pPr>
        <w:ind w:left="0" w:firstLine="0"/>
      </w:pPr>
      <w:rPr>
        <w:rFonts w:hint="eastAsia"/>
      </w:rPr>
    </w:lvl>
    <w:lvl w:ilvl="5">
      <w:start w:val="1"/>
      <w:numFmt w:val="decimal"/>
      <w:isLgl w:val="false"/>
      <w:suff w:val="tab"/>
      <w:lvlText w:val="%2.%3.%4.%5.%6 "/>
      <w:lvlJc w:val="left"/>
      <w:pPr>
        <w:ind w:left="0" w:firstLine="0"/>
      </w:pPr>
      <w:rPr>
        <w:rFonts w:hint="eastAsia" w:ascii="Times New Roman" w:hAnsi="Times New Roman" w:cs="Times New Roman"/>
        <w:b w:val="0"/>
        <w:bCs w:val="0"/>
        <w:i w:val="0"/>
        <w:iCs w:val="0"/>
        <w:caps w:val="0"/>
        <w:smallCaps w:val="0"/>
        <w:strike w:val="0"/>
        <w:vanish w:val="0"/>
        <w:color w:val="000000"/>
        <w:spacing w:val="0"/>
        <w:position w:val="0"/>
        <w:szCs w:val="0"/>
        <w:u w:val="none"/>
        <w:vertAlign w:val="baseline"/>
      </w:rPr>
    </w:lvl>
    <w:lvl w:ilvl="6">
      <w:start w:val="1"/>
      <w:numFmt w:val="decimal"/>
      <w:isLgl w:val="false"/>
      <w:suff w:val="tab"/>
      <w:lvlText w:val="%1.%2.%3.%4.%5.%6.%7"/>
      <w:lvlJc w:val="left"/>
      <w:pPr>
        <w:ind w:left="0" w:firstLine="0"/>
      </w:pPr>
      <w:rPr>
        <w:rFonts w:hint="eastAsia"/>
      </w:rPr>
    </w:lvl>
    <w:lvl w:ilvl="7">
      <w:start w:val="1"/>
      <w:numFmt w:val="decimal"/>
      <w:isLgl w:val="false"/>
      <w:suff w:val="tab"/>
      <w:lvlText w:val="%1.%2.%3.%4.%5.%6.%7.%8"/>
      <w:lvlJc w:val="left"/>
      <w:pPr>
        <w:ind w:left="0" w:firstLine="0"/>
      </w:pPr>
      <w:rPr>
        <w:rFonts w:hint="eastAsia"/>
      </w:rPr>
    </w:lvl>
    <w:lvl w:ilvl="8">
      <w:start w:val="1"/>
      <w:numFmt w:val="decimal"/>
      <w:isLgl w:val="false"/>
      <w:suff w:val="tab"/>
      <w:lvlText w:val="%1.%2.%3.%4.%5.%6.%7.%8.%9"/>
      <w:lvlJc w:val="left"/>
      <w:pPr>
        <w:ind w:left="0" w:firstLine="0"/>
      </w:pPr>
      <w:rPr>
        <w:rFonts w:hint="eastAsia"/>
      </w:rPr>
    </w:lvl>
  </w:abstractNum>
  <w:num w:numId="1">
    <w:abstractNumId w:val="2"/>
  </w:num>
  <w:num w:numId="2">
    <w:abstractNumId w:val="1"/>
  </w:num>
  <w:num w:numId="3">
    <w:abstractNumId w:val="5"/>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72" w:default="1">
    <w:name w:val="Normal"/>
    <w:next w:val="88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73">
    <w:name w:val="Heading 1"/>
    <w:basedOn w:val="872"/>
    <w:next w:val="872"/>
    <w:uiPriority w:val="9"/>
    <w:qFormat/>
    <w:pPr>
      <w:keepLines/>
      <w:keepNext/>
      <w:spacing w:before="480" w:after="200"/>
      <w:outlineLvl w:val="0"/>
    </w:pPr>
    <w:rPr>
      <w:rFonts w:ascii="Arial" w:hAnsi="Arial" w:eastAsia="Arial" w:cs="Arial"/>
      <w:sz w:val="40"/>
      <w:szCs w:val="40"/>
    </w:rPr>
  </w:style>
  <w:style w:type="paragraph" w:styleId="874">
    <w:name w:val="Heading 2"/>
    <w:basedOn w:val="872"/>
    <w:next w:val="872"/>
    <w:uiPriority w:val="9"/>
    <w:unhideWhenUsed/>
    <w:qFormat/>
    <w:pPr>
      <w:keepLines/>
      <w:keepNext/>
      <w:spacing w:before="360" w:after="200"/>
      <w:outlineLvl w:val="1"/>
    </w:pPr>
    <w:rPr>
      <w:rFonts w:ascii="Arial" w:hAnsi="Arial" w:eastAsia="Arial" w:cs="Arial"/>
      <w:sz w:val="34"/>
    </w:rPr>
  </w:style>
  <w:style w:type="paragraph" w:styleId="875">
    <w:name w:val="Heading 3"/>
    <w:basedOn w:val="872"/>
    <w:next w:val="872"/>
    <w:uiPriority w:val="9"/>
    <w:unhideWhenUsed/>
    <w:qFormat/>
    <w:pPr>
      <w:keepLines/>
      <w:keepNext/>
      <w:spacing w:before="320" w:after="200"/>
      <w:outlineLvl w:val="2"/>
    </w:pPr>
    <w:rPr>
      <w:rFonts w:ascii="Arial" w:hAnsi="Arial" w:eastAsia="Arial" w:cs="Arial"/>
      <w:sz w:val="30"/>
      <w:szCs w:val="30"/>
    </w:rPr>
  </w:style>
  <w:style w:type="paragraph" w:styleId="876">
    <w:name w:val="Heading 4"/>
    <w:basedOn w:val="872"/>
    <w:next w:val="872"/>
    <w:uiPriority w:val="9"/>
    <w:unhideWhenUsed/>
    <w:qFormat/>
    <w:pPr>
      <w:keepLines/>
      <w:keepNext/>
      <w:spacing w:before="320" w:after="200"/>
      <w:outlineLvl w:val="3"/>
    </w:pPr>
    <w:rPr>
      <w:rFonts w:ascii="Arial" w:hAnsi="Arial" w:eastAsia="Arial" w:cs="Arial"/>
      <w:b/>
      <w:bCs/>
      <w:sz w:val="26"/>
      <w:szCs w:val="26"/>
    </w:rPr>
  </w:style>
  <w:style w:type="paragraph" w:styleId="877">
    <w:name w:val="Heading 5"/>
    <w:basedOn w:val="872"/>
    <w:next w:val="872"/>
    <w:uiPriority w:val="9"/>
    <w:unhideWhenUsed/>
    <w:qFormat/>
    <w:pPr>
      <w:keepLines/>
      <w:keepNext/>
      <w:spacing w:before="320" w:after="200"/>
      <w:outlineLvl w:val="4"/>
    </w:pPr>
    <w:rPr>
      <w:rFonts w:ascii="Arial" w:hAnsi="Arial" w:eastAsia="Arial" w:cs="Arial"/>
      <w:b/>
      <w:bCs/>
      <w:sz w:val="24"/>
    </w:rPr>
  </w:style>
  <w:style w:type="paragraph" w:styleId="878">
    <w:name w:val="Heading 6"/>
    <w:basedOn w:val="872"/>
    <w:next w:val="872"/>
    <w:uiPriority w:val="9"/>
    <w:unhideWhenUsed/>
    <w:qFormat/>
    <w:pPr>
      <w:keepLines/>
      <w:keepNext/>
      <w:spacing w:before="320" w:after="200"/>
      <w:outlineLvl w:val="5"/>
    </w:pPr>
    <w:rPr>
      <w:rFonts w:ascii="Arial" w:hAnsi="Arial" w:eastAsia="Arial" w:cs="Arial"/>
      <w:b/>
      <w:bCs/>
      <w:sz w:val="22"/>
      <w:szCs w:val="22"/>
    </w:rPr>
  </w:style>
  <w:style w:type="paragraph" w:styleId="879">
    <w:name w:val="Heading 7"/>
    <w:basedOn w:val="872"/>
    <w:next w:val="872"/>
    <w:uiPriority w:val="9"/>
    <w:unhideWhenUsed/>
    <w:qFormat/>
    <w:pPr>
      <w:keepLines/>
      <w:keepNext/>
      <w:spacing w:before="320" w:after="200"/>
      <w:outlineLvl w:val="6"/>
    </w:pPr>
    <w:rPr>
      <w:rFonts w:ascii="Arial" w:hAnsi="Arial" w:eastAsia="Arial" w:cs="Arial"/>
      <w:b/>
      <w:bCs/>
      <w:i/>
      <w:iCs/>
      <w:sz w:val="22"/>
      <w:szCs w:val="22"/>
    </w:rPr>
  </w:style>
  <w:style w:type="paragraph" w:styleId="880">
    <w:name w:val="Heading 8"/>
    <w:basedOn w:val="872"/>
    <w:next w:val="872"/>
    <w:uiPriority w:val="9"/>
    <w:unhideWhenUsed/>
    <w:qFormat/>
    <w:pPr>
      <w:keepLines/>
      <w:keepNext/>
      <w:spacing w:before="320" w:after="200"/>
      <w:outlineLvl w:val="7"/>
    </w:pPr>
    <w:rPr>
      <w:rFonts w:ascii="Arial" w:hAnsi="Arial" w:eastAsia="Arial" w:cs="Arial"/>
      <w:i/>
      <w:iCs/>
      <w:sz w:val="22"/>
      <w:szCs w:val="22"/>
    </w:rPr>
  </w:style>
  <w:style w:type="paragraph" w:styleId="881">
    <w:name w:val="Heading 9"/>
    <w:basedOn w:val="872"/>
    <w:next w:val="872"/>
    <w:uiPriority w:val="9"/>
    <w:unhideWhenUsed/>
    <w:qFormat/>
    <w:pPr>
      <w:keepLines/>
      <w:keepNext/>
      <w:spacing w:before="320" w:after="200"/>
      <w:outlineLvl w:val="8"/>
    </w:pPr>
    <w:rPr>
      <w:rFonts w:ascii="Arial" w:hAnsi="Arial" w:eastAsia="Arial" w:cs="Arial"/>
      <w:i/>
      <w:iCs/>
      <w:szCs w:val="21"/>
    </w:rPr>
  </w:style>
  <w:style w:type="character" w:styleId="882" w:default="1">
    <w:name w:val="Default Paragraph Font"/>
    <w:uiPriority w:val="1"/>
    <w:semiHidden/>
    <w:unhideWhenUsed/>
    <w:qFormat/>
  </w:style>
  <w:style w:type="table" w:styleId="883" w:default="1">
    <w:name w:val="Normal Table"/>
    <w:uiPriority w:val="99"/>
    <w:semiHidden/>
    <w:unhideWhenUsed/>
    <w:qFormat/>
    <w:tblPr>
      <w:tblCellMar>
        <w:left w:w="108" w:type="dxa"/>
        <w:top w:w="0" w:type="dxa"/>
        <w:right w:w="108" w:type="dxa"/>
        <w:bottom w:w="0" w:type="dxa"/>
      </w:tblCellMar>
    </w:tblPr>
  </w:style>
  <w:style w:type="paragraph" w:styleId="884">
    <w:name w:val="Block Text"/>
    <w:basedOn w:val="872"/>
    <w:uiPriority w:val="6"/>
    <w:qFormat/>
    <w:pPr>
      <w:ind w:left="256" w:right="6" w:firstLine="624"/>
    </w:pPr>
    <w:rPr>
      <w:rFonts w:eastAsia="仿宋"/>
      <w:sz w:val="28"/>
      <w:szCs w:val="20"/>
    </w:rPr>
  </w:style>
  <w:style w:type="paragraph" w:styleId="885">
    <w:name w:val="toc 7"/>
    <w:basedOn w:val="872"/>
    <w:next w:val="872"/>
    <w:uiPriority w:val="39"/>
    <w:unhideWhenUsed/>
    <w:qFormat/>
    <w:pPr>
      <w:ind w:left="1701"/>
      <w:spacing w:after="57"/>
    </w:pPr>
  </w:style>
  <w:style w:type="paragraph" w:styleId="886">
    <w:name w:val="Normal Indent"/>
    <w:basedOn w:val="872"/>
    <w:uiPriority w:val="0"/>
    <w:qFormat/>
    <w:pPr>
      <w:ind w:firstLine="420"/>
    </w:pPr>
  </w:style>
  <w:style w:type="paragraph" w:styleId="887">
    <w:name w:val="Caption"/>
    <w:basedOn w:val="872"/>
    <w:next w:val="872"/>
    <w:uiPriority w:val="35"/>
    <w:semiHidden/>
    <w:unhideWhenUsed/>
    <w:qFormat/>
    <w:pPr>
      <w:spacing w:line="276" w:lineRule="auto"/>
    </w:pPr>
    <w:rPr>
      <w:b/>
      <w:bCs/>
      <w:color w:val="4f81bd" w:themeColor="accent1"/>
      <w:sz w:val="18"/>
      <w:szCs w:val="18"/>
    </w:rPr>
  </w:style>
  <w:style w:type="paragraph" w:styleId="888">
    <w:name w:val="index 5"/>
    <w:basedOn w:val="872"/>
    <w:next w:val="872"/>
    <w:uiPriority w:val="0"/>
    <w:qFormat/>
    <w:pPr>
      <w:ind w:left="798"/>
    </w:pPr>
    <w:rPr>
      <w:rFonts w:ascii="Calibri" w:hAnsi="Calibri" w:eastAsia="Times New Roman"/>
    </w:rPr>
  </w:style>
  <w:style w:type="paragraph" w:styleId="889">
    <w:name w:val="Document Map"/>
    <w:basedOn w:val="872"/>
    <w:uiPriority w:val="0"/>
    <w:qFormat/>
    <w:rPr>
      <w:rFonts w:ascii="宋体" w:hAnsi="Calibri"/>
      <w:sz w:val="18"/>
      <w:szCs w:val="18"/>
    </w:rPr>
  </w:style>
  <w:style w:type="paragraph" w:styleId="890">
    <w:name w:val="annotation text"/>
    <w:basedOn w:val="872"/>
    <w:uiPriority w:val="0"/>
    <w:qFormat/>
    <w:pPr>
      <w:jc w:val="left"/>
    </w:pPr>
  </w:style>
  <w:style w:type="paragraph" w:styleId="891">
    <w:name w:val="Body Text"/>
    <w:basedOn w:val="872"/>
    <w:next w:val="892"/>
    <w:uiPriority w:val="99"/>
    <w:unhideWhenUsed/>
    <w:qFormat/>
    <w:pPr>
      <w:spacing w:after="120"/>
    </w:pPr>
  </w:style>
  <w:style w:type="paragraph" w:styleId="892" w:customStyle="1">
    <w:name w:val="一级条标题"/>
    <w:basedOn w:val="893"/>
    <w:next w:val="872"/>
    <w:link w:val="1040"/>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93" w:customStyle="1">
    <w:name w:val="章标题"/>
    <w:next w:val="894"/>
    <w:link w:val="1099"/>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894" w:customStyle="1">
    <w:name w:val="正文1"/>
    <w:basedOn w:val="895"/>
    <w:next w:val="912"/>
    <w:link w:val="1098"/>
    <w:uiPriority w:val="0"/>
    <w:qFormat/>
    <w:pPr>
      <w:ind w:firstLine="361"/>
      <w:spacing w:line="360" w:lineRule="auto"/>
    </w:pPr>
    <w:rPr>
      <w:rFonts w:ascii="宋体" w:hAnsi="宋体" w:eastAsia="仿宋_GB2312"/>
      <w:sz w:val="24"/>
    </w:rPr>
  </w:style>
  <w:style w:type="paragraph" w:styleId="895" w:customStyle="1">
    <w:name w:val="正文111"/>
    <w:next w:val="89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96" w:customStyle="1">
    <w:name w:val="正文首行缩进1"/>
    <w:basedOn w:val="897"/>
    <w:next w:val="909"/>
    <w:link w:val="1038"/>
    <w:uiPriority w:val="0"/>
    <w:qFormat/>
    <w:pPr>
      <w:ind w:firstLine="200"/>
    </w:pPr>
    <w:rPr>
      <w:rFonts w:ascii="仿宋_GB2312" w:eastAsia="仿宋_GB2312"/>
      <w:sz w:val="30"/>
      <w:szCs w:val="30"/>
    </w:rPr>
  </w:style>
  <w:style w:type="paragraph" w:styleId="897" w:customStyle="1">
    <w:name w:val="正文文本11"/>
    <w:basedOn w:val="898"/>
    <w:next w:val="899"/>
    <w:uiPriority w:val="0"/>
    <w:qFormat/>
    <w:pPr>
      <w:spacing w:after="120"/>
    </w:pPr>
  </w:style>
  <w:style w:type="paragraph" w:styleId="898" w:customStyle="1">
    <w:name w:val="正文112"/>
    <w:next w:val="89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99" w:customStyle="1">
    <w:name w:val="正文11"/>
    <w:next w:val="900"/>
    <w:link w:val="1418"/>
    <w:uiPriority w:val="0"/>
    <w:qFormat/>
    <w:pPr>
      <w:jc w:val="both"/>
    </w:pPr>
    <w:rPr>
      <w:rFonts w:hint="default" w:ascii="Times New Roman" w:hAnsi="Times New Roman" w:eastAsia="宋体" w:cs="Times New Roman"/>
      <w:lang w:val="en-US" w:eastAsia="zh-CN" w:bidi="ar-SA"/>
    </w:rPr>
  </w:style>
  <w:style w:type="paragraph" w:styleId="900" w:customStyle="1">
    <w:name w:val="正文首行缩进11"/>
    <w:basedOn w:val="901"/>
    <w:next w:val="903"/>
    <w:uiPriority w:val="0"/>
    <w:qFormat/>
    <w:pPr>
      <w:ind w:firstLine="420"/>
    </w:pPr>
    <w:rPr>
      <w:rFonts w:ascii="仿宋_GB2312" w:eastAsia="仿宋_GB2312"/>
      <w:sz w:val="30"/>
      <w:szCs w:val="30"/>
    </w:rPr>
  </w:style>
  <w:style w:type="paragraph" w:styleId="901" w:customStyle="1">
    <w:name w:val="正文文本1"/>
    <w:basedOn w:val="902"/>
    <w:next w:val="892"/>
    <w:uiPriority w:val="0"/>
    <w:qFormat/>
    <w:pPr>
      <w:spacing w:after="120"/>
    </w:pPr>
  </w:style>
  <w:style w:type="paragraph" w:styleId="902" w:customStyle="1">
    <w:name w:val="正文13"/>
    <w:next w:val="89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03" w:customStyle="1">
    <w:name w:val="正文首行缩进 211"/>
    <w:basedOn w:val="904"/>
    <w:link w:val="1073"/>
    <w:uiPriority w:val="99"/>
    <w:qFormat/>
    <w:pPr>
      <w:ind w:left="0" w:firstLine="420"/>
      <w:spacing w:after="0" w:line="360" w:lineRule="auto"/>
    </w:pPr>
    <w:rPr>
      <w:rFonts w:ascii="宋体" w:hAnsi="宋体"/>
    </w:rPr>
  </w:style>
  <w:style w:type="paragraph" w:styleId="904" w:customStyle="1">
    <w:name w:val="正文文本缩进11"/>
    <w:basedOn w:val="905"/>
    <w:next w:val="908"/>
    <w:link w:val="985"/>
    <w:uiPriority w:val="99"/>
    <w:qFormat/>
    <w:pPr>
      <w:ind w:left="420"/>
      <w:spacing w:after="120"/>
    </w:pPr>
  </w:style>
  <w:style w:type="paragraph" w:styleId="905" w:customStyle="1">
    <w:name w:val="正文12"/>
    <w:next w:val="906"/>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906" w:customStyle="1">
    <w:name w:val="正文文本111"/>
    <w:basedOn w:val="907"/>
    <w:next w:val="905"/>
    <w:uiPriority w:val="0"/>
    <w:qFormat/>
  </w:style>
  <w:style w:type="paragraph" w:styleId="907" w:customStyle="1">
    <w:name w:val="正文1121"/>
    <w:next w:val="906"/>
    <w:uiPriority w:val="0"/>
    <w:qFormat/>
    <w:pPr>
      <w:jc w:val="both"/>
      <w:widowControl w:val="off"/>
    </w:pPr>
    <w:rPr>
      <w:rFonts w:hint="default" w:ascii="Calibri" w:hAnsi="Calibri" w:eastAsia="宋体" w:cs="Times New Roman"/>
      <w:sz w:val="21"/>
      <w:szCs w:val="24"/>
      <w:lang w:val="en-US" w:eastAsia="zh-CN" w:bidi="ar-SA"/>
    </w:rPr>
  </w:style>
  <w:style w:type="paragraph" w:styleId="908" w:customStyle="1">
    <w:name w:val="寄信人地址11"/>
    <w:basedOn w:val="872"/>
    <w:uiPriority w:val="0"/>
    <w:qFormat/>
    <w:rPr>
      <w:rFonts w:ascii="Arial" w:hAnsi="Arial"/>
    </w:rPr>
  </w:style>
  <w:style w:type="paragraph" w:styleId="909" w:customStyle="1">
    <w:name w:val="正文首行缩进 21"/>
    <w:basedOn w:val="910"/>
    <w:next w:val="895"/>
    <w:uiPriority w:val="0"/>
    <w:qFormat/>
    <w:pPr>
      <w:ind w:firstLine="420"/>
      <w:widowControl/>
    </w:pPr>
    <w:rPr>
      <w:rFonts w:ascii="仿宋_GB2312" w:eastAsia="仿宋_GB2312"/>
      <w:color w:val="ff6600"/>
      <w:sz w:val="21"/>
    </w:rPr>
  </w:style>
  <w:style w:type="paragraph" w:styleId="910" w:customStyle="1">
    <w:name w:val="正文文本缩进1"/>
    <w:basedOn w:val="905"/>
    <w:next w:val="911"/>
    <w:uiPriority w:val="0"/>
    <w:qFormat/>
    <w:pPr>
      <w:ind w:left="420"/>
      <w:spacing w:after="120"/>
    </w:pPr>
  </w:style>
  <w:style w:type="paragraph" w:styleId="911" w:customStyle="1">
    <w:name w:val="寄信人地址1"/>
    <w:basedOn w:val="899"/>
    <w:uiPriority w:val="0"/>
    <w:qFormat/>
    <w:rPr>
      <w:rFonts w:ascii="Arial" w:hAnsi="Arial"/>
    </w:rPr>
  </w:style>
  <w:style w:type="paragraph" w:styleId="912" w:customStyle="1">
    <w:name w:val="目录 11"/>
    <w:basedOn w:val="905"/>
    <w:next w:val="894"/>
    <w:uiPriority w:val="0"/>
    <w:qFormat/>
  </w:style>
  <w:style w:type="paragraph" w:styleId="913">
    <w:name w:val="Body Text Indent"/>
    <w:basedOn w:val="872"/>
    <w:next w:val="914"/>
    <w:uiPriority w:val="0"/>
    <w:qFormat/>
    <w:pPr>
      <w:ind w:firstLine="600"/>
      <w:spacing w:line="317" w:lineRule="auto"/>
    </w:pPr>
    <w:rPr>
      <w:rFonts w:ascii="方正书宋简体" w:eastAsia="方正书宋简体"/>
      <w:sz w:val="30"/>
    </w:rPr>
  </w:style>
  <w:style w:type="paragraph" w:styleId="914">
    <w:name w:val="envelope return"/>
    <w:basedOn w:val="872"/>
    <w:uiPriority w:val="99"/>
    <w:qFormat/>
    <w:pPr>
      <w:ind w:firstLine="200"/>
      <w:spacing w:line="360" w:lineRule="auto"/>
    </w:pPr>
    <w:rPr>
      <w:rFonts w:ascii="Arial" w:hAnsi="Arial" w:cs="Arial"/>
      <w:sz w:val="24"/>
    </w:rPr>
  </w:style>
  <w:style w:type="paragraph" w:styleId="915">
    <w:name w:val="index 4"/>
    <w:basedOn w:val="872"/>
    <w:next w:val="872"/>
    <w:uiPriority w:val="99"/>
    <w:qFormat/>
    <w:pPr>
      <w:ind w:left="600"/>
    </w:pPr>
    <w:rPr>
      <w:rFonts w:ascii="Calibri" w:hAnsi="Calibri"/>
    </w:rPr>
  </w:style>
  <w:style w:type="paragraph" w:styleId="916">
    <w:name w:val="toc 5"/>
    <w:basedOn w:val="872"/>
    <w:next w:val="872"/>
    <w:uiPriority w:val="39"/>
    <w:unhideWhenUsed/>
    <w:qFormat/>
    <w:pPr>
      <w:ind w:left="1134"/>
      <w:spacing w:after="57"/>
    </w:pPr>
  </w:style>
  <w:style w:type="paragraph" w:styleId="917">
    <w:name w:val="toc 3"/>
    <w:basedOn w:val="872"/>
    <w:next w:val="872"/>
    <w:uiPriority w:val="39"/>
    <w:unhideWhenUsed/>
    <w:qFormat/>
    <w:pPr>
      <w:ind w:left="567"/>
      <w:spacing w:after="57"/>
    </w:pPr>
  </w:style>
  <w:style w:type="paragraph" w:styleId="918">
    <w:name w:val="Plain Text"/>
    <w:basedOn w:val="872"/>
    <w:uiPriority w:val="0"/>
    <w:qFormat/>
    <w:rPr>
      <w:rFonts w:ascii="宋体" w:hAnsi="Courier New"/>
      <w:sz w:val="24"/>
    </w:rPr>
  </w:style>
  <w:style w:type="paragraph" w:styleId="919">
    <w:name w:val="toc 8"/>
    <w:basedOn w:val="872"/>
    <w:next w:val="872"/>
    <w:uiPriority w:val="39"/>
    <w:unhideWhenUsed/>
    <w:qFormat/>
    <w:pPr>
      <w:ind w:left="1984"/>
      <w:spacing w:after="57"/>
    </w:pPr>
  </w:style>
  <w:style w:type="paragraph" w:styleId="920">
    <w:name w:val="endnote text"/>
    <w:basedOn w:val="872"/>
    <w:uiPriority w:val="99"/>
    <w:semiHidden/>
    <w:unhideWhenUsed/>
    <w:qFormat/>
    <w:rPr>
      <w:sz w:val="20"/>
    </w:rPr>
  </w:style>
  <w:style w:type="paragraph" w:styleId="921">
    <w:name w:val="Balloon Text"/>
    <w:basedOn w:val="872"/>
    <w:link w:val="1424"/>
    <w:uiPriority w:val="99"/>
    <w:semiHidden/>
    <w:unhideWhenUsed/>
    <w:qFormat/>
    <w:rPr>
      <w:sz w:val="18"/>
      <w:szCs w:val="18"/>
    </w:rPr>
  </w:style>
  <w:style w:type="paragraph" w:styleId="922">
    <w:name w:val="Footer"/>
    <w:basedOn w:val="872"/>
    <w:uiPriority w:val="99"/>
    <w:unhideWhenUsed/>
    <w:qFormat/>
    <w:pPr>
      <w:tabs>
        <w:tab w:val="center" w:pos="7143" w:leader="none"/>
        <w:tab w:val="right" w:pos="14287" w:leader="none"/>
      </w:tabs>
    </w:pPr>
  </w:style>
  <w:style w:type="paragraph" w:styleId="923">
    <w:name w:val="Header"/>
    <w:basedOn w:val="872"/>
    <w:uiPriority w:val="99"/>
    <w:unhideWhenUsed/>
    <w:qFormat/>
    <w:pPr>
      <w:tabs>
        <w:tab w:val="center" w:pos="7143" w:leader="none"/>
        <w:tab w:val="right" w:pos="14287" w:leader="none"/>
      </w:tabs>
    </w:pPr>
  </w:style>
  <w:style w:type="paragraph" w:styleId="924">
    <w:name w:val="toc 1"/>
    <w:basedOn w:val="872"/>
    <w:next w:val="872"/>
    <w:uiPriority w:val="39"/>
    <w:unhideWhenUsed/>
    <w:qFormat/>
    <w:pPr>
      <w:spacing w:after="57"/>
    </w:pPr>
  </w:style>
  <w:style w:type="paragraph" w:styleId="925">
    <w:name w:val="toc 4"/>
    <w:basedOn w:val="872"/>
    <w:next w:val="872"/>
    <w:uiPriority w:val="39"/>
    <w:unhideWhenUsed/>
    <w:qFormat/>
    <w:pPr>
      <w:ind w:left="850"/>
      <w:spacing w:after="57"/>
    </w:pPr>
  </w:style>
  <w:style w:type="paragraph" w:styleId="926">
    <w:name w:val="Subtitle"/>
    <w:basedOn w:val="872"/>
    <w:next w:val="872"/>
    <w:uiPriority w:val="11"/>
    <w:qFormat/>
    <w:pPr>
      <w:spacing w:before="200" w:after="200"/>
    </w:pPr>
    <w:rPr>
      <w:sz w:val="24"/>
    </w:rPr>
  </w:style>
  <w:style w:type="paragraph" w:styleId="927">
    <w:name w:val="footnote text"/>
    <w:basedOn w:val="872"/>
    <w:uiPriority w:val="99"/>
    <w:semiHidden/>
    <w:unhideWhenUsed/>
    <w:qFormat/>
    <w:pPr>
      <w:spacing w:after="40"/>
    </w:pPr>
    <w:rPr>
      <w:sz w:val="18"/>
    </w:rPr>
  </w:style>
  <w:style w:type="paragraph" w:styleId="928">
    <w:name w:val="toc 6"/>
    <w:basedOn w:val="872"/>
    <w:next w:val="872"/>
    <w:uiPriority w:val="39"/>
    <w:unhideWhenUsed/>
    <w:qFormat/>
    <w:pPr>
      <w:ind w:left="1417"/>
      <w:spacing w:after="57"/>
    </w:pPr>
  </w:style>
  <w:style w:type="paragraph" w:styleId="929">
    <w:name w:val="table of figures"/>
    <w:basedOn w:val="872"/>
    <w:next w:val="872"/>
    <w:uiPriority w:val="99"/>
    <w:unhideWhenUsed/>
    <w:qFormat/>
  </w:style>
  <w:style w:type="paragraph" w:styleId="930">
    <w:name w:val="toc 2"/>
    <w:basedOn w:val="872"/>
    <w:next w:val="872"/>
    <w:uiPriority w:val="39"/>
    <w:unhideWhenUsed/>
    <w:qFormat/>
    <w:pPr>
      <w:ind w:left="283"/>
      <w:spacing w:after="57"/>
    </w:pPr>
  </w:style>
  <w:style w:type="paragraph" w:styleId="931">
    <w:name w:val="toc 9"/>
    <w:basedOn w:val="872"/>
    <w:next w:val="872"/>
    <w:uiPriority w:val="39"/>
    <w:unhideWhenUsed/>
    <w:qFormat/>
    <w:pPr>
      <w:ind w:left="2268"/>
      <w:spacing w:after="57"/>
    </w:pPr>
  </w:style>
  <w:style w:type="paragraph" w:styleId="932">
    <w:name w:val="Body Text 2"/>
    <w:basedOn w:val="872"/>
    <w:uiPriority w:val="0"/>
    <w:qFormat/>
    <w:pPr>
      <w:jc w:val="center"/>
      <w:widowControl/>
    </w:pPr>
    <w:rPr>
      <w:rFonts w:ascii="楷体_GB2312" w:eastAsia="楷体_GB2312"/>
      <w:sz w:val="28"/>
      <w:szCs w:val="28"/>
    </w:rPr>
  </w:style>
  <w:style w:type="paragraph" w:styleId="933">
    <w:name w:val="Normal (Web)"/>
    <w:basedOn w:val="872"/>
    <w:uiPriority w:val="99"/>
    <w:qFormat/>
    <w:pPr>
      <w:jc w:val="left"/>
      <w:spacing w:before="100" w:beforeAutospacing="1" w:after="100" w:afterAutospacing="1"/>
      <w:widowControl/>
    </w:pPr>
    <w:rPr>
      <w:rFonts w:ascii="宋体" w:hAnsi="宋体" w:cs="宋体"/>
      <w:sz w:val="24"/>
    </w:rPr>
  </w:style>
  <w:style w:type="paragraph" w:styleId="934">
    <w:name w:val="Title"/>
    <w:basedOn w:val="872"/>
    <w:next w:val="872"/>
    <w:uiPriority w:val="10"/>
    <w:qFormat/>
    <w:pPr>
      <w:contextualSpacing/>
      <w:spacing w:before="300" w:after="200"/>
    </w:pPr>
    <w:rPr>
      <w:sz w:val="48"/>
      <w:szCs w:val="48"/>
    </w:rPr>
  </w:style>
  <w:style w:type="paragraph" w:styleId="935">
    <w:name w:val="Body Text First Indent"/>
    <w:basedOn w:val="891"/>
    <w:next w:val="936"/>
    <w:uiPriority w:val="0"/>
    <w:qFormat/>
    <w:pPr>
      <w:ind w:firstLine="200"/>
      <w:spacing w:line="360" w:lineRule="auto"/>
    </w:pPr>
    <w:rPr>
      <w:rFonts w:ascii="仿宋_GB2312" w:eastAsia="仿宋_GB2312"/>
      <w:sz w:val="30"/>
      <w:szCs w:val="30"/>
    </w:rPr>
  </w:style>
  <w:style w:type="paragraph" w:styleId="936">
    <w:name w:val="Body Text First Indent 2"/>
    <w:basedOn w:val="913"/>
    <w:next w:val="872"/>
    <w:uiPriority w:val="0"/>
    <w:qFormat/>
    <w:pPr>
      <w:ind w:firstLine="420"/>
    </w:pPr>
  </w:style>
  <w:style w:type="table" w:styleId="93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38">
    <w:name w:val="endnote reference"/>
    <w:uiPriority w:val="99"/>
    <w:semiHidden/>
    <w:unhideWhenUsed/>
    <w:qFormat/>
    <w:rPr>
      <w:vertAlign w:val="superscript"/>
    </w:rPr>
  </w:style>
  <w:style w:type="character" w:styleId="939">
    <w:name w:val="page number"/>
    <w:basedOn w:val="882"/>
    <w:uiPriority w:val="0"/>
    <w:qFormat/>
  </w:style>
  <w:style w:type="character" w:styleId="940">
    <w:name w:val="Hyperlink"/>
    <w:uiPriority w:val="99"/>
    <w:unhideWhenUsed/>
    <w:qFormat/>
    <w:rPr>
      <w:color w:val="0000ff" w:themeColor="hyperlink"/>
      <w:u w:val="single"/>
    </w:rPr>
  </w:style>
  <w:style w:type="character" w:styleId="941">
    <w:name w:val="footnote reference"/>
    <w:uiPriority w:val="99"/>
    <w:unhideWhenUsed/>
    <w:qFormat/>
    <w:rPr>
      <w:vertAlign w:val="superscript"/>
    </w:rPr>
  </w:style>
  <w:style w:type="character" w:styleId="942" w:customStyle="1">
    <w:name w:val="标题 1 Char"/>
    <w:link w:val="943"/>
    <w:uiPriority w:val="99"/>
    <w:qFormat/>
    <w:rPr>
      <w:rFonts w:eastAsia="方正仿宋_GBK"/>
      <w:b/>
      <w:sz w:val="44"/>
    </w:rPr>
  </w:style>
  <w:style w:type="paragraph" w:styleId="943" w:customStyle="1">
    <w:name w:val="标题 111"/>
    <w:basedOn w:val="872"/>
    <w:next w:val="872"/>
    <w:link w:val="942"/>
    <w:uiPriority w:val="99"/>
    <w:qFormat/>
    <w:pPr>
      <w:keepLines/>
      <w:keepNext/>
      <w:spacing w:before="340" w:after="330" w:line="578" w:lineRule="atLeast"/>
      <w:outlineLvl w:val="0"/>
    </w:pPr>
    <w:rPr>
      <w:rFonts w:eastAsia="方正仿宋_GBK"/>
      <w:b/>
      <w:sz w:val="44"/>
      <w:szCs w:val="20"/>
    </w:rPr>
  </w:style>
  <w:style w:type="character" w:styleId="944" w:customStyle="1">
    <w:name w:val="标题 2 Char"/>
    <w:link w:val="945"/>
    <w:uiPriority w:val="99"/>
    <w:qFormat/>
    <w:rPr>
      <w:rFonts w:ascii="Cambria" w:hAnsi="Cambria"/>
      <w:b/>
      <w:bCs/>
      <w:sz w:val="32"/>
      <w:szCs w:val="32"/>
    </w:rPr>
  </w:style>
  <w:style w:type="paragraph" w:styleId="945" w:customStyle="1">
    <w:name w:val="标题 2111"/>
    <w:basedOn w:val="894"/>
    <w:next w:val="894"/>
    <w:link w:val="944"/>
    <w:uiPriority w:val="99"/>
    <w:qFormat/>
    <w:pPr>
      <w:ind w:firstLine="200"/>
      <w:jc w:val="center"/>
      <w:keepLines/>
      <w:keepNext/>
      <w:spacing w:before="260" w:after="260"/>
      <w:outlineLvl w:val="1"/>
    </w:pPr>
    <w:rPr>
      <w:rFonts w:ascii="Cambria" w:hAnsi="Cambria"/>
      <w:b/>
      <w:bCs/>
      <w:sz w:val="32"/>
      <w:szCs w:val="32"/>
    </w:rPr>
  </w:style>
  <w:style w:type="paragraph" w:styleId="946" w:customStyle="1">
    <w:name w:val="TOC Heading"/>
    <w:uiPriority w:val="39"/>
    <w:unhideWhenUsed/>
    <w:qFormat/>
    <w:rPr>
      <w:rFonts w:hint="default" w:ascii="Times New Roman" w:hAnsi="Times New Roman" w:eastAsia="宋体" w:cs="Times New Roman"/>
    </w:rPr>
  </w:style>
  <w:style w:type="paragraph" w:styleId="947" w:customStyle="1">
    <w:name w:val="段"/>
    <w:basedOn w:val="902"/>
    <w:next w:val="872"/>
    <w:uiPriority w:val="0"/>
    <w:qFormat/>
    <w:pPr>
      <w:ind w:firstLine="200"/>
      <w:widowControl/>
    </w:pPr>
    <w:rPr>
      <w:rFonts w:hint="eastAsia" w:ascii="宋体"/>
      <w:sz w:val="20"/>
      <w:szCs w:val="20"/>
    </w:rPr>
  </w:style>
  <w:style w:type="paragraph" w:styleId="948" w:customStyle="1">
    <w:name w:val="标题 21"/>
    <w:basedOn w:val="895"/>
    <w:next w:val="905"/>
    <w:link w:val="1112"/>
    <w:uiPriority w:val="9"/>
    <w:qFormat/>
    <w:pPr>
      <w:numPr>
        <w:ilvl w:val="0"/>
        <w:numId w:val="1"/>
      </w:numPr>
      <w:keepLines/>
      <w:keepNext/>
      <w:spacing w:before="260" w:after="260" w:line="416" w:lineRule="auto"/>
      <w:outlineLvl w:val="1"/>
    </w:pPr>
    <w:rPr>
      <w:rFonts w:ascii="Cambria" w:hAnsi="Cambria"/>
      <w:b/>
      <w:bCs/>
      <w:sz w:val="28"/>
      <w:szCs w:val="32"/>
    </w:rPr>
  </w:style>
  <w:style w:type="paragraph" w:styleId="949"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950" w:customStyle="1">
    <w:name w:val="无间隔1"/>
    <w:basedOn w:val="898"/>
    <w:uiPriority w:val="0"/>
    <w:qFormat/>
    <w:pPr>
      <w:jc w:val="left"/>
      <w:widowControl/>
    </w:pPr>
    <w:rPr>
      <w:rFonts w:ascii="Calibri" w:hAnsi="Calibri"/>
      <w:sz w:val="22"/>
      <w:szCs w:val="22"/>
    </w:rPr>
  </w:style>
  <w:style w:type="paragraph" w:styleId="951" w:customStyle="1">
    <w:name w:val="脚注文本1"/>
    <w:basedOn w:val="894"/>
    <w:next w:val="952"/>
    <w:uiPriority w:val="0"/>
    <w:qFormat/>
    <w:rPr>
      <w:sz w:val="18"/>
      <w:szCs w:val="18"/>
    </w:rPr>
  </w:style>
  <w:style w:type="paragraph" w:styleId="952" w:customStyle="1">
    <w:name w:val="索引 51"/>
    <w:basedOn w:val="905"/>
    <w:next w:val="894"/>
    <w:uiPriority w:val="0"/>
    <w:qFormat/>
    <w:pPr>
      <w:ind w:left="798"/>
      <w:jc w:val="left"/>
    </w:pPr>
  </w:style>
  <w:style w:type="paragraph" w:styleId="953" w:customStyle="1">
    <w:name w:val="标题 211"/>
    <w:basedOn w:val="898"/>
    <w:next w:val="899"/>
    <w:uiPriority w:val="0"/>
    <w:qFormat/>
    <w:pPr>
      <w:keepLines/>
      <w:keepNext/>
      <w:spacing w:before="260" w:after="260" w:line="416" w:lineRule="auto"/>
      <w:outlineLvl w:val="1"/>
    </w:pPr>
    <w:rPr>
      <w:rFonts w:ascii="Calibri Light" w:hAnsi="Calibri Light"/>
      <w:b/>
      <w:bCs/>
      <w:sz w:val="32"/>
      <w:szCs w:val="32"/>
    </w:rPr>
  </w:style>
  <w:style w:type="paragraph" w:styleId="954" w:customStyle="1">
    <w:name w:val="正文首行缩进 22"/>
    <w:basedOn w:val="955"/>
    <w:next w:val="898"/>
    <w:uiPriority w:val="0"/>
    <w:qFormat/>
    <w:pPr>
      <w:ind w:left="0" w:firstLine="420"/>
      <w:spacing w:after="0" w:line="360" w:lineRule="auto"/>
    </w:pPr>
    <w:rPr>
      <w:rFonts w:ascii="宋体" w:hAnsi="宋体"/>
      <w:sz w:val="20"/>
      <w:szCs w:val="20"/>
    </w:rPr>
  </w:style>
  <w:style w:type="paragraph" w:styleId="955" w:customStyle="1">
    <w:name w:val="正文文本缩进2"/>
    <w:basedOn w:val="898"/>
    <w:uiPriority w:val="0"/>
    <w:qFormat/>
    <w:pPr>
      <w:ind w:left="420"/>
      <w:spacing w:after="120"/>
    </w:pPr>
  </w:style>
  <w:style w:type="paragraph" w:styleId="956" w:customStyle="1">
    <w:name w:val="正文1111"/>
    <w:next w:val="95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57" w:customStyle="1">
    <w:name w:val="文本块11"/>
    <w:basedOn w:val="872"/>
    <w:uiPriority w:val="0"/>
    <w:unhideWhenUsed/>
    <w:qFormat/>
    <w:pPr>
      <w:ind w:left="1440" w:right="1440"/>
      <w:spacing w:after="120"/>
    </w:pPr>
  </w:style>
  <w:style w:type="paragraph" w:styleId="958" w:customStyle="1">
    <w:name w:val="文本块1"/>
    <w:basedOn w:val="895"/>
    <w:uiPriority w:val="0"/>
    <w:qFormat/>
    <w:pPr>
      <w:ind w:left="256" w:right="6" w:firstLine="624"/>
    </w:pPr>
    <w:rPr>
      <w:rFonts w:eastAsia="仿宋_GB2312"/>
      <w:sz w:val="28"/>
      <w:szCs w:val="20"/>
    </w:rPr>
  </w:style>
  <w:style w:type="paragraph" w:styleId="959" w:customStyle="1">
    <w:name w:val="标题 41"/>
    <w:basedOn w:val="905"/>
    <w:next w:val="899"/>
    <w:link w:val="1061"/>
    <w:uiPriority w:val="0"/>
    <w:qFormat/>
    <w:pPr>
      <w:keepLines/>
      <w:keepNext/>
      <w:spacing w:before="280" w:after="290" w:line="376" w:lineRule="auto"/>
      <w:outlineLvl w:val="3"/>
    </w:pPr>
    <w:rPr>
      <w:rFonts w:ascii="Arial" w:hAnsi="Arial" w:eastAsia="黑体"/>
      <w:b/>
      <w:bCs/>
      <w:sz w:val="28"/>
      <w:szCs w:val="28"/>
    </w:rPr>
  </w:style>
  <w:style w:type="paragraph" w:styleId="960" w:customStyle="1">
    <w:name w:val="文本块2"/>
    <w:basedOn w:val="895"/>
    <w:uiPriority w:val="0"/>
    <w:qFormat/>
    <w:pPr>
      <w:ind w:left="420" w:right="33"/>
      <w:jc w:val="left"/>
    </w:pPr>
    <w:rPr>
      <w:sz w:val="24"/>
      <w:szCs w:val="20"/>
    </w:rPr>
  </w:style>
  <w:style w:type="paragraph" w:styleId="961" w:customStyle="1">
    <w:name w:val="目录 111"/>
    <w:basedOn w:val="872"/>
    <w:next w:val="872"/>
    <w:uiPriority w:val="39"/>
    <w:unhideWhenUsed/>
    <w:qFormat/>
    <w:pPr>
      <w:spacing w:after="57"/>
    </w:pPr>
  </w:style>
  <w:style w:type="paragraph" w:styleId="962">
    <w:name w:val="List Paragraph"/>
    <w:basedOn w:val="872"/>
    <w:uiPriority w:val="34"/>
    <w:qFormat/>
    <w:pPr>
      <w:contextualSpacing/>
      <w:ind w:left="720"/>
    </w:pPr>
  </w:style>
  <w:style w:type="paragraph" w:styleId="963">
    <w:name w:val="No Spacing"/>
    <w:uiPriority w:val="1"/>
    <w:qFormat/>
    <w:rPr>
      <w:rFonts w:hint="default" w:ascii="Times New Roman" w:hAnsi="Times New Roman" w:eastAsia="宋体" w:cs="Times New Roman"/>
      <w:lang w:val="en-US" w:eastAsia="zh-CN" w:bidi="ar-SA"/>
    </w:rPr>
  </w:style>
  <w:style w:type="paragraph" w:styleId="964">
    <w:name w:val="Quote"/>
    <w:basedOn w:val="872"/>
    <w:next w:val="872"/>
    <w:uiPriority w:val="29"/>
    <w:qFormat/>
    <w:pPr>
      <w:ind w:left="720" w:right="720"/>
    </w:pPr>
    <w:rPr>
      <w:i/>
    </w:rPr>
  </w:style>
  <w:style w:type="paragraph" w:styleId="965">
    <w:name w:val="Intense Quote"/>
    <w:basedOn w:val="872"/>
    <w:next w:val="87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966" w:customStyle="1">
    <w:name w:val="标题 311"/>
    <w:basedOn w:val="872"/>
    <w:next w:val="872"/>
    <w:link w:val="1148"/>
    <w:uiPriority w:val="9"/>
    <w:qFormat/>
    <w:pPr>
      <w:keepLines/>
      <w:keepNext/>
      <w:spacing w:before="260" w:after="260" w:line="416" w:lineRule="auto"/>
      <w:outlineLvl w:val="2"/>
    </w:pPr>
    <w:rPr>
      <w:b/>
      <w:bCs/>
      <w:sz w:val="32"/>
      <w:szCs w:val="32"/>
    </w:rPr>
  </w:style>
  <w:style w:type="paragraph" w:styleId="967" w:customStyle="1">
    <w:name w:val="标题 411"/>
    <w:basedOn w:val="872"/>
    <w:next w:val="872"/>
    <w:link w:val="1045"/>
    <w:uiPriority w:val="9"/>
    <w:qFormat/>
    <w:pPr>
      <w:keepLines/>
      <w:keepNext/>
      <w:spacing w:before="280" w:after="290" w:line="376" w:lineRule="auto"/>
      <w:outlineLvl w:val="3"/>
    </w:pPr>
    <w:rPr>
      <w:rFonts w:ascii="Cambria" w:hAnsi="Cambria"/>
      <w:b/>
      <w:bCs/>
      <w:sz w:val="28"/>
      <w:szCs w:val="28"/>
    </w:rPr>
  </w:style>
  <w:style w:type="paragraph" w:styleId="968" w:customStyle="1">
    <w:name w:val="标题 511"/>
    <w:basedOn w:val="872"/>
    <w:next w:val="872"/>
    <w:link w:val="1157"/>
    <w:uiPriority w:val="99"/>
    <w:qFormat/>
    <w:pPr>
      <w:keepLines/>
      <w:keepNext/>
      <w:spacing w:before="280" w:after="290" w:line="376" w:lineRule="auto"/>
      <w:outlineLvl w:val="4"/>
    </w:pPr>
    <w:rPr>
      <w:b/>
      <w:bCs/>
      <w:sz w:val="28"/>
      <w:szCs w:val="28"/>
    </w:rPr>
  </w:style>
  <w:style w:type="paragraph" w:styleId="969" w:customStyle="1">
    <w:name w:val="标题 611"/>
    <w:basedOn w:val="872"/>
    <w:next w:val="872"/>
    <w:link w:val="1165"/>
    <w:uiPriority w:val="0"/>
    <w:qFormat/>
    <w:pPr>
      <w:ind w:left="2520" w:hanging="420"/>
      <w:keepLines/>
      <w:keepNext/>
      <w:spacing w:before="240" w:after="64" w:line="320" w:lineRule="auto"/>
      <w:tabs>
        <w:tab w:val="left" w:pos="2520" w:leader="none"/>
      </w:tabs>
      <w:outlineLvl w:val="5"/>
    </w:pPr>
    <w:rPr>
      <w:rFonts w:ascii="Arial" w:hAnsi="Arial" w:eastAsia="黑体"/>
      <w:b/>
      <w:bCs/>
      <w:sz w:val="24"/>
      <w:lang w:val="zh-CN"/>
    </w:rPr>
  </w:style>
  <w:style w:type="paragraph" w:styleId="970" w:customStyle="1">
    <w:name w:val="标题 711"/>
    <w:basedOn w:val="872"/>
    <w:next w:val="872"/>
    <w:link w:val="1172"/>
    <w:uiPriority w:val="0"/>
    <w:qFormat/>
    <w:pPr>
      <w:ind w:left="2940" w:hanging="420"/>
      <w:keepLines/>
      <w:keepNext/>
      <w:spacing w:before="240" w:after="64" w:line="320" w:lineRule="auto"/>
      <w:tabs>
        <w:tab w:val="left" w:pos="2940" w:leader="none"/>
      </w:tabs>
      <w:outlineLvl w:val="6"/>
    </w:pPr>
    <w:rPr>
      <w:b/>
      <w:bCs/>
      <w:sz w:val="24"/>
      <w:lang w:val="zh-CN"/>
    </w:rPr>
  </w:style>
  <w:style w:type="paragraph" w:styleId="971" w:customStyle="1">
    <w:name w:val="标题 811"/>
    <w:basedOn w:val="872"/>
    <w:next w:val="872"/>
    <w:link w:val="1180"/>
    <w:uiPriority w:val="0"/>
    <w:qFormat/>
    <w:pPr>
      <w:ind w:left="3360" w:hanging="420"/>
      <w:keepLines/>
      <w:keepNext/>
      <w:spacing w:before="240" w:after="64" w:line="320" w:lineRule="auto"/>
      <w:tabs>
        <w:tab w:val="left" w:pos="3360" w:leader="none"/>
      </w:tabs>
      <w:outlineLvl w:val="7"/>
    </w:pPr>
    <w:rPr>
      <w:rFonts w:ascii="Arial" w:hAnsi="Arial" w:eastAsia="黑体"/>
      <w:sz w:val="24"/>
      <w:lang w:val="zh-CN"/>
    </w:rPr>
  </w:style>
  <w:style w:type="paragraph" w:styleId="972" w:customStyle="1">
    <w:name w:val="标题 911"/>
    <w:basedOn w:val="872"/>
    <w:next w:val="872"/>
    <w:link w:val="1185"/>
    <w:uiPriority w:val="0"/>
    <w:qFormat/>
    <w:pPr>
      <w:ind w:left="3780" w:hanging="420"/>
      <w:keepLines/>
      <w:keepNext/>
      <w:spacing w:before="240" w:after="64" w:line="320" w:lineRule="auto"/>
      <w:tabs>
        <w:tab w:val="left" w:pos="3780" w:leader="none"/>
      </w:tabs>
      <w:outlineLvl w:val="8"/>
    </w:pPr>
    <w:rPr>
      <w:rFonts w:ascii="Arial" w:hAnsi="Arial" w:eastAsia="黑体"/>
      <w:szCs w:val="21"/>
      <w:lang w:val="zh-CN"/>
    </w:rPr>
  </w:style>
  <w:style w:type="character" w:styleId="973" w:customStyle="1">
    <w:name w:val="默认段落字体1"/>
    <w:uiPriority w:val="1"/>
    <w:unhideWhenUsed/>
    <w:qFormat/>
  </w:style>
  <w:style w:type="table" w:styleId="974" w:customStyle="1">
    <w:name w:val="普通表格1"/>
    <w:uiPriority w:val="99"/>
    <w:unhideWhenUsed/>
    <w:qFormat/>
    <w:tblPr>
      <w:tblCellMar>
        <w:left w:w="0" w:type="dxa"/>
        <w:top w:w="0" w:type="dxa"/>
        <w:right w:w="0" w:type="dxa"/>
        <w:bottom w:w="0" w:type="dxa"/>
      </w:tblCellMar>
    </w:tblPr>
  </w:style>
  <w:style w:type="character" w:styleId="975" w:customStyle="1">
    <w:name w:val="已访问的超链接1"/>
    <w:uiPriority w:val="99"/>
    <w:unhideWhenUsed/>
    <w:qFormat/>
    <w:rPr>
      <w:color w:val="954f72"/>
      <w:u w:val="single"/>
    </w:rPr>
  </w:style>
  <w:style w:type="character" w:styleId="976" w:customStyle="1">
    <w:name w:val="要点1"/>
    <w:uiPriority w:val="22"/>
    <w:qFormat/>
    <w:rPr>
      <w:b/>
      <w:sz w:val="21"/>
    </w:rPr>
  </w:style>
  <w:style w:type="character" w:styleId="977" w:customStyle="1">
    <w:name w:val="强调1"/>
    <w:uiPriority w:val="0"/>
    <w:qFormat/>
    <w:rPr>
      <w:i/>
      <w:iCs/>
    </w:rPr>
  </w:style>
  <w:style w:type="character" w:styleId="978" w:customStyle="1">
    <w:name w:val="超链接11"/>
    <w:uiPriority w:val="0"/>
    <w:unhideWhenUsed/>
    <w:qFormat/>
    <w:rPr>
      <w:color w:val="0563c1"/>
      <w:u w:val="single"/>
    </w:rPr>
  </w:style>
  <w:style w:type="character" w:styleId="979" w:customStyle="1">
    <w:name w:val="尾注引用1"/>
    <w:uiPriority w:val="99"/>
    <w:unhideWhenUsed/>
    <w:qFormat/>
    <w:rPr>
      <w:vertAlign w:val="superscript"/>
    </w:rPr>
  </w:style>
  <w:style w:type="character" w:styleId="980" w:customStyle="1">
    <w:name w:val="页码11"/>
    <w:uiPriority w:val="0"/>
    <w:qFormat/>
  </w:style>
  <w:style w:type="character" w:styleId="981" w:customStyle="1">
    <w:name w:val="脚注引用1"/>
    <w:uiPriority w:val="99"/>
    <w:unhideWhenUsed/>
    <w:qFormat/>
    <w:rPr>
      <w:vertAlign w:val="superscript"/>
    </w:rPr>
  </w:style>
  <w:style w:type="character" w:styleId="982" w:customStyle="1">
    <w:name w:val="批注引用1"/>
    <w:uiPriority w:val="0"/>
    <w:qFormat/>
    <w:rPr>
      <w:sz w:val="21"/>
      <w:szCs w:val="21"/>
    </w:rPr>
  </w:style>
  <w:style w:type="character" w:styleId="983" w:customStyle="1">
    <w:name w:val="标题 5 字符"/>
    <w:link w:val="984"/>
    <w:uiPriority w:val="0"/>
    <w:qFormat/>
    <w:rPr>
      <w:b/>
      <w:bCs/>
      <w:sz w:val="28"/>
      <w:szCs w:val="28"/>
    </w:rPr>
  </w:style>
  <w:style w:type="paragraph" w:styleId="984" w:customStyle="1">
    <w:name w:val="标题 51"/>
    <w:basedOn w:val="872"/>
    <w:next w:val="872"/>
    <w:link w:val="983"/>
    <w:uiPriority w:val="0"/>
    <w:unhideWhenUsed/>
    <w:qFormat/>
    <w:pPr>
      <w:keepLines/>
      <w:keepNext/>
      <w:spacing w:before="280" w:after="290" w:line="376" w:lineRule="auto"/>
      <w:outlineLvl w:val="4"/>
    </w:pPr>
    <w:rPr>
      <w:b/>
      <w:bCs/>
      <w:sz w:val="28"/>
      <w:szCs w:val="28"/>
    </w:rPr>
  </w:style>
  <w:style w:type="character" w:styleId="985" w:customStyle="1">
    <w:name w:val="正文文本缩进 Char"/>
    <w:link w:val="904"/>
    <w:uiPriority w:val="99"/>
    <w:qFormat/>
    <w:rPr>
      <w:sz w:val="21"/>
      <w:szCs w:val="24"/>
    </w:rPr>
  </w:style>
  <w:style w:type="character" w:styleId="986" w:customStyle="1">
    <w:name w:val="正文（首行缩进2字符） Char"/>
    <w:link w:val="987"/>
    <w:uiPriority w:val="0"/>
    <w:qFormat/>
    <w:rPr>
      <w:sz w:val="21"/>
      <w:szCs w:val="21"/>
    </w:rPr>
  </w:style>
  <w:style w:type="paragraph" w:styleId="987" w:customStyle="1">
    <w:name w:val="正文（首行缩进2字符）"/>
    <w:basedOn w:val="872"/>
    <w:link w:val="986"/>
    <w:uiPriority w:val="0"/>
    <w:qFormat/>
    <w:pPr>
      <w:ind w:firstLine="420"/>
      <w:spacing w:line="360" w:lineRule="auto"/>
    </w:pPr>
    <w:rPr>
      <w:sz w:val="20"/>
      <w:szCs w:val="21"/>
    </w:rPr>
  </w:style>
  <w:style w:type="character" w:styleId="988" w:customStyle="1">
    <w:name w:val="批注文字 字符"/>
    <w:uiPriority w:val="0"/>
    <w:qFormat/>
    <w:rPr>
      <w:sz w:val="20"/>
    </w:rPr>
  </w:style>
  <w:style w:type="character" w:styleId="989" w:customStyle="1">
    <w:name w:val="纯文本 Char"/>
    <w:link w:val="990"/>
    <w:uiPriority w:val="0"/>
    <w:qFormat/>
    <w:rPr>
      <w:rFonts w:ascii="宋体" w:hAnsi="Courier New" w:eastAsia="宋体"/>
      <w:sz w:val="21"/>
      <w:szCs w:val="21"/>
      <w:lang w:bidi="ar-SA"/>
    </w:rPr>
  </w:style>
  <w:style w:type="paragraph" w:styleId="990" w:customStyle="1">
    <w:name w:val="纯文本1"/>
    <w:basedOn w:val="905"/>
    <w:link w:val="989"/>
    <w:uiPriority w:val="0"/>
    <w:qFormat/>
    <w:rPr>
      <w:rFonts w:ascii="宋体" w:hAnsi="Courier New"/>
      <w:sz w:val="21"/>
      <w:szCs w:val="21"/>
    </w:rPr>
  </w:style>
  <w:style w:type="character" w:styleId="991" w:customStyle="1">
    <w:name w:val="font71"/>
    <w:uiPriority w:val="99"/>
    <w:qFormat/>
    <w:rPr>
      <w:rFonts w:ascii="仿宋_GB2312" w:eastAsia="仿宋_GB2312" w:cs="仿宋_GB2312"/>
      <w:color w:val="000000"/>
      <w:sz w:val="24"/>
      <w:szCs w:val="24"/>
      <w:u w:val="none"/>
    </w:rPr>
  </w:style>
  <w:style w:type="character" w:styleId="992" w:customStyle="1">
    <w:name w:val="fix161 Char"/>
    <w:link w:val="993"/>
    <w:uiPriority w:val="0"/>
    <w:qFormat/>
    <w:rPr>
      <w:rFonts w:ascii="宋体" w:hAnsi="宋体"/>
      <w:sz w:val="24"/>
      <w:szCs w:val="24"/>
    </w:rPr>
  </w:style>
  <w:style w:type="paragraph" w:styleId="993" w:customStyle="1">
    <w:name w:val="fix161"/>
    <w:basedOn w:val="872"/>
    <w:link w:val="992"/>
    <w:uiPriority w:val="0"/>
    <w:qFormat/>
    <w:pPr>
      <w:jc w:val="left"/>
      <w:spacing w:before="100" w:beforeAutospacing="1" w:after="100" w:afterAutospacing="1"/>
      <w:widowControl/>
    </w:pPr>
    <w:rPr>
      <w:rFonts w:ascii="宋体" w:hAnsi="宋体"/>
      <w:sz w:val="24"/>
    </w:rPr>
  </w:style>
  <w:style w:type="character" w:styleId="994" w:customStyle="1">
    <w:name w:val="正文1 Char"/>
    <w:uiPriority w:val="0"/>
    <w:qFormat/>
    <w:rPr>
      <w:rFonts w:ascii="宋体" w:hAnsi="宋体" w:eastAsia="仿宋_GB2312"/>
      <w:sz w:val="24"/>
      <w:szCs w:val="24"/>
    </w:rPr>
  </w:style>
  <w:style w:type="character" w:styleId="995" w:customStyle="1">
    <w:name w:val="apple-converted-space"/>
    <w:uiPriority w:val="0"/>
    <w:qFormat/>
  </w:style>
  <w:style w:type="character" w:styleId="996" w:customStyle="1">
    <w:name w:val="正文文本缩进 3 Char"/>
    <w:link w:val="997"/>
    <w:uiPriority w:val="0"/>
    <w:qFormat/>
    <w:rPr>
      <w:rFonts w:ascii="Arial" w:hAnsi="Arial" w:eastAsia="仿宋_GB2312"/>
      <w:color w:val="ffff00"/>
      <w:sz w:val="32"/>
      <w:szCs w:val="32"/>
    </w:rPr>
  </w:style>
  <w:style w:type="paragraph" w:styleId="997" w:customStyle="1">
    <w:name w:val="正文文本缩进 31"/>
    <w:basedOn w:val="872"/>
    <w:link w:val="996"/>
    <w:uiPriority w:val="0"/>
    <w:qFormat/>
    <w:pPr>
      <w:ind w:left="645" w:firstLine="645"/>
    </w:pPr>
    <w:rPr>
      <w:rFonts w:ascii="Arial" w:hAnsi="Arial" w:eastAsia="仿宋_GB2312"/>
      <w:color w:val="ffff00"/>
      <w:sz w:val="32"/>
      <w:szCs w:val="32"/>
    </w:rPr>
  </w:style>
  <w:style w:type="character" w:styleId="998" w:customStyle="1">
    <w:name w:val="正文文本 2 字符"/>
    <w:uiPriority w:val="0"/>
    <w:qFormat/>
    <w:rPr>
      <w:sz w:val="20"/>
    </w:rPr>
  </w:style>
  <w:style w:type="character" w:styleId="999" w:customStyle="1">
    <w:name w:val="font91"/>
    <w:uiPriority w:val="99"/>
    <w:qFormat/>
    <w:rPr>
      <w:rFonts w:ascii="仿宋_GB2312" w:eastAsia="仿宋_GB2312" w:cs="仿宋_GB2312"/>
      <w:color w:val="ff0000"/>
      <w:sz w:val="24"/>
      <w:szCs w:val="24"/>
      <w:u w:val="none"/>
    </w:rPr>
  </w:style>
  <w:style w:type="character" w:styleId="1000" w:customStyle="1">
    <w:name w:val="Heading 1 Char"/>
    <w:link w:val="1001"/>
    <w:uiPriority w:val="9"/>
    <w:qFormat/>
    <w:rPr>
      <w:rFonts w:ascii="Arial" w:hAnsi="Arial" w:eastAsia="Arial" w:cs="Arial"/>
      <w:sz w:val="40"/>
      <w:szCs w:val="40"/>
    </w:rPr>
  </w:style>
  <w:style w:type="paragraph" w:styleId="1001" w:customStyle="1">
    <w:name w:val="标题 11"/>
    <w:basedOn w:val="872"/>
    <w:next w:val="872"/>
    <w:link w:val="1000"/>
    <w:uiPriority w:val="0"/>
    <w:qFormat/>
    <w:pPr>
      <w:jc w:val="center"/>
      <w:keepLines/>
      <w:keepNext/>
      <w:spacing w:before="340" w:after="330" w:line="578" w:lineRule="auto"/>
      <w:outlineLvl w:val="0"/>
    </w:pPr>
    <w:rPr>
      <w:rFonts w:eastAsia="仿宋"/>
      <w:bCs/>
      <w:sz w:val="30"/>
      <w:szCs w:val="44"/>
    </w:rPr>
  </w:style>
  <w:style w:type="character" w:styleId="1002" w:customStyle="1">
    <w:name w:val="Footer Char"/>
    <w:uiPriority w:val="99"/>
    <w:qFormat/>
  </w:style>
  <w:style w:type="character" w:styleId="1003" w:customStyle="1">
    <w:name w:val="Heading 9 Char"/>
    <w:link w:val="1004"/>
    <w:uiPriority w:val="9"/>
    <w:qFormat/>
    <w:rPr>
      <w:rFonts w:ascii="Arial" w:hAnsi="Arial" w:eastAsia="Arial" w:cs="Arial"/>
      <w:i/>
      <w:iCs/>
      <w:sz w:val="21"/>
      <w:szCs w:val="21"/>
    </w:rPr>
  </w:style>
  <w:style w:type="paragraph" w:styleId="1004" w:customStyle="1">
    <w:name w:val="标题 91"/>
    <w:basedOn w:val="872"/>
    <w:next w:val="872"/>
    <w:link w:val="1003"/>
    <w:uiPriority w:val="9"/>
    <w:unhideWhenUsed/>
    <w:qFormat/>
    <w:pPr>
      <w:keepLines/>
      <w:keepNext/>
      <w:spacing w:before="320" w:after="200"/>
      <w:outlineLvl w:val="8"/>
    </w:pPr>
    <w:rPr>
      <w:rFonts w:ascii="Arial" w:hAnsi="Arial" w:eastAsia="Arial" w:cs="Arial"/>
      <w:i/>
      <w:iCs/>
      <w:szCs w:val="21"/>
    </w:rPr>
  </w:style>
  <w:style w:type="character" w:styleId="1005" w:customStyle="1">
    <w:name w:val="DeltaView Insertion"/>
    <w:uiPriority w:val="0"/>
    <w:qFormat/>
    <w:rPr>
      <w:color w:val="0000ff"/>
      <w:spacing w:val="0"/>
      <w:u w:val="single"/>
    </w:rPr>
  </w:style>
  <w:style w:type="character" w:styleId="1006" w:customStyle="1">
    <w:name w:val="批注框文本 Char"/>
    <w:link w:val="1007"/>
    <w:uiPriority w:val="99"/>
    <w:qFormat/>
    <w:rPr>
      <w:sz w:val="18"/>
      <w:szCs w:val="18"/>
    </w:rPr>
  </w:style>
  <w:style w:type="paragraph" w:styleId="1007" w:customStyle="1">
    <w:name w:val="批注框文本1"/>
    <w:basedOn w:val="872"/>
    <w:link w:val="1006"/>
    <w:uiPriority w:val="99"/>
    <w:qFormat/>
    <w:rPr>
      <w:sz w:val="18"/>
      <w:szCs w:val="18"/>
    </w:rPr>
  </w:style>
  <w:style w:type="character" w:styleId="1008" w:customStyle="1">
    <w:name w:val="二级目录 Char"/>
    <w:link w:val="1009"/>
    <w:uiPriority w:val="0"/>
    <w:qFormat/>
    <w:rPr>
      <w:rFonts w:eastAsia="Times New Roman"/>
      <w:b/>
      <w:sz w:val="30"/>
      <w:szCs w:val="28"/>
    </w:rPr>
  </w:style>
  <w:style w:type="paragraph" w:styleId="1009" w:customStyle="1">
    <w:name w:val="二级目录"/>
    <w:next w:val="872"/>
    <w:link w:val="1008"/>
    <w:uiPriority w:val="0"/>
    <w:qFormat/>
    <w:pPr>
      <w:ind w:left="907" w:hanging="907"/>
      <w:tabs>
        <w:tab w:val="left" w:pos="907" w:leader="none"/>
        <w:tab w:val="left" w:pos="1145" w:leader="none"/>
      </w:tabs>
      <w:outlineLvl w:val="1"/>
    </w:pPr>
    <w:rPr>
      <w:rFonts w:hint="default" w:ascii="Times New Roman" w:hAnsi="Times New Roman" w:eastAsia="Times New Roman" w:cs="Times New Roman"/>
      <w:b/>
      <w:sz w:val="30"/>
      <w:szCs w:val="28"/>
      <w:lang w:val="en-US" w:eastAsia="zh-CN" w:bidi="ar-SA"/>
    </w:rPr>
  </w:style>
  <w:style w:type="character" w:styleId="1010" w:customStyle="1">
    <w:name w:val="不明显参考1"/>
    <w:uiPriority w:val="0"/>
    <w:qFormat/>
    <w:rPr>
      <w:smallCaps/>
      <w:color w:val="c0504d"/>
      <w:u w:val="single"/>
    </w:rPr>
  </w:style>
  <w:style w:type="character" w:styleId="1011" w:customStyle="1">
    <w:name w:val="Char Char7"/>
    <w:uiPriority w:val="0"/>
    <w:qFormat/>
    <w:rPr>
      <w:rFonts w:ascii="Arial" w:hAnsi="Arial" w:eastAsia="幼圆"/>
      <w:b/>
      <w:bCs/>
      <w:sz w:val="44"/>
      <w:szCs w:val="44"/>
      <w:lang w:val="en-US" w:eastAsia="zh-CN" w:bidi="ar-SA"/>
    </w:rPr>
  </w:style>
  <w:style w:type="character" w:styleId="1012" w:customStyle="1">
    <w:name w:val="正文文本缩进 3 字符"/>
    <w:uiPriority w:val="0"/>
    <w:qFormat/>
    <w:rPr>
      <w:color w:val="ffff00"/>
      <w:sz w:val="20"/>
    </w:rPr>
  </w:style>
  <w:style w:type="character" w:styleId="1013" w:customStyle="1">
    <w:name w:val="font112"/>
    <w:uiPriority w:val="0"/>
    <w:qFormat/>
    <w:rPr>
      <w:rFonts w:hint="eastAsia" w:ascii="宋体" w:hAnsi="宋体" w:eastAsia="宋体" w:cs="宋体"/>
      <w:b/>
      <w:color w:val="000000"/>
      <w:sz w:val="20"/>
      <w:szCs w:val="20"/>
      <w:u w:val="none"/>
    </w:rPr>
  </w:style>
  <w:style w:type="character" w:styleId="1014" w:customStyle="1">
    <w:name w:val="二级条标题 + 宋体 Char"/>
    <w:link w:val="1015"/>
    <w:uiPriority w:val="0"/>
    <w:qFormat/>
    <w:rPr>
      <w:rFonts w:ascii="宋体" w:hAnsi="宋体" w:eastAsia="黑体"/>
    </w:rPr>
  </w:style>
  <w:style w:type="paragraph" w:styleId="1015" w:customStyle="1">
    <w:name w:val="二级条标题 + 宋体"/>
    <w:basedOn w:val="1016"/>
    <w:link w:val="1014"/>
    <w:uiPriority w:val="0"/>
    <w:qFormat/>
    <w:pPr>
      <w:ind w:left="0" w:firstLine="0"/>
      <w:tabs>
        <w:tab w:val="left" w:pos="810" w:leader="none"/>
        <w:tab w:val="left" w:pos="907" w:leader="none"/>
        <w:tab w:val="left" w:pos="1265" w:leader="none"/>
      </w:tabs>
    </w:pPr>
    <w:rPr>
      <w:rFonts w:ascii="宋体"/>
    </w:rPr>
  </w:style>
  <w:style w:type="paragraph" w:styleId="1016" w:customStyle="1">
    <w:name w:val="二级条标题"/>
    <w:basedOn w:val="892"/>
    <w:next w:val="947"/>
    <w:link w:val="1115"/>
    <w:uiPriority w:val="0"/>
    <w:qFormat/>
    <w:pPr>
      <w:outlineLvl w:val="3"/>
    </w:pPr>
  </w:style>
  <w:style w:type="character" w:styleId="1017" w:customStyle="1">
    <w:name w:val="引用 Char"/>
    <w:link w:val="1018"/>
    <w:uiPriority w:val="29"/>
    <w:qFormat/>
    <w:rPr>
      <w:i/>
    </w:rPr>
  </w:style>
  <w:style w:type="paragraph" w:styleId="1018" w:customStyle="1">
    <w:name w:val="引用1"/>
    <w:basedOn w:val="872"/>
    <w:next w:val="872"/>
    <w:link w:val="1017"/>
    <w:uiPriority w:val="29"/>
    <w:qFormat/>
    <w:pPr>
      <w:ind w:left="720" w:right="720"/>
    </w:pPr>
    <w:rPr>
      <w:i/>
    </w:rPr>
  </w:style>
  <w:style w:type="character" w:styleId="1019" w:customStyle="1">
    <w:name w:val="标题 3 字符"/>
    <w:uiPriority w:val="0"/>
    <w:qFormat/>
    <w:rPr>
      <w:b/>
      <w:sz w:val="20"/>
    </w:rPr>
  </w:style>
  <w:style w:type="character" w:styleId="1020" w:customStyle="1">
    <w:name w:val="12black1"/>
    <w:uiPriority w:val="0"/>
    <w:qFormat/>
    <w:rPr>
      <w:color w:val="000000"/>
      <w:sz w:val="24"/>
      <w:szCs w:val="24"/>
      <w:u w:val="none"/>
    </w:rPr>
  </w:style>
  <w:style w:type="character" w:styleId="1021" w:customStyle="1">
    <w:name w:val="Intense Quote Char"/>
    <w:uiPriority w:val="30"/>
    <w:qFormat/>
    <w:rPr>
      <w:i/>
    </w:rPr>
  </w:style>
  <w:style w:type="character" w:styleId="1022" w:customStyle="1">
    <w:name w:val="批注主题 Char"/>
    <w:link w:val="1023"/>
    <w:uiPriority w:val="99"/>
    <w:qFormat/>
    <w:rPr>
      <w:b/>
      <w:bCs/>
      <w:sz w:val="21"/>
      <w:szCs w:val="24"/>
    </w:rPr>
  </w:style>
  <w:style w:type="paragraph" w:styleId="1023" w:customStyle="1">
    <w:name w:val="批注主题1"/>
    <w:basedOn w:val="1024"/>
    <w:next w:val="1024"/>
    <w:link w:val="1022"/>
    <w:uiPriority w:val="99"/>
    <w:qFormat/>
    <w:rPr>
      <w:b/>
      <w:bCs/>
    </w:rPr>
  </w:style>
  <w:style w:type="paragraph" w:styleId="1024" w:customStyle="1">
    <w:name w:val="批注文字11"/>
    <w:basedOn w:val="872"/>
    <w:link w:val="1216"/>
    <w:uiPriority w:val="99"/>
    <w:qFormat/>
    <w:pPr>
      <w:jc w:val="left"/>
    </w:pPr>
  </w:style>
  <w:style w:type="character" w:styleId="1025" w:customStyle="1">
    <w:name w:val="正文首行缩进 Char1"/>
    <w:uiPriority w:val="99"/>
    <w:semiHidden/>
    <w:qFormat/>
    <w:rPr>
      <w:sz w:val="21"/>
      <w:szCs w:val="24"/>
    </w:rPr>
  </w:style>
  <w:style w:type="character" w:styleId="1026" w:customStyle="1">
    <w:name w:val="列表 3 字符"/>
    <w:uiPriority w:val="0"/>
    <w:qFormat/>
    <w:rPr>
      <w:sz w:val="20"/>
    </w:rPr>
  </w:style>
  <w:style w:type="character" w:styleId="1027" w:customStyle="1">
    <w:name w:val="页脚 字符"/>
    <w:link w:val="1028"/>
    <w:uiPriority w:val="0"/>
    <w:qFormat/>
    <w:rPr>
      <w:sz w:val="18"/>
      <w:szCs w:val="18"/>
    </w:rPr>
  </w:style>
  <w:style w:type="paragraph" w:styleId="1028" w:customStyle="1">
    <w:name w:val="页脚1"/>
    <w:basedOn w:val="872"/>
    <w:link w:val="1027"/>
    <w:uiPriority w:val="99"/>
    <w:qFormat/>
    <w:pPr>
      <w:jc w:val="left"/>
      <w:tabs>
        <w:tab w:val="center" w:pos="4153" w:leader="none"/>
        <w:tab w:val="right" w:pos="8306" w:leader="none"/>
      </w:tabs>
    </w:pPr>
    <w:rPr>
      <w:sz w:val="18"/>
      <w:szCs w:val="18"/>
    </w:rPr>
  </w:style>
  <w:style w:type="character" w:styleId="1029" w:customStyle="1">
    <w:name w:val="正文文本缩进 2 Char"/>
    <w:link w:val="1030"/>
    <w:uiPriority w:val="99"/>
    <w:qFormat/>
    <w:rPr>
      <w:rFonts w:ascii="Arial" w:hAnsi="Arial" w:eastAsia="仿宋_GB2312"/>
      <w:sz w:val="32"/>
      <w:szCs w:val="32"/>
      <w:lang w:val="en-US" w:eastAsia="zh-CN"/>
    </w:rPr>
  </w:style>
  <w:style w:type="paragraph" w:styleId="1030" w:customStyle="1">
    <w:name w:val="正文文本缩进 21"/>
    <w:basedOn w:val="872"/>
    <w:link w:val="1029"/>
    <w:uiPriority w:val="99"/>
    <w:qFormat/>
    <w:pPr>
      <w:ind w:left="630" w:firstLine="645"/>
    </w:pPr>
    <w:rPr>
      <w:rFonts w:ascii="Arial" w:hAnsi="Arial" w:eastAsia="仿宋_GB2312"/>
      <w:sz w:val="32"/>
      <w:szCs w:val="32"/>
    </w:rPr>
  </w:style>
  <w:style w:type="character" w:styleId="1031" w:customStyle="1">
    <w:name w:val="标题 Char"/>
    <w:link w:val="1032"/>
    <w:uiPriority w:val="10"/>
    <w:qFormat/>
    <w:rPr>
      <w:sz w:val="48"/>
      <w:szCs w:val="48"/>
    </w:rPr>
  </w:style>
  <w:style w:type="paragraph" w:styleId="1032" w:customStyle="1">
    <w:name w:val="标题1"/>
    <w:basedOn w:val="898"/>
    <w:next w:val="990"/>
    <w:link w:val="1031"/>
    <w:uiPriority w:val="10"/>
    <w:qFormat/>
    <w:pPr>
      <w:contextualSpacing/>
      <w:spacing w:before="300" w:after="200"/>
    </w:pPr>
    <w:rPr>
      <w:sz w:val="48"/>
      <w:szCs w:val="48"/>
    </w:rPr>
  </w:style>
  <w:style w:type="character" w:styleId="1033" w:customStyle="1">
    <w:name w:val="Quote Char"/>
    <w:uiPriority w:val="29"/>
    <w:qFormat/>
    <w:rPr>
      <w:i/>
    </w:rPr>
  </w:style>
  <w:style w:type="character" w:styleId="1034" w:customStyle="1">
    <w:name w:val="正文文本 字符"/>
    <w:uiPriority w:val="0"/>
    <w:qFormat/>
    <w:rPr>
      <w:sz w:val="20"/>
    </w:rPr>
  </w:style>
  <w:style w:type="character" w:styleId="1035" w:customStyle="1">
    <w:name w:val="方案文档 Char Char"/>
    <w:link w:val="1036"/>
    <w:uiPriority w:val="0"/>
    <w:qFormat/>
    <w:rPr>
      <w:rFonts w:ascii="宋体" w:hAnsi="宋体"/>
      <w:b/>
    </w:rPr>
  </w:style>
  <w:style w:type="paragraph" w:styleId="1036" w:customStyle="1">
    <w:name w:val="方案文档"/>
    <w:basedOn w:val="872"/>
    <w:link w:val="1035"/>
    <w:uiPriority w:val="0"/>
    <w:qFormat/>
    <w:pPr>
      <w:ind w:left="420"/>
      <w:spacing w:line="360" w:lineRule="auto"/>
      <w:tabs>
        <w:tab w:val="left" w:pos="420" w:leader="none"/>
      </w:tabs>
    </w:pPr>
    <w:rPr>
      <w:rFonts w:ascii="宋体" w:hAnsi="宋体"/>
      <w:b/>
      <w:sz w:val="20"/>
      <w:szCs w:val="20"/>
    </w:rPr>
  </w:style>
  <w:style w:type="character" w:styleId="1037" w:customStyle="1">
    <w:name w:val="正文文本缩进 Char1"/>
    <w:uiPriority w:val="0"/>
    <w:semiHidden/>
    <w:qFormat/>
    <w:rPr>
      <w:sz w:val="21"/>
      <w:szCs w:val="24"/>
    </w:rPr>
  </w:style>
  <w:style w:type="character" w:styleId="1038" w:customStyle="1">
    <w:name w:val="正文首行缩进 Char"/>
    <w:link w:val="896"/>
    <w:uiPriority w:val="0"/>
    <w:qFormat/>
    <w:rPr>
      <w:rFonts w:ascii="仿宋_GB2312" w:eastAsia="仿宋_GB2312"/>
      <w:sz w:val="30"/>
      <w:szCs w:val="30"/>
    </w:rPr>
  </w:style>
  <w:style w:type="paragraph" w:styleId="1039" w:customStyle="1">
    <w:name w:val="正文文本112"/>
    <w:basedOn w:val="872"/>
    <w:next w:val="892"/>
    <w:link w:val="1110"/>
    <w:uiPriority w:val="0"/>
    <w:qFormat/>
    <w:pPr>
      <w:spacing w:after="120"/>
    </w:pPr>
  </w:style>
  <w:style w:type="character" w:styleId="1040" w:customStyle="1">
    <w:name w:val="一级条标题 Char"/>
    <w:link w:val="892"/>
    <w:uiPriority w:val="0"/>
    <w:qFormat/>
    <w:rPr>
      <w:rFonts w:ascii="黑体" w:hAnsi="宋体" w:eastAsia="黑体"/>
    </w:rPr>
  </w:style>
  <w:style w:type="character" w:styleId="1041" w:customStyle="1">
    <w:name w:val="正文文本首行缩进 字符"/>
    <w:uiPriority w:val="0"/>
    <w:qFormat/>
    <w:rPr>
      <w:sz w:val="20"/>
    </w:rPr>
  </w:style>
  <w:style w:type="character" w:styleId="1042" w:customStyle="1">
    <w:name w:val="正文文本缩进 字符"/>
    <w:uiPriority w:val="0"/>
    <w:qFormat/>
    <w:rPr>
      <w:sz w:val="20"/>
    </w:rPr>
  </w:style>
  <w:style w:type="character" w:styleId="1043" w:customStyle="1">
    <w:name w:val="Subtitle Char"/>
    <w:uiPriority w:val="11"/>
    <w:qFormat/>
    <w:rPr>
      <w:sz w:val="24"/>
      <w:szCs w:val="24"/>
    </w:rPr>
  </w:style>
  <w:style w:type="character" w:styleId="1044" w:customStyle="1">
    <w:name w:val="10"/>
    <w:uiPriority w:val="0"/>
    <w:qFormat/>
  </w:style>
  <w:style w:type="character" w:styleId="1045" w:customStyle="1">
    <w:name w:val="标题 4 Char"/>
    <w:link w:val="967"/>
    <w:uiPriority w:val="9"/>
    <w:qFormat/>
    <w:rPr>
      <w:rFonts w:ascii="Cambria" w:hAnsi="Cambria"/>
      <w:b/>
      <w:bCs/>
      <w:sz w:val="28"/>
      <w:szCs w:val="28"/>
    </w:rPr>
  </w:style>
  <w:style w:type="character" w:styleId="1046" w:customStyle="1">
    <w:name w:val="Table Text Char1"/>
    <w:link w:val="1047"/>
    <w:uiPriority w:val="0"/>
    <w:qFormat/>
    <w:rPr>
      <w:rFonts w:ascii="Arial" w:hAnsi="Arial" w:eastAsia="Times New Roman"/>
      <w:sz w:val="18"/>
      <w:szCs w:val="18"/>
    </w:rPr>
  </w:style>
  <w:style w:type="paragraph" w:styleId="1047" w:customStyle="1">
    <w:name w:val="Table Text"/>
    <w:link w:val="1046"/>
    <w:uiPriority w:val="0"/>
    <w:qFormat/>
    <w:pPr>
      <w:spacing w:before="80" w:after="80"/>
    </w:pPr>
    <w:rPr>
      <w:rFonts w:hint="default" w:ascii="Arial" w:hAnsi="Arial" w:eastAsia="Times New Roman" w:cs="Times New Roman"/>
      <w:sz w:val="18"/>
      <w:szCs w:val="18"/>
      <w:lang w:val="en-US" w:eastAsia="zh-CN" w:bidi="ar-SA"/>
    </w:rPr>
  </w:style>
  <w:style w:type="character" w:styleId="1048" w:customStyle="1">
    <w:name w:val="脚注文本 Char"/>
    <w:link w:val="1049"/>
    <w:uiPriority w:val="99"/>
    <w:qFormat/>
    <w:rPr>
      <w:sz w:val="18"/>
    </w:rPr>
  </w:style>
  <w:style w:type="paragraph" w:styleId="1049" w:customStyle="1">
    <w:name w:val="脚注文本11"/>
    <w:basedOn w:val="872"/>
    <w:next w:val="1050"/>
    <w:link w:val="1048"/>
    <w:uiPriority w:val="0"/>
    <w:unhideWhenUsed/>
    <w:qFormat/>
    <w:pPr>
      <w:spacing w:after="40"/>
    </w:pPr>
    <w:rPr>
      <w:sz w:val="18"/>
    </w:rPr>
  </w:style>
  <w:style w:type="paragraph" w:styleId="1050" w:customStyle="1">
    <w:name w:val="索引 511"/>
    <w:basedOn w:val="872"/>
    <w:next w:val="872"/>
    <w:uiPriority w:val="0"/>
    <w:qFormat/>
    <w:pPr>
      <w:ind w:left="798"/>
      <w:jc w:val="left"/>
    </w:pPr>
    <w:rPr>
      <w:rFonts w:ascii="Calibri" w:hAnsi="Calibri"/>
    </w:rPr>
  </w:style>
  <w:style w:type="character" w:styleId="1051" w:customStyle="1">
    <w:name w:val="表格 Char Char"/>
    <w:link w:val="1052"/>
    <w:uiPriority w:val="0"/>
    <w:qFormat/>
    <w:rPr>
      <w:rFonts w:ascii="宋体" w:hAnsi="宋体"/>
    </w:rPr>
  </w:style>
  <w:style w:type="paragraph" w:styleId="1052" w:customStyle="1">
    <w:name w:val="表格"/>
    <w:basedOn w:val="872"/>
    <w:link w:val="1051"/>
    <w:uiPriority w:val="0"/>
    <w:qFormat/>
    <w:pPr>
      <w:ind w:firstLine="42"/>
    </w:pPr>
    <w:rPr>
      <w:rFonts w:ascii="宋体" w:hAnsi="宋体"/>
      <w:sz w:val="20"/>
      <w:szCs w:val="20"/>
    </w:rPr>
  </w:style>
  <w:style w:type="character" w:styleId="1053" w:customStyle="1">
    <w:name w:val="页脚 Char"/>
    <w:link w:val="1054"/>
    <w:uiPriority w:val="99"/>
    <w:qFormat/>
    <w:rPr>
      <w:sz w:val="18"/>
      <w:szCs w:val="18"/>
    </w:rPr>
  </w:style>
  <w:style w:type="paragraph" w:styleId="1054" w:customStyle="1">
    <w:name w:val="页脚11"/>
    <w:basedOn w:val="872"/>
    <w:link w:val="1053"/>
    <w:uiPriority w:val="99"/>
    <w:unhideWhenUsed/>
    <w:qFormat/>
    <w:pPr>
      <w:jc w:val="left"/>
      <w:tabs>
        <w:tab w:val="center" w:pos="4153" w:leader="none"/>
        <w:tab w:val="right" w:pos="8306" w:leader="none"/>
      </w:tabs>
    </w:pPr>
    <w:rPr>
      <w:sz w:val="18"/>
      <w:szCs w:val="18"/>
    </w:rPr>
  </w:style>
  <w:style w:type="character" w:styleId="1055" w:customStyle="1">
    <w:name w:val="NormalCharacter1"/>
    <w:uiPriority w:val="0"/>
    <w:semiHidden/>
    <w:qFormat/>
    <w:rPr>
      <w:rFonts w:ascii="Times New Roman" w:hAnsi="Times New Roman" w:eastAsia="宋体" w:cs="Times New Roman"/>
      <w:sz w:val="21"/>
      <w:szCs w:val="24"/>
    </w:rPr>
  </w:style>
  <w:style w:type="character" w:styleId="1056" w:customStyle="1">
    <w:name w:val="Para head"/>
    <w:uiPriority w:val="0"/>
    <w:qFormat/>
  </w:style>
  <w:style w:type="character" w:styleId="1057" w:customStyle="1">
    <w:name w:val="Char Char31"/>
    <w:uiPriority w:val="0"/>
    <w:qFormat/>
    <w:rPr>
      <w:rFonts w:ascii="Arial" w:hAnsi="Arial" w:eastAsia="幼圆"/>
      <w:b/>
      <w:bCs/>
      <w:sz w:val="44"/>
      <w:szCs w:val="44"/>
      <w:lang w:val="en-US" w:eastAsia="zh-CN" w:bidi="ar-SA"/>
    </w:rPr>
  </w:style>
  <w:style w:type="character" w:styleId="1058" w:customStyle="1">
    <w:name w:val="HTML 地址 Char2"/>
    <w:uiPriority w:val="99"/>
    <w:semiHidden/>
    <w:qFormat/>
    <w:rPr>
      <w:i/>
      <w:iCs/>
      <w:sz w:val="21"/>
      <w:szCs w:val="24"/>
    </w:rPr>
  </w:style>
  <w:style w:type="character" w:styleId="1059" w:customStyle="1">
    <w:name w:val="页码1"/>
    <w:link w:val="899"/>
    <w:uiPriority w:val="0"/>
    <w:qFormat/>
    <w:rPr>
      <w:rFonts w:ascii="Times New Roman" w:hAnsi="Times New Roman" w:eastAsia="宋体" w:cs="Times New Roman"/>
      <w:lang w:val="en-US" w:eastAsia="zh-CN" w:bidi="ar-SA"/>
    </w:rPr>
  </w:style>
  <w:style w:type="character" w:styleId="1060" w:customStyle="1">
    <w:name w:val="Plain Text Char"/>
    <w:uiPriority w:val="99"/>
    <w:qFormat/>
    <w:rPr>
      <w:rFonts w:ascii="宋体" w:hAnsi="Courier New"/>
      <w:sz w:val="21"/>
    </w:rPr>
  </w:style>
  <w:style w:type="character" w:styleId="1061" w:customStyle="1">
    <w:name w:val="Heading 4 Char"/>
    <w:link w:val="959"/>
    <w:uiPriority w:val="9"/>
    <w:qFormat/>
    <w:rPr>
      <w:rFonts w:ascii="Arial" w:hAnsi="Arial" w:eastAsia="Arial" w:cs="Arial"/>
      <w:b/>
      <w:bCs/>
      <w:sz w:val="26"/>
      <w:szCs w:val="26"/>
    </w:rPr>
  </w:style>
  <w:style w:type="character" w:styleId="1062" w:customStyle="1">
    <w:name w:val="font21"/>
    <w:uiPriority w:val="99"/>
    <w:qFormat/>
    <w:rPr>
      <w:rFonts w:ascii="仿宋_GB2312" w:eastAsia="仿宋_GB2312" w:cs="仿宋_GB2312"/>
      <w:b/>
      <w:color w:val="000000"/>
      <w:sz w:val="24"/>
      <w:szCs w:val="24"/>
      <w:u w:val="none"/>
    </w:rPr>
  </w:style>
  <w:style w:type="character" w:styleId="1063" w:customStyle="1">
    <w:name w:val="明显参考1"/>
    <w:uiPriority w:val="0"/>
    <w:qFormat/>
    <w:rPr>
      <w:b/>
      <w:bCs/>
      <w:smallCaps/>
      <w:color w:val="c0504d"/>
      <w:spacing w:val="5"/>
      <w:u w:val="single"/>
    </w:rPr>
  </w:style>
  <w:style w:type="character" w:styleId="1064" w:customStyle="1">
    <w:name w:val="日期 字符"/>
    <w:uiPriority w:val="0"/>
    <w:qFormat/>
    <w:rPr>
      <w:sz w:val="20"/>
    </w:rPr>
  </w:style>
  <w:style w:type="character" w:styleId="1065" w:customStyle="1">
    <w:name w:val="HTML 地址 Char"/>
    <w:link w:val="1066"/>
    <w:uiPriority w:val="0"/>
    <w:qFormat/>
    <w:rPr>
      <w:rFonts w:ascii="宋体"/>
      <w:i/>
      <w:iCs/>
      <w:sz w:val="21"/>
      <w:szCs w:val="21"/>
    </w:rPr>
  </w:style>
  <w:style w:type="paragraph" w:styleId="1066" w:customStyle="1">
    <w:name w:val="HTML 地址1"/>
    <w:basedOn w:val="872"/>
    <w:link w:val="1065"/>
    <w:uiPriority w:val="0"/>
    <w:qFormat/>
    <w:rPr>
      <w:rFonts w:ascii="宋体"/>
      <w:i/>
      <w:iCs/>
      <w:sz w:val="20"/>
      <w:szCs w:val="21"/>
    </w:rPr>
  </w:style>
  <w:style w:type="character" w:styleId="1067" w:customStyle="1">
    <w:name w:val="HTML 地址 Char1"/>
    <w:uiPriority w:val="0"/>
    <w:qFormat/>
    <w:rPr>
      <w:i/>
      <w:iCs/>
      <w:sz w:val="21"/>
      <w:szCs w:val="21"/>
    </w:rPr>
  </w:style>
  <w:style w:type="character" w:styleId="1068" w:customStyle="1">
    <w:name w:val="文档结构图 Char1"/>
    <w:uiPriority w:val="99"/>
    <w:semiHidden/>
    <w:qFormat/>
    <w:rPr>
      <w:rFonts w:ascii="宋体"/>
      <w:sz w:val="18"/>
      <w:szCs w:val="18"/>
    </w:rPr>
  </w:style>
  <w:style w:type="character" w:styleId="1069" w:customStyle="1">
    <w:name w:val="Header Char"/>
    <w:link w:val="1070"/>
    <w:uiPriority w:val="99"/>
    <w:qFormat/>
  </w:style>
  <w:style w:type="paragraph" w:styleId="1070" w:customStyle="1">
    <w:name w:val="页眉1"/>
    <w:basedOn w:val="872"/>
    <w:link w:val="1069"/>
    <w:uiPriority w:val="0"/>
    <w:qFormat/>
    <w:pPr>
      <w:jc w:val="center"/>
      <w:tabs>
        <w:tab w:val="center" w:pos="4153" w:leader="none"/>
        <w:tab w:val="right" w:pos="8306" w:leader="none"/>
      </w:tabs>
      <w:pBdr>
        <w:bottom w:val="single" w:color="000000" w:sz="6" w:space="1"/>
      </w:pBdr>
    </w:pPr>
    <w:rPr>
      <w:sz w:val="18"/>
      <w:szCs w:val="18"/>
    </w:rPr>
  </w:style>
  <w:style w:type="character" w:styleId="1071" w:customStyle="1">
    <w:name w:val="表头 Char"/>
    <w:link w:val="1072"/>
    <w:uiPriority w:val="0"/>
    <w:qFormat/>
    <w:rPr>
      <w:rFonts w:eastAsia="黑体"/>
      <w:spacing w:val="-10"/>
    </w:rPr>
  </w:style>
  <w:style w:type="paragraph" w:styleId="1072" w:customStyle="1">
    <w:name w:val="表头"/>
    <w:basedOn w:val="872"/>
    <w:link w:val="1071"/>
    <w:uiPriority w:val="0"/>
    <w:qFormat/>
    <w:pPr>
      <w:jc w:val="center"/>
      <w:spacing w:line="320" w:lineRule="atLeast"/>
    </w:pPr>
    <w:rPr>
      <w:rFonts w:eastAsia="黑体"/>
      <w:spacing w:val="-10"/>
      <w:sz w:val="20"/>
      <w:szCs w:val="20"/>
    </w:rPr>
  </w:style>
  <w:style w:type="character" w:styleId="1073" w:customStyle="1">
    <w:name w:val="正文首行缩进 2 Char"/>
    <w:link w:val="903"/>
    <w:uiPriority w:val="99"/>
    <w:qFormat/>
    <w:rPr>
      <w:rFonts w:ascii="宋体" w:hAnsi="宋体"/>
      <w:sz w:val="21"/>
      <w:szCs w:val="24"/>
      <w:lang w:val="en-US" w:eastAsia="zh-CN"/>
    </w:rPr>
  </w:style>
  <w:style w:type="character" w:styleId="1074" w:customStyle="1">
    <w:name w:val="HTML 预设格式 Char"/>
    <w:link w:val="1075"/>
    <w:uiPriority w:val="99"/>
    <w:qFormat/>
    <w:rPr>
      <w:rFonts w:ascii="宋体" w:hAnsi="宋体"/>
      <w:sz w:val="24"/>
      <w:szCs w:val="24"/>
    </w:rPr>
  </w:style>
  <w:style w:type="paragraph" w:styleId="1075" w:customStyle="1">
    <w:name w:val="HTML 预设格式1"/>
    <w:basedOn w:val="872"/>
    <w:link w:val="1074"/>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076" w:customStyle="1">
    <w:name w:val="普通正文 Char"/>
    <w:link w:val="1077"/>
    <w:uiPriority w:val="0"/>
    <w:qFormat/>
    <w:rPr>
      <w:rFonts w:ascii="Arial" w:hAnsi="Arial"/>
      <w:sz w:val="24"/>
      <w:szCs w:val="24"/>
    </w:rPr>
  </w:style>
  <w:style w:type="paragraph" w:styleId="1077" w:customStyle="1">
    <w:name w:val="普通正文"/>
    <w:basedOn w:val="872"/>
    <w:link w:val="1076"/>
    <w:uiPriority w:val="0"/>
    <w:qFormat/>
    <w:pPr>
      <w:ind w:firstLine="480"/>
      <w:jc w:val="left"/>
      <w:spacing w:before="120" w:after="120" w:line="360" w:lineRule="auto"/>
    </w:pPr>
    <w:rPr>
      <w:rFonts w:ascii="Arial" w:hAnsi="Arial"/>
      <w:sz w:val="24"/>
    </w:rPr>
  </w:style>
  <w:style w:type="character" w:styleId="1078" w:customStyle="1">
    <w:name w:val="标题 字符"/>
    <w:uiPriority w:val="0"/>
    <w:qFormat/>
    <w:rPr>
      <w:sz w:val="20"/>
    </w:rPr>
  </w:style>
  <w:style w:type="character" w:styleId="1079" w:customStyle="1">
    <w:name w:val="正文文本缩进 3 Char1"/>
    <w:uiPriority w:val="99"/>
    <w:semiHidden/>
    <w:qFormat/>
    <w:rPr>
      <w:sz w:val="16"/>
      <w:szCs w:val="16"/>
    </w:rPr>
  </w:style>
  <w:style w:type="character" w:styleId="1080" w:customStyle="1">
    <w:name w:val="尾注文本 Char"/>
    <w:link w:val="1081"/>
    <w:uiPriority w:val="0"/>
    <w:qFormat/>
    <w:rPr>
      <w:sz w:val="20"/>
    </w:rPr>
  </w:style>
  <w:style w:type="paragraph" w:styleId="1081" w:customStyle="1">
    <w:name w:val="尾注文本1"/>
    <w:basedOn w:val="872"/>
    <w:link w:val="1080"/>
    <w:uiPriority w:val="0"/>
    <w:unhideWhenUsed/>
    <w:qFormat/>
    <w:rPr>
      <w:sz w:val="20"/>
    </w:rPr>
  </w:style>
  <w:style w:type="character" w:styleId="1082" w:customStyle="1">
    <w:name w:val="美标题3 Char Char"/>
    <w:link w:val="1083"/>
    <w:uiPriority w:val="0"/>
    <w:qFormat/>
    <w:rPr>
      <w:rFonts w:ascii="宋体" w:hAnsi="宋体"/>
      <w:b/>
    </w:rPr>
  </w:style>
  <w:style w:type="paragraph" w:styleId="1083" w:customStyle="1">
    <w:name w:val="美标题3"/>
    <w:basedOn w:val="872"/>
    <w:link w:val="1082"/>
    <w:uiPriority w:val="0"/>
    <w:qFormat/>
    <w:pPr>
      <w:spacing w:line="360" w:lineRule="auto"/>
    </w:pPr>
    <w:rPr>
      <w:rFonts w:ascii="宋体" w:hAnsi="宋体"/>
      <w:b/>
      <w:sz w:val="20"/>
      <w:szCs w:val="20"/>
    </w:rPr>
  </w:style>
  <w:style w:type="character" w:styleId="1084" w:customStyle="1">
    <w:name w:val="Heading 3 Char"/>
    <w:link w:val="1085"/>
    <w:uiPriority w:val="9"/>
    <w:qFormat/>
    <w:rPr>
      <w:rFonts w:ascii="Arial" w:hAnsi="Arial" w:eastAsia="Arial" w:cs="Arial"/>
      <w:sz w:val="30"/>
      <w:szCs w:val="30"/>
    </w:rPr>
  </w:style>
  <w:style w:type="paragraph" w:styleId="1085" w:customStyle="1">
    <w:name w:val="标题 31"/>
    <w:basedOn w:val="899"/>
    <w:next w:val="899"/>
    <w:link w:val="1084"/>
    <w:uiPriority w:val="9"/>
    <w:unhideWhenUsed/>
    <w:qFormat/>
    <w:pPr>
      <w:keepLines/>
      <w:keepNext/>
      <w:spacing w:before="320" w:after="200"/>
      <w:outlineLvl w:val="2"/>
    </w:pPr>
    <w:rPr>
      <w:rFonts w:ascii="Arial" w:hAnsi="Arial" w:eastAsia="Arial" w:cs="Arial"/>
      <w:sz w:val="30"/>
      <w:szCs w:val="30"/>
    </w:rPr>
  </w:style>
  <w:style w:type="character" w:styleId="1086" w:customStyle="1">
    <w:name w:val="标题2 Char Char"/>
    <w:link w:val="1087"/>
    <w:uiPriority w:val="0"/>
    <w:qFormat/>
    <w:rPr>
      <w:rFonts w:eastAsia="方正楷体_GBK"/>
      <w:sz w:val="32"/>
    </w:rPr>
  </w:style>
  <w:style w:type="paragraph" w:styleId="1087" w:customStyle="1">
    <w:name w:val="标题2"/>
    <w:basedOn w:val="872"/>
    <w:next w:val="872"/>
    <w:link w:val="1086"/>
    <w:uiPriority w:val="0"/>
    <w:qFormat/>
    <w:pPr>
      <w:jc w:val="center"/>
    </w:pPr>
    <w:rPr>
      <w:rFonts w:eastAsia="方正楷体_GBK"/>
      <w:sz w:val="32"/>
      <w:szCs w:val="20"/>
    </w:rPr>
  </w:style>
  <w:style w:type="character" w:styleId="1088" w:customStyle="1">
    <w:name w:val="正文文本缩进 2 Char1"/>
    <w:uiPriority w:val="99"/>
    <w:semiHidden/>
    <w:qFormat/>
    <w:rPr>
      <w:sz w:val="21"/>
      <w:szCs w:val="24"/>
    </w:rPr>
  </w:style>
  <w:style w:type="character" w:styleId="1089" w:customStyle="1">
    <w:name w:val="Endnote Text Char"/>
    <w:uiPriority w:val="99"/>
    <w:qFormat/>
    <w:rPr>
      <w:sz w:val="20"/>
    </w:rPr>
  </w:style>
  <w:style w:type="character" w:styleId="1090" w:customStyle="1">
    <w:name w:val="正文文本 (9)_"/>
    <w:link w:val="1091"/>
    <w:uiPriority w:val="0"/>
    <w:qFormat/>
    <w:rPr>
      <w:rFonts w:ascii="MingLiU" w:hAnsi="MingLiU" w:eastAsia="MingLiU"/>
      <w:spacing w:val="20"/>
      <w:sz w:val="16"/>
      <w:szCs w:val="16"/>
      <w:shd w:val="clear" w:color="auto" w:fill="ffffff"/>
    </w:rPr>
  </w:style>
  <w:style w:type="paragraph" w:styleId="1091" w:customStyle="1">
    <w:name w:val="正文文本 (9)3"/>
    <w:basedOn w:val="872"/>
    <w:link w:val="1090"/>
    <w:uiPriority w:val="0"/>
    <w:qFormat/>
    <w:pPr>
      <w:jc w:val="left"/>
      <w:spacing w:line="0" w:lineRule="atLeast"/>
      <w:shd w:val="clear" w:color="auto" w:fill="ffffff"/>
    </w:pPr>
    <w:rPr>
      <w:rFonts w:ascii="MingLiU" w:hAnsi="MingLiU" w:eastAsia="MingLiU"/>
      <w:spacing w:val="20"/>
      <w:sz w:val="16"/>
      <w:szCs w:val="16"/>
      <w:shd w:val="clear" w:color="auto" w:fill="ffffff"/>
    </w:rPr>
  </w:style>
  <w:style w:type="character" w:styleId="1092" w:customStyle="1">
    <w:name w:val="不明显强调1"/>
    <w:uiPriority w:val="0"/>
    <w:qFormat/>
    <w:rPr>
      <w:i/>
      <w:color w:val="000000"/>
      <w:sz w:val="21"/>
    </w:rPr>
  </w:style>
  <w:style w:type="character" w:styleId="1093" w:customStyle="1">
    <w:name w:val="日期 Char"/>
    <w:link w:val="1094"/>
    <w:uiPriority w:val="99"/>
    <w:qFormat/>
    <w:rPr>
      <w:sz w:val="24"/>
      <w:szCs w:val="24"/>
    </w:rPr>
  </w:style>
  <w:style w:type="paragraph" w:styleId="1094" w:customStyle="1">
    <w:name w:val="日期1"/>
    <w:basedOn w:val="872"/>
    <w:next w:val="872"/>
    <w:link w:val="1093"/>
    <w:uiPriority w:val="99"/>
    <w:qFormat/>
    <w:rPr>
      <w:sz w:val="24"/>
    </w:rPr>
  </w:style>
  <w:style w:type="character" w:styleId="1095" w:customStyle="1">
    <w:name w:val="Heading 6 Char"/>
    <w:link w:val="1096"/>
    <w:uiPriority w:val="9"/>
    <w:qFormat/>
    <w:rPr>
      <w:rFonts w:ascii="Arial" w:hAnsi="Arial" w:eastAsia="Arial" w:cs="Arial"/>
      <w:b/>
      <w:bCs/>
      <w:sz w:val="22"/>
      <w:szCs w:val="22"/>
    </w:rPr>
  </w:style>
  <w:style w:type="paragraph" w:styleId="1096" w:customStyle="1">
    <w:name w:val="标题 61"/>
    <w:basedOn w:val="872"/>
    <w:next w:val="872"/>
    <w:link w:val="1095"/>
    <w:uiPriority w:val="9"/>
    <w:unhideWhenUsed/>
    <w:qFormat/>
    <w:pPr>
      <w:keepLines/>
      <w:keepNext/>
      <w:spacing w:before="320" w:after="200"/>
      <w:outlineLvl w:val="5"/>
    </w:pPr>
    <w:rPr>
      <w:rFonts w:ascii="Arial" w:hAnsi="Arial" w:eastAsia="Arial" w:cs="Arial"/>
      <w:b/>
      <w:bCs/>
      <w:sz w:val="22"/>
      <w:szCs w:val="22"/>
    </w:rPr>
  </w:style>
  <w:style w:type="character" w:styleId="1097" w:customStyle="1">
    <w:name w:val="fontstyle01"/>
    <w:uiPriority w:val="0"/>
    <w:qFormat/>
    <w:rPr>
      <w:rFonts w:hint="eastAsia" w:ascii="宋体" w:hAnsi="宋体" w:eastAsia="宋体"/>
      <w:color w:val="000000"/>
      <w:sz w:val="24"/>
      <w:szCs w:val="24"/>
    </w:rPr>
  </w:style>
  <w:style w:type="character" w:styleId="1098" w:customStyle="1">
    <w:name w:val="超链接1"/>
    <w:link w:val="894"/>
    <w:uiPriority w:val="0"/>
    <w:qFormat/>
    <w:rPr>
      <w:rFonts w:ascii="Times New Roman" w:hAnsi="Times New Roman" w:eastAsia="宋体"/>
      <w:sz w:val="21"/>
      <w:szCs w:val="24"/>
      <w:lang w:val="en-US" w:eastAsia="zh-CN" w:bidi="ar-SA"/>
    </w:rPr>
  </w:style>
  <w:style w:type="character" w:styleId="1099" w:customStyle="1">
    <w:name w:val="章标题 Char"/>
    <w:link w:val="893"/>
    <w:uiPriority w:val="0"/>
    <w:qFormat/>
    <w:rPr>
      <w:rFonts w:ascii="黑体" w:eastAsia="黑体"/>
      <w:sz w:val="21"/>
      <w:szCs w:val="22"/>
    </w:rPr>
  </w:style>
  <w:style w:type="character" w:styleId="1100" w:customStyle="1">
    <w:name w:val="副标题 Char"/>
    <w:link w:val="1101"/>
    <w:uiPriority w:val="11"/>
    <w:qFormat/>
    <w:rPr>
      <w:sz w:val="24"/>
      <w:szCs w:val="24"/>
    </w:rPr>
  </w:style>
  <w:style w:type="paragraph" w:styleId="1101" w:customStyle="1">
    <w:name w:val="副标题1"/>
    <w:basedOn w:val="872"/>
    <w:next w:val="872"/>
    <w:link w:val="1100"/>
    <w:uiPriority w:val="11"/>
    <w:qFormat/>
    <w:pPr>
      <w:spacing w:before="200" w:after="200"/>
    </w:pPr>
    <w:rPr>
      <w:sz w:val="24"/>
    </w:rPr>
  </w:style>
  <w:style w:type="character" w:styleId="1102" w:customStyle="1">
    <w:name w:val="Char Char29"/>
    <w:uiPriority w:val="0"/>
    <w:qFormat/>
    <w:rPr>
      <w:rFonts w:ascii="Arial" w:hAnsi="Arial" w:eastAsia="黑体"/>
      <w:b/>
      <w:bCs/>
      <w:sz w:val="28"/>
      <w:szCs w:val="28"/>
      <w:lang w:val="en-US" w:eastAsia="zh-CN" w:bidi="ar-SA"/>
    </w:rPr>
  </w:style>
  <w:style w:type="character" w:styleId="1103" w:customStyle="1">
    <w:name w:val="font131"/>
    <w:uiPriority w:val="99"/>
    <w:qFormat/>
    <w:rPr>
      <w:rFonts w:ascii="Tahoma" w:hAnsi="Tahoma" w:cs="Tahoma"/>
      <w:color w:val="333333"/>
      <w:sz w:val="20"/>
      <w:szCs w:val="20"/>
      <w:u w:val="none"/>
    </w:rPr>
  </w:style>
  <w:style w:type="character" w:styleId="1104" w:customStyle="1">
    <w:name w:val="纯文本 Char1"/>
    <w:uiPriority w:val="0"/>
    <w:semiHidden/>
    <w:qFormat/>
    <w:rPr>
      <w:rFonts w:ascii="宋体" w:hAnsi="Courier New" w:cs="Courier New"/>
      <w:sz w:val="21"/>
      <w:szCs w:val="21"/>
    </w:rPr>
  </w:style>
  <w:style w:type="character" w:styleId="1105" w:customStyle="1">
    <w:name w:val="缺省文本 Char"/>
    <w:link w:val="1106"/>
    <w:uiPriority w:val="0"/>
    <w:qFormat/>
    <w:rPr>
      <w:rFonts w:ascii="Arial" w:hAnsi="Arial"/>
      <w:sz w:val="24"/>
      <w:szCs w:val="21"/>
    </w:rPr>
  </w:style>
  <w:style w:type="paragraph" w:styleId="1106" w:customStyle="1">
    <w:name w:val="缺省文本"/>
    <w:basedOn w:val="872"/>
    <w:link w:val="1105"/>
    <w:uiPriority w:val="0"/>
    <w:qFormat/>
    <w:pPr>
      <w:jc w:val="left"/>
      <w:spacing w:line="360" w:lineRule="auto"/>
    </w:pPr>
    <w:rPr>
      <w:rFonts w:ascii="Arial" w:hAnsi="Arial"/>
      <w:sz w:val="24"/>
      <w:szCs w:val="21"/>
    </w:rPr>
  </w:style>
  <w:style w:type="character" w:styleId="1107" w:customStyle="1">
    <w:name w:val="正文文本 3 Char"/>
    <w:link w:val="1108"/>
    <w:uiPriority w:val="0"/>
    <w:qFormat/>
    <w:rPr>
      <w:rFonts w:ascii="仿宋_GB2312" w:hAnsi="Arial" w:eastAsia="仿宋_GB2312"/>
      <w:sz w:val="32"/>
      <w:szCs w:val="32"/>
    </w:rPr>
  </w:style>
  <w:style w:type="paragraph" w:styleId="1108" w:customStyle="1">
    <w:name w:val="正文文本 31"/>
    <w:basedOn w:val="872"/>
    <w:link w:val="1107"/>
    <w:uiPriority w:val="0"/>
    <w:qFormat/>
    <w:rPr>
      <w:rFonts w:ascii="仿宋_GB2312" w:hAnsi="Arial" w:eastAsia="仿宋_GB2312"/>
      <w:sz w:val="32"/>
      <w:szCs w:val="32"/>
    </w:rPr>
  </w:style>
  <w:style w:type="character" w:styleId="1109" w:customStyle="1">
    <w:name w:val="font81"/>
    <w:uiPriority w:val="99"/>
    <w:qFormat/>
    <w:rPr>
      <w:rFonts w:ascii="仿宋_GB2312" w:eastAsia="仿宋_GB2312" w:cs="仿宋_GB2312"/>
      <w:b/>
      <w:color w:val="000000"/>
      <w:sz w:val="24"/>
      <w:szCs w:val="24"/>
      <w:u w:val="none"/>
    </w:rPr>
  </w:style>
  <w:style w:type="character" w:styleId="1110" w:customStyle="1">
    <w:name w:val="正文文本 Char1"/>
    <w:link w:val="1039"/>
    <w:uiPriority w:val="0"/>
    <w:qFormat/>
    <w:rPr>
      <w:sz w:val="21"/>
      <w:szCs w:val="24"/>
    </w:rPr>
  </w:style>
  <w:style w:type="character" w:styleId="1111" w:customStyle="1">
    <w:name w:val="Footnote Text Char"/>
    <w:uiPriority w:val="99"/>
    <w:qFormat/>
    <w:rPr>
      <w:sz w:val="18"/>
    </w:rPr>
  </w:style>
  <w:style w:type="character" w:styleId="1112" w:customStyle="1">
    <w:name w:val="标题 2 字符"/>
    <w:link w:val="948"/>
    <w:uiPriority w:val="0"/>
    <w:qFormat/>
    <w:rPr>
      <w:rFonts w:ascii="Cambria" w:hAnsi="Cambria"/>
      <w:b/>
      <w:bCs/>
      <w:sz w:val="28"/>
      <w:szCs w:val="32"/>
    </w:rPr>
  </w:style>
  <w:style w:type="character" w:styleId="1113" w:customStyle="1">
    <w:name w:val="Char Char17"/>
    <w:uiPriority w:val="0"/>
    <w:qFormat/>
    <w:rPr>
      <w:rFonts w:eastAsia="宋体"/>
      <w:sz w:val="18"/>
      <w:szCs w:val="18"/>
      <w:lang w:bidi="ar-SA"/>
    </w:rPr>
  </w:style>
  <w:style w:type="character" w:styleId="1114" w:customStyle="1">
    <w:name w:val="正文文本 3 字符"/>
    <w:uiPriority w:val="0"/>
    <w:qFormat/>
    <w:rPr>
      <w:sz w:val="20"/>
    </w:rPr>
  </w:style>
  <w:style w:type="character" w:styleId="1115" w:customStyle="1">
    <w:name w:val="二级条标题 Char"/>
    <w:link w:val="1016"/>
    <w:uiPriority w:val="0"/>
    <w:qFormat/>
    <w:rPr>
      <w:rFonts w:ascii="黑体" w:hAnsi="宋体" w:eastAsia="黑体"/>
    </w:rPr>
  </w:style>
  <w:style w:type="character" w:styleId="1116" w:customStyle="1">
    <w:name w:val="三级条标题 Char"/>
    <w:link w:val="1117"/>
    <w:uiPriority w:val="0"/>
    <w:qFormat/>
    <w:rPr>
      <w:rFonts w:ascii="黑体" w:hAnsi="宋体" w:eastAsia="黑体"/>
    </w:rPr>
  </w:style>
  <w:style w:type="paragraph" w:styleId="1117" w:customStyle="1">
    <w:name w:val="三级条标题"/>
    <w:basedOn w:val="1016"/>
    <w:next w:val="947"/>
    <w:link w:val="1116"/>
    <w:uiPriority w:val="0"/>
    <w:qFormat/>
    <w:pPr>
      <w:outlineLvl w:val="4"/>
    </w:pPr>
  </w:style>
  <w:style w:type="character" w:styleId="1118" w:customStyle="1">
    <w:name w:val="Table Heading Char"/>
    <w:link w:val="1119"/>
    <w:uiPriority w:val="0"/>
    <w:qFormat/>
    <w:rPr>
      <w:rFonts w:ascii="Arial" w:hAnsi="Arial" w:eastAsia="黑体"/>
      <w:sz w:val="18"/>
      <w:szCs w:val="22"/>
      <w:lang w:eastAsia="en-US"/>
    </w:rPr>
  </w:style>
  <w:style w:type="paragraph" w:styleId="1119" w:customStyle="1">
    <w:name w:val="Table Heading"/>
    <w:link w:val="1118"/>
    <w:uiPriority w:val="0"/>
    <w:qFormat/>
    <w:pPr>
      <w:jc w:val="center"/>
      <w:keepNext/>
      <w:spacing w:line="360" w:lineRule="atLeast"/>
      <w:widowControl w:val="off"/>
    </w:pPr>
    <w:rPr>
      <w:rFonts w:hint="default" w:ascii="Arial" w:hAnsi="Arial" w:eastAsia="黑体" w:cs="Times New Roman"/>
      <w:sz w:val="18"/>
      <w:szCs w:val="22"/>
      <w:lang w:val="en-US" w:eastAsia="en-US" w:bidi="ar-SA"/>
    </w:rPr>
  </w:style>
  <w:style w:type="character" w:styleId="1120" w:customStyle="1">
    <w:name w:val="明显强调1"/>
    <w:uiPriority w:val="0"/>
    <w:qFormat/>
    <w:rPr>
      <w:i/>
      <w:color w:val="000000"/>
      <w:sz w:val="21"/>
    </w:rPr>
  </w:style>
  <w:style w:type="character" w:styleId="1121" w:customStyle="1">
    <w:name w:val="Plain Text Char1"/>
    <w:uiPriority w:val="99"/>
    <w:semiHidden/>
    <w:qFormat/>
    <w:rPr>
      <w:rFonts w:ascii="宋体" w:hAnsi="Courier New" w:cs="Courier New"/>
      <w:sz w:val="21"/>
      <w:szCs w:val="21"/>
    </w:rPr>
  </w:style>
  <w:style w:type="character" w:styleId="1122" w:customStyle="1">
    <w:name w:val="页眉 Char"/>
    <w:link w:val="1123"/>
    <w:uiPriority w:val="99"/>
    <w:qFormat/>
    <w:rPr>
      <w:sz w:val="18"/>
      <w:szCs w:val="18"/>
    </w:rPr>
  </w:style>
  <w:style w:type="paragraph" w:styleId="1123" w:customStyle="1">
    <w:name w:val="页眉11"/>
    <w:basedOn w:val="872"/>
    <w:link w:val="1122"/>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124" w:customStyle="1">
    <w:name w:val="Item List Char"/>
    <w:link w:val="1125"/>
    <w:uiPriority w:val="0"/>
    <w:qFormat/>
    <w:rPr>
      <w:rFonts w:eastAsia="Times New Roman" w:cs="Arial"/>
      <w:sz w:val="21"/>
      <w:szCs w:val="21"/>
    </w:rPr>
  </w:style>
  <w:style w:type="paragraph" w:styleId="1125" w:customStyle="1">
    <w:name w:val="Item List"/>
    <w:link w:val="1124"/>
    <w:uiPriority w:val="0"/>
    <w:qFormat/>
    <w:pPr>
      <w:ind w:left="810" w:hanging="330"/>
      <w:spacing w:before="80" w:after="80" w:line="240" w:lineRule="atLeast"/>
      <w:tabs>
        <w:tab w:val="left" w:pos="810" w:leader="none"/>
        <w:tab w:val="left" w:pos="2126" w:leader="none"/>
      </w:tabs>
    </w:pPr>
    <w:rPr>
      <w:rFonts w:hint="default" w:ascii="Times New Roman" w:hAnsi="Times New Roman" w:eastAsia="Times New Roman" w:cs="Arial"/>
      <w:sz w:val="21"/>
      <w:szCs w:val="21"/>
      <w:lang w:val="en-US" w:eastAsia="zh-CN" w:bidi="ar-SA"/>
    </w:rPr>
  </w:style>
  <w:style w:type="character" w:styleId="1126" w:customStyle="1">
    <w:name w:val="列表段落 字符"/>
    <w:link w:val="1127"/>
    <w:uiPriority w:val="0"/>
    <w:qFormat/>
    <w:rPr>
      <w:sz w:val="21"/>
      <w:szCs w:val="24"/>
      <w:lang w:val="en-US" w:eastAsia="zh-CN"/>
    </w:rPr>
  </w:style>
  <w:style w:type="paragraph" w:styleId="1127" w:customStyle="1">
    <w:name w:val="_Style 34"/>
    <w:basedOn w:val="872"/>
    <w:next w:val="1128"/>
    <w:link w:val="1126"/>
    <w:uiPriority w:val="0"/>
    <w:qFormat/>
    <w:pPr>
      <w:ind w:firstLine="420"/>
      <w:spacing w:line="274" w:lineRule="auto"/>
    </w:pPr>
  </w:style>
  <w:style w:type="paragraph" w:styleId="1128" w:customStyle="1">
    <w:name w:val="列出段落1"/>
    <w:basedOn w:val="872"/>
    <w:link w:val="1211"/>
    <w:uiPriority w:val="0"/>
    <w:qFormat/>
    <w:pPr>
      <w:contextualSpacing/>
      <w:ind w:left="720"/>
    </w:pPr>
  </w:style>
  <w:style w:type="character" w:styleId="1129" w:customStyle="1">
    <w:name w:val="NormalCharacter11"/>
    <w:uiPriority w:val="0"/>
    <w:semiHidden/>
    <w:qFormat/>
    <w:rPr>
      <w:rFonts w:ascii="Times New Roman" w:hAnsi="Times New Roman" w:eastAsia="宋体" w:cs="Times New Roman"/>
      <w:sz w:val="21"/>
      <w:szCs w:val="24"/>
    </w:rPr>
  </w:style>
  <w:style w:type="character" w:styleId="1130" w:customStyle="1">
    <w:name w:val="正文缩进 字符"/>
    <w:uiPriority w:val="0"/>
    <w:qFormat/>
    <w:rPr>
      <w:sz w:val="20"/>
    </w:rPr>
  </w:style>
  <w:style w:type="character" w:styleId="1131" w:customStyle="1">
    <w:name w:val="纯文本 字符"/>
    <w:uiPriority w:val="0"/>
    <w:qFormat/>
    <w:rPr>
      <w:sz w:val="20"/>
    </w:rPr>
  </w:style>
  <w:style w:type="character" w:styleId="1132" w:customStyle="1">
    <w:name w:val="标题 1 字符"/>
    <w:uiPriority w:val="0"/>
    <w:qFormat/>
    <w:rPr>
      <w:b/>
      <w:sz w:val="20"/>
    </w:rPr>
  </w:style>
  <w:style w:type="character" w:styleId="1133" w:customStyle="1">
    <w:name w:val="日期 Char1"/>
    <w:uiPriority w:val="99"/>
    <w:semiHidden/>
    <w:qFormat/>
    <w:rPr>
      <w:sz w:val="21"/>
      <w:szCs w:val="24"/>
    </w:rPr>
  </w:style>
  <w:style w:type="character" w:styleId="1134" w:customStyle="1">
    <w:name w:val="书籍标题1"/>
    <w:uiPriority w:val="0"/>
    <w:qFormat/>
    <w:rPr>
      <w:b/>
      <w:i/>
      <w:sz w:val="21"/>
    </w:rPr>
  </w:style>
  <w:style w:type="character" w:styleId="1135" w:customStyle="1">
    <w:name w:val="正文文本 2 Char"/>
    <w:link w:val="1136"/>
    <w:uiPriority w:val="0"/>
    <w:qFormat/>
    <w:rPr>
      <w:rFonts w:ascii="楷体_GB2312" w:eastAsia="楷体_GB2312"/>
      <w:sz w:val="28"/>
      <w:szCs w:val="28"/>
    </w:rPr>
  </w:style>
  <w:style w:type="paragraph" w:styleId="1136" w:customStyle="1">
    <w:name w:val="正文文本 21"/>
    <w:basedOn w:val="872"/>
    <w:link w:val="1135"/>
    <w:uiPriority w:val="0"/>
    <w:qFormat/>
    <w:pPr>
      <w:jc w:val="center"/>
      <w:widowControl/>
    </w:pPr>
    <w:rPr>
      <w:rFonts w:ascii="楷体_GB2312" w:eastAsia="楷体_GB2312"/>
      <w:sz w:val="28"/>
      <w:szCs w:val="28"/>
    </w:rPr>
  </w:style>
  <w:style w:type="character" w:styleId="1137" w:customStyle="1">
    <w:name w:val="Heading 2 Char"/>
    <w:uiPriority w:val="9"/>
    <w:qFormat/>
    <w:rPr>
      <w:rFonts w:ascii="Arial" w:hAnsi="Arial" w:eastAsia="Arial" w:cs="Arial"/>
      <w:sz w:val="34"/>
    </w:rPr>
  </w:style>
  <w:style w:type="character" w:styleId="1138" w:customStyle="1">
    <w:name w:val="Heading 7 Char"/>
    <w:link w:val="1139"/>
    <w:uiPriority w:val="9"/>
    <w:qFormat/>
    <w:rPr>
      <w:rFonts w:ascii="Arial" w:hAnsi="Arial" w:eastAsia="Arial" w:cs="Arial"/>
      <w:b/>
      <w:bCs/>
      <w:i/>
      <w:iCs/>
      <w:sz w:val="22"/>
      <w:szCs w:val="22"/>
    </w:rPr>
  </w:style>
  <w:style w:type="paragraph" w:styleId="1139" w:customStyle="1">
    <w:name w:val="标题 71"/>
    <w:basedOn w:val="872"/>
    <w:next w:val="872"/>
    <w:link w:val="1138"/>
    <w:uiPriority w:val="9"/>
    <w:unhideWhenUsed/>
    <w:qFormat/>
    <w:pPr>
      <w:keepLines/>
      <w:keepNext/>
      <w:spacing w:before="320" w:after="200"/>
      <w:outlineLvl w:val="6"/>
    </w:pPr>
    <w:rPr>
      <w:rFonts w:ascii="Arial" w:hAnsi="Arial" w:eastAsia="Arial" w:cs="Arial"/>
      <w:b/>
      <w:bCs/>
      <w:i/>
      <w:iCs/>
      <w:sz w:val="22"/>
      <w:szCs w:val="22"/>
    </w:rPr>
  </w:style>
  <w:style w:type="character" w:styleId="1140" w:customStyle="1">
    <w:name w:val="HTML 预设格式 字符"/>
    <w:uiPriority w:val="0"/>
    <w:qFormat/>
    <w:rPr>
      <w:sz w:val="20"/>
    </w:rPr>
  </w:style>
  <w:style w:type="character" w:styleId="1141" w:customStyle="1">
    <w:name w:val="正文文本 (2)_"/>
    <w:link w:val="1142"/>
    <w:uiPriority w:val="0"/>
    <w:qFormat/>
    <w:rPr>
      <w:rFonts w:ascii="MingLiU" w:hAnsi="MingLiU" w:eastAsia="MingLiU"/>
      <w:spacing w:val="10"/>
      <w:sz w:val="18"/>
      <w:szCs w:val="18"/>
      <w:shd w:val="clear" w:color="auto" w:fill="ffffff"/>
    </w:rPr>
  </w:style>
  <w:style w:type="paragraph" w:styleId="1142" w:customStyle="1">
    <w:name w:val="正文文本 (2)11"/>
    <w:basedOn w:val="872"/>
    <w:link w:val="1141"/>
    <w:uiPriority w:val="0"/>
    <w:qFormat/>
    <w:pPr>
      <w:jc w:val="left"/>
      <w:spacing w:after="1620" w:line="216" w:lineRule="exact"/>
      <w:shd w:val="clear" w:color="auto" w:fill="ffffff"/>
    </w:pPr>
    <w:rPr>
      <w:rFonts w:ascii="MingLiU" w:hAnsi="MingLiU" w:eastAsia="MingLiU"/>
      <w:spacing w:val="10"/>
      <w:sz w:val="18"/>
      <w:szCs w:val="18"/>
      <w:shd w:val="clear" w:color="auto" w:fill="ffffff"/>
    </w:rPr>
  </w:style>
  <w:style w:type="character" w:styleId="1143" w:customStyle="1">
    <w:name w:val="font101"/>
    <w:uiPriority w:val="99"/>
    <w:qFormat/>
    <w:rPr>
      <w:rFonts w:hint="eastAsia" w:ascii="宋体" w:hAnsi="宋体" w:eastAsia="宋体" w:cs="宋体"/>
      <w:b/>
      <w:color w:val="000000"/>
      <w:sz w:val="20"/>
      <w:szCs w:val="20"/>
      <w:u w:val="none"/>
    </w:rPr>
  </w:style>
  <w:style w:type="character" w:styleId="1144" w:customStyle="1">
    <w:name w:val="font51"/>
    <w:uiPriority w:val="0"/>
    <w:qFormat/>
    <w:rPr>
      <w:rFonts w:hint="eastAsia" w:ascii="宋体" w:hAnsi="宋体" w:eastAsia="宋体" w:cs="宋体"/>
      <w:b/>
      <w:color w:val="000000"/>
      <w:sz w:val="36"/>
      <w:szCs w:val="36"/>
      <w:u w:val="none"/>
    </w:rPr>
  </w:style>
  <w:style w:type="character" w:styleId="1145" w:customStyle="1">
    <w:name w:val="font41"/>
    <w:uiPriority w:val="0"/>
    <w:qFormat/>
    <w:rPr>
      <w:rFonts w:hint="eastAsia" w:ascii="宋体" w:hAnsi="宋体" w:eastAsia="宋体" w:cs="宋体"/>
      <w:color w:val="000000"/>
      <w:sz w:val="22"/>
      <w:szCs w:val="22"/>
      <w:u w:val="none"/>
    </w:rPr>
  </w:style>
  <w:style w:type="character" w:styleId="1146" w:customStyle="1">
    <w:name w:val="曹阿龙 Char"/>
    <w:link w:val="1147"/>
    <w:uiPriority w:val="0"/>
    <w:qFormat/>
    <w:rPr>
      <w:rFonts w:ascii="宋体" w:hAnsi="宋体" w:eastAsia="幼圆"/>
      <w:b/>
      <w:bCs/>
      <w:sz w:val="28"/>
      <w:szCs w:val="28"/>
    </w:rPr>
  </w:style>
  <w:style w:type="paragraph" w:styleId="1147" w:customStyle="1">
    <w:name w:val="曹阿龙"/>
    <w:basedOn w:val="945"/>
    <w:link w:val="1146"/>
    <w:uiPriority w:val="0"/>
    <w:qFormat/>
    <w:pPr>
      <w:ind w:firstLine="561"/>
      <w:jc w:val="left"/>
      <w:spacing w:line="400" w:lineRule="exact"/>
    </w:pPr>
    <w:rPr>
      <w:rFonts w:ascii="宋体" w:hAnsi="宋体" w:eastAsia="幼圆"/>
      <w:sz w:val="28"/>
      <w:szCs w:val="28"/>
    </w:rPr>
  </w:style>
  <w:style w:type="character" w:styleId="1148" w:customStyle="1">
    <w:name w:val="标题 3 Char"/>
    <w:link w:val="966"/>
    <w:uiPriority w:val="9"/>
    <w:qFormat/>
    <w:rPr>
      <w:b/>
      <w:bCs/>
      <w:sz w:val="32"/>
      <w:szCs w:val="32"/>
    </w:rPr>
  </w:style>
  <w:style w:type="character" w:styleId="1149" w:customStyle="1">
    <w:name w:val="明显引用 Char"/>
    <w:link w:val="1150"/>
    <w:uiPriority w:val="30"/>
    <w:qFormat/>
    <w:rPr>
      <w:i/>
    </w:rPr>
  </w:style>
  <w:style w:type="paragraph" w:styleId="1150" w:customStyle="1">
    <w:name w:val="明显引用1"/>
    <w:basedOn w:val="872"/>
    <w:next w:val="872"/>
    <w:link w:val="114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51" w:customStyle="1">
    <w:name w:val="wwwww Char"/>
    <w:link w:val="1152"/>
    <w:uiPriority w:val="0"/>
    <w:qFormat/>
    <w:rPr>
      <w:rFonts w:ascii="宋体" w:hAnsi="宋体"/>
      <w:sz w:val="24"/>
      <w:szCs w:val="21"/>
    </w:rPr>
  </w:style>
  <w:style w:type="paragraph" w:styleId="1152" w:customStyle="1">
    <w:name w:val="wwwww"/>
    <w:basedOn w:val="872"/>
    <w:link w:val="1151"/>
    <w:uiPriority w:val="0"/>
    <w:qFormat/>
    <w:pPr>
      <w:spacing w:line="400" w:lineRule="exact"/>
      <w:widowControl/>
    </w:pPr>
    <w:rPr>
      <w:rFonts w:ascii="宋体" w:hAnsi="宋体"/>
      <w:sz w:val="24"/>
      <w:szCs w:val="21"/>
    </w:rPr>
  </w:style>
  <w:style w:type="character" w:styleId="1153" w:customStyle="1">
    <w:name w:val="普通(网站) Char"/>
    <w:link w:val="1154"/>
    <w:uiPriority w:val="99"/>
    <w:qFormat/>
    <w:rPr>
      <w:rFonts w:ascii="宋体" w:hAnsi="宋体" w:cs="宋体"/>
      <w:sz w:val="24"/>
      <w:szCs w:val="24"/>
    </w:rPr>
  </w:style>
  <w:style w:type="paragraph" w:styleId="1154" w:customStyle="1">
    <w:name w:val="普通(网站)11"/>
    <w:basedOn w:val="872"/>
    <w:link w:val="1153"/>
    <w:uiPriority w:val="0"/>
    <w:qFormat/>
    <w:pPr>
      <w:jc w:val="left"/>
      <w:spacing w:before="100" w:beforeAutospacing="1" w:after="100" w:afterAutospacing="1"/>
      <w:widowControl/>
    </w:pPr>
    <w:rPr>
      <w:rFonts w:ascii="宋体" w:hAnsi="宋体"/>
      <w:sz w:val="24"/>
    </w:rPr>
  </w:style>
  <w:style w:type="character" w:styleId="1155" w:customStyle="1">
    <w:name w:val="文档结构图 字符"/>
    <w:uiPriority w:val="0"/>
    <w:semiHidden/>
    <w:qFormat/>
    <w:rPr>
      <w:sz w:val="20"/>
    </w:rPr>
  </w:style>
  <w:style w:type="character" w:styleId="1156" w:customStyle="1">
    <w:name w:val="Title Char"/>
    <w:uiPriority w:val="10"/>
    <w:qFormat/>
    <w:rPr>
      <w:sz w:val="48"/>
      <w:szCs w:val="48"/>
    </w:rPr>
  </w:style>
  <w:style w:type="character" w:styleId="1157" w:customStyle="1">
    <w:name w:val="标题 5 Char"/>
    <w:link w:val="968"/>
    <w:uiPriority w:val="99"/>
    <w:qFormat/>
    <w:rPr>
      <w:b/>
      <w:bCs/>
      <w:sz w:val="28"/>
      <w:szCs w:val="28"/>
    </w:rPr>
  </w:style>
  <w:style w:type="character" w:styleId="1158" w:customStyle="1">
    <w:name w:val="首行缩进正文 Char"/>
    <w:link w:val="1159"/>
    <w:uiPriority w:val="0"/>
    <w:qFormat/>
    <w:rPr>
      <w:rFonts w:ascii="微软雅黑" w:hAnsi="微软雅黑" w:eastAsia="微软雅黑"/>
      <w:sz w:val="24"/>
      <w:szCs w:val="24"/>
    </w:rPr>
  </w:style>
  <w:style w:type="paragraph" w:styleId="1159" w:customStyle="1">
    <w:name w:val="首行缩进正文"/>
    <w:basedOn w:val="872"/>
    <w:link w:val="1158"/>
    <w:uiPriority w:val="0"/>
    <w:qFormat/>
    <w:pPr>
      <w:ind w:firstLine="420"/>
      <w:jc w:val="left"/>
      <w:spacing w:line="400" w:lineRule="exact"/>
      <w:widowControl/>
    </w:pPr>
    <w:rPr>
      <w:rFonts w:ascii="微软雅黑" w:hAnsi="微软雅黑" w:eastAsia="微软雅黑"/>
      <w:sz w:val="20"/>
    </w:rPr>
  </w:style>
  <w:style w:type="character" w:styleId="1160" w:customStyle="1">
    <w:name w:val="尾注文本 字符"/>
    <w:uiPriority w:val="0"/>
    <w:qFormat/>
    <w:rPr>
      <w:sz w:val="20"/>
    </w:rPr>
  </w:style>
  <w:style w:type="character" w:styleId="1161" w:customStyle="1">
    <w:name w:val="正文文本缩进 Char2"/>
    <w:uiPriority w:val="99"/>
    <w:semiHidden/>
    <w:qFormat/>
    <w:rPr>
      <w:sz w:val="21"/>
      <w:szCs w:val="24"/>
    </w:rPr>
  </w:style>
  <w:style w:type="character" w:styleId="1162" w:customStyle="1">
    <w:name w:val="Heading 5 Char"/>
    <w:uiPriority w:val="9"/>
    <w:qFormat/>
    <w:rPr>
      <w:rFonts w:ascii="Arial" w:hAnsi="Arial" w:eastAsia="Arial" w:cs="Arial"/>
      <w:b/>
      <w:bCs/>
      <w:sz w:val="24"/>
      <w:szCs w:val="24"/>
    </w:rPr>
  </w:style>
  <w:style w:type="character" w:styleId="1163" w:customStyle="1">
    <w:name w:val="表蕊 Char1"/>
    <w:link w:val="1164"/>
    <w:uiPriority w:val="0"/>
    <w:qFormat/>
    <w:rPr>
      <w:rFonts w:eastAsia="楷体_GB2312"/>
      <w:spacing w:val="-10"/>
    </w:rPr>
  </w:style>
  <w:style w:type="paragraph" w:styleId="1164" w:customStyle="1">
    <w:name w:val="表蕊"/>
    <w:basedOn w:val="872"/>
    <w:link w:val="1163"/>
    <w:uiPriority w:val="0"/>
    <w:qFormat/>
    <w:pPr>
      <w:jc w:val="left"/>
      <w:spacing w:line="320" w:lineRule="atLeast"/>
    </w:pPr>
    <w:rPr>
      <w:rFonts w:eastAsia="楷体_GB2312"/>
      <w:spacing w:val="-10"/>
      <w:sz w:val="20"/>
      <w:szCs w:val="20"/>
    </w:rPr>
  </w:style>
  <w:style w:type="character" w:styleId="1165" w:customStyle="1">
    <w:name w:val="标题 6 Char"/>
    <w:link w:val="969"/>
    <w:uiPriority w:val="0"/>
    <w:qFormat/>
    <w:rPr>
      <w:rFonts w:ascii="Arial" w:hAnsi="Arial" w:eastAsia="黑体"/>
      <w:b/>
      <w:bCs/>
      <w:sz w:val="24"/>
      <w:szCs w:val="24"/>
      <w:lang w:val="zh-CN" w:eastAsia="zh-CN"/>
    </w:rPr>
  </w:style>
  <w:style w:type="character" w:styleId="1166" w:customStyle="1">
    <w:name w:val="font31"/>
    <w:uiPriority w:val="0"/>
    <w:qFormat/>
    <w:rPr>
      <w:rFonts w:ascii="Calibri" w:hAnsi="Calibri" w:eastAsia="宋体" w:cs="Calibri"/>
      <w:color w:val="000000"/>
      <w:sz w:val="22"/>
      <w:szCs w:val="22"/>
      <w:u w:val="none"/>
    </w:rPr>
  </w:style>
  <w:style w:type="character" w:styleId="1167" w:customStyle="1">
    <w:name w:val="Heading 8 Char"/>
    <w:link w:val="1168"/>
    <w:uiPriority w:val="9"/>
    <w:qFormat/>
    <w:rPr>
      <w:rFonts w:ascii="Arial" w:hAnsi="Arial" w:eastAsia="Arial" w:cs="Arial"/>
      <w:i/>
      <w:iCs/>
      <w:sz w:val="22"/>
      <w:szCs w:val="22"/>
    </w:rPr>
  </w:style>
  <w:style w:type="paragraph" w:styleId="1168" w:customStyle="1">
    <w:name w:val="标题 81"/>
    <w:basedOn w:val="872"/>
    <w:next w:val="872"/>
    <w:link w:val="1167"/>
    <w:uiPriority w:val="9"/>
    <w:unhideWhenUsed/>
    <w:qFormat/>
    <w:pPr>
      <w:keepLines/>
      <w:keepNext/>
      <w:spacing w:before="320" w:after="200"/>
      <w:outlineLvl w:val="7"/>
    </w:pPr>
    <w:rPr>
      <w:rFonts w:ascii="Arial" w:hAnsi="Arial" w:eastAsia="Arial" w:cs="Arial"/>
      <w:i/>
      <w:iCs/>
      <w:sz w:val="22"/>
      <w:szCs w:val="22"/>
    </w:rPr>
  </w:style>
  <w:style w:type="character" w:styleId="1169" w:customStyle="1">
    <w:name w:val="font111"/>
    <w:uiPriority w:val="99"/>
    <w:qFormat/>
    <w:rPr>
      <w:rFonts w:ascii="Verdana" w:hAnsi="Verdana" w:cs="Verdana"/>
      <w:color w:val="333333"/>
      <w:sz w:val="20"/>
      <w:szCs w:val="20"/>
      <w:u w:val="none"/>
    </w:rPr>
  </w:style>
  <w:style w:type="character" w:styleId="1170" w:customStyle="1">
    <w:name w:val="HTML 地址 字符"/>
    <w:uiPriority w:val="0"/>
    <w:qFormat/>
    <w:rPr>
      <w:i/>
      <w:sz w:val="20"/>
    </w:rPr>
  </w:style>
  <w:style w:type="character" w:styleId="1171" w:customStyle="1">
    <w:name w:val="font11"/>
    <w:uiPriority w:val="0"/>
    <w:qFormat/>
    <w:rPr>
      <w:rFonts w:ascii="Times New Roman" w:hAnsi="Times New Roman" w:cs="Times New Roman"/>
      <w:color w:val="000000"/>
      <w:sz w:val="24"/>
      <w:szCs w:val="24"/>
      <w:u w:val="none"/>
    </w:rPr>
  </w:style>
  <w:style w:type="character" w:styleId="1172" w:customStyle="1">
    <w:name w:val="标题 7 Char"/>
    <w:link w:val="970"/>
    <w:uiPriority w:val="0"/>
    <w:qFormat/>
    <w:rPr>
      <w:b/>
      <w:bCs/>
      <w:sz w:val="24"/>
      <w:szCs w:val="24"/>
      <w:lang w:val="zh-CN" w:eastAsia="zh-CN"/>
    </w:rPr>
  </w:style>
  <w:style w:type="character" w:styleId="1173" w:customStyle="1">
    <w:name w:val="正文文本 (10)_"/>
    <w:link w:val="1174"/>
    <w:uiPriority w:val="0"/>
    <w:qFormat/>
    <w:rPr>
      <w:rFonts w:ascii="MingLiU" w:hAnsi="MingLiU" w:eastAsia="MingLiU"/>
      <w:spacing w:val="40"/>
      <w:sz w:val="19"/>
      <w:szCs w:val="19"/>
      <w:shd w:val="clear" w:color="auto" w:fill="ffffff"/>
    </w:rPr>
  </w:style>
  <w:style w:type="paragraph" w:styleId="1174" w:customStyle="1">
    <w:name w:val="正文文本 (10)6"/>
    <w:basedOn w:val="872"/>
    <w:link w:val="1173"/>
    <w:uiPriority w:val="0"/>
    <w:qFormat/>
    <w:pPr>
      <w:jc w:val="left"/>
      <w:spacing w:line="0" w:lineRule="atLeast"/>
      <w:shd w:val="clear" w:color="auto" w:fill="ffffff"/>
    </w:pPr>
    <w:rPr>
      <w:rFonts w:ascii="MingLiU" w:hAnsi="MingLiU" w:eastAsia="MingLiU"/>
      <w:spacing w:val="40"/>
      <w:sz w:val="19"/>
      <w:szCs w:val="19"/>
      <w:shd w:val="clear" w:color="auto" w:fill="ffffff"/>
    </w:rPr>
  </w:style>
  <w:style w:type="character" w:styleId="1175" w:customStyle="1">
    <w:name w:val="批注框文本 字符"/>
    <w:uiPriority w:val="0"/>
    <w:semiHidden/>
    <w:qFormat/>
    <w:rPr>
      <w:sz w:val="20"/>
    </w:rPr>
  </w:style>
  <w:style w:type="character" w:styleId="1176" w:customStyle="1">
    <w:name w:val="HTML 预设格式 Char2"/>
    <w:uiPriority w:val="99"/>
    <w:semiHidden/>
    <w:qFormat/>
    <w:rPr>
      <w:rFonts w:ascii="Courier New" w:hAnsi="Courier New" w:cs="Courier New"/>
    </w:rPr>
  </w:style>
  <w:style w:type="character" w:styleId="1177" w:customStyle="1">
    <w:name w:val="正文4 Char"/>
    <w:link w:val="1178"/>
    <w:uiPriority w:val="0"/>
    <w:qFormat/>
    <w:rPr>
      <w:rFonts w:eastAsia="楷体_GB2312"/>
      <w:spacing w:val="8"/>
      <w:sz w:val="28"/>
    </w:rPr>
  </w:style>
  <w:style w:type="paragraph" w:styleId="1178" w:customStyle="1">
    <w:name w:val="正文4"/>
    <w:basedOn w:val="872"/>
    <w:link w:val="1177"/>
    <w:uiPriority w:val="0"/>
    <w:qFormat/>
    <w:pPr>
      <w:ind w:firstLine="601"/>
      <w:spacing w:line="440" w:lineRule="exact"/>
    </w:pPr>
    <w:rPr>
      <w:rFonts w:eastAsia="楷体_GB2312"/>
      <w:spacing w:val="8"/>
      <w:sz w:val="28"/>
      <w:szCs w:val="20"/>
    </w:rPr>
  </w:style>
  <w:style w:type="character" w:styleId="1179" w:customStyle="1">
    <w:name w:val="Char Char33"/>
    <w:uiPriority w:val="0"/>
    <w:qFormat/>
    <w:rPr>
      <w:rFonts w:eastAsia="方正仿宋_GBK"/>
      <w:b/>
      <w:sz w:val="44"/>
      <w:lang w:val="en-US" w:eastAsia="zh-CN" w:bidi="ar-SA"/>
    </w:rPr>
  </w:style>
  <w:style w:type="character" w:styleId="1180" w:customStyle="1">
    <w:name w:val="标题 8 Char"/>
    <w:link w:val="971"/>
    <w:uiPriority w:val="0"/>
    <w:qFormat/>
    <w:rPr>
      <w:rFonts w:ascii="Arial" w:hAnsi="Arial" w:eastAsia="黑体"/>
      <w:sz w:val="24"/>
      <w:szCs w:val="24"/>
      <w:lang w:val="zh-CN" w:eastAsia="zh-CN"/>
    </w:rPr>
  </w:style>
  <w:style w:type="character" w:styleId="1181" w:customStyle="1">
    <w:name w:val="标题 8 字符"/>
    <w:uiPriority w:val="0"/>
    <w:qFormat/>
    <w:rPr>
      <w:sz w:val="20"/>
    </w:rPr>
  </w:style>
  <w:style w:type="character" w:styleId="1182" w:customStyle="1">
    <w:name w:val="正文文本 Char"/>
    <w:uiPriority w:val="0"/>
    <w:qFormat/>
    <w:rPr>
      <w:rFonts w:ascii="楷体_GB2312" w:hAnsi="Arial" w:eastAsia="楷体_GB2312"/>
      <w:sz w:val="28"/>
      <w:szCs w:val="28"/>
      <w:lang w:bidi="ar-SA"/>
    </w:rPr>
  </w:style>
  <w:style w:type="character" w:styleId="1183" w:customStyle="1">
    <w:name w:val="批注主题 字符"/>
    <w:uiPriority w:val="0"/>
    <w:qFormat/>
    <w:rPr>
      <w:b/>
      <w:sz w:val="20"/>
    </w:rPr>
  </w:style>
  <w:style w:type="character" w:styleId="1184" w:customStyle="1">
    <w:name w:val="HTML 预设格式 Char1"/>
    <w:uiPriority w:val="99"/>
    <w:semiHidden/>
    <w:qFormat/>
    <w:rPr>
      <w:rFonts w:ascii="Courier New" w:hAnsi="Courier New" w:eastAsia="仿宋_GB2312" w:cs="Courier New"/>
    </w:rPr>
  </w:style>
  <w:style w:type="character" w:styleId="1185" w:customStyle="1">
    <w:name w:val="标题 9 Char"/>
    <w:link w:val="972"/>
    <w:uiPriority w:val="0"/>
    <w:qFormat/>
    <w:rPr>
      <w:rFonts w:ascii="Arial" w:hAnsi="Arial" w:eastAsia="黑体"/>
      <w:sz w:val="21"/>
      <w:szCs w:val="21"/>
      <w:lang w:val="zh-CN" w:eastAsia="zh-CN"/>
    </w:rPr>
  </w:style>
  <w:style w:type="character" w:styleId="1186" w:customStyle="1">
    <w:name w:val="标题 B Char"/>
    <w:link w:val="1187"/>
    <w:uiPriority w:val="0"/>
    <w:qFormat/>
    <w:rPr>
      <w:rFonts w:ascii="Arial Rounded MT Bold" w:hAnsi="Arial Rounded MT Bold" w:eastAsia="黑体"/>
      <w:spacing w:val="8"/>
      <w:sz w:val="32"/>
    </w:rPr>
  </w:style>
  <w:style w:type="paragraph" w:styleId="1187" w:customStyle="1">
    <w:name w:val="标题 B"/>
    <w:basedOn w:val="945"/>
    <w:link w:val="1186"/>
    <w:uiPriority w:val="0"/>
    <w:qFormat/>
    <w:pPr>
      <w:ind w:firstLine="0"/>
      <w:keepLines w:val="0"/>
      <w:spacing w:before="840" w:after="240" w:line="400" w:lineRule="exact"/>
      <w:outlineLvl w:val="9"/>
    </w:pPr>
    <w:rPr>
      <w:rFonts w:ascii="Arial Rounded MT Bold" w:hAnsi="Arial Rounded MT Bold" w:eastAsia="黑体"/>
      <w:b w:val="0"/>
      <w:bCs w:val="0"/>
      <w:spacing w:val="8"/>
      <w:sz w:val="20"/>
      <w:szCs w:val="20"/>
    </w:rPr>
  </w:style>
  <w:style w:type="character" w:styleId="1188" w:customStyle="1">
    <w:name w:val="页眉 字符"/>
    <w:uiPriority w:val="0"/>
    <w:qFormat/>
    <w:rPr>
      <w:sz w:val="20"/>
    </w:rPr>
  </w:style>
  <w:style w:type="character" w:styleId="1189" w:customStyle="1">
    <w:name w:val="正文文本 2 Char1"/>
    <w:uiPriority w:val="99"/>
    <w:semiHidden/>
    <w:qFormat/>
    <w:rPr>
      <w:sz w:val="21"/>
      <w:szCs w:val="24"/>
    </w:rPr>
  </w:style>
  <w:style w:type="character" w:styleId="1190" w:customStyle="1">
    <w:name w:val="标题 6 字符"/>
    <w:uiPriority w:val="0"/>
    <w:qFormat/>
    <w:rPr>
      <w:b/>
      <w:sz w:val="20"/>
    </w:rPr>
  </w:style>
  <w:style w:type="character" w:styleId="1191" w:customStyle="1">
    <w:name w:val="标题 7 字符"/>
    <w:uiPriority w:val="0"/>
    <w:qFormat/>
    <w:rPr>
      <w:b/>
      <w:sz w:val="20"/>
    </w:rPr>
  </w:style>
  <w:style w:type="character" w:styleId="1192" w:customStyle="1">
    <w:name w:val="列表 3 Char"/>
    <w:link w:val="1193"/>
    <w:uiPriority w:val="0"/>
    <w:qFormat/>
    <w:rPr>
      <w:bCs/>
      <w:sz w:val="24"/>
      <w:szCs w:val="32"/>
    </w:rPr>
  </w:style>
  <w:style w:type="paragraph" w:styleId="1193" w:customStyle="1">
    <w:name w:val="列表 31"/>
    <w:basedOn w:val="872"/>
    <w:link w:val="1192"/>
    <w:uiPriority w:val="0"/>
    <w:qFormat/>
    <w:pPr>
      <w:ind w:left="100" w:hanging="200"/>
    </w:pPr>
    <w:rPr>
      <w:bCs/>
      <w:sz w:val="24"/>
      <w:szCs w:val="32"/>
    </w:rPr>
  </w:style>
  <w:style w:type="character" w:styleId="1194" w:customStyle="1">
    <w:name w:val="Caption Char"/>
    <w:uiPriority w:val="99"/>
    <w:qFormat/>
  </w:style>
  <w:style w:type="character" w:styleId="1195" w:customStyle="1">
    <w:name w:val="美标题2 Char Char"/>
    <w:link w:val="1196"/>
    <w:uiPriority w:val="0"/>
    <w:qFormat/>
    <w:rPr>
      <w:rFonts w:ascii="宋体" w:hAnsi="宋体"/>
      <w:b/>
      <w:sz w:val="28"/>
    </w:rPr>
  </w:style>
  <w:style w:type="paragraph" w:styleId="1196" w:customStyle="1">
    <w:name w:val="美标题2"/>
    <w:basedOn w:val="872"/>
    <w:link w:val="1195"/>
    <w:uiPriority w:val="0"/>
    <w:qFormat/>
    <w:rPr>
      <w:rFonts w:ascii="宋体" w:hAnsi="宋体"/>
      <w:b/>
      <w:sz w:val="28"/>
      <w:szCs w:val="20"/>
    </w:rPr>
  </w:style>
  <w:style w:type="character" w:styleId="1197" w:customStyle="1">
    <w:name w:val="font01"/>
    <w:uiPriority w:val="99"/>
    <w:qFormat/>
    <w:rPr>
      <w:rFonts w:ascii="仿宋_GB2312" w:eastAsia="仿宋_GB2312" w:cs="仿宋_GB2312"/>
      <w:color w:val="000000"/>
      <w:sz w:val="24"/>
      <w:szCs w:val="24"/>
      <w:u w:val="none"/>
    </w:rPr>
  </w:style>
  <w:style w:type="character" w:styleId="1198" w:customStyle="1">
    <w:name w:val="美标题一 Char Char"/>
    <w:link w:val="1199"/>
    <w:uiPriority w:val="0"/>
    <w:qFormat/>
    <w:rPr>
      <w:rFonts w:ascii="Calibri" w:hAnsi="Calibri"/>
      <w:b/>
      <w:sz w:val="36"/>
      <w:szCs w:val="24"/>
    </w:rPr>
  </w:style>
  <w:style w:type="paragraph" w:styleId="1199" w:customStyle="1">
    <w:name w:val="美标题一"/>
    <w:basedOn w:val="872"/>
    <w:link w:val="1198"/>
    <w:uiPriority w:val="0"/>
    <w:qFormat/>
    <w:pPr>
      <w:ind w:left="480" w:hanging="480"/>
      <w:jc w:val="center"/>
      <w:tabs>
        <w:tab w:val="left" w:pos="480" w:leader="none"/>
        <w:tab w:val="left" w:pos="907" w:leader="none"/>
        <w:tab w:val="left" w:pos="1035" w:leader="none"/>
        <w:tab w:val="left" w:pos="1995" w:leader="none"/>
      </w:tabs>
    </w:pPr>
    <w:rPr>
      <w:rFonts w:ascii="Calibri" w:hAnsi="Calibri"/>
      <w:b/>
      <w:sz w:val="36"/>
    </w:rPr>
  </w:style>
  <w:style w:type="character" w:styleId="1200" w:customStyle="1">
    <w:name w:val="正文缩进 Char"/>
    <w:link w:val="1201"/>
    <w:uiPriority w:val="99"/>
    <w:qFormat/>
    <w:rPr>
      <w:sz w:val="21"/>
      <w:szCs w:val="24"/>
    </w:rPr>
  </w:style>
  <w:style w:type="paragraph" w:styleId="1201" w:customStyle="1">
    <w:name w:val="正文缩进1"/>
    <w:basedOn w:val="872"/>
    <w:link w:val="1200"/>
    <w:uiPriority w:val="99"/>
    <w:qFormat/>
    <w:pPr>
      <w:ind w:firstLine="420"/>
    </w:pPr>
  </w:style>
  <w:style w:type="character" w:styleId="1202" w:customStyle="1">
    <w:name w:val="标题 9 字符"/>
    <w:uiPriority w:val="0"/>
    <w:qFormat/>
    <w:rPr>
      <w:sz w:val="20"/>
    </w:rPr>
  </w:style>
  <w:style w:type="character" w:styleId="1203" w:customStyle="1">
    <w:name w:val="正文首行缩进 2 Char1"/>
    <w:uiPriority w:val="99"/>
    <w:semiHidden/>
    <w:qFormat/>
    <w:rPr>
      <w:sz w:val="21"/>
      <w:szCs w:val="24"/>
    </w:rPr>
  </w:style>
  <w:style w:type="character" w:styleId="1204" w:customStyle="1">
    <w:name w:val="正文文本 3 Char1"/>
    <w:uiPriority w:val="99"/>
    <w:semiHidden/>
    <w:qFormat/>
    <w:rPr>
      <w:sz w:val="16"/>
      <w:szCs w:val="16"/>
    </w:rPr>
  </w:style>
  <w:style w:type="character" w:styleId="1205" w:customStyle="1">
    <w:name w:val="标题 4 字符"/>
    <w:uiPriority w:val="0"/>
    <w:qFormat/>
    <w:rPr>
      <w:b/>
      <w:sz w:val="20"/>
    </w:rPr>
  </w:style>
  <w:style w:type="character" w:styleId="1206" w:customStyle="1">
    <w:name w:val="Char Char30"/>
    <w:uiPriority w:val="0"/>
    <w:qFormat/>
    <w:rPr>
      <w:rFonts w:eastAsia="宋体"/>
      <w:b/>
      <w:bCs/>
      <w:sz w:val="32"/>
      <w:szCs w:val="32"/>
      <w:lang w:val="en-US" w:eastAsia="zh-CN" w:bidi="ar-SA"/>
    </w:rPr>
  </w:style>
  <w:style w:type="character" w:styleId="1207" w:customStyle="1">
    <w:name w:val="文档结构图 Char"/>
    <w:link w:val="1208"/>
    <w:uiPriority w:val="99"/>
    <w:qFormat/>
    <w:rPr>
      <w:rFonts w:ascii="宋体"/>
      <w:sz w:val="18"/>
      <w:szCs w:val="18"/>
    </w:rPr>
  </w:style>
  <w:style w:type="paragraph" w:styleId="1208" w:customStyle="1">
    <w:name w:val="文档结构图1"/>
    <w:basedOn w:val="872"/>
    <w:link w:val="1207"/>
    <w:uiPriority w:val="99"/>
    <w:unhideWhenUsed/>
    <w:qFormat/>
    <w:rPr>
      <w:rFonts w:ascii="宋体"/>
      <w:sz w:val="18"/>
      <w:szCs w:val="18"/>
    </w:rPr>
  </w:style>
  <w:style w:type="character" w:styleId="1209" w:customStyle="1">
    <w:name w:val="表格标题 Char"/>
    <w:link w:val="1210"/>
    <w:uiPriority w:val="0"/>
    <w:qFormat/>
    <w:rPr>
      <w:rFonts w:ascii="Arial Black" w:hAnsi="Arial Black" w:eastAsia="黑体"/>
      <w:sz w:val="24"/>
      <w:szCs w:val="24"/>
    </w:rPr>
  </w:style>
  <w:style w:type="paragraph" w:styleId="1210" w:customStyle="1">
    <w:name w:val="表格标题"/>
    <w:basedOn w:val="872"/>
    <w:link w:val="1209"/>
    <w:uiPriority w:val="0"/>
    <w:qFormat/>
    <w:pPr>
      <w:jc w:val="center"/>
      <w:spacing w:after="156" w:line="400" w:lineRule="exact"/>
    </w:pPr>
    <w:rPr>
      <w:rFonts w:ascii="Arial Black" w:hAnsi="Arial Black" w:eastAsia="黑体"/>
      <w:sz w:val="24"/>
    </w:rPr>
  </w:style>
  <w:style w:type="character" w:styleId="1211" w:customStyle="1">
    <w:name w:val="列出段落 Char"/>
    <w:link w:val="1128"/>
    <w:uiPriority w:val="0"/>
    <w:qFormat/>
    <w:rPr>
      <w:sz w:val="21"/>
      <w:szCs w:val="24"/>
    </w:rPr>
  </w:style>
  <w:style w:type="character" w:styleId="1212" w:customStyle="1">
    <w:name w:val="font141"/>
    <w:uiPriority w:val="99"/>
    <w:qFormat/>
    <w:rPr>
      <w:rFonts w:ascii="Tahoma" w:hAnsi="Tahoma" w:cs="Tahoma"/>
      <w:color w:val="000000"/>
      <w:sz w:val="20"/>
      <w:szCs w:val="20"/>
      <w:u w:val="none"/>
    </w:rPr>
  </w:style>
  <w:style w:type="character" w:styleId="1213" w:customStyle="1">
    <w:name w:val="bsharetext"/>
    <w:uiPriority w:val="0"/>
    <w:qFormat/>
  </w:style>
  <w:style w:type="character" w:styleId="1214" w:customStyle="1">
    <w:name w:val="彩色列表 - 强调文字颜色 1 Char1"/>
    <w:link w:val="1215"/>
    <w:uiPriority w:val="0"/>
    <w:qFormat/>
    <w:rPr>
      <w:rFonts w:ascii="Calibri" w:hAnsi="Calibri"/>
      <w:sz w:val="24"/>
      <w:szCs w:val="24"/>
      <w:lang w:eastAsia="en-US" w:bidi="en-US"/>
    </w:rPr>
  </w:style>
  <w:style w:type="paragraph" w:styleId="1215" w:customStyle="1">
    <w:name w:val="彩色列表 - 强调文字颜色 11"/>
    <w:basedOn w:val="872"/>
    <w:link w:val="1214"/>
    <w:uiPriority w:val="0"/>
    <w:qFormat/>
    <w:pPr>
      <w:contextualSpacing/>
      <w:ind w:left="720"/>
      <w:jc w:val="left"/>
      <w:widowControl/>
    </w:pPr>
    <w:rPr>
      <w:rFonts w:ascii="Calibri" w:hAnsi="Calibri"/>
      <w:sz w:val="24"/>
      <w:lang w:eastAsia="en-US" w:bidi="en-US"/>
    </w:rPr>
  </w:style>
  <w:style w:type="character" w:styleId="1216" w:customStyle="1">
    <w:name w:val="批注文字 Char"/>
    <w:link w:val="1024"/>
    <w:uiPriority w:val="99"/>
    <w:qFormat/>
    <w:rPr>
      <w:sz w:val="21"/>
      <w:szCs w:val="24"/>
    </w:rPr>
  </w:style>
  <w:style w:type="paragraph" w:styleId="1217" w:customStyle="1">
    <w:name w:val="样式 Numbered list 2.1 +"/>
    <w:basedOn w:val="872"/>
    <w:uiPriority w:val="0"/>
    <w:qFormat/>
    <w:pPr>
      <w:ind w:left="709" w:hanging="709"/>
      <w:jc w:val="left"/>
      <w:keepNext/>
      <w:spacing w:before="240" w:after="60"/>
      <w:widowControl/>
      <w:tabs>
        <w:tab w:val="left" w:pos="425" w:leader="none"/>
        <w:tab w:val="left" w:pos="720" w:leader="none"/>
      </w:tabs>
      <w:outlineLvl w:val="0"/>
    </w:pPr>
    <w:rPr>
      <w:rFonts w:ascii="Futura Bk" w:hAnsi="Futura Bk"/>
      <w:b/>
      <w:bCs/>
      <w:sz w:val="28"/>
      <w:szCs w:val="20"/>
      <w:lang w:eastAsia="en-US"/>
    </w:rPr>
  </w:style>
  <w:style w:type="paragraph" w:styleId="1218" w:customStyle="1">
    <w:name w:val="图表目录1"/>
    <w:basedOn w:val="872"/>
    <w:next w:val="872"/>
    <w:uiPriority w:val="99"/>
    <w:unhideWhenUsed/>
    <w:qFormat/>
  </w:style>
  <w:style w:type="paragraph" w:styleId="1219" w:customStyle="1">
    <w:name w:val="目录 31"/>
    <w:basedOn w:val="872"/>
    <w:next w:val="872"/>
    <w:uiPriority w:val="39"/>
    <w:unhideWhenUsed/>
    <w:qFormat/>
    <w:pPr>
      <w:ind w:left="567"/>
      <w:spacing w:after="57"/>
    </w:pPr>
  </w:style>
  <w:style w:type="paragraph" w:styleId="1220" w:customStyle="1">
    <w:name w:val="目录 41"/>
    <w:basedOn w:val="872"/>
    <w:next w:val="872"/>
    <w:uiPriority w:val="39"/>
    <w:unhideWhenUsed/>
    <w:qFormat/>
    <w:pPr>
      <w:ind w:left="850"/>
      <w:spacing w:after="57"/>
    </w:pPr>
  </w:style>
  <w:style w:type="paragraph" w:styleId="1221" w:customStyle="1">
    <w:name w:val="题注11"/>
    <w:basedOn w:val="872"/>
    <w:next w:val="872"/>
    <w:uiPriority w:val="35"/>
    <w:qFormat/>
    <w:pPr>
      <w:spacing w:line="276" w:lineRule="auto"/>
    </w:pPr>
    <w:rPr>
      <w:b/>
      <w:bCs/>
      <w:color w:val="4472c4"/>
      <w:sz w:val="18"/>
      <w:szCs w:val="18"/>
    </w:rPr>
  </w:style>
  <w:style w:type="paragraph" w:styleId="1222" w:customStyle="1">
    <w:name w:val="目录 91"/>
    <w:basedOn w:val="872"/>
    <w:next w:val="872"/>
    <w:uiPriority w:val="39"/>
    <w:unhideWhenUsed/>
    <w:qFormat/>
    <w:pPr>
      <w:ind w:left="2268"/>
      <w:spacing w:after="57"/>
    </w:pPr>
  </w:style>
  <w:style w:type="paragraph" w:styleId="1223" w:customStyle="1">
    <w:name w:val="目录 21"/>
    <w:basedOn w:val="872"/>
    <w:next w:val="872"/>
    <w:uiPriority w:val="39"/>
    <w:unhideWhenUsed/>
    <w:qFormat/>
    <w:pPr>
      <w:ind w:left="283"/>
      <w:spacing w:after="57"/>
    </w:pPr>
  </w:style>
  <w:style w:type="paragraph" w:styleId="1224" w:customStyle="1">
    <w:name w:val="目录 71"/>
    <w:basedOn w:val="872"/>
    <w:next w:val="872"/>
    <w:uiPriority w:val="39"/>
    <w:unhideWhenUsed/>
    <w:qFormat/>
    <w:pPr>
      <w:ind w:left="1701"/>
      <w:spacing w:after="57"/>
    </w:pPr>
  </w:style>
  <w:style w:type="paragraph" w:styleId="1225" w:customStyle="1">
    <w:name w:val="列表项目符号1"/>
    <w:basedOn w:val="872"/>
    <w:uiPriority w:val="99"/>
    <w:unhideWhenUsed/>
    <w:qFormat/>
    <w:pPr>
      <w:ind w:left="720" w:firstLine="200"/>
      <w:tabs>
        <w:tab w:val="left" w:pos="360" w:leader="none"/>
        <w:tab w:val="left" w:pos="720" w:leader="none"/>
      </w:tabs>
    </w:pPr>
    <w:rPr>
      <w:sz w:val="20"/>
      <w:szCs w:val="20"/>
    </w:rPr>
  </w:style>
  <w:style w:type="paragraph" w:styleId="1226" w:customStyle="1">
    <w:name w:val="目录 81"/>
    <w:basedOn w:val="872"/>
    <w:next w:val="872"/>
    <w:uiPriority w:val="39"/>
    <w:unhideWhenUsed/>
    <w:qFormat/>
    <w:pPr>
      <w:ind w:left="1984"/>
      <w:spacing w:after="57"/>
    </w:pPr>
  </w:style>
  <w:style w:type="paragraph" w:styleId="1227" w:customStyle="1">
    <w:name w:val="文本块21"/>
    <w:basedOn w:val="872"/>
    <w:uiPriority w:val="6"/>
    <w:qFormat/>
    <w:pPr>
      <w:ind w:left="420" w:right="33"/>
      <w:jc w:val="left"/>
    </w:pPr>
    <w:rPr>
      <w:sz w:val="24"/>
      <w:szCs w:val="20"/>
    </w:rPr>
  </w:style>
  <w:style w:type="paragraph" w:styleId="1228" w:customStyle="1">
    <w:name w:val="目录 51"/>
    <w:basedOn w:val="872"/>
    <w:next w:val="872"/>
    <w:uiPriority w:val="39"/>
    <w:unhideWhenUsed/>
    <w:qFormat/>
    <w:pPr>
      <w:ind w:left="1134"/>
      <w:spacing w:after="57"/>
    </w:pPr>
  </w:style>
  <w:style w:type="paragraph" w:styleId="1229" w:customStyle="1">
    <w:name w:val="目录 61"/>
    <w:basedOn w:val="872"/>
    <w:next w:val="872"/>
    <w:uiPriority w:val="39"/>
    <w:unhideWhenUsed/>
    <w:qFormat/>
    <w:pPr>
      <w:ind w:left="1417"/>
      <w:spacing w:after="57"/>
    </w:pPr>
  </w:style>
  <w:style w:type="paragraph" w:styleId="1230" w:customStyle="1">
    <w:name w:val="Char11"/>
    <w:basedOn w:val="872"/>
    <w:uiPriority w:val="0"/>
    <w:qFormat/>
    <w:pPr>
      <w:spacing w:line="360" w:lineRule="auto"/>
    </w:pPr>
    <w:rPr>
      <w:sz w:val="24"/>
      <w:szCs w:val="20"/>
    </w:rPr>
  </w:style>
  <w:style w:type="paragraph" w:styleId="1231" w:customStyle="1">
    <w:name w:val="jx标题1"/>
    <w:basedOn w:val="943"/>
    <w:uiPriority w:val="0"/>
    <w:qFormat/>
    <w:pPr>
      <w:spacing w:line="360" w:lineRule="auto"/>
      <w:tabs>
        <w:tab w:val="left" w:pos="425" w:leader="none"/>
      </w:tabs>
    </w:pPr>
    <w:rPr>
      <w:rFonts w:ascii="Calibri" w:hAnsi="Calibri" w:eastAsia="黑体"/>
      <w:bCs/>
      <w:szCs w:val="44"/>
    </w:rPr>
  </w:style>
  <w:style w:type="paragraph" w:styleId="1232" w:customStyle="1">
    <w:name w:val="Body text|3"/>
    <w:basedOn w:val="872"/>
    <w:uiPriority w:val="0"/>
    <w:qFormat/>
    <w:pPr>
      <w:ind w:left="260" w:hanging="260"/>
      <w:jc w:val="left"/>
    </w:pPr>
    <w:rPr>
      <w:color w:val="000000"/>
      <w:sz w:val="26"/>
      <w:szCs w:val="26"/>
    </w:rPr>
  </w:style>
  <w:style w:type="paragraph" w:styleId="1233" w:customStyle="1">
    <w:name w:val="Char Char1 Char Char Char Char Char Char Char Char Char Char Char Char Char Char Char"/>
    <w:basedOn w:val="872"/>
    <w:uiPriority w:val="0"/>
    <w:qFormat/>
    <w:pPr>
      <w:ind w:left="4260"/>
      <w:jc w:val="left"/>
      <w:spacing w:after="160" w:line="240" w:lineRule="exact"/>
      <w:widowControl/>
      <w:tabs>
        <w:tab w:val="left" w:pos="4200" w:leader="none"/>
        <w:tab w:val="left" w:pos="4260" w:leader="none"/>
      </w:tabs>
    </w:pPr>
    <w:rPr>
      <w:rFonts w:ascii="Verdana" w:hAnsi="Verdana"/>
      <w:sz w:val="20"/>
      <w:szCs w:val="20"/>
      <w:lang w:eastAsia="en-US"/>
    </w:rPr>
  </w:style>
  <w:style w:type="paragraph" w:styleId="1234" w:customStyle="1">
    <w:name w:val="列出段落11"/>
    <w:basedOn w:val="872"/>
    <w:uiPriority w:val="0"/>
    <w:qFormat/>
    <w:pPr>
      <w:ind w:left="480"/>
      <w:jc w:val="left"/>
    </w:pPr>
    <w:rPr>
      <w:rFonts w:ascii="Calibri" w:hAnsi="Calibri" w:eastAsia="PMingLiU"/>
      <w:sz w:val="24"/>
      <w:szCs w:val="20"/>
      <w:lang w:val="zh-CN" w:eastAsia="zh-TW"/>
    </w:rPr>
  </w:style>
  <w:style w:type="paragraph" w:styleId="1235" w:customStyle="1">
    <w:name w:val="正文 A"/>
    <w:uiPriority w:val="0"/>
    <w:qFormat/>
    <w:pPr>
      <w:jc w:val="both"/>
      <w:widowControl w:val="off"/>
    </w:pPr>
    <w:rPr>
      <w:rFonts w:hint="default" w:ascii="Times New Roman" w:hAnsi="Times New Roman" w:eastAsia="Arial Unicode MS" w:cs="Arial Unicode MS"/>
      <w:color w:val="000000"/>
      <w:sz w:val="32"/>
      <w:szCs w:val="32"/>
      <w:lang w:val="en-US" w:eastAsia="zh-CN" w:bidi="ar-SA"/>
    </w:rPr>
  </w:style>
  <w:style w:type="paragraph" w:styleId="1236" w:customStyle="1">
    <w:name w:val="表格3"/>
    <w:basedOn w:val="872"/>
    <w:uiPriority w:val="0"/>
    <w:qFormat/>
    <w:pPr>
      <w:jc w:val="center"/>
    </w:pPr>
  </w:style>
  <w:style w:type="paragraph" w:styleId="1237" w:customStyle="1">
    <w:name w:val="列出段落3"/>
    <w:basedOn w:val="1238"/>
    <w:uiPriority w:val="34"/>
    <w:qFormat/>
    <w:pPr>
      <w:ind w:firstLine="420"/>
    </w:pPr>
    <w:rPr>
      <w:rFonts w:ascii="Calibri" w:hAnsi="Calibri"/>
      <w:sz w:val="22"/>
      <w:szCs w:val="22"/>
    </w:rPr>
  </w:style>
  <w:style w:type="paragraph" w:styleId="1238" w:customStyle="1">
    <w:name w:val="正文2"/>
    <w:next w:val="123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39" w:customStyle="1">
    <w:name w:val="Default_0"/>
    <w:uiPriority w:val="0"/>
    <w:qFormat/>
    <w:pPr>
      <w:widowControl w:val="off"/>
    </w:pPr>
    <w:rPr>
      <w:rFonts w:hint="default" w:ascii="宋体" w:hAnsi="Times New Roman" w:eastAsia="宋体" w:cs="宋体"/>
      <w:color w:val="000000"/>
      <w:sz w:val="24"/>
      <w:szCs w:val="24"/>
      <w:lang w:val="en-US" w:eastAsia="zh-CN" w:bidi="ar-SA"/>
    </w:rPr>
  </w:style>
  <w:style w:type="paragraph" w:styleId="1240" w:customStyle="1">
    <w:name w:val="修订2"/>
    <w:uiPriority w:val="99"/>
    <w:semiHidden/>
    <w:qFormat/>
    <w:rPr>
      <w:rFonts w:hint="default" w:ascii="Times New Roman" w:hAnsi="Times New Roman" w:eastAsia="宋体" w:cs="Times New Roman"/>
      <w:sz w:val="21"/>
      <w:szCs w:val="24"/>
      <w:lang w:val="en-US" w:eastAsia="zh-CN" w:bidi="ar-SA"/>
    </w:rPr>
  </w:style>
  <w:style w:type="paragraph" w:styleId="1241" w:customStyle="1">
    <w:name w:val="正文_0_0"/>
    <w:uiPriority w:val="99"/>
    <w:unhideWhenUsed/>
    <w:qFormat/>
    <w:rPr>
      <w:rFonts w:hint="default" w:ascii="Calibri" w:hAnsi="Calibri" w:eastAsia="宋体" w:cs="Times New Roman"/>
      <w:sz w:val="21"/>
      <w:lang w:val="en-US" w:eastAsia="zh-CN" w:bidi="ar-SA"/>
    </w:rPr>
  </w:style>
  <w:style w:type="paragraph" w:styleId="1242" w:customStyle="1">
    <w:name w:val="正文_0"/>
    <w:uiPriority w:val="0"/>
    <w:unhideWhenUsed/>
    <w:qFormat/>
    <w:rPr>
      <w:rFonts w:hint="eastAsia" w:ascii="Times New Roman" w:hAnsi="Times New Roman" w:eastAsia="宋体" w:cs="Times New Roman"/>
      <w:sz w:val="21"/>
      <w:lang w:val="en-US" w:eastAsia="zh-CN" w:bidi="ar-SA"/>
    </w:rPr>
  </w:style>
  <w:style w:type="paragraph" w:styleId="1243" w:customStyle="1">
    <w:name w:val="TOC 标题1"/>
    <w:uiPriority w:val="39"/>
    <w:unhideWhenUsed/>
    <w:qFormat/>
    <w:rPr>
      <w:rFonts w:hint="default" w:ascii="Times New Roman" w:hAnsi="Times New Roman" w:eastAsia="宋体" w:cs="Times New Roman"/>
      <w:lang w:val="en-US" w:eastAsia="zh-CN" w:bidi="ar-SA"/>
    </w:rPr>
  </w:style>
  <w:style w:type="paragraph" w:styleId="1244" w:customStyle="1">
    <w:name w:val="xc正文"/>
    <w:basedOn w:val="872"/>
    <w:uiPriority w:val="0"/>
    <w:qFormat/>
    <w:pPr>
      <w:ind w:firstLine="200"/>
      <w:spacing w:line="360" w:lineRule="auto"/>
    </w:pPr>
    <w:rPr>
      <w:rFonts w:ascii="Calibri" w:hAnsi="Calibri" w:eastAsia="仿宋_GB2312"/>
      <w:sz w:val="24"/>
      <w:lang w:val="zh-CN"/>
    </w:rPr>
  </w:style>
  <w:style w:type="paragraph" w:styleId="1245" w:customStyle="1">
    <w:name w:val="Body text|1"/>
    <w:basedOn w:val="872"/>
    <w:uiPriority w:val="0"/>
    <w:qFormat/>
    <w:pPr>
      <w:ind w:firstLine="400"/>
      <w:jc w:val="left"/>
      <w:spacing w:line="417" w:lineRule="auto"/>
    </w:pPr>
    <w:rPr>
      <w:rFonts w:ascii="宋体" w:hAnsi="宋体" w:cs="宋体"/>
      <w:color w:val="000000"/>
      <w:sz w:val="30"/>
      <w:szCs w:val="30"/>
    </w:rPr>
  </w:style>
  <w:style w:type="paragraph" w:styleId="1246" w:customStyle="1">
    <w:name w:val="HPC正文"/>
    <w:basedOn w:val="872"/>
    <w:uiPriority w:val="0"/>
    <w:qFormat/>
    <w:pPr>
      <w:ind w:firstLine="424"/>
      <w:spacing w:line="360" w:lineRule="auto"/>
    </w:pPr>
    <w:rPr>
      <w:sz w:val="24"/>
    </w:rPr>
  </w:style>
  <w:style w:type="paragraph" w:styleId="1247" w:customStyle="1">
    <w:name w:val="示例"/>
    <w:next w:val="947"/>
    <w:uiPriority w:val="0"/>
    <w:qFormat/>
    <w:pPr>
      <w:ind w:left="720" w:firstLine="419"/>
      <w:jc w:val="both"/>
      <w:tabs>
        <w:tab w:val="left" w:pos="720" w:leader="none"/>
        <w:tab w:val="left" w:pos="816" w:leader="none"/>
      </w:tabs>
    </w:pPr>
    <w:rPr>
      <w:rFonts w:hint="default" w:ascii="宋体" w:hAnsi="Times New Roman" w:eastAsia="宋体" w:cs="Times New Roman"/>
      <w:sz w:val="18"/>
      <w:lang w:val="en-US" w:eastAsia="zh-CN" w:bidi="ar-SA"/>
    </w:rPr>
  </w:style>
  <w:style w:type="paragraph" w:styleId="1248" w:customStyle="1">
    <w:name w:val="xl134"/>
    <w:basedOn w:val="87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2"/>
      <w:szCs w:val="12"/>
    </w:rPr>
  </w:style>
  <w:style w:type="paragraph" w:styleId="1249" w:customStyle="1">
    <w:name w:val="Char"/>
    <w:basedOn w:val="872"/>
    <w:uiPriority w:val="0"/>
    <w:qFormat/>
    <w:pPr>
      <w:tabs>
        <w:tab w:val="left" w:pos="360" w:leader="none"/>
      </w:tabs>
    </w:pPr>
    <w:rPr>
      <w:sz w:val="24"/>
    </w:rPr>
  </w:style>
  <w:style w:type="paragraph" w:styleId="1250" w:customStyle="1">
    <w:name w:val="正文缩进编号"/>
    <w:basedOn w:val="872"/>
    <w:uiPriority w:val="0"/>
    <w:qFormat/>
    <w:pPr>
      <w:ind w:left="840"/>
      <w:spacing w:line="360" w:lineRule="auto"/>
    </w:pPr>
    <w:rPr>
      <w:rFonts w:ascii="Calibri" w:hAnsi="Calibri"/>
      <w:sz w:val="24"/>
      <w:szCs w:val="21"/>
    </w:rPr>
  </w:style>
  <w:style w:type="paragraph" w:styleId="1251" w:customStyle="1">
    <w:name w:val="一级项目符号"/>
    <w:basedOn w:val="872"/>
    <w:uiPriority w:val="0"/>
    <w:qFormat/>
    <w:pPr>
      <w:ind w:left="425" w:hanging="425"/>
      <w:spacing w:line="360" w:lineRule="auto"/>
      <w:widowControl/>
      <w:tabs>
        <w:tab w:val="left" w:pos="425" w:leader="none"/>
        <w:tab w:val="left" w:pos="840" w:leader="none"/>
      </w:tabs>
    </w:pPr>
    <w:rPr>
      <w:rFonts w:ascii="Calibri" w:hAnsi="Calibri"/>
      <w:sz w:val="24"/>
    </w:rPr>
  </w:style>
  <w:style w:type="paragraph" w:styleId="1252" w:customStyle="1">
    <w:name w:val="正文49"/>
    <w:uiPriority w:val="0"/>
    <w:qFormat/>
    <w:pPr>
      <w:jc w:val="both"/>
      <w:widowControl w:val="off"/>
    </w:pPr>
    <w:rPr>
      <w:rFonts w:hint="default" w:ascii="Calibri" w:hAnsi="Calibri" w:eastAsia="Arial" w:cs="Times New Roman"/>
      <w:sz w:val="21"/>
      <w:szCs w:val="22"/>
      <w:lang w:val="en-US" w:eastAsia="zh-CN" w:bidi="ar-SA"/>
    </w:rPr>
  </w:style>
  <w:style w:type="paragraph" w:styleId="1253" w:customStyle="1">
    <w:name w:val="xl62"/>
    <w:basedOn w:val="872"/>
    <w:uiPriority w:val="0"/>
    <w:qFormat/>
    <w:pPr>
      <w:spacing w:before="100" w:beforeAutospacing="1" w:after="100" w:afterAutospacing="1"/>
      <w:widowControl/>
      <w:pBdr>
        <w:left w:val="single" w:color="000000" w:sz="4" w:space="0"/>
        <w:bottom w:val="single" w:color="000000" w:sz="4" w:space="0"/>
        <w:right w:val="single" w:color="000000" w:sz="4" w:space="0"/>
      </w:pBdr>
    </w:pPr>
    <w:rPr>
      <w:sz w:val="22"/>
      <w:szCs w:val="20"/>
    </w:rPr>
  </w:style>
  <w:style w:type="paragraph" w:styleId="1254" w:customStyle="1">
    <w:name w:val="一级无"/>
    <w:basedOn w:val="872"/>
    <w:uiPriority w:val="0"/>
    <w:qFormat/>
    <w:pPr>
      <w:numPr>
        <w:ilvl w:val="1"/>
        <w:numId w:val="2"/>
      </w:numPr>
      <w:jc w:val="left"/>
      <w:widowControl/>
      <w:tabs>
        <w:tab w:val="left" w:pos="1440" w:leader="none"/>
      </w:tabs>
      <w:outlineLvl w:val="2"/>
    </w:pPr>
    <w:rPr>
      <w:rFonts w:ascii="宋体"/>
      <w:szCs w:val="21"/>
    </w:rPr>
  </w:style>
  <w:style w:type="paragraph" w:styleId="1255" w:customStyle="1">
    <w:name w:val="xl70"/>
    <w:basedOn w:val="872"/>
    <w:uiPriority w:val="0"/>
    <w:qFormat/>
    <w:pPr>
      <w:spacing w:before="100" w:beforeAutospacing="1" w:after="100" w:afterAutospacing="1"/>
      <w:widowControl/>
      <w:pBdr>
        <w:top w:val="single" w:color="000000" w:sz="4" w:space="0"/>
        <w:bottom w:val="single" w:color="000000" w:sz="4" w:space="0"/>
      </w:pBdr>
    </w:pPr>
    <w:rPr>
      <w:rFonts w:ascii="宋体" w:hAnsi="宋体"/>
      <w:b/>
      <w:sz w:val="28"/>
      <w:szCs w:val="20"/>
    </w:rPr>
  </w:style>
  <w:style w:type="paragraph" w:styleId="1256" w:customStyle="1">
    <w:name w:val="_Style 0"/>
    <w:uiPriority w:val="0"/>
    <w:qFormat/>
    <w:pPr>
      <w:jc w:val="center"/>
      <w:widowControl w:val="off"/>
    </w:pPr>
    <w:rPr>
      <w:rFonts w:hint="default" w:ascii="Times New Roman" w:hAnsi="Times New Roman" w:eastAsia="仿宋_GB2312" w:cs="Times New Roman"/>
      <w:b/>
      <w:sz w:val="21"/>
      <w:lang w:val="en-US" w:eastAsia="zh-CN" w:bidi="ar-SA"/>
    </w:rPr>
  </w:style>
  <w:style w:type="paragraph" w:styleId="1257" w:customStyle="1">
    <w:name w:val="Default Text"/>
    <w:basedOn w:val="872"/>
    <w:uiPriority w:val="0"/>
    <w:qFormat/>
    <w:pPr>
      <w:jc w:val="left"/>
      <w:widowControl/>
    </w:pPr>
    <w:rPr>
      <w:rFonts w:ascii="Calibri" w:hAnsi="Calibri"/>
      <w:sz w:val="20"/>
      <w:szCs w:val="20"/>
      <w:lang w:eastAsia="en-US"/>
    </w:rPr>
  </w:style>
  <w:style w:type="paragraph" w:styleId="1258" w:customStyle="1">
    <w:name w:val="_Style 10"/>
    <w:basedOn w:val="872"/>
    <w:uiPriority w:val="0"/>
    <w:qFormat/>
    <w:rPr>
      <w:rFonts w:ascii="Tahoma" w:hAnsi="Tahoma"/>
      <w:sz w:val="24"/>
      <w:szCs w:val="20"/>
    </w:rPr>
  </w:style>
  <w:style w:type="paragraph" w:styleId="1259" w:customStyle="1">
    <w:name w:val="GP（表格）"/>
    <w:basedOn w:val="872"/>
    <w:uiPriority w:val="0"/>
    <w:qFormat/>
    <w:rPr>
      <w:rFonts w:ascii="Arial" w:hAnsi="Arial"/>
      <w:sz w:val="18"/>
    </w:rPr>
  </w:style>
  <w:style w:type="paragraph" w:styleId="1260" w:customStyle="1">
    <w:name w:val="注×："/>
    <w:uiPriority w:val="0"/>
    <w:qFormat/>
    <w:pPr>
      <w:jc w:val="both"/>
      <w:widowControl w:val="off"/>
      <w:tabs>
        <w:tab w:val="left" w:pos="312" w:leader="none"/>
        <w:tab w:val="left" w:pos="630" w:leader="none"/>
        <w:tab w:val="left" w:pos="1035" w:leader="none"/>
      </w:tabs>
    </w:pPr>
    <w:rPr>
      <w:rFonts w:hint="default" w:ascii="宋体" w:hAnsi="Times New Roman" w:eastAsia="宋体" w:cs="Times New Roman"/>
      <w:sz w:val="18"/>
      <w:lang w:val="en-US" w:eastAsia="zh-CN" w:bidi="ar-SA"/>
    </w:rPr>
  </w:style>
  <w:style w:type="paragraph" w:styleId="1261" w:customStyle="1">
    <w:name w:val="并列样式"/>
    <w:basedOn w:val="872"/>
    <w:uiPriority w:val="0"/>
    <w:qFormat/>
    <w:pPr>
      <w:spacing w:before="60" w:after="60"/>
    </w:pPr>
    <w:rPr>
      <w:sz w:val="24"/>
      <w:szCs w:val="20"/>
    </w:rPr>
  </w:style>
  <w:style w:type="paragraph" w:styleId="1262" w:customStyle="1">
    <w:name w:val="Char1"/>
    <w:basedOn w:val="872"/>
    <w:uiPriority w:val="0"/>
    <w:qFormat/>
    <w:pPr>
      <w:ind w:left="432" w:hanging="432"/>
      <w:spacing w:before="156" w:after="156"/>
      <w:tabs>
        <w:tab w:val="left" w:pos="432" w:leader="none"/>
      </w:tabs>
    </w:pPr>
  </w:style>
  <w:style w:type="paragraph" w:styleId="1263" w:customStyle="1">
    <w:name w:val="Section VII Header2"/>
    <w:basedOn w:val="943"/>
    <w:uiPriority w:val="0"/>
    <w:qFormat/>
    <w:pPr>
      <w:ind w:right="12"/>
      <w:jc w:val="center"/>
      <w:keepLines w:val="0"/>
      <w:keepNext w:val="0"/>
      <w:spacing w:before="120" w:after="120" w:line="260" w:lineRule="exact"/>
      <w:widowControl/>
      <w:tabs>
        <w:tab w:val="right" w:pos="9000" w:leader="none"/>
      </w:tabs>
      <w:outlineLvl w:val="9"/>
    </w:pPr>
    <w:rPr>
      <w:rFonts w:ascii="宋体" w:hAnsi="宋体" w:eastAsia="宋体" w:cs="Arial"/>
      <w:bCs/>
      <w:sz w:val="24"/>
    </w:rPr>
  </w:style>
  <w:style w:type="paragraph" w:styleId="1264" w:customStyle="1">
    <w:name w:val="正文_0_0_0"/>
    <w:uiPriority w:val="99"/>
    <w:unhideWhenUsed/>
    <w:qFormat/>
    <w:rPr>
      <w:rFonts w:hint="eastAsia" w:ascii="Times New Roman" w:hAnsi="Times New Roman" w:eastAsia="宋体" w:cs="Times New Roman"/>
      <w:sz w:val="21"/>
      <w:lang w:val="en-US" w:eastAsia="zh-CN" w:bidi="ar-SA"/>
    </w:rPr>
  </w:style>
  <w:style w:type="paragraph" w:styleId="1265" w:customStyle="1">
    <w:name w:val="TOC 标题11"/>
    <w:uiPriority w:val="39"/>
    <w:unhideWhenUsed/>
    <w:qFormat/>
    <w:rPr>
      <w:rFonts w:hint="default" w:ascii="Times New Roman" w:hAnsi="Times New Roman" w:eastAsia="宋体" w:cs="Times New Roman"/>
      <w:lang w:val="en-US" w:eastAsia="zh-CN" w:bidi="ar-SA"/>
    </w:rPr>
  </w:style>
  <w:style w:type="paragraph" w:styleId="1266" w:customStyle="1">
    <w:name w:val="MM Topic 4"/>
    <w:basedOn w:val="984"/>
    <w:uiPriority w:val="0"/>
    <w:qFormat/>
    <w:pPr>
      <w:numPr>
        <w:ilvl w:val="4"/>
        <w:numId w:val="2"/>
      </w:numPr>
      <w:ind w:left="1008" w:hanging="1008"/>
      <w:jc w:val="left"/>
      <w:keepLines w:val="0"/>
      <w:keepNext w:val="0"/>
      <w:spacing w:before="240" w:after="60" w:line="240" w:lineRule="auto"/>
      <w:widowControl/>
      <w:tabs>
        <w:tab w:val="left" w:pos="1440" w:leader="none"/>
      </w:tabs>
    </w:pPr>
    <w:rPr>
      <w:rFonts w:ascii="宋体" w:hAnsi="宋体"/>
      <w:b w:val="0"/>
      <w:i/>
      <w:iCs/>
      <w:sz w:val="26"/>
      <w:szCs w:val="26"/>
    </w:rPr>
  </w:style>
  <w:style w:type="paragraph" w:styleId="1267" w:customStyle="1">
    <w:name w:val="_Style 243"/>
    <w:uiPriority w:val="99"/>
    <w:unhideWhenUsed/>
    <w:qFormat/>
    <w:pPr>
      <w:jc w:val="both"/>
      <w:widowControl w:val="off"/>
    </w:pPr>
    <w:rPr>
      <w:rFonts w:hint="default" w:ascii="Times New Roman" w:hAnsi="Times New Roman" w:eastAsia="宋体" w:cs="Times New Roman"/>
      <w:sz w:val="21"/>
      <w:szCs w:val="24"/>
      <w:lang w:val="en-US" w:eastAsia="zh-CN" w:bidi="ar-SA"/>
    </w:rPr>
  </w:style>
  <w:style w:type="paragraph" w:styleId="1268" w:customStyle="1">
    <w:name w:val="列项——"/>
    <w:uiPriority w:val="0"/>
    <w:qFormat/>
    <w:pPr>
      <w:ind w:left="200" w:hanging="200"/>
      <w:jc w:val="both"/>
      <w:widowControl w:val="off"/>
      <w:tabs>
        <w:tab w:val="left" w:pos="720" w:leader="none"/>
        <w:tab w:val="left" w:pos="854" w:leader="none"/>
        <w:tab w:val="left" w:pos="1035" w:leader="none"/>
      </w:tabs>
    </w:pPr>
    <w:rPr>
      <w:rFonts w:hint="default" w:ascii="宋体" w:hAnsi="Times New Roman" w:eastAsia="宋体" w:cs="Times New Roman"/>
      <w:sz w:val="21"/>
      <w:lang w:val="en-US" w:eastAsia="zh-CN" w:bidi="ar-SA"/>
    </w:rPr>
  </w:style>
  <w:style w:type="paragraph" w:styleId="1269" w:customStyle="1">
    <w:name w:val="P3"/>
    <w:uiPriority w:val="0"/>
    <w:qFormat/>
    <w:pPr>
      <w:ind w:left="2880" w:hanging="576"/>
      <w:jc w:val="both"/>
      <w:spacing w:after="240" w:line="0" w:lineRule="atLeast"/>
      <w:widowControl w:val="off"/>
    </w:pPr>
    <w:rPr>
      <w:rFonts w:hint="default" w:ascii="Times New Roman" w:hAnsi="Times New Roman" w:eastAsia="全真中明體" w:cs="Times New Roman"/>
      <w:spacing w:val="30"/>
      <w:sz w:val="24"/>
      <w:lang w:val="en-GB" w:eastAsia="zh-TW" w:bidi="ar-SA"/>
    </w:rPr>
  </w:style>
  <w:style w:type="paragraph" w:styleId="1270" w:customStyle="1">
    <w:name w:val="无间隔2"/>
    <w:uiPriority w:val="1"/>
    <w:qFormat/>
    <w:rPr>
      <w:rFonts w:hint="default" w:ascii="Times New Roman" w:hAnsi="Times New Roman" w:eastAsia="宋体" w:cs="Times New Roman"/>
      <w:lang w:val="en-US" w:eastAsia="zh-CN" w:bidi="ar-SA"/>
    </w:rPr>
  </w:style>
  <w:style w:type="paragraph" w:styleId="1271" w:customStyle="1">
    <w:name w:val="p0"/>
    <w:basedOn w:val="872"/>
    <w:uiPriority w:val="0"/>
    <w:qFormat/>
    <w:pPr>
      <w:widowControl/>
    </w:pPr>
    <w:rPr>
      <w:szCs w:val="21"/>
    </w:rPr>
  </w:style>
  <w:style w:type="paragraph" w:styleId="1272" w:customStyle="1">
    <w:name w:val="BodyText1"/>
    <w:basedOn w:val="872"/>
    <w:uiPriority w:val="0"/>
    <w:qFormat/>
    <w:pPr>
      <w:spacing w:line="380" w:lineRule="exact"/>
    </w:pPr>
  </w:style>
  <w:style w:type="paragraph" w:styleId="1273" w:customStyle="1">
    <w:name w:val="正文图标题"/>
    <w:basedOn w:val="872"/>
    <w:next w:val="947"/>
    <w:uiPriority w:val="0"/>
    <w:qFormat/>
    <w:pPr>
      <w:ind w:left="720" w:hanging="720"/>
      <w:jc w:val="center"/>
      <w:widowControl/>
      <w:tabs>
        <w:tab w:val="left" w:pos="480" w:leader="none"/>
      </w:tabs>
    </w:pPr>
    <w:rPr>
      <w:rFonts w:hint="eastAsia" w:ascii="黑体" w:eastAsia="黑体"/>
      <w:sz w:val="20"/>
      <w:szCs w:val="20"/>
    </w:rPr>
  </w:style>
  <w:style w:type="paragraph" w:styleId="1274" w:customStyle="1">
    <w:name w:val="样式2"/>
    <w:basedOn w:val="943"/>
    <w:uiPriority w:val="0"/>
    <w:qFormat/>
    <w:pPr>
      <w:ind w:left="360" w:hanging="360"/>
      <w:spacing w:before="0" w:after="0" w:line="400" w:lineRule="atLeast"/>
      <w:widowControl/>
      <w:tabs>
        <w:tab w:val="left" w:pos="312" w:leader="none"/>
        <w:tab w:val="left" w:pos="480" w:leader="none"/>
      </w:tabs>
      <w:outlineLvl w:val="9"/>
    </w:pPr>
    <w:rPr>
      <w:rFonts w:ascii="宋体" w:eastAsia="黑体"/>
      <w:sz w:val="21"/>
    </w:rPr>
  </w:style>
  <w:style w:type="paragraph" w:styleId="1275" w:customStyle="1">
    <w:name w:val="普通(网站)1"/>
    <w:basedOn w:val="899"/>
    <w:uiPriority w:val="0"/>
    <w:qFormat/>
    <w:pPr>
      <w:jc w:val="left"/>
      <w:spacing w:before="100" w:beforeAutospacing="1" w:after="100" w:afterAutospacing="1"/>
    </w:pPr>
    <w:rPr>
      <w:rFonts w:ascii="宋体" w:hAnsi="宋体"/>
      <w:sz w:val="24"/>
      <w:szCs w:val="24"/>
    </w:rPr>
  </w:style>
  <w:style w:type="paragraph" w:styleId="1276" w:customStyle="1">
    <w:name w:val="默认段落字体 Para Char Char Char Char Char Char Char"/>
    <w:basedOn w:val="872"/>
    <w:uiPriority w:val="0"/>
    <w:qFormat/>
    <w:rPr>
      <w:rFonts w:ascii="Tahoma" w:hAnsi="Tahoma"/>
      <w:sz w:val="24"/>
      <w:szCs w:val="20"/>
    </w:rPr>
  </w:style>
  <w:style w:type="paragraph" w:styleId="1277" w:customStyle="1">
    <w:name w:val="正文_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78" w:customStyle="1">
    <w:name w:val="题注1"/>
    <w:basedOn w:val="872"/>
    <w:next w:val="872"/>
    <w:uiPriority w:val="35"/>
    <w:unhideWhenUsed/>
    <w:qFormat/>
    <w:pPr>
      <w:spacing w:line="276" w:lineRule="auto"/>
    </w:pPr>
    <w:rPr>
      <w:b/>
      <w:bCs/>
      <w:color w:val="4472c4"/>
      <w:sz w:val="18"/>
      <w:szCs w:val="18"/>
    </w:rPr>
  </w:style>
  <w:style w:type="paragraph" w:styleId="1279" w:customStyle="1">
    <w:name w:val="正文缩进2字符"/>
    <w:basedOn w:val="872"/>
    <w:uiPriority w:val="0"/>
    <w:qFormat/>
    <w:pPr>
      <w:ind w:firstLine="200"/>
      <w:jc w:val="left"/>
      <w:spacing w:line="360" w:lineRule="auto"/>
    </w:pPr>
    <w:rPr>
      <w:sz w:val="24"/>
      <w:szCs w:val="20"/>
    </w:rPr>
  </w:style>
  <w:style w:type="paragraph" w:styleId="1280" w:customStyle="1">
    <w:name w:val="Blockquote"/>
    <w:basedOn w:val="872"/>
    <w:uiPriority w:val="0"/>
    <w:qFormat/>
    <w:pPr>
      <w:ind w:left="764" w:right="567"/>
      <w:jc w:val="left"/>
      <w:spacing w:before="100" w:after="100"/>
    </w:pPr>
    <w:rPr>
      <w:sz w:val="24"/>
    </w:rPr>
  </w:style>
  <w:style w:type="paragraph" w:styleId="1281" w:customStyle="1">
    <w:name w:val="Fließtext"/>
    <w:basedOn w:val="872"/>
    <w:uiPriority w:val="99"/>
    <w:qFormat/>
    <w:rPr>
      <w:rFonts w:ascii="Calibri" w:hAnsi="Calibri"/>
    </w:rPr>
  </w:style>
  <w:style w:type="paragraph" w:styleId="1282" w:customStyle="1">
    <w:name w:val="彩色列表 - 着色 11"/>
    <w:basedOn w:val="872"/>
    <w:uiPriority w:val="99"/>
    <w:qFormat/>
    <w:pPr>
      <w:ind w:firstLine="420"/>
      <w:spacing w:line="274" w:lineRule="auto"/>
    </w:pPr>
    <w:rPr>
      <w:rFonts w:ascii="仿宋_GB2312" w:hAnsi="Calibri" w:eastAsia="仿宋_GB2312"/>
      <w:sz w:val="20"/>
    </w:rPr>
  </w:style>
  <w:style w:type="paragraph" w:styleId="1283" w:customStyle="1">
    <w:name w:val="WPSOffice手动目录 2"/>
    <w:uiPriority w:val="0"/>
    <w:qFormat/>
    <w:pPr>
      <w:ind w:left="200"/>
    </w:pPr>
    <w:rPr>
      <w:rFonts w:hint="default" w:ascii="Times New Roman" w:hAnsi="Times New Roman" w:eastAsia="宋体" w:cs="Times New Roman"/>
      <w:lang w:val="en-US" w:eastAsia="zh-CN" w:bidi="ar-SA"/>
    </w:rPr>
  </w:style>
  <w:style w:type="paragraph" w:styleId="1284" w:customStyle="1">
    <w:name w:val="修订1"/>
    <w:uiPriority w:val="99"/>
    <w:unhideWhenUsed/>
    <w:qFormat/>
    <w:rPr>
      <w:rFonts w:hint="default" w:ascii="Times New Roman" w:hAnsi="Times New Roman" w:eastAsia="宋体" w:cs="Times New Roman"/>
      <w:sz w:val="21"/>
      <w:szCs w:val="24"/>
      <w:lang w:val="en-US" w:eastAsia="zh-CN" w:bidi="ar-SA"/>
    </w:rPr>
  </w:style>
  <w:style w:type="paragraph" w:styleId="1285" w:customStyle="1">
    <w:name w:val="正文编号"/>
    <w:basedOn w:val="872"/>
    <w:uiPriority w:val="0"/>
    <w:qFormat/>
    <w:pPr>
      <w:spacing w:line="400" w:lineRule="exact"/>
      <w:tabs>
        <w:tab w:val="left" w:pos="720" w:leader="none"/>
      </w:tabs>
    </w:pPr>
    <w:rPr>
      <w:rFonts w:eastAsia="楷体_GB2312"/>
      <w:spacing w:val="8"/>
      <w:sz w:val="28"/>
      <w:szCs w:val="20"/>
    </w:rPr>
  </w:style>
  <w:style w:type="paragraph" w:styleId="1286" w:customStyle="1">
    <w:name w:val="正文2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7" w:customStyle="1">
    <w:name w:val="批注文字1"/>
    <w:basedOn w:val="899"/>
    <w:uiPriority w:val="0"/>
    <w:semiHidden/>
    <w:qFormat/>
    <w:pPr>
      <w:jc w:val="left"/>
    </w:pPr>
    <w:rPr>
      <w:sz w:val="21"/>
    </w:rPr>
  </w:style>
  <w:style w:type="paragraph" w:styleId="1288" w:customStyle="1">
    <w:name w:val="Sub Item List"/>
    <w:basedOn w:val="872"/>
    <w:uiPriority w:val="0"/>
    <w:qFormat/>
    <w:pPr>
      <w:ind w:left="397" w:hanging="397"/>
      <w:jc w:val="left"/>
      <w:spacing w:before="80" w:line="240" w:lineRule="atLeast"/>
      <w:widowControl/>
      <w:tabs>
        <w:tab w:val="left" w:pos="397" w:leader="none"/>
        <w:tab w:val="left" w:pos="1922" w:leader="none"/>
      </w:tabs>
    </w:pPr>
    <w:rPr>
      <w:rFonts w:hint="eastAsia" w:cs="Arial"/>
      <w:szCs w:val="21"/>
    </w:rPr>
  </w:style>
  <w:style w:type="table" w:styleId="1289" w:customStyle="1">
    <w:name w:val="List Table 5 Dark - Accent 3"/>
    <w:basedOn w:val="974"/>
    <w:uiPriority w:val="99"/>
    <w:qFormat/>
    <w:tblPr>
      <w:tblCellMar>
        <w:left w:w="0" w:type="dxa"/>
        <w:top w:w="0" w:type="dxa"/>
        <w:right w:w="0" w:type="dxa"/>
        <w:bottom w:w="0" w:type="dxa"/>
      </w:tblCellMar>
    </w:tblPr>
  </w:style>
  <w:style w:type="table" w:styleId="1290" w:customStyle="1">
    <w:name w:val="List Table 5 Dark - Accent 4"/>
    <w:basedOn w:val="974"/>
    <w:uiPriority w:val="99"/>
    <w:qFormat/>
    <w:tblPr>
      <w:tblCellMar>
        <w:left w:w="0" w:type="dxa"/>
        <w:top w:w="0" w:type="dxa"/>
        <w:right w:w="0" w:type="dxa"/>
        <w:bottom w:w="0" w:type="dxa"/>
      </w:tblCellMar>
    </w:tblPr>
  </w:style>
  <w:style w:type="table" w:styleId="1291" w:customStyle="1">
    <w:name w:val="Grid Table 3 - Accent 1"/>
    <w:basedOn w:val="974"/>
    <w:uiPriority w:val="99"/>
    <w:qFormat/>
    <w:tblPr>
      <w:tblCellMar>
        <w:left w:w="0" w:type="dxa"/>
        <w:top w:w="0" w:type="dxa"/>
        <w:right w:w="0" w:type="dxa"/>
        <w:bottom w:w="0" w:type="dxa"/>
      </w:tblCellMar>
    </w:tblPr>
  </w:style>
  <w:style w:type="table" w:styleId="1292" w:customStyle="1">
    <w:name w:val="Grid Table 1 Light - Accent 2"/>
    <w:basedOn w:val="974"/>
    <w:uiPriority w:val="99"/>
    <w:qFormat/>
    <w:tblPr>
      <w:tblCellMar>
        <w:left w:w="0" w:type="dxa"/>
        <w:top w:w="0" w:type="dxa"/>
        <w:right w:w="0" w:type="dxa"/>
        <w:bottom w:w="0" w:type="dxa"/>
      </w:tblCellMar>
    </w:tblPr>
  </w:style>
  <w:style w:type="table" w:styleId="1293" w:customStyle="1">
    <w:name w:val="Grid Table 1 Light"/>
    <w:basedOn w:val="974"/>
    <w:uiPriority w:val="99"/>
    <w:qFormat/>
    <w:tblPr>
      <w:tblCellMar>
        <w:left w:w="0" w:type="dxa"/>
        <w:top w:w="0" w:type="dxa"/>
        <w:right w:w="0" w:type="dxa"/>
        <w:bottom w:w="0" w:type="dxa"/>
      </w:tblCellMar>
    </w:tblPr>
  </w:style>
  <w:style w:type="table" w:styleId="1294" w:customStyle="1">
    <w:name w:val="Grid Table 2 - Accent 2"/>
    <w:basedOn w:val="974"/>
    <w:uiPriority w:val="99"/>
    <w:qFormat/>
    <w:tblPr>
      <w:tblCellMar>
        <w:left w:w="0" w:type="dxa"/>
        <w:top w:w="0" w:type="dxa"/>
        <w:right w:w="0" w:type="dxa"/>
        <w:bottom w:w="0" w:type="dxa"/>
      </w:tblCellMar>
    </w:tblPr>
  </w:style>
  <w:style w:type="table" w:styleId="1295" w:customStyle="1">
    <w:name w:val="List Table 5 Dark - Accent 5"/>
    <w:basedOn w:val="974"/>
    <w:uiPriority w:val="99"/>
    <w:qFormat/>
    <w:tblPr>
      <w:tblCellMar>
        <w:left w:w="0" w:type="dxa"/>
        <w:top w:w="0" w:type="dxa"/>
        <w:right w:w="0" w:type="dxa"/>
        <w:bottom w:w="0" w:type="dxa"/>
      </w:tblCellMar>
    </w:tblPr>
  </w:style>
  <w:style w:type="table" w:styleId="1296" w:customStyle="1">
    <w:name w:val="Grid Table 4 - Accent 4"/>
    <w:basedOn w:val="974"/>
    <w:uiPriority w:val="59"/>
    <w:qFormat/>
    <w:tblPr>
      <w:tblCellMar>
        <w:left w:w="0" w:type="dxa"/>
        <w:top w:w="0" w:type="dxa"/>
        <w:right w:w="0" w:type="dxa"/>
        <w:bottom w:w="0" w:type="dxa"/>
      </w:tblCellMar>
    </w:tblPr>
  </w:style>
  <w:style w:type="table" w:styleId="1297" w:customStyle="1">
    <w:name w:val="List Table 4 - Accent 2"/>
    <w:basedOn w:val="974"/>
    <w:uiPriority w:val="99"/>
    <w:qFormat/>
    <w:tblPr>
      <w:tblCellMar>
        <w:left w:w="0" w:type="dxa"/>
        <w:top w:w="0" w:type="dxa"/>
        <w:right w:w="0" w:type="dxa"/>
        <w:bottom w:w="0" w:type="dxa"/>
      </w:tblCellMar>
    </w:tblPr>
  </w:style>
  <w:style w:type="table" w:styleId="1298" w:customStyle="1">
    <w:name w:val="Grid Table 5 Dark"/>
    <w:basedOn w:val="974"/>
    <w:uiPriority w:val="99"/>
    <w:qFormat/>
    <w:tblPr>
      <w:tblCellMar>
        <w:left w:w="0" w:type="dxa"/>
        <w:top w:w="0" w:type="dxa"/>
        <w:right w:w="0" w:type="dxa"/>
        <w:bottom w:w="0" w:type="dxa"/>
      </w:tblCellMar>
    </w:tblPr>
  </w:style>
  <w:style w:type="table" w:styleId="1299" w:customStyle="1">
    <w:name w:val="List Table 1 Light"/>
    <w:basedOn w:val="974"/>
    <w:uiPriority w:val="99"/>
    <w:qFormat/>
    <w:tblPr>
      <w:tblCellMar>
        <w:left w:w="0" w:type="dxa"/>
        <w:top w:w="0" w:type="dxa"/>
        <w:right w:w="0" w:type="dxa"/>
        <w:bottom w:w="0" w:type="dxa"/>
      </w:tblCellMar>
    </w:tblPr>
  </w:style>
  <w:style w:type="table" w:styleId="1300" w:customStyle="1">
    <w:name w:val="Plain Table 1"/>
    <w:basedOn w:val="974"/>
    <w:uiPriority w:val="59"/>
    <w:qFormat/>
    <w:tblPr>
      <w:tblCellMar>
        <w:left w:w="0" w:type="dxa"/>
        <w:top w:w="0" w:type="dxa"/>
        <w:right w:w="0" w:type="dxa"/>
        <w:bottom w:w="0" w:type="dxa"/>
      </w:tblCellMar>
    </w:tblPr>
  </w:style>
  <w:style w:type="table" w:styleId="1301" w:customStyle="1">
    <w:name w:val="Grid Table 5 Dark - Accent 6"/>
    <w:basedOn w:val="974"/>
    <w:uiPriority w:val="99"/>
    <w:qFormat/>
    <w:tblPr>
      <w:tblCellMar>
        <w:left w:w="0" w:type="dxa"/>
        <w:top w:w="0" w:type="dxa"/>
        <w:right w:w="0" w:type="dxa"/>
        <w:bottom w:w="0" w:type="dxa"/>
      </w:tblCellMar>
    </w:tblPr>
  </w:style>
  <w:style w:type="table" w:styleId="1302" w:customStyle="1">
    <w:name w:val="Grid Table 2 - Accent 5"/>
    <w:basedOn w:val="974"/>
    <w:uiPriority w:val="99"/>
    <w:qFormat/>
    <w:tblPr>
      <w:tblCellMar>
        <w:left w:w="0" w:type="dxa"/>
        <w:top w:w="0" w:type="dxa"/>
        <w:right w:w="0" w:type="dxa"/>
        <w:bottom w:w="0" w:type="dxa"/>
      </w:tblCellMar>
    </w:tblPr>
  </w:style>
  <w:style w:type="table" w:styleId="1303" w:customStyle="1">
    <w:name w:val="Grid Table 3 - Accent 5"/>
    <w:basedOn w:val="974"/>
    <w:uiPriority w:val="99"/>
    <w:qFormat/>
    <w:tblPr>
      <w:tblCellMar>
        <w:left w:w="0" w:type="dxa"/>
        <w:top w:w="0" w:type="dxa"/>
        <w:right w:w="0" w:type="dxa"/>
        <w:bottom w:w="0" w:type="dxa"/>
      </w:tblCellMar>
    </w:tblPr>
  </w:style>
  <w:style w:type="table" w:styleId="1304" w:customStyle="1">
    <w:name w:val="Bordered &amp; Lined - Accent 2"/>
    <w:basedOn w:val="974"/>
    <w:uiPriority w:val="99"/>
    <w:qFormat/>
    <w:rPr>
      <w:color w:val="404040"/>
    </w:rPr>
    <w:tblPr>
      <w:tblCellMar>
        <w:left w:w="0" w:type="dxa"/>
        <w:top w:w="0" w:type="dxa"/>
        <w:right w:w="0" w:type="dxa"/>
        <w:bottom w:w="0" w:type="dxa"/>
      </w:tblCellMar>
    </w:tblPr>
  </w:style>
  <w:style w:type="table" w:styleId="1305" w:customStyle="1">
    <w:name w:val="Bordered &amp; Lined - Accent 6"/>
    <w:basedOn w:val="974"/>
    <w:uiPriority w:val="99"/>
    <w:qFormat/>
    <w:rPr>
      <w:color w:val="404040"/>
    </w:rPr>
    <w:tblPr>
      <w:tblCellMar>
        <w:left w:w="0" w:type="dxa"/>
        <w:top w:w="0" w:type="dxa"/>
        <w:right w:w="0" w:type="dxa"/>
        <w:bottom w:w="0" w:type="dxa"/>
      </w:tblCellMar>
    </w:tblPr>
  </w:style>
  <w:style w:type="table" w:styleId="1306" w:customStyle="1">
    <w:name w:val="Grid Table 5 Dark - Accent 5"/>
    <w:basedOn w:val="974"/>
    <w:uiPriority w:val="99"/>
    <w:qFormat/>
    <w:tblPr>
      <w:tblCellMar>
        <w:left w:w="0" w:type="dxa"/>
        <w:top w:w="0" w:type="dxa"/>
        <w:right w:w="0" w:type="dxa"/>
        <w:bottom w:w="0" w:type="dxa"/>
      </w:tblCellMar>
    </w:tblPr>
  </w:style>
  <w:style w:type="table" w:styleId="1307" w:customStyle="1">
    <w:name w:val="Grid Table 4 - Accent 1"/>
    <w:basedOn w:val="974"/>
    <w:uiPriority w:val="59"/>
    <w:qFormat/>
    <w:tblPr>
      <w:tblCellMar>
        <w:left w:w="0" w:type="dxa"/>
        <w:top w:w="0" w:type="dxa"/>
        <w:right w:w="0" w:type="dxa"/>
        <w:bottom w:w="0" w:type="dxa"/>
      </w:tblCellMar>
    </w:tblPr>
  </w:style>
  <w:style w:type="table" w:styleId="1308" w:customStyle="1">
    <w:name w:val="List Table 3 - Accent 4"/>
    <w:basedOn w:val="974"/>
    <w:uiPriority w:val="99"/>
    <w:qFormat/>
    <w:tblPr>
      <w:tblCellMar>
        <w:left w:w="0" w:type="dxa"/>
        <w:top w:w="0" w:type="dxa"/>
        <w:right w:w="0" w:type="dxa"/>
        <w:bottom w:w="0" w:type="dxa"/>
      </w:tblCellMar>
    </w:tblPr>
  </w:style>
  <w:style w:type="table" w:styleId="1309" w:customStyle="1">
    <w:name w:val="Grid Table 1 Light - Accent 4"/>
    <w:basedOn w:val="974"/>
    <w:uiPriority w:val="99"/>
    <w:qFormat/>
    <w:tblPr>
      <w:tblCellMar>
        <w:left w:w="0" w:type="dxa"/>
        <w:top w:w="0" w:type="dxa"/>
        <w:right w:w="0" w:type="dxa"/>
        <w:bottom w:w="0" w:type="dxa"/>
      </w:tblCellMar>
    </w:tblPr>
  </w:style>
  <w:style w:type="table" w:styleId="1310" w:customStyle="1">
    <w:name w:val="List Table 3"/>
    <w:basedOn w:val="974"/>
    <w:uiPriority w:val="99"/>
    <w:qFormat/>
    <w:tblPr>
      <w:tblCellMar>
        <w:left w:w="0" w:type="dxa"/>
        <w:top w:w="0" w:type="dxa"/>
        <w:right w:w="0" w:type="dxa"/>
        <w:bottom w:w="0" w:type="dxa"/>
      </w:tblCellMar>
    </w:tblPr>
  </w:style>
  <w:style w:type="table" w:styleId="1311" w:customStyle="1">
    <w:name w:val="List Table 1 Light - Accent 4"/>
    <w:basedOn w:val="974"/>
    <w:uiPriority w:val="99"/>
    <w:qFormat/>
    <w:tblPr>
      <w:tblCellMar>
        <w:left w:w="0" w:type="dxa"/>
        <w:top w:w="0" w:type="dxa"/>
        <w:right w:w="0" w:type="dxa"/>
        <w:bottom w:w="0" w:type="dxa"/>
      </w:tblCellMar>
    </w:tblPr>
  </w:style>
  <w:style w:type="table" w:styleId="1312" w:customStyle="1">
    <w:name w:val="Grid Table 2 - Accent 1"/>
    <w:basedOn w:val="974"/>
    <w:uiPriority w:val="99"/>
    <w:qFormat/>
    <w:tblPr>
      <w:tblCellMar>
        <w:left w:w="0" w:type="dxa"/>
        <w:top w:w="0" w:type="dxa"/>
        <w:right w:w="0" w:type="dxa"/>
        <w:bottom w:w="0" w:type="dxa"/>
      </w:tblCellMar>
    </w:tblPr>
  </w:style>
  <w:style w:type="table" w:styleId="1313" w:customStyle="1">
    <w:name w:val="Bordered - Accent 3"/>
    <w:basedOn w:val="974"/>
    <w:uiPriority w:val="99"/>
    <w:qFormat/>
    <w:tblPr>
      <w:tblCellMar>
        <w:left w:w="0" w:type="dxa"/>
        <w:top w:w="0" w:type="dxa"/>
        <w:right w:w="0" w:type="dxa"/>
        <w:bottom w:w="0" w:type="dxa"/>
      </w:tblCellMar>
    </w:tblPr>
  </w:style>
  <w:style w:type="table" w:styleId="1314" w:customStyle="1">
    <w:name w:val="List Table 7 Colorful - Accent 2"/>
    <w:basedOn w:val="974"/>
    <w:uiPriority w:val="99"/>
    <w:qFormat/>
    <w:tblPr>
      <w:tblCellMar>
        <w:left w:w="0" w:type="dxa"/>
        <w:top w:w="0" w:type="dxa"/>
        <w:right w:w="0" w:type="dxa"/>
        <w:bottom w:w="0" w:type="dxa"/>
      </w:tblCellMar>
    </w:tblPr>
  </w:style>
  <w:style w:type="table" w:styleId="1315" w:customStyle="1">
    <w:name w:val="List Table 7 Colorful - Accent 6"/>
    <w:basedOn w:val="974"/>
    <w:uiPriority w:val="99"/>
    <w:qFormat/>
    <w:tblPr>
      <w:tblCellMar>
        <w:left w:w="0" w:type="dxa"/>
        <w:top w:w="0" w:type="dxa"/>
        <w:right w:w="0" w:type="dxa"/>
        <w:bottom w:w="0" w:type="dxa"/>
      </w:tblCellMar>
    </w:tblPr>
  </w:style>
  <w:style w:type="table" w:styleId="1316" w:customStyle="1">
    <w:name w:val="Grid Table 2"/>
    <w:basedOn w:val="974"/>
    <w:uiPriority w:val="99"/>
    <w:qFormat/>
    <w:tblPr>
      <w:tblCellMar>
        <w:left w:w="0" w:type="dxa"/>
        <w:top w:w="0" w:type="dxa"/>
        <w:right w:w="0" w:type="dxa"/>
        <w:bottom w:w="0" w:type="dxa"/>
      </w:tblCellMar>
    </w:tblPr>
  </w:style>
  <w:style w:type="table" w:styleId="1317" w:customStyle="1">
    <w:name w:val="Grid Table 3"/>
    <w:basedOn w:val="974"/>
    <w:uiPriority w:val="99"/>
    <w:qFormat/>
    <w:tblPr>
      <w:tblCellMar>
        <w:left w:w="0" w:type="dxa"/>
        <w:top w:w="0" w:type="dxa"/>
        <w:right w:w="0" w:type="dxa"/>
        <w:bottom w:w="0" w:type="dxa"/>
      </w:tblCellMar>
    </w:tblPr>
  </w:style>
  <w:style w:type="table" w:styleId="1318" w:customStyle="1">
    <w:name w:val="Grid Table 4 - Accent 6"/>
    <w:basedOn w:val="974"/>
    <w:uiPriority w:val="59"/>
    <w:qFormat/>
    <w:tblPr>
      <w:tblCellMar>
        <w:left w:w="0" w:type="dxa"/>
        <w:top w:w="0" w:type="dxa"/>
        <w:right w:w="0" w:type="dxa"/>
        <w:bottom w:w="0" w:type="dxa"/>
      </w:tblCellMar>
    </w:tblPr>
  </w:style>
  <w:style w:type="table" w:styleId="1319" w:customStyle="1">
    <w:name w:val="List Table 1 Light - Accent 2"/>
    <w:basedOn w:val="974"/>
    <w:uiPriority w:val="99"/>
    <w:qFormat/>
    <w:tblPr>
      <w:tblCellMar>
        <w:left w:w="0" w:type="dxa"/>
        <w:top w:w="0" w:type="dxa"/>
        <w:right w:w="0" w:type="dxa"/>
        <w:bottom w:w="0" w:type="dxa"/>
      </w:tblCellMar>
    </w:tblPr>
  </w:style>
  <w:style w:type="table" w:styleId="1320" w:customStyle="1">
    <w:name w:val="List Table 6 Colorful - Accent 3"/>
    <w:basedOn w:val="974"/>
    <w:uiPriority w:val="99"/>
    <w:qFormat/>
    <w:tblPr>
      <w:tblCellMar>
        <w:left w:w="0" w:type="dxa"/>
        <w:top w:w="0" w:type="dxa"/>
        <w:right w:w="0" w:type="dxa"/>
        <w:bottom w:w="0" w:type="dxa"/>
      </w:tblCellMar>
    </w:tblPr>
  </w:style>
  <w:style w:type="table" w:styleId="1321" w:customStyle="1">
    <w:name w:val="Grid Table 2 - Accent 3"/>
    <w:basedOn w:val="974"/>
    <w:uiPriority w:val="99"/>
    <w:qFormat/>
    <w:tblPr>
      <w:tblCellMar>
        <w:left w:w="0" w:type="dxa"/>
        <w:top w:w="0" w:type="dxa"/>
        <w:right w:w="0" w:type="dxa"/>
        <w:bottom w:w="0" w:type="dxa"/>
      </w:tblCellMar>
    </w:tblPr>
  </w:style>
  <w:style w:type="table" w:styleId="1322" w:customStyle="1">
    <w:name w:val="Grid Table 5 Dark - Accent 3"/>
    <w:basedOn w:val="974"/>
    <w:uiPriority w:val="99"/>
    <w:qFormat/>
    <w:tblPr>
      <w:tblCellMar>
        <w:left w:w="0" w:type="dxa"/>
        <w:top w:w="0" w:type="dxa"/>
        <w:right w:w="0" w:type="dxa"/>
        <w:bottom w:w="0" w:type="dxa"/>
      </w:tblCellMar>
    </w:tblPr>
  </w:style>
  <w:style w:type="table" w:styleId="1323" w:customStyle="1">
    <w:name w:val="Bordered &amp; Lined - Accent 1"/>
    <w:basedOn w:val="974"/>
    <w:uiPriority w:val="99"/>
    <w:qFormat/>
    <w:rPr>
      <w:color w:val="404040"/>
    </w:rPr>
    <w:tblPr>
      <w:tblCellMar>
        <w:left w:w="0" w:type="dxa"/>
        <w:top w:w="0" w:type="dxa"/>
        <w:right w:w="0" w:type="dxa"/>
        <w:bottom w:w="0" w:type="dxa"/>
      </w:tblCellMar>
    </w:tblPr>
  </w:style>
  <w:style w:type="table" w:styleId="1324" w:customStyle="1">
    <w:name w:val="List Table 3 - Accent 1"/>
    <w:basedOn w:val="974"/>
    <w:uiPriority w:val="99"/>
    <w:qFormat/>
    <w:tblPr>
      <w:tblCellMar>
        <w:left w:w="0" w:type="dxa"/>
        <w:top w:w="0" w:type="dxa"/>
        <w:right w:w="0" w:type="dxa"/>
        <w:bottom w:w="0" w:type="dxa"/>
      </w:tblCellMar>
    </w:tblPr>
  </w:style>
  <w:style w:type="table" w:styleId="1325" w:customStyle="1">
    <w:name w:val="Grid Table 1 Light - Accent 6"/>
    <w:basedOn w:val="974"/>
    <w:uiPriority w:val="99"/>
    <w:qFormat/>
    <w:tblPr>
      <w:tblCellMar>
        <w:left w:w="0" w:type="dxa"/>
        <w:top w:w="0" w:type="dxa"/>
        <w:right w:w="0" w:type="dxa"/>
        <w:bottom w:w="0" w:type="dxa"/>
      </w:tblCellMar>
    </w:tblPr>
  </w:style>
  <w:style w:type="table" w:styleId="1326" w:customStyle="1">
    <w:name w:val="Lined - Accent 6"/>
    <w:basedOn w:val="974"/>
    <w:uiPriority w:val="99"/>
    <w:qFormat/>
    <w:rPr>
      <w:color w:val="404040"/>
    </w:rPr>
    <w:tblPr>
      <w:tblCellMar>
        <w:left w:w="0" w:type="dxa"/>
        <w:top w:w="0" w:type="dxa"/>
        <w:right w:w="0" w:type="dxa"/>
        <w:bottom w:w="0" w:type="dxa"/>
      </w:tblCellMar>
    </w:tblPr>
  </w:style>
  <w:style w:type="table" w:styleId="1327" w:customStyle="1">
    <w:name w:val="List Table 7 Colorful - Accent 3"/>
    <w:basedOn w:val="974"/>
    <w:uiPriority w:val="99"/>
    <w:qFormat/>
    <w:tblPr>
      <w:tblCellMar>
        <w:left w:w="0" w:type="dxa"/>
        <w:top w:w="0" w:type="dxa"/>
        <w:right w:w="0" w:type="dxa"/>
        <w:bottom w:w="0" w:type="dxa"/>
      </w:tblCellMar>
    </w:tblPr>
  </w:style>
  <w:style w:type="table" w:styleId="1328" w:customStyle="1">
    <w:name w:val="Grid Table 1 Light - Accent 3"/>
    <w:basedOn w:val="974"/>
    <w:uiPriority w:val="99"/>
    <w:qFormat/>
    <w:tblPr>
      <w:tblCellMar>
        <w:left w:w="0" w:type="dxa"/>
        <w:top w:w="0" w:type="dxa"/>
        <w:right w:w="0" w:type="dxa"/>
        <w:bottom w:w="0" w:type="dxa"/>
      </w:tblCellMar>
    </w:tblPr>
  </w:style>
  <w:style w:type="table" w:styleId="1329" w:customStyle="1">
    <w:name w:val="Grid Table 3 - Accent 6"/>
    <w:basedOn w:val="974"/>
    <w:uiPriority w:val="99"/>
    <w:qFormat/>
    <w:tblPr>
      <w:tblCellMar>
        <w:left w:w="0" w:type="dxa"/>
        <w:top w:w="0" w:type="dxa"/>
        <w:right w:w="0" w:type="dxa"/>
        <w:bottom w:w="0" w:type="dxa"/>
      </w:tblCellMar>
    </w:tblPr>
  </w:style>
  <w:style w:type="table" w:styleId="1330" w:customStyle="1">
    <w:name w:val="Grid Table 5 Dark - Accent 2"/>
    <w:basedOn w:val="974"/>
    <w:uiPriority w:val="99"/>
    <w:qFormat/>
    <w:tblPr>
      <w:tblCellMar>
        <w:left w:w="0" w:type="dxa"/>
        <w:top w:w="0" w:type="dxa"/>
        <w:right w:w="0" w:type="dxa"/>
        <w:bottom w:w="0" w:type="dxa"/>
      </w:tblCellMar>
    </w:tblPr>
  </w:style>
  <w:style w:type="table" w:styleId="1331" w:customStyle="1">
    <w:name w:val="List Table 7 Colorful - Accent 5"/>
    <w:basedOn w:val="974"/>
    <w:uiPriority w:val="99"/>
    <w:qFormat/>
    <w:tblPr>
      <w:tblCellMar>
        <w:left w:w="0" w:type="dxa"/>
        <w:top w:w="0" w:type="dxa"/>
        <w:right w:w="0" w:type="dxa"/>
        <w:bottom w:w="0" w:type="dxa"/>
      </w:tblCellMar>
    </w:tblPr>
  </w:style>
  <w:style w:type="table" w:styleId="1332" w:customStyle="1">
    <w:name w:val="List Table 6 Colorful"/>
    <w:basedOn w:val="974"/>
    <w:uiPriority w:val="99"/>
    <w:qFormat/>
    <w:tblPr>
      <w:tblCellMar>
        <w:left w:w="0" w:type="dxa"/>
        <w:top w:w="0" w:type="dxa"/>
        <w:right w:w="0" w:type="dxa"/>
        <w:bottom w:w="0" w:type="dxa"/>
      </w:tblCellMar>
    </w:tblPr>
  </w:style>
  <w:style w:type="table" w:styleId="1333" w:customStyle="1">
    <w:name w:val="Grid Table 2 - Accent 6"/>
    <w:basedOn w:val="974"/>
    <w:uiPriority w:val="99"/>
    <w:qFormat/>
    <w:tblPr>
      <w:tblCellMar>
        <w:left w:w="0" w:type="dxa"/>
        <w:top w:w="0" w:type="dxa"/>
        <w:right w:w="0" w:type="dxa"/>
        <w:bottom w:w="0" w:type="dxa"/>
      </w:tblCellMar>
    </w:tblPr>
  </w:style>
  <w:style w:type="table" w:styleId="1334" w:customStyle="1">
    <w:name w:val="List Table 5 Dark - Accent 1"/>
    <w:basedOn w:val="974"/>
    <w:uiPriority w:val="99"/>
    <w:qFormat/>
    <w:tblPr>
      <w:tblCellMar>
        <w:left w:w="0" w:type="dxa"/>
        <w:top w:w="0" w:type="dxa"/>
        <w:right w:w="0" w:type="dxa"/>
        <w:bottom w:w="0" w:type="dxa"/>
      </w:tblCellMar>
    </w:tblPr>
  </w:style>
  <w:style w:type="table" w:styleId="1335" w:customStyle="1">
    <w:name w:val="List Table 3 - Accent 6"/>
    <w:basedOn w:val="974"/>
    <w:uiPriority w:val="99"/>
    <w:qFormat/>
    <w:tblPr>
      <w:tblCellMar>
        <w:left w:w="0" w:type="dxa"/>
        <w:top w:w="0" w:type="dxa"/>
        <w:right w:w="0" w:type="dxa"/>
        <w:bottom w:w="0" w:type="dxa"/>
      </w:tblCellMar>
    </w:tblPr>
  </w:style>
  <w:style w:type="table" w:styleId="1336" w:customStyle="1">
    <w:name w:val="List Table 2 - Accent 3"/>
    <w:basedOn w:val="974"/>
    <w:uiPriority w:val="99"/>
    <w:qFormat/>
    <w:tblPr>
      <w:tblCellMar>
        <w:left w:w="0" w:type="dxa"/>
        <w:top w:w="0" w:type="dxa"/>
        <w:right w:w="0" w:type="dxa"/>
        <w:bottom w:w="0" w:type="dxa"/>
      </w:tblCellMar>
    </w:tblPr>
  </w:style>
  <w:style w:type="table" w:styleId="1337" w:customStyle="1">
    <w:name w:val="Grid Table 7 Colorful - Accent 4"/>
    <w:basedOn w:val="974"/>
    <w:uiPriority w:val="99"/>
    <w:qFormat/>
    <w:tblPr>
      <w:tblCellMar>
        <w:left w:w="0" w:type="dxa"/>
        <w:top w:w="0" w:type="dxa"/>
        <w:right w:w="0" w:type="dxa"/>
        <w:bottom w:w="0" w:type="dxa"/>
      </w:tblCellMar>
    </w:tblPr>
  </w:style>
  <w:style w:type="table" w:styleId="1338" w:customStyle="1">
    <w:name w:val="Grid Table 6 Colorful - Accent 6"/>
    <w:basedOn w:val="974"/>
    <w:uiPriority w:val="99"/>
    <w:qFormat/>
    <w:tblPr>
      <w:tblCellMar>
        <w:left w:w="0" w:type="dxa"/>
        <w:top w:w="0" w:type="dxa"/>
        <w:right w:w="0" w:type="dxa"/>
        <w:bottom w:w="0" w:type="dxa"/>
      </w:tblCellMar>
    </w:tblPr>
  </w:style>
  <w:style w:type="table" w:styleId="1339" w:customStyle="1">
    <w:name w:val="Grid Table 7 Colorful - Accent 2"/>
    <w:basedOn w:val="974"/>
    <w:uiPriority w:val="99"/>
    <w:qFormat/>
    <w:tblPr>
      <w:tblCellMar>
        <w:left w:w="0" w:type="dxa"/>
        <w:top w:w="0" w:type="dxa"/>
        <w:right w:w="0" w:type="dxa"/>
        <w:bottom w:w="0" w:type="dxa"/>
      </w:tblCellMar>
    </w:tblPr>
  </w:style>
  <w:style w:type="table" w:styleId="1340" w:customStyle="1">
    <w:name w:val="List Table 4"/>
    <w:basedOn w:val="974"/>
    <w:uiPriority w:val="99"/>
    <w:qFormat/>
    <w:tblPr>
      <w:tblCellMar>
        <w:left w:w="0" w:type="dxa"/>
        <w:top w:w="0" w:type="dxa"/>
        <w:right w:w="0" w:type="dxa"/>
        <w:bottom w:w="0" w:type="dxa"/>
      </w:tblCellMar>
    </w:tblPr>
  </w:style>
  <w:style w:type="table" w:styleId="1341" w:customStyle="1">
    <w:name w:val="List Table 6 Colorful - Accent 5"/>
    <w:basedOn w:val="974"/>
    <w:uiPriority w:val="99"/>
    <w:qFormat/>
    <w:tblPr>
      <w:tblCellMar>
        <w:left w:w="0" w:type="dxa"/>
        <w:top w:w="0" w:type="dxa"/>
        <w:right w:w="0" w:type="dxa"/>
        <w:bottom w:w="0" w:type="dxa"/>
      </w:tblCellMar>
    </w:tblPr>
  </w:style>
  <w:style w:type="table" w:styleId="1342" w:customStyle="1">
    <w:name w:val="List Table 4 - Accent 6"/>
    <w:basedOn w:val="974"/>
    <w:uiPriority w:val="99"/>
    <w:qFormat/>
    <w:tblPr>
      <w:tblCellMar>
        <w:left w:w="0" w:type="dxa"/>
        <w:top w:w="0" w:type="dxa"/>
        <w:right w:w="0" w:type="dxa"/>
        <w:bottom w:w="0" w:type="dxa"/>
      </w:tblCellMar>
    </w:tblPr>
  </w:style>
  <w:style w:type="table" w:styleId="1343" w:customStyle="1">
    <w:name w:val="Grid Table 6 Colorful - Accent 5"/>
    <w:basedOn w:val="974"/>
    <w:uiPriority w:val="99"/>
    <w:qFormat/>
    <w:tblPr>
      <w:tblCellMar>
        <w:left w:w="0" w:type="dxa"/>
        <w:top w:w="0" w:type="dxa"/>
        <w:right w:w="0" w:type="dxa"/>
        <w:bottom w:w="0" w:type="dxa"/>
      </w:tblCellMar>
    </w:tblPr>
  </w:style>
  <w:style w:type="table" w:styleId="1344" w:customStyle="1">
    <w:name w:val="Grid Table 3 - Accent 4"/>
    <w:basedOn w:val="974"/>
    <w:uiPriority w:val="99"/>
    <w:qFormat/>
    <w:tblPr>
      <w:tblCellMar>
        <w:left w:w="0" w:type="dxa"/>
        <w:top w:w="0" w:type="dxa"/>
        <w:right w:w="0" w:type="dxa"/>
        <w:bottom w:w="0" w:type="dxa"/>
      </w:tblCellMar>
    </w:tblPr>
  </w:style>
  <w:style w:type="table" w:styleId="1345" w:customStyle="1">
    <w:name w:val="List Table 3 - Accent 2"/>
    <w:basedOn w:val="974"/>
    <w:uiPriority w:val="99"/>
    <w:qFormat/>
    <w:tblPr>
      <w:tblCellMar>
        <w:left w:w="0" w:type="dxa"/>
        <w:top w:w="0" w:type="dxa"/>
        <w:right w:w="0" w:type="dxa"/>
        <w:bottom w:w="0" w:type="dxa"/>
      </w:tblCellMar>
    </w:tblPr>
  </w:style>
  <w:style w:type="table" w:styleId="1346" w:customStyle="1">
    <w:name w:val="List Table 2 - Accent 4"/>
    <w:basedOn w:val="974"/>
    <w:uiPriority w:val="99"/>
    <w:qFormat/>
    <w:tblPr>
      <w:tblCellMar>
        <w:left w:w="0" w:type="dxa"/>
        <w:top w:w="0" w:type="dxa"/>
        <w:right w:w="0" w:type="dxa"/>
        <w:bottom w:w="0" w:type="dxa"/>
      </w:tblCellMar>
    </w:tblPr>
  </w:style>
  <w:style w:type="table" w:styleId="1347" w:customStyle="1">
    <w:name w:val="List Table 2 - Accent 5"/>
    <w:basedOn w:val="974"/>
    <w:uiPriority w:val="99"/>
    <w:qFormat/>
    <w:tblPr>
      <w:tblCellMar>
        <w:left w:w="0" w:type="dxa"/>
        <w:top w:w="0" w:type="dxa"/>
        <w:right w:w="0" w:type="dxa"/>
        <w:bottom w:w="0" w:type="dxa"/>
      </w:tblCellMar>
    </w:tblPr>
  </w:style>
  <w:style w:type="table" w:styleId="1348" w:customStyle="1">
    <w:name w:val="List Table 2 - Accent 1"/>
    <w:basedOn w:val="974"/>
    <w:uiPriority w:val="99"/>
    <w:qFormat/>
    <w:tblPr>
      <w:tblCellMar>
        <w:left w:w="0" w:type="dxa"/>
        <w:top w:w="0" w:type="dxa"/>
        <w:right w:w="0" w:type="dxa"/>
        <w:bottom w:w="0" w:type="dxa"/>
      </w:tblCellMar>
    </w:tblPr>
  </w:style>
  <w:style w:type="table" w:styleId="1349" w:customStyle="1">
    <w:name w:val="Bordered - Accent 6"/>
    <w:basedOn w:val="974"/>
    <w:uiPriority w:val="99"/>
    <w:qFormat/>
    <w:tblPr>
      <w:tblCellMar>
        <w:left w:w="0" w:type="dxa"/>
        <w:top w:w="0" w:type="dxa"/>
        <w:right w:w="0" w:type="dxa"/>
        <w:bottom w:w="0" w:type="dxa"/>
      </w:tblCellMar>
    </w:tblPr>
  </w:style>
  <w:style w:type="table" w:styleId="1350" w:customStyle="1">
    <w:name w:val="Grid Table 7 Colorful - Accent 5"/>
    <w:basedOn w:val="974"/>
    <w:uiPriority w:val="99"/>
    <w:qFormat/>
    <w:tblPr>
      <w:tblCellMar>
        <w:left w:w="0" w:type="dxa"/>
        <w:top w:w="0" w:type="dxa"/>
        <w:right w:w="0" w:type="dxa"/>
        <w:bottom w:w="0" w:type="dxa"/>
      </w:tblCellMar>
    </w:tblPr>
  </w:style>
  <w:style w:type="table" w:styleId="1351" w:customStyle="1">
    <w:name w:val="List Table 4 - Accent 1"/>
    <w:basedOn w:val="974"/>
    <w:uiPriority w:val="99"/>
    <w:qFormat/>
    <w:tblPr>
      <w:tblCellMar>
        <w:left w:w="0" w:type="dxa"/>
        <w:top w:w="0" w:type="dxa"/>
        <w:right w:w="0" w:type="dxa"/>
        <w:bottom w:w="0" w:type="dxa"/>
      </w:tblCellMar>
    </w:tblPr>
  </w:style>
  <w:style w:type="table" w:styleId="1352" w:customStyle="1">
    <w:name w:val="List Table 6 Colorful - Accent 1"/>
    <w:basedOn w:val="974"/>
    <w:uiPriority w:val="99"/>
    <w:qFormat/>
    <w:tblPr>
      <w:tblCellMar>
        <w:left w:w="0" w:type="dxa"/>
        <w:top w:w="0" w:type="dxa"/>
        <w:right w:w="0" w:type="dxa"/>
        <w:bottom w:w="0" w:type="dxa"/>
      </w:tblCellMar>
    </w:tblPr>
  </w:style>
  <w:style w:type="table" w:styleId="1353" w:customStyle="1">
    <w:name w:val="Bordered"/>
    <w:basedOn w:val="974"/>
    <w:uiPriority w:val="99"/>
    <w:qFormat/>
    <w:tblPr>
      <w:tblCellMar>
        <w:left w:w="0" w:type="dxa"/>
        <w:top w:w="0" w:type="dxa"/>
        <w:right w:w="0" w:type="dxa"/>
        <w:bottom w:w="0" w:type="dxa"/>
      </w:tblCellMar>
    </w:tblPr>
  </w:style>
  <w:style w:type="table" w:styleId="1354" w:customStyle="1">
    <w:name w:val="List Table 2 - Accent 2"/>
    <w:basedOn w:val="974"/>
    <w:uiPriority w:val="99"/>
    <w:qFormat/>
    <w:tblPr>
      <w:tblCellMar>
        <w:left w:w="0" w:type="dxa"/>
        <w:top w:w="0" w:type="dxa"/>
        <w:right w:w="0" w:type="dxa"/>
        <w:bottom w:w="0" w:type="dxa"/>
      </w:tblCellMar>
    </w:tblPr>
  </w:style>
  <w:style w:type="table" w:styleId="1355" w:customStyle="1">
    <w:name w:val="List Table 4 - Accent 4"/>
    <w:basedOn w:val="974"/>
    <w:uiPriority w:val="99"/>
    <w:qFormat/>
    <w:tblPr>
      <w:tblCellMar>
        <w:left w:w="0" w:type="dxa"/>
        <w:top w:w="0" w:type="dxa"/>
        <w:right w:w="0" w:type="dxa"/>
        <w:bottom w:w="0" w:type="dxa"/>
      </w:tblCellMar>
    </w:tblPr>
  </w:style>
  <w:style w:type="table" w:styleId="1356" w:customStyle="1">
    <w:name w:val="Lined - Accent 2"/>
    <w:basedOn w:val="974"/>
    <w:uiPriority w:val="99"/>
    <w:qFormat/>
    <w:rPr>
      <w:color w:val="404040"/>
    </w:rPr>
    <w:tblPr>
      <w:tblCellMar>
        <w:left w:w="0" w:type="dxa"/>
        <w:top w:w="0" w:type="dxa"/>
        <w:right w:w="0" w:type="dxa"/>
        <w:bottom w:w="0" w:type="dxa"/>
      </w:tblCellMar>
    </w:tblPr>
  </w:style>
  <w:style w:type="table" w:styleId="1357" w:customStyle="1">
    <w:name w:val="Bordered &amp; Lined - Accent"/>
    <w:basedOn w:val="974"/>
    <w:uiPriority w:val="99"/>
    <w:qFormat/>
    <w:rPr>
      <w:color w:val="404040"/>
    </w:rPr>
    <w:tblPr>
      <w:tblCellMar>
        <w:left w:w="0" w:type="dxa"/>
        <w:top w:w="0" w:type="dxa"/>
        <w:right w:w="0" w:type="dxa"/>
        <w:bottom w:w="0" w:type="dxa"/>
      </w:tblCellMar>
    </w:tblPr>
  </w:style>
  <w:style w:type="table" w:styleId="1358" w:customStyle="1">
    <w:name w:val="Bordered &amp; Lined - Accent 3"/>
    <w:basedOn w:val="974"/>
    <w:uiPriority w:val="99"/>
    <w:qFormat/>
    <w:rPr>
      <w:color w:val="404040"/>
    </w:rPr>
    <w:tblPr>
      <w:tblCellMar>
        <w:left w:w="0" w:type="dxa"/>
        <w:top w:w="0" w:type="dxa"/>
        <w:right w:w="0" w:type="dxa"/>
        <w:bottom w:w="0" w:type="dxa"/>
      </w:tblCellMar>
    </w:tblPr>
  </w:style>
  <w:style w:type="table" w:styleId="1359" w:customStyle="1">
    <w:name w:val="Plain Table 3"/>
    <w:basedOn w:val="974"/>
    <w:uiPriority w:val="99"/>
    <w:qFormat/>
    <w:tblPr>
      <w:tblCellMar>
        <w:left w:w="0" w:type="dxa"/>
        <w:top w:w="0" w:type="dxa"/>
        <w:right w:w="0" w:type="dxa"/>
        <w:bottom w:w="0" w:type="dxa"/>
      </w:tblCellMar>
    </w:tblPr>
  </w:style>
  <w:style w:type="table" w:styleId="1360" w:customStyle="1">
    <w:name w:val="Grid Table 1 Light - Accent 5"/>
    <w:basedOn w:val="974"/>
    <w:uiPriority w:val="99"/>
    <w:qFormat/>
    <w:tblPr>
      <w:tblCellMar>
        <w:left w:w="0" w:type="dxa"/>
        <w:top w:w="0" w:type="dxa"/>
        <w:right w:w="0" w:type="dxa"/>
        <w:bottom w:w="0" w:type="dxa"/>
      </w:tblCellMar>
    </w:tblPr>
  </w:style>
  <w:style w:type="table" w:styleId="1361" w:customStyle="1">
    <w:name w:val="List Table 3 - Accent 5"/>
    <w:basedOn w:val="974"/>
    <w:uiPriority w:val="99"/>
    <w:qFormat/>
    <w:tblPr>
      <w:tblCellMar>
        <w:left w:w="0" w:type="dxa"/>
        <w:top w:w="0" w:type="dxa"/>
        <w:right w:w="0" w:type="dxa"/>
        <w:bottom w:w="0" w:type="dxa"/>
      </w:tblCellMar>
    </w:tblPr>
  </w:style>
  <w:style w:type="table" w:styleId="1362" w:customStyle="1">
    <w:name w:val="Grid Table 6 Colorful - Accent 4"/>
    <w:basedOn w:val="974"/>
    <w:uiPriority w:val="99"/>
    <w:qFormat/>
    <w:tblPr>
      <w:tblCellMar>
        <w:left w:w="0" w:type="dxa"/>
        <w:top w:w="0" w:type="dxa"/>
        <w:right w:w="0" w:type="dxa"/>
        <w:bottom w:w="0" w:type="dxa"/>
      </w:tblCellMar>
    </w:tblPr>
  </w:style>
  <w:style w:type="table" w:styleId="1363" w:customStyle="1">
    <w:name w:val="Bordered - Accent 4"/>
    <w:basedOn w:val="974"/>
    <w:uiPriority w:val="99"/>
    <w:qFormat/>
    <w:tblPr>
      <w:tblCellMar>
        <w:left w:w="0" w:type="dxa"/>
        <w:top w:w="0" w:type="dxa"/>
        <w:right w:w="0" w:type="dxa"/>
        <w:bottom w:w="0" w:type="dxa"/>
      </w:tblCellMar>
    </w:tblPr>
  </w:style>
  <w:style w:type="table" w:styleId="1364" w:customStyle="1">
    <w:name w:val="Grid Table 4"/>
    <w:basedOn w:val="974"/>
    <w:uiPriority w:val="59"/>
    <w:qFormat/>
    <w:tblPr>
      <w:tblCellMar>
        <w:left w:w="0" w:type="dxa"/>
        <w:top w:w="0" w:type="dxa"/>
        <w:right w:w="0" w:type="dxa"/>
        <w:bottom w:w="0" w:type="dxa"/>
      </w:tblCellMar>
    </w:tblPr>
  </w:style>
  <w:style w:type="table" w:styleId="1365" w:customStyle="1">
    <w:name w:val="Bordered - Accent 5"/>
    <w:basedOn w:val="974"/>
    <w:uiPriority w:val="99"/>
    <w:qFormat/>
    <w:tblPr>
      <w:tblCellMar>
        <w:left w:w="0" w:type="dxa"/>
        <w:top w:w="0" w:type="dxa"/>
        <w:right w:w="0" w:type="dxa"/>
        <w:bottom w:w="0" w:type="dxa"/>
      </w:tblCellMar>
    </w:tblPr>
  </w:style>
  <w:style w:type="table" w:styleId="1366" w:customStyle="1">
    <w:name w:val="Grid Table 6 Colorful - Accent 2"/>
    <w:basedOn w:val="974"/>
    <w:uiPriority w:val="99"/>
    <w:qFormat/>
    <w:tblPr>
      <w:tblCellMar>
        <w:left w:w="0" w:type="dxa"/>
        <w:top w:w="0" w:type="dxa"/>
        <w:right w:w="0" w:type="dxa"/>
        <w:bottom w:w="0" w:type="dxa"/>
      </w:tblCellMar>
    </w:tblPr>
  </w:style>
  <w:style w:type="table" w:styleId="1367" w:customStyle="1">
    <w:name w:val="Grid Table 1 Light - Accent 1"/>
    <w:basedOn w:val="974"/>
    <w:uiPriority w:val="99"/>
    <w:qFormat/>
    <w:tblPr>
      <w:tblCellMar>
        <w:left w:w="0" w:type="dxa"/>
        <w:top w:w="0" w:type="dxa"/>
        <w:right w:w="0" w:type="dxa"/>
        <w:bottom w:w="0" w:type="dxa"/>
      </w:tblCellMar>
    </w:tblPr>
  </w:style>
  <w:style w:type="table" w:styleId="1368" w:customStyle="1">
    <w:name w:val="Lined - Accent 3"/>
    <w:basedOn w:val="974"/>
    <w:uiPriority w:val="99"/>
    <w:qFormat/>
    <w:rPr>
      <w:color w:val="404040"/>
    </w:rPr>
    <w:tblPr>
      <w:tblCellMar>
        <w:left w:w="0" w:type="dxa"/>
        <w:top w:w="0" w:type="dxa"/>
        <w:right w:w="0" w:type="dxa"/>
        <w:bottom w:w="0" w:type="dxa"/>
      </w:tblCellMar>
    </w:tblPr>
  </w:style>
  <w:style w:type="table" w:styleId="1369" w:customStyle="1">
    <w:name w:val="List Table 2"/>
    <w:basedOn w:val="974"/>
    <w:uiPriority w:val="99"/>
    <w:qFormat/>
    <w:tblPr>
      <w:tblCellMar>
        <w:left w:w="0" w:type="dxa"/>
        <w:top w:w="0" w:type="dxa"/>
        <w:right w:w="0" w:type="dxa"/>
        <w:bottom w:w="0" w:type="dxa"/>
      </w:tblCellMar>
    </w:tblPr>
  </w:style>
  <w:style w:type="table" w:styleId="1370" w:customStyle="1">
    <w:name w:val="Bordered - Accent 2"/>
    <w:basedOn w:val="974"/>
    <w:uiPriority w:val="99"/>
    <w:qFormat/>
    <w:tblPr>
      <w:tblCellMar>
        <w:left w:w="0" w:type="dxa"/>
        <w:top w:w="0" w:type="dxa"/>
        <w:right w:w="0" w:type="dxa"/>
        <w:bottom w:w="0" w:type="dxa"/>
      </w:tblCellMar>
    </w:tblPr>
  </w:style>
  <w:style w:type="table" w:styleId="1371" w:customStyle="1">
    <w:name w:val="Grid Table 6 Colorful"/>
    <w:basedOn w:val="974"/>
    <w:uiPriority w:val="99"/>
    <w:qFormat/>
    <w:tblPr>
      <w:tblCellMar>
        <w:left w:w="0" w:type="dxa"/>
        <w:top w:w="0" w:type="dxa"/>
        <w:right w:w="0" w:type="dxa"/>
        <w:bottom w:w="0" w:type="dxa"/>
      </w:tblCellMar>
    </w:tblPr>
  </w:style>
  <w:style w:type="table" w:styleId="1372" w:customStyle="1">
    <w:name w:val="Grid Table 7 Colorful - Accent 1"/>
    <w:basedOn w:val="974"/>
    <w:uiPriority w:val="99"/>
    <w:qFormat/>
    <w:tblPr>
      <w:tblCellMar>
        <w:left w:w="0" w:type="dxa"/>
        <w:top w:w="0" w:type="dxa"/>
        <w:right w:w="0" w:type="dxa"/>
        <w:bottom w:w="0" w:type="dxa"/>
      </w:tblCellMar>
    </w:tblPr>
  </w:style>
  <w:style w:type="table" w:styleId="1373" w:customStyle="1">
    <w:name w:val="Grid Table 3 - Accent 2"/>
    <w:basedOn w:val="974"/>
    <w:uiPriority w:val="99"/>
    <w:qFormat/>
    <w:tblPr>
      <w:tblCellMar>
        <w:left w:w="0" w:type="dxa"/>
        <w:top w:w="0" w:type="dxa"/>
        <w:right w:w="0" w:type="dxa"/>
        <w:bottom w:w="0" w:type="dxa"/>
      </w:tblCellMar>
    </w:tblPr>
  </w:style>
  <w:style w:type="table" w:styleId="1374" w:customStyle="1">
    <w:name w:val="Lined - Accent 1"/>
    <w:basedOn w:val="974"/>
    <w:uiPriority w:val="99"/>
    <w:qFormat/>
    <w:rPr>
      <w:color w:val="404040"/>
    </w:rPr>
    <w:tblPr>
      <w:tblCellMar>
        <w:left w:w="0" w:type="dxa"/>
        <w:top w:w="0" w:type="dxa"/>
        <w:right w:w="0" w:type="dxa"/>
        <w:bottom w:w="0" w:type="dxa"/>
      </w:tblCellMar>
    </w:tblPr>
  </w:style>
  <w:style w:type="table" w:styleId="1375" w:customStyle="1">
    <w:name w:val="Bordered - Accent 1"/>
    <w:basedOn w:val="974"/>
    <w:uiPriority w:val="99"/>
    <w:qFormat/>
    <w:tblPr>
      <w:tblCellMar>
        <w:left w:w="0" w:type="dxa"/>
        <w:top w:w="0" w:type="dxa"/>
        <w:right w:w="0" w:type="dxa"/>
        <w:bottom w:w="0" w:type="dxa"/>
      </w:tblCellMar>
    </w:tblPr>
  </w:style>
  <w:style w:type="table" w:styleId="1376" w:customStyle="1">
    <w:name w:val="网格型1"/>
    <w:basedOn w:val="974"/>
    <w:uiPriority w:val="0"/>
    <w:qFormat/>
    <w:tblPr>
      <w:tblCellMar>
        <w:left w:w="0" w:type="dxa"/>
        <w:top w:w="0" w:type="dxa"/>
        <w:right w:w="0" w:type="dxa"/>
        <w:bottom w:w="0" w:type="dxa"/>
      </w:tblCellMar>
    </w:tblPr>
  </w:style>
  <w:style w:type="table" w:styleId="1377" w:customStyle="1">
    <w:name w:val="Grid Table 5 Dark- Accent 4"/>
    <w:basedOn w:val="974"/>
    <w:uiPriority w:val="99"/>
    <w:qFormat/>
    <w:tblPr>
      <w:tblCellMar>
        <w:left w:w="0" w:type="dxa"/>
        <w:top w:w="0" w:type="dxa"/>
        <w:right w:w="0" w:type="dxa"/>
        <w:bottom w:w="0" w:type="dxa"/>
      </w:tblCellMar>
    </w:tblPr>
  </w:style>
  <w:style w:type="table" w:styleId="1378" w:customStyle="1">
    <w:name w:val="Grid Table 7 Colorful - Accent 3"/>
    <w:basedOn w:val="974"/>
    <w:uiPriority w:val="99"/>
    <w:qFormat/>
    <w:tblPr>
      <w:tblCellMar>
        <w:left w:w="0" w:type="dxa"/>
        <w:top w:w="0" w:type="dxa"/>
        <w:right w:w="0" w:type="dxa"/>
        <w:bottom w:w="0" w:type="dxa"/>
      </w:tblCellMar>
    </w:tblPr>
  </w:style>
  <w:style w:type="table" w:styleId="1379" w:customStyle="1">
    <w:name w:val="List Table 7 Colorful"/>
    <w:basedOn w:val="974"/>
    <w:uiPriority w:val="99"/>
    <w:qFormat/>
    <w:tblPr>
      <w:tblCellMar>
        <w:left w:w="0" w:type="dxa"/>
        <w:top w:w="0" w:type="dxa"/>
        <w:right w:w="0" w:type="dxa"/>
        <w:bottom w:w="0" w:type="dxa"/>
      </w:tblCellMar>
    </w:tblPr>
  </w:style>
  <w:style w:type="table" w:styleId="1380" w:customStyle="1">
    <w:name w:val="Bordered &amp; Lined - Accent 5"/>
    <w:basedOn w:val="974"/>
    <w:uiPriority w:val="99"/>
    <w:qFormat/>
    <w:rPr>
      <w:color w:val="404040"/>
    </w:rPr>
    <w:tblPr>
      <w:tblCellMar>
        <w:left w:w="0" w:type="dxa"/>
        <w:top w:w="0" w:type="dxa"/>
        <w:right w:w="0" w:type="dxa"/>
        <w:bottom w:w="0" w:type="dxa"/>
      </w:tblCellMar>
    </w:tblPr>
  </w:style>
  <w:style w:type="table" w:styleId="1381" w:customStyle="1">
    <w:name w:val="List Table 5 Dark - Accent 2"/>
    <w:basedOn w:val="974"/>
    <w:uiPriority w:val="99"/>
    <w:qFormat/>
    <w:tblPr>
      <w:tblCellMar>
        <w:left w:w="0" w:type="dxa"/>
        <w:top w:w="0" w:type="dxa"/>
        <w:right w:w="0" w:type="dxa"/>
        <w:bottom w:w="0" w:type="dxa"/>
      </w:tblCellMar>
    </w:tblPr>
  </w:style>
  <w:style w:type="table" w:styleId="1382" w:customStyle="1">
    <w:name w:val="Bordered &amp; Lined - Accent 4"/>
    <w:basedOn w:val="974"/>
    <w:uiPriority w:val="99"/>
    <w:qFormat/>
    <w:rPr>
      <w:color w:val="404040"/>
    </w:rPr>
    <w:tblPr>
      <w:tblCellMar>
        <w:left w:w="0" w:type="dxa"/>
        <w:top w:w="0" w:type="dxa"/>
        <w:right w:w="0" w:type="dxa"/>
        <w:bottom w:w="0" w:type="dxa"/>
      </w:tblCellMar>
    </w:tblPr>
  </w:style>
  <w:style w:type="table" w:styleId="1383" w:customStyle="1">
    <w:name w:val="Grid Table 4 - Accent 5"/>
    <w:basedOn w:val="974"/>
    <w:uiPriority w:val="59"/>
    <w:qFormat/>
    <w:tblPr>
      <w:tblCellMar>
        <w:left w:w="0" w:type="dxa"/>
        <w:top w:w="0" w:type="dxa"/>
        <w:right w:w="0" w:type="dxa"/>
        <w:bottom w:w="0" w:type="dxa"/>
      </w:tblCellMar>
    </w:tblPr>
  </w:style>
  <w:style w:type="table" w:styleId="1384" w:customStyle="1">
    <w:name w:val="Grid Table 7 Colorful - Accent 6"/>
    <w:basedOn w:val="974"/>
    <w:uiPriority w:val="99"/>
    <w:qFormat/>
    <w:tblPr>
      <w:tblCellMar>
        <w:left w:w="0" w:type="dxa"/>
        <w:top w:w="0" w:type="dxa"/>
        <w:right w:w="0" w:type="dxa"/>
        <w:bottom w:w="0" w:type="dxa"/>
      </w:tblCellMar>
    </w:tblPr>
  </w:style>
  <w:style w:type="table" w:styleId="1385" w:customStyle="1">
    <w:name w:val="Lined - Accent 5"/>
    <w:basedOn w:val="974"/>
    <w:uiPriority w:val="99"/>
    <w:qFormat/>
    <w:rPr>
      <w:color w:val="404040"/>
    </w:rPr>
    <w:tblPr>
      <w:tblCellMar>
        <w:left w:w="0" w:type="dxa"/>
        <w:top w:w="0" w:type="dxa"/>
        <w:right w:w="0" w:type="dxa"/>
        <w:bottom w:w="0" w:type="dxa"/>
      </w:tblCellMar>
    </w:tblPr>
  </w:style>
  <w:style w:type="table" w:styleId="1386" w:customStyle="1">
    <w:name w:val="Grid Table 5 Dark- Accent 1"/>
    <w:basedOn w:val="974"/>
    <w:uiPriority w:val="99"/>
    <w:qFormat/>
    <w:tblPr>
      <w:tblCellMar>
        <w:left w:w="0" w:type="dxa"/>
        <w:top w:w="0" w:type="dxa"/>
        <w:right w:w="0" w:type="dxa"/>
        <w:bottom w:w="0" w:type="dxa"/>
      </w:tblCellMar>
    </w:tblPr>
  </w:style>
  <w:style w:type="table" w:styleId="1387" w:customStyle="1">
    <w:name w:val="List Table 7 Colorful - Accent 1"/>
    <w:basedOn w:val="974"/>
    <w:uiPriority w:val="99"/>
    <w:qFormat/>
    <w:tblPr>
      <w:tblCellMar>
        <w:left w:w="0" w:type="dxa"/>
        <w:top w:w="0" w:type="dxa"/>
        <w:right w:w="0" w:type="dxa"/>
        <w:bottom w:w="0" w:type="dxa"/>
      </w:tblCellMar>
    </w:tblPr>
  </w:style>
  <w:style w:type="table" w:styleId="1388" w:customStyle="1">
    <w:name w:val="List Table 6 Colorful - Accent 2"/>
    <w:basedOn w:val="974"/>
    <w:uiPriority w:val="99"/>
    <w:qFormat/>
    <w:tblPr>
      <w:tblCellMar>
        <w:left w:w="0" w:type="dxa"/>
        <w:top w:w="0" w:type="dxa"/>
        <w:right w:w="0" w:type="dxa"/>
        <w:bottom w:w="0" w:type="dxa"/>
      </w:tblCellMar>
    </w:tblPr>
  </w:style>
  <w:style w:type="table" w:styleId="1389" w:customStyle="1">
    <w:name w:val="Grid Table 3 - Accent 3"/>
    <w:basedOn w:val="974"/>
    <w:uiPriority w:val="99"/>
    <w:qFormat/>
    <w:tblPr>
      <w:tblCellMar>
        <w:left w:w="0" w:type="dxa"/>
        <w:top w:w="0" w:type="dxa"/>
        <w:right w:w="0" w:type="dxa"/>
        <w:bottom w:w="0" w:type="dxa"/>
      </w:tblCellMar>
    </w:tblPr>
  </w:style>
  <w:style w:type="table" w:styleId="1390" w:customStyle="1">
    <w:name w:val="List Table 6 Colorful - Accent 4"/>
    <w:basedOn w:val="974"/>
    <w:uiPriority w:val="99"/>
    <w:qFormat/>
    <w:tblPr>
      <w:tblCellMar>
        <w:left w:w="0" w:type="dxa"/>
        <w:top w:w="0" w:type="dxa"/>
        <w:right w:w="0" w:type="dxa"/>
        <w:bottom w:w="0" w:type="dxa"/>
      </w:tblCellMar>
    </w:tblPr>
  </w:style>
  <w:style w:type="table" w:styleId="1391" w:customStyle="1">
    <w:name w:val="List Table 4 - Accent 3"/>
    <w:basedOn w:val="974"/>
    <w:uiPriority w:val="99"/>
    <w:qFormat/>
    <w:tblPr>
      <w:tblCellMar>
        <w:left w:w="0" w:type="dxa"/>
        <w:top w:w="0" w:type="dxa"/>
        <w:right w:w="0" w:type="dxa"/>
        <w:bottom w:w="0" w:type="dxa"/>
      </w:tblCellMar>
    </w:tblPr>
  </w:style>
  <w:style w:type="table" w:styleId="1392" w:customStyle="1">
    <w:name w:val="List Table 4 - Accent 5"/>
    <w:basedOn w:val="974"/>
    <w:uiPriority w:val="99"/>
    <w:qFormat/>
    <w:tblPr>
      <w:tblCellMar>
        <w:left w:w="0" w:type="dxa"/>
        <w:top w:w="0" w:type="dxa"/>
        <w:right w:w="0" w:type="dxa"/>
        <w:bottom w:w="0" w:type="dxa"/>
      </w:tblCellMar>
    </w:tblPr>
  </w:style>
  <w:style w:type="table" w:styleId="1393" w:customStyle="1">
    <w:name w:val="Table Grid Light"/>
    <w:basedOn w:val="974"/>
    <w:uiPriority w:val="59"/>
    <w:qFormat/>
    <w:tblPr>
      <w:tblCellMar>
        <w:left w:w="0" w:type="dxa"/>
        <w:top w:w="0" w:type="dxa"/>
        <w:right w:w="0" w:type="dxa"/>
        <w:bottom w:w="0" w:type="dxa"/>
      </w:tblCellMar>
    </w:tblPr>
  </w:style>
  <w:style w:type="table" w:styleId="1394" w:customStyle="1">
    <w:name w:val="List Table 7 Colorful - Accent 4"/>
    <w:basedOn w:val="974"/>
    <w:uiPriority w:val="99"/>
    <w:qFormat/>
    <w:tblPr>
      <w:tblCellMar>
        <w:left w:w="0" w:type="dxa"/>
        <w:top w:w="0" w:type="dxa"/>
        <w:right w:w="0" w:type="dxa"/>
        <w:bottom w:w="0" w:type="dxa"/>
      </w:tblCellMar>
    </w:tblPr>
  </w:style>
  <w:style w:type="table" w:styleId="1395" w:customStyle="1">
    <w:name w:val="List Table 1 Light - Accent 3"/>
    <w:basedOn w:val="974"/>
    <w:uiPriority w:val="99"/>
    <w:qFormat/>
    <w:tblPr>
      <w:tblCellMar>
        <w:left w:w="0" w:type="dxa"/>
        <w:top w:w="0" w:type="dxa"/>
        <w:right w:w="0" w:type="dxa"/>
        <w:bottom w:w="0" w:type="dxa"/>
      </w:tblCellMar>
    </w:tblPr>
  </w:style>
  <w:style w:type="table" w:styleId="1396" w:customStyle="1">
    <w:name w:val="List Table 1 Light - Accent 6"/>
    <w:basedOn w:val="974"/>
    <w:uiPriority w:val="99"/>
    <w:qFormat/>
    <w:tblPr>
      <w:tblCellMar>
        <w:left w:w="0" w:type="dxa"/>
        <w:top w:w="0" w:type="dxa"/>
        <w:right w:w="0" w:type="dxa"/>
        <w:bottom w:w="0" w:type="dxa"/>
      </w:tblCellMar>
    </w:tblPr>
  </w:style>
  <w:style w:type="table" w:styleId="1397" w:customStyle="1">
    <w:name w:val="Lined - Accent"/>
    <w:basedOn w:val="974"/>
    <w:uiPriority w:val="99"/>
    <w:qFormat/>
    <w:rPr>
      <w:color w:val="404040"/>
    </w:rPr>
    <w:tblPr>
      <w:tblCellMar>
        <w:left w:w="0" w:type="dxa"/>
        <w:top w:w="0" w:type="dxa"/>
        <w:right w:w="0" w:type="dxa"/>
        <w:bottom w:w="0" w:type="dxa"/>
      </w:tblCellMar>
    </w:tblPr>
  </w:style>
  <w:style w:type="table" w:styleId="1398" w:customStyle="1">
    <w:name w:val="List Table 1 Light - Accent 1"/>
    <w:basedOn w:val="974"/>
    <w:uiPriority w:val="99"/>
    <w:qFormat/>
    <w:tblPr>
      <w:tblCellMar>
        <w:left w:w="0" w:type="dxa"/>
        <w:top w:w="0" w:type="dxa"/>
        <w:right w:w="0" w:type="dxa"/>
        <w:bottom w:w="0" w:type="dxa"/>
      </w:tblCellMar>
    </w:tblPr>
  </w:style>
  <w:style w:type="table" w:styleId="1399" w:customStyle="1">
    <w:name w:val="Grid Table 4 - Accent 3"/>
    <w:basedOn w:val="974"/>
    <w:uiPriority w:val="59"/>
    <w:qFormat/>
    <w:tblPr>
      <w:tblCellMar>
        <w:left w:w="0" w:type="dxa"/>
        <w:top w:w="0" w:type="dxa"/>
        <w:right w:w="0" w:type="dxa"/>
        <w:bottom w:w="0" w:type="dxa"/>
      </w:tblCellMar>
    </w:tblPr>
  </w:style>
  <w:style w:type="table" w:styleId="1400" w:customStyle="1">
    <w:name w:val="Plain Table 2"/>
    <w:basedOn w:val="974"/>
    <w:uiPriority w:val="59"/>
    <w:qFormat/>
    <w:tblPr>
      <w:tblCellMar>
        <w:left w:w="0" w:type="dxa"/>
        <w:top w:w="0" w:type="dxa"/>
        <w:right w:w="0" w:type="dxa"/>
        <w:bottom w:w="0" w:type="dxa"/>
      </w:tblCellMar>
    </w:tblPr>
  </w:style>
  <w:style w:type="table" w:styleId="1401" w:customStyle="1">
    <w:name w:val="List Table 2 - Accent 6"/>
    <w:basedOn w:val="974"/>
    <w:uiPriority w:val="99"/>
    <w:qFormat/>
    <w:tblPr>
      <w:tblCellMar>
        <w:left w:w="0" w:type="dxa"/>
        <w:top w:w="0" w:type="dxa"/>
        <w:right w:w="0" w:type="dxa"/>
        <w:bottom w:w="0" w:type="dxa"/>
      </w:tblCellMar>
    </w:tblPr>
  </w:style>
  <w:style w:type="table" w:styleId="1402" w:customStyle="1">
    <w:name w:val="List Table 3 - Accent 3"/>
    <w:basedOn w:val="974"/>
    <w:uiPriority w:val="99"/>
    <w:qFormat/>
    <w:tblPr>
      <w:tblCellMar>
        <w:left w:w="0" w:type="dxa"/>
        <w:top w:w="0" w:type="dxa"/>
        <w:right w:w="0" w:type="dxa"/>
        <w:bottom w:w="0" w:type="dxa"/>
      </w:tblCellMar>
    </w:tblPr>
  </w:style>
  <w:style w:type="table" w:styleId="1403" w:customStyle="1">
    <w:name w:val="Grid Table 4 - Accent 2"/>
    <w:basedOn w:val="974"/>
    <w:uiPriority w:val="59"/>
    <w:qFormat/>
    <w:tblPr>
      <w:tblCellMar>
        <w:left w:w="0" w:type="dxa"/>
        <w:top w:w="0" w:type="dxa"/>
        <w:right w:w="0" w:type="dxa"/>
        <w:bottom w:w="0" w:type="dxa"/>
      </w:tblCellMar>
    </w:tblPr>
  </w:style>
  <w:style w:type="table" w:styleId="1404" w:customStyle="1">
    <w:name w:val="Lined - Accent 4"/>
    <w:basedOn w:val="974"/>
    <w:uiPriority w:val="99"/>
    <w:qFormat/>
    <w:rPr>
      <w:color w:val="404040"/>
    </w:rPr>
    <w:tblPr>
      <w:tblCellMar>
        <w:left w:w="0" w:type="dxa"/>
        <w:top w:w="0" w:type="dxa"/>
        <w:right w:w="0" w:type="dxa"/>
        <w:bottom w:w="0" w:type="dxa"/>
      </w:tblCellMar>
    </w:tblPr>
  </w:style>
  <w:style w:type="table" w:styleId="1405" w:customStyle="1">
    <w:name w:val="List Table 6 Colorful - Accent 6"/>
    <w:basedOn w:val="974"/>
    <w:uiPriority w:val="99"/>
    <w:qFormat/>
    <w:tblPr>
      <w:tblCellMar>
        <w:left w:w="0" w:type="dxa"/>
        <w:top w:w="0" w:type="dxa"/>
        <w:right w:w="0" w:type="dxa"/>
        <w:bottom w:w="0" w:type="dxa"/>
      </w:tblCellMar>
    </w:tblPr>
  </w:style>
  <w:style w:type="table" w:styleId="1406" w:customStyle="1">
    <w:name w:val="Grid Table 6 Colorful - Accent 1"/>
    <w:basedOn w:val="974"/>
    <w:uiPriority w:val="99"/>
    <w:qFormat/>
    <w:tblPr>
      <w:tblCellMar>
        <w:left w:w="0" w:type="dxa"/>
        <w:top w:w="0" w:type="dxa"/>
        <w:right w:w="0" w:type="dxa"/>
        <w:bottom w:w="0" w:type="dxa"/>
      </w:tblCellMar>
    </w:tblPr>
  </w:style>
  <w:style w:type="table" w:styleId="1407" w:customStyle="1">
    <w:name w:val="Plain Table 4"/>
    <w:basedOn w:val="974"/>
    <w:uiPriority w:val="99"/>
    <w:qFormat/>
    <w:tblPr>
      <w:tblCellMar>
        <w:left w:w="0" w:type="dxa"/>
        <w:top w:w="0" w:type="dxa"/>
        <w:right w:w="0" w:type="dxa"/>
        <w:bottom w:w="0" w:type="dxa"/>
      </w:tblCellMar>
    </w:tblPr>
  </w:style>
  <w:style w:type="table" w:styleId="1408" w:customStyle="1">
    <w:name w:val="Grid Table 7 Colorful"/>
    <w:basedOn w:val="974"/>
    <w:uiPriority w:val="99"/>
    <w:qFormat/>
    <w:tblPr>
      <w:tblCellMar>
        <w:left w:w="0" w:type="dxa"/>
        <w:top w:w="0" w:type="dxa"/>
        <w:right w:w="0" w:type="dxa"/>
        <w:bottom w:w="0" w:type="dxa"/>
      </w:tblCellMar>
    </w:tblPr>
  </w:style>
  <w:style w:type="table" w:styleId="1409" w:customStyle="1">
    <w:name w:val="List Table 5 Dark - Accent 6"/>
    <w:basedOn w:val="974"/>
    <w:uiPriority w:val="99"/>
    <w:qFormat/>
    <w:tblPr>
      <w:tblCellMar>
        <w:left w:w="0" w:type="dxa"/>
        <w:top w:w="0" w:type="dxa"/>
        <w:right w:w="0" w:type="dxa"/>
        <w:bottom w:w="0" w:type="dxa"/>
      </w:tblCellMar>
    </w:tblPr>
  </w:style>
  <w:style w:type="table" w:styleId="1410" w:customStyle="1">
    <w:name w:val="Plain Table 5"/>
    <w:basedOn w:val="974"/>
    <w:uiPriority w:val="99"/>
    <w:qFormat/>
    <w:tblPr>
      <w:tblCellMar>
        <w:left w:w="0" w:type="dxa"/>
        <w:top w:w="0" w:type="dxa"/>
        <w:right w:w="0" w:type="dxa"/>
        <w:bottom w:w="0" w:type="dxa"/>
      </w:tblCellMar>
    </w:tblPr>
  </w:style>
  <w:style w:type="table" w:styleId="1411" w:customStyle="1">
    <w:name w:val="Grid Table 6 Colorful - Accent 3"/>
    <w:basedOn w:val="974"/>
    <w:uiPriority w:val="99"/>
    <w:qFormat/>
    <w:tblPr>
      <w:tblCellMar>
        <w:left w:w="0" w:type="dxa"/>
        <w:top w:w="0" w:type="dxa"/>
        <w:right w:w="0" w:type="dxa"/>
        <w:bottom w:w="0" w:type="dxa"/>
      </w:tblCellMar>
    </w:tblPr>
  </w:style>
  <w:style w:type="table" w:styleId="1412" w:customStyle="1">
    <w:name w:val="List Table 5 Dark"/>
    <w:basedOn w:val="974"/>
    <w:uiPriority w:val="99"/>
    <w:qFormat/>
    <w:tblPr>
      <w:tblCellMar>
        <w:left w:w="0" w:type="dxa"/>
        <w:top w:w="0" w:type="dxa"/>
        <w:right w:w="0" w:type="dxa"/>
        <w:bottom w:w="0" w:type="dxa"/>
      </w:tblCellMar>
    </w:tblPr>
  </w:style>
  <w:style w:type="table" w:styleId="1413" w:customStyle="1">
    <w:name w:val="List Table 1 Light - Accent 5"/>
    <w:basedOn w:val="974"/>
    <w:uiPriority w:val="99"/>
    <w:qFormat/>
    <w:tblPr>
      <w:tblCellMar>
        <w:left w:w="0" w:type="dxa"/>
        <w:top w:w="0" w:type="dxa"/>
        <w:right w:w="0" w:type="dxa"/>
        <w:bottom w:w="0" w:type="dxa"/>
      </w:tblCellMar>
    </w:tblPr>
  </w:style>
  <w:style w:type="table" w:styleId="1414" w:customStyle="1">
    <w:name w:val="Grid Table 2 - Accent 4"/>
    <w:basedOn w:val="974"/>
    <w:uiPriority w:val="99"/>
    <w:qFormat/>
    <w:tblPr>
      <w:tblCellMar>
        <w:left w:w="0" w:type="dxa"/>
        <w:top w:w="0" w:type="dxa"/>
        <w:right w:w="0" w:type="dxa"/>
        <w:bottom w:w="0" w:type="dxa"/>
      </w:tblCellMar>
    </w:tblPr>
  </w:style>
  <w:style w:type="paragraph" w:styleId="1415" w:customStyle="1">
    <w:name w:val="要求_wwj"/>
    <w:basedOn w:val="872"/>
    <w:uiPriority w:val="0"/>
    <w:qFormat/>
    <w:pPr>
      <w:ind w:firstLine="200"/>
      <w:spacing w:before="50" w:after="50" w:line="400" w:lineRule="exact"/>
      <w:tabs>
        <w:tab w:val="left" w:pos="1177" w:leader="none"/>
        <w:tab w:val="left" w:pos="1498" w:leader="none"/>
      </w:tabs>
    </w:pPr>
    <w:rPr>
      <w:rFonts w:ascii="仿宋" w:hAnsi="仿宋" w:eastAsia="仿宋" w:cs="宋体"/>
      <w:color w:val="000000"/>
      <w:sz w:val="28"/>
      <w:szCs w:val="32"/>
    </w:rPr>
  </w:style>
  <w:style w:type="paragraph" w:styleId="1416" w:customStyle="1">
    <w:name w:val="投标文件正文"/>
    <w:basedOn w:val="872"/>
    <w:uiPriority w:val="0"/>
    <w:qFormat/>
    <w:pPr>
      <w:ind w:firstLine="200"/>
      <w:spacing w:before="40" w:after="40" w:line="400" w:lineRule="exact"/>
    </w:pPr>
    <w:rPr>
      <w:sz w:val="24"/>
    </w:rPr>
  </w:style>
  <w:style w:type="paragraph" w:styleId="1417" w:customStyle="1">
    <w:name w:val="正文文本1111"/>
    <w:basedOn w:val="872"/>
    <w:next w:val="892"/>
    <w:uiPriority w:val="0"/>
    <w:qFormat/>
    <w:pPr>
      <w:ind w:left="72" w:right="30"/>
      <w:jc w:val="center"/>
      <w:spacing w:after="60" w:line="360" w:lineRule="atLeast"/>
    </w:pPr>
    <w:rPr>
      <w:szCs w:val="22"/>
    </w:rPr>
  </w:style>
  <w:style w:type="character" w:styleId="1418" w:customStyle="1">
    <w:name w:val="NormalCharacter"/>
    <w:link w:val="899"/>
    <w:uiPriority w:val="0"/>
    <w:semiHidden/>
    <w:qFormat/>
    <w:rPr>
      <w:lang w:val="en-US" w:eastAsia="zh-CN" w:bidi="ar-SA"/>
    </w:rPr>
  </w:style>
  <w:style w:type="table" w:styleId="1419" w:customStyle="1">
    <w:name w:val="Table Normal"/>
    <w:uiPriority w:val="0"/>
    <w:semiHidden/>
    <w:unhideWhenUsed/>
    <w:qFormat/>
    <w:tblPr>
      <w:tblCellMar>
        <w:left w:w="0" w:type="dxa"/>
        <w:top w:w="0" w:type="dxa"/>
        <w:right w:w="0" w:type="dxa"/>
        <w:bottom w:w="0" w:type="dxa"/>
      </w:tblCellMar>
    </w:tblPr>
  </w:style>
  <w:style w:type="paragraph" w:styleId="1420" w:customStyle="1">
    <w:name w:val="Table Paragraph"/>
    <w:basedOn w:val="1421"/>
    <w:uiPriority w:val="1"/>
    <w:qFormat/>
  </w:style>
  <w:style w:type="paragraph" w:styleId="1421" w:customStyle="1">
    <w:name w:val="正文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422" w:customStyle="1">
    <w:name w:val="文本块12"/>
    <w:uiPriority w:val="6"/>
    <w:qFormat/>
    <w:pPr>
      <w:ind w:left="256" w:right="6" w:firstLine="624"/>
      <w:jc w:val="both"/>
      <w:widowControl w:val="off"/>
    </w:pPr>
    <w:rPr>
      <w:rFonts w:hint="default" w:ascii="Times New Roman" w:hAnsi="Times New Roman" w:eastAsia="仿宋" w:cs="Times New Roman"/>
      <w:sz w:val="28"/>
      <w:lang w:val="en-US" w:eastAsia="zh-CN" w:bidi="ar-SA"/>
    </w:rPr>
  </w:style>
  <w:style w:type="paragraph" w:styleId="1423" w:customStyle="1">
    <w:name w:val="PlainText1"/>
    <w:basedOn w:val="872"/>
    <w:uiPriority w:val="0"/>
    <w:qFormat/>
    <w:pPr>
      <w:jc w:val="left"/>
    </w:pPr>
    <w:rPr>
      <w:rFonts w:ascii="宋体" w:hAnsi="Courier New"/>
      <w:szCs w:val="20"/>
    </w:rPr>
  </w:style>
  <w:style w:type="character" w:styleId="1424" w:customStyle="1">
    <w:name w:val="批注框文本 Char1"/>
    <w:basedOn w:val="882"/>
    <w:link w:val="921"/>
    <w:uiPriority w:val="99"/>
    <w:semiHidden/>
    <w:qFormat/>
    <w:rPr>
      <w:sz w:val="18"/>
      <w:szCs w:val="18"/>
    </w:rPr>
  </w:style>
  <w:style w:type="numbering" w:styleId="142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customXml" Target="../customXml/item1.xml" /><Relationship Id="rId20" Type="http://schemas.openxmlformats.org/officeDocument/2006/relationships/image" Target="media/image1.png"/><Relationship Id="rId21"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dc:creator>
  <cp:lastModifiedBy>徐州</cp:lastModifiedBy>
  <cp:revision>40</cp:revision>
  <dcterms:created xsi:type="dcterms:W3CDTF">2021-09-07T07:04:00Z</dcterms:created>
  <dcterms:modified xsi:type="dcterms:W3CDTF">2026-06-11T07:40:41Z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60ADC2601C9D4543B4796B854AE8F986_13</vt:lpwstr>
  </property>
  <property fmtid="{D5CDD505-2E9C-101B-9397-08002B2CF9AE}" pid="4" name="KSOTemplateDocerSaveRecord">
    <vt:lpwstr>eyJoZGlkIjoiN2U2OGM3ZGRkNGI0YzJkOGRhZDEwOTMwNTQ4NmU5ZjgiLCJ1c2VySWQiOiIyOTY0MjI3MDAifQ==</vt:lpwstr>
  </property>
</Properties>
</file>